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76326F" w14:textId="77777777" w:rsidR="00BC0795" w:rsidRDefault="00BC0795" w:rsidP="0073068E">
      <w:pPr>
        <w:pStyle w:val="Heading1"/>
        <w:spacing w:line="360" w:lineRule="auto"/>
        <w:jc w:val="both"/>
        <w:rPr>
          <w:rFonts w:ascii="Arial" w:hAnsi="Arial" w:cs="Arial"/>
          <w:b/>
          <w:color w:val="auto"/>
          <w:sz w:val="24"/>
          <w:szCs w:val="24"/>
        </w:rPr>
      </w:pPr>
      <w:r>
        <w:rPr>
          <w:rFonts w:ascii="Arial" w:hAnsi="Arial" w:cs="Arial"/>
          <w:b/>
          <w:color w:val="auto"/>
          <w:sz w:val="24"/>
          <w:szCs w:val="24"/>
        </w:rPr>
        <w:t>Student name: Kevin Tomko</w:t>
      </w:r>
    </w:p>
    <w:p w14:paraId="41DDA457" w14:textId="77777777" w:rsidR="00BC0795" w:rsidRDefault="00BC0795" w:rsidP="0073068E">
      <w:pPr>
        <w:pStyle w:val="Heading1"/>
        <w:spacing w:line="360" w:lineRule="auto"/>
        <w:jc w:val="both"/>
        <w:rPr>
          <w:rFonts w:ascii="Arial" w:hAnsi="Arial" w:cs="Arial"/>
          <w:b/>
          <w:color w:val="auto"/>
          <w:sz w:val="24"/>
          <w:szCs w:val="24"/>
        </w:rPr>
      </w:pPr>
      <w:r>
        <w:rPr>
          <w:rFonts w:ascii="Arial" w:hAnsi="Arial" w:cs="Arial"/>
          <w:b/>
          <w:color w:val="auto"/>
          <w:sz w:val="24"/>
          <w:szCs w:val="24"/>
        </w:rPr>
        <w:t>Date: 27/02/2024</w:t>
      </w:r>
    </w:p>
    <w:p w14:paraId="027069A6" w14:textId="77777777" w:rsidR="00BC0795" w:rsidRDefault="00BC0795" w:rsidP="0073068E">
      <w:pPr>
        <w:pStyle w:val="Heading1"/>
        <w:spacing w:line="360" w:lineRule="auto"/>
        <w:jc w:val="both"/>
        <w:rPr>
          <w:rFonts w:ascii="Arial" w:hAnsi="Arial" w:cs="Arial"/>
          <w:b/>
          <w:color w:val="auto"/>
          <w:sz w:val="24"/>
          <w:szCs w:val="24"/>
        </w:rPr>
      </w:pPr>
    </w:p>
    <w:p w14:paraId="7DBB1142" w14:textId="6EF6859A" w:rsidR="0073068E" w:rsidRPr="0073068E" w:rsidRDefault="0073068E" w:rsidP="0073068E">
      <w:pPr>
        <w:pStyle w:val="Heading1"/>
        <w:spacing w:line="360" w:lineRule="auto"/>
        <w:jc w:val="both"/>
        <w:rPr>
          <w:rFonts w:ascii="Arial" w:hAnsi="Arial" w:cs="Arial"/>
          <w:b/>
          <w:color w:val="auto"/>
          <w:sz w:val="24"/>
          <w:szCs w:val="24"/>
        </w:rPr>
      </w:pPr>
      <w:r w:rsidRPr="0073068E">
        <w:rPr>
          <w:rFonts w:ascii="Arial" w:hAnsi="Arial" w:cs="Arial"/>
          <w:b/>
          <w:color w:val="auto"/>
          <w:sz w:val="24"/>
          <w:szCs w:val="24"/>
        </w:rPr>
        <w:t>Hybrid Workplace</w:t>
      </w:r>
    </w:p>
    <w:p w14:paraId="0C921048" w14:textId="77777777" w:rsidR="004111F3" w:rsidRPr="0073068E" w:rsidRDefault="001F7C5E" w:rsidP="0073068E">
      <w:pPr>
        <w:spacing w:line="360" w:lineRule="auto"/>
        <w:jc w:val="both"/>
        <w:rPr>
          <w:rFonts w:ascii="Arial" w:hAnsi="Arial" w:cs="Arial"/>
          <w:sz w:val="24"/>
          <w:szCs w:val="24"/>
        </w:rPr>
      </w:pPr>
      <w:r w:rsidRPr="0073068E">
        <w:rPr>
          <w:rFonts w:ascii="Arial" w:hAnsi="Arial" w:cs="Arial"/>
          <w:sz w:val="24"/>
          <w:szCs w:val="24"/>
        </w:rPr>
        <w:t xml:space="preserve">Sampat et al. (2022) report an increasing requirement for hybrid work models that require on-site and remote work. These methods improve flexibility, work-life balance, and digital communication. The technique increases collaboration by bringing together people with various tastes and methods. Hybrid work models enhance when Tuckman's group growth phases and Belbin's team duties are added. This shows how collaborative modern offices are. Tuckman's five stages of team development—forming, surging, norming, acting, and adjourning—explain team advancement and cohesiveness. Aquino et al. (2022) employ Tuckman's approach to create hybrid workplaces with digital and physical teams. Belbin says well-balanced teams work best. Groups function better when they </w:t>
      </w:r>
      <w:proofErr w:type="spellStart"/>
      <w:r w:rsidRPr="0073068E">
        <w:rPr>
          <w:rFonts w:ascii="Arial" w:hAnsi="Arial" w:cs="Arial"/>
          <w:sz w:val="24"/>
          <w:szCs w:val="24"/>
        </w:rPr>
        <w:t>maximise</w:t>
      </w:r>
      <w:proofErr w:type="spellEnd"/>
      <w:r w:rsidRPr="0073068E">
        <w:rPr>
          <w:rFonts w:ascii="Arial" w:hAnsi="Arial" w:cs="Arial"/>
          <w:sz w:val="24"/>
          <w:szCs w:val="24"/>
        </w:rPr>
        <w:t xml:space="preserve"> their strengths and </w:t>
      </w:r>
      <w:proofErr w:type="spellStart"/>
      <w:r w:rsidRPr="0073068E">
        <w:rPr>
          <w:rFonts w:ascii="Arial" w:hAnsi="Arial" w:cs="Arial"/>
          <w:sz w:val="24"/>
          <w:szCs w:val="24"/>
        </w:rPr>
        <w:t>minimise</w:t>
      </w:r>
      <w:proofErr w:type="spellEnd"/>
      <w:r w:rsidRPr="0073068E">
        <w:rPr>
          <w:rFonts w:ascii="Arial" w:hAnsi="Arial" w:cs="Arial"/>
          <w:sz w:val="24"/>
          <w:szCs w:val="24"/>
        </w:rPr>
        <w:t xml:space="preserve"> their weaknesses.  Poser and Bittner (2020) discuss the pros and pitfalls of hybrid work models in their analysis of various approaches. These reforms encourage open communication, differentiated duties, and appropriate technology use to increase collaboration. These principles help managers transition between online and in-office work in the 21st century's dynamic environment.</w:t>
      </w:r>
    </w:p>
    <w:p w14:paraId="5A876502" w14:textId="77777777" w:rsidR="004111F3" w:rsidRPr="0073068E" w:rsidRDefault="0073068E" w:rsidP="0073068E">
      <w:pPr>
        <w:pStyle w:val="Heading1"/>
        <w:spacing w:line="360" w:lineRule="auto"/>
        <w:rPr>
          <w:rFonts w:ascii="Arial" w:hAnsi="Arial" w:cs="Arial"/>
          <w:b/>
          <w:color w:val="auto"/>
          <w:sz w:val="24"/>
          <w:szCs w:val="24"/>
        </w:rPr>
      </w:pPr>
      <w:r w:rsidRPr="0073068E">
        <w:rPr>
          <w:rFonts w:ascii="Arial" w:hAnsi="Arial" w:cs="Arial"/>
          <w:b/>
          <w:color w:val="auto"/>
          <w:sz w:val="24"/>
          <w:szCs w:val="24"/>
        </w:rPr>
        <w:t xml:space="preserve">Understanding Team </w:t>
      </w:r>
      <w:proofErr w:type="gramStart"/>
      <w:r w:rsidRPr="0073068E">
        <w:rPr>
          <w:rFonts w:ascii="Arial" w:hAnsi="Arial" w:cs="Arial"/>
          <w:b/>
          <w:color w:val="auto"/>
          <w:sz w:val="24"/>
          <w:szCs w:val="24"/>
        </w:rPr>
        <w:t>And</w:t>
      </w:r>
      <w:proofErr w:type="gramEnd"/>
      <w:r w:rsidRPr="0073068E">
        <w:rPr>
          <w:rFonts w:ascii="Arial" w:hAnsi="Arial" w:cs="Arial"/>
          <w:b/>
          <w:color w:val="auto"/>
          <w:sz w:val="24"/>
          <w:szCs w:val="24"/>
        </w:rPr>
        <w:t xml:space="preserve"> Their Dynamics</w:t>
      </w:r>
    </w:p>
    <w:p w14:paraId="173AE92D" w14:textId="77777777" w:rsidR="004111F3" w:rsidRPr="0073068E" w:rsidRDefault="004111F3" w:rsidP="0073068E">
      <w:pPr>
        <w:autoSpaceDE w:val="0"/>
        <w:autoSpaceDN w:val="0"/>
        <w:adjustRightInd w:val="0"/>
        <w:spacing w:after="0" w:line="360" w:lineRule="auto"/>
        <w:jc w:val="both"/>
        <w:rPr>
          <w:rFonts w:ascii="Arial" w:hAnsi="Arial" w:cs="Arial"/>
          <w:color w:val="000000"/>
          <w:sz w:val="24"/>
          <w:szCs w:val="24"/>
        </w:rPr>
      </w:pPr>
      <w:r w:rsidRPr="0073068E">
        <w:rPr>
          <w:rFonts w:ascii="Arial" w:hAnsi="Arial" w:cs="Arial"/>
          <w:color w:val="000000"/>
          <w:sz w:val="24"/>
          <w:szCs w:val="24"/>
        </w:rPr>
        <w:t xml:space="preserve">Cooperative groupings and teams are not synonymous in the context of human interaction. These periods are exemplified by the stages of group development identified by Tuckman: forming, rampaging, norming, performing, and adjourning. The implementation of these strategies by groups yields </w:t>
      </w:r>
      <w:proofErr w:type="spellStart"/>
      <w:r w:rsidRPr="0073068E">
        <w:rPr>
          <w:rFonts w:ascii="Arial" w:hAnsi="Arial" w:cs="Arial"/>
          <w:color w:val="000000"/>
          <w:sz w:val="24"/>
          <w:szCs w:val="24"/>
        </w:rPr>
        <w:t>favourable</w:t>
      </w:r>
      <w:proofErr w:type="spellEnd"/>
      <w:r w:rsidRPr="0073068E">
        <w:rPr>
          <w:rFonts w:ascii="Arial" w:hAnsi="Arial" w:cs="Arial"/>
          <w:color w:val="000000"/>
          <w:sz w:val="24"/>
          <w:szCs w:val="24"/>
        </w:rPr>
        <w:t xml:space="preserve"> inception, progression, and conclusion (Richter et al., 2021). Innovative groups accomplish objectives, resolve problems, and enhance overall performance. Enhanced communication, trust, and regard among team members can be advantageous (</w:t>
      </w:r>
      <w:r w:rsidRPr="0073068E">
        <w:rPr>
          <w:rFonts w:ascii="Arial" w:eastAsia="Times New Roman" w:hAnsi="Arial" w:cs="Arial"/>
          <w:color w:val="000000"/>
          <w:sz w:val="24"/>
          <w:szCs w:val="24"/>
        </w:rPr>
        <w:t>Vaida and Serban</w:t>
      </w:r>
      <w:r w:rsidRPr="0073068E">
        <w:rPr>
          <w:rFonts w:ascii="Arial" w:hAnsi="Arial" w:cs="Arial"/>
          <w:color w:val="000000"/>
          <w:sz w:val="24"/>
          <w:szCs w:val="24"/>
        </w:rPr>
        <w:t xml:space="preserve">, 2021). The dynamic is enhanced through the delineation of precise obligations for each team member to maintain harmony and productivity, as facilitated by Belbin's three roles—shapers, </w:t>
      </w:r>
      <w:r w:rsidRPr="0073068E">
        <w:rPr>
          <w:rFonts w:ascii="Arial" w:hAnsi="Arial" w:cs="Arial"/>
          <w:color w:val="000000"/>
          <w:sz w:val="24"/>
          <w:szCs w:val="24"/>
        </w:rPr>
        <w:lastRenderedPageBreak/>
        <w:t xml:space="preserve">implementers, and coordinators. By </w:t>
      </w:r>
      <w:proofErr w:type="spellStart"/>
      <w:r w:rsidRPr="0073068E">
        <w:rPr>
          <w:rFonts w:ascii="Arial" w:hAnsi="Arial" w:cs="Arial"/>
          <w:color w:val="000000"/>
          <w:sz w:val="24"/>
          <w:szCs w:val="24"/>
        </w:rPr>
        <w:t>utilising</w:t>
      </w:r>
      <w:proofErr w:type="spellEnd"/>
      <w:r w:rsidRPr="0073068E">
        <w:rPr>
          <w:rFonts w:ascii="Arial" w:hAnsi="Arial" w:cs="Arial"/>
          <w:color w:val="000000"/>
          <w:sz w:val="24"/>
          <w:szCs w:val="24"/>
        </w:rPr>
        <w:t xml:space="preserve"> this data, the process of establishing strategic teams becomes effortless, allowing for equal participation from all members (Flores </w:t>
      </w:r>
      <w:proofErr w:type="spellStart"/>
      <w:r w:rsidRPr="0073068E">
        <w:rPr>
          <w:rFonts w:ascii="Arial" w:hAnsi="Arial" w:cs="Arial"/>
          <w:color w:val="000000"/>
          <w:sz w:val="24"/>
          <w:szCs w:val="24"/>
        </w:rPr>
        <w:t>Ureba</w:t>
      </w:r>
      <w:proofErr w:type="spellEnd"/>
      <w:r w:rsidRPr="0073068E">
        <w:rPr>
          <w:rFonts w:ascii="Arial" w:hAnsi="Arial" w:cs="Arial"/>
          <w:color w:val="000000"/>
          <w:sz w:val="24"/>
          <w:szCs w:val="24"/>
        </w:rPr>
        <w:t xml:space="preserve"> et al., 2022). By integrating Belbin's roles with Tuckman's developmental framework, a holistic approach can be adopted to </w:t>
      </w:r>
      <w:proofErr w:type="spellStart"/>
      <w:r w:rsidRPr="0073068E">
        <w:rPr>
          <w:rFonts w:ascii="Arial" w:hAnsi="Arial" w:cs="Arial"/>
          <w:color w:val="000000"/>
          <w:sz w:val="24"/>
          <w:szCs w:val="24"/>
        </w:rPr>
        <w:t>optimise</w:t>
      </w:r>
      <w:proofErr w:type="spellEnd"/>
      <w:r w:rsidRPr="0073068E">
        <w:rPr>
          <w:rFonts w:ascii="Arial" w:hAnsi="Arial" w:cs="Arial"/>
          <w:color w:val="000000"/>
          <w:sz w:val="24"/>
          <w:szCs w:val="24"/>
        </w:rPr>
        <w:t xml:space="preserve"> collaboration and achieve goals.</w:t>
      </w:r>
    </w:p>
    <w:p w14:paraId="4A1028F5" w14:textId="77777777" w:rsidR="0073068E" w:rsidRPr="0073068E" w:rsidRDefault="0073068E" w:rsidP="0073068E">
      <w:pPr>
        <w:pStyle w:val="Heading1"/>
        <w:spacing w:line="360" w:lineRule="auto"/>
        <w:rPr>
          <w:rFonts w:ascii="Arial" w:hAnsi="Arial" w:cs="Arial"/>
          <w:b/>
          <w:color w:val="auto"/>
          <w:sz w:val="24"/>
          <w:szCs w:val="24"/>
        </w:rPr>
      </w:pPr>
      <w:r w:rsidRPr="0073068E">
        <w:rPr>
          <w:rFonts w:ascii="Arial" w:hAnsi="Arial" w:cs="Arial"/>
          <w:b/>
          <w:color w:val="auto"/>
          <w:sz w:val="24"/>
          <w:szCs w:val="24"/>
        </w:rPr>
        <w:t>Building Blocks of Effective Teamwork</w:t>
      </w:r>
    </w:p>
    <w:p w14:paraId="69000F06" w14:textId="77777777" w:rsidR="004111F3" w:rsidRPr="0073068E" w:rsidRDefault="004111F3" w:rsidP="0073068E">
      <w:pPr>
        <w:spacing w:line="360" w:lineRule="auto"/>
        <w:jc w:val="both"/>
        <w:rPr>
          <w:rFonts w:ascii="Arial" w:hAnsi="Arial" w:cs="Arial"/>
          <w:b/>
          <w:sz w:val="24"/>
          <w:szCs w:val="24"/>
        </w:rPr>
      </w:pPr>
      <w:r w:rsidRPr="0073068E">
        <w:rPr>
          <w:rFonts w:ascii="Arial" w:hAnsi="Arial" w:cs="Arial"/>
          <w:color w:val="000000"/>
          <w:sz w:val="24"/>
          <w:szCs w:val="24"/>
        </w:rPr>
        <w:t xml:space="preserve">Hybrid work environments effectively aid personnel by implementing motivation techniques, steady unit bonds, and considerate behavior. An internet-based technique permitting colleagues to endorse one another's work, "Online applause", boosted workplace engagement and esprit de corps as reported by Kuczmarski and Kuczmarski (2018). Offering staff admittance to electronic communication is one method. As a means to strengthen team cohesion, Belbin proposes a selection of mutual responsibilities. To boost output of projects and accelerate finish times, thriving university work teams elect overseers and implementers who distribute duties reasonably and keep the group informed of updates through periodic online meetings, as expressed by Flores </w:t>
      </w:r>
      <w:proofErr w:type="spellStart"/>
      <w:r w:rsidRPr="0073068E">
        <w:rPr>
          <w:rFonts w:ascii="Arial" w:hAnsi="Arial" w:cs="Arial"/>
          <w:color w:val="000000"/>
          <w:sz w:val="24"/>
          <w:szCs w:val="24"/>
        </w:rPr>
        <w:t>Ureba</w:t>
      </w:r>
      <w:proofErr w:type="spellEnd"/>
      <w:r w:rsidRPr="0073068E">
        <w:rPr>
          <w:rFonts w:ascii="Arial" w:hAnsi="Arial" w:cs="Arial"/>
          <w:color w:val="000000"/>
          <w:sz w:val="24"/>
          <w:szCs w:val="24"/>
        </w:rPr>
        <w:t xml:space="preserve"> et al., (2022). Sharing obligations and solving issues become indispensable in digital correspondence. The significance of responsibility and openness in accomplishing objectives and satisfying the team is underscored by adaptable strategies for dividing work and leadership, and frequent virtual gatherings to address matters respectively, consistent with Kahlow et al., (2020). For hybrid work to conquer its obstacles and maximize its advantages, teamwork, smart reward systems, and transparent interaction are fundamental.</w:t>
      </w:r>
    </w:p>
    <w:p w14:paraId="424D5915" w14:textId="77777777" w:rsidR="004111F3" w:rsidRPr="0073068E" w:rsidRDefault="0073068E" w:rsidP="0073068E">
      <w:pPr>
        <w:pStyle w:val="Heading1"/>
        <w:spacing w:line="360" w:lineRule="auto"/>
        <w:rPr>
          <w:rFonts w:ascii="Arial" w:hAnsi="Arial" w:cs="Arial"/>
          <w:b/>
          <w:color w:val="auto"/>
          <w:sz w:val="24"/>
          <w:szCs w:val="24"/>
        </w:rPr>
      </w:pPr>
      <w:r w:rsidRPr="0073068E">
        <w:rPr>
          <w:rFonts w:ascii="Arial" w:hAnsi="Arial" w:cs="Arial"/>
          <w:b/>
          <w:color w:val="auto"/>
          <w:sz w:val="24"/>
          <w:szCs w:val="24"/>
        </w:rPr>
        <w:t>Overcoming Challenges</w:t>
      </w:r>
    </w:p>
    <w:p w14:paraId="2C5F56CB" w14:textId="77777777" w:rsidR="004111F3" w:rsidRPr="0073068E" w:rsidRDefault="004111F3" w:rsidP="0073068E">
      <w:pPr>
        <w:autoSpaceDE w:val="0"/>
        <w:autoSpaceDN w:val="0"/>
        <w:adjustRightInd w:val="0"/>
        <w:spacing w:after="0" w:line="360" w:lineRule="auto"/>
        <w:jc w:val="both"/>
        <w:rPr>
          <w:rFonts w:ascii="Arial" w:hAnsi="Arial" w:cs="Arial"/>
          <w:color w:val="000000"/>
          <w:sz w:val="24"/>
          <w:szCs w:val="24"/>
        </w:rPr>
      </w:pPr>
      <w:r w:rsidRPr="0073068E">
        <w:rPr>
          <w:rFonts w:ascii="Arial" w:hAnsi="Arial" w:cs="Arial"/>
          <w:color w:val="000000"/>
          <w:sz w:val="24"/>
          <w:szCs w:val="24"/>
        </w:rPr>
        <w:t xml:space="preserve">In hybrid contexts, teams have a hard time working together and dealing with remote situations. To adapt and find the right combination of people for digital success, teams can use Tuckman's phases of group development and Belbin's team responsibilities (Santos and Ralph, 2022). Hybrid meetings are now more interesting thanks to new XR technology. The development of XR technology has opened up new avenues for human communication. In order to eradicate bias and boost productivity, establish a culture that embraces different work styles and encourages both online and in-person contacts. </w:t>
      </w:r>
      <w:r w:rsidRPr="0073068E">
        <w:rPr>
          <w:rFonts w:ascii="Arial" w:hAnsi="Arial" w:cs="Arial"/>
          <w:color w:val="000000"/>
          <w:sz w:val="24"/>
          <w:szCs w:val="24"/>
        </w:rPr>
        <w:lastRenderedPageBreak/>
        <w:t xml:space="preserve">According to McMurtrie and </w:t>
      </w:r>
      <w:proofErr w:type="spellStart"/>
      <w:r w:rsidRPr="0073068E">
        <w:rPr>
          <w:rFonts w:ascii="Arial" w:hAnsi="Arial" w:cs="Arial"/>
          <w:color w:val="000000"/>
          <w:sz w:val="24"/>
          <w:szCs w:val="24"/>
        </w:rPr>
        <w:t>Ostrikov</w:t>
      </w:r>
      <w:proofErr w:type="spellEnd"/>
      <w:r w:rsidRPr="0073068E">
        <w:rPr>
          <w:rFonts w:ascii="Arial" w:hAnsi="Arial" w:cs="Arial"/>
          <w:color w:val="000000"/>
          <w:sz w:val="24"/>
          <w:szCs w:val="24"/>
        </w:rPr>
        <w:t xml:space="preserve"> (2021), this approach enables team members to collaborate on the project regardless of their location effectively. This highlights the diversity of group project participants. In the hybrid workplace, these techniques can increase team involvement, innovation, and output.</w:t>
      </w:r>
    </w:p>
    <w:p w14:paraId="60916D41" w14:textId="77777777" w:rsidR="004111F3" w:rsidRPr="0073068E" w:rsidRDefault="004111F3" w:rsidP="0073068E">
      <w:pPr>
        <w:autoSpaceDE w:val="0"/>
        <w:autoSpaceDN w:val="0"/>
        <w:adjustRightInd w:val="0"/>
        <w:spacing w:after="0" w:line="360" w:lineRule="auto"/>
        <w:jc w:val="both"/>
        <w:rPr>
          <w:rFonts w:ascii="Arial" w:hAnsi="Arial" w:cs="Arial"/>
          <w:sz w:val="24"/>
          <w:szCs w:val="24"/>
        </w:rPr>
      </w:pPr>
    </w:p>
    <w:p w14:paraId="461949B4" w14:textId="77777777" w:rsidR="004111F3" w:rsidRPr="0073068E" w:rsidRDefault="0073068E" w:rsidP="0073068E">
      <w:pPr>
        <w:pStyle w:val="Heading1"/>
        <w:spacing w:line="360" w:lineRule="auto"/>
        <w:rPr>
          <w:rFonts w:ascii="Arial" w:hAnsi="Arial" w:cs="Arial"/>
          <w:b/>
          <w:color w:val="auto"/>
          <w:sz w:val="24"/>
          <w:szCs w:val="24"/>
        </w:rPr>
      </w:pPr>
      <w:r w:rsidRPr="0073068E">
        <w:rPr>
          <w:rFonts w:ascii="Arial" w:hAnsi="Arial" w:cs="Arial"/>
          <w:b/>
          <w:color w:val="auto"/>
          <w:sz w:val="24"/>
          <w:szCs w:val="24"/>
        </w:rPr>
        <w:t>References</w:t>
      </w:r>
    </w:p>
    <w:p w14:paraId="532D583B" w14:textId="77777777" w:rsidR="001443A3" w:rsidRPr="0073068E" w:rsidRDefault="00A64D3D" w:rsidP="0073068E">
      <w:pPr>
        <w:pStyle w:val="ListParagraph"/>
        <w:numPr>
          <w:ilvl w:val="0"/>
          <w:numId w:val="3"/>
        </w:numPr>
        <w:spacing w:line="360" w:lineRule="auto"/>
        <w:jc w:val="both"/>
        <w:rPr>
          <w:rFonts w:ascii="Arial" w:hAnsi="Arial" w:cs="Arial"/>
          <w:sz w:val="24"/>
          <w:szCs w:val="24"/>
        </w:rPr>
      </w:pPr>
      <w:r w:rsidRPr="0073068E">
        <w:rPr>
          <w:rFonts w:ascii="Arial" w:hAnsi="Arial" w:cs="Arial"/>
          <w:sz w:val="24"/>
          <w:szCs w:val="24"/>
        </w:rPr>
        <w:t>Sampat, B., Raj, S., Behl, A. and Schoebel, S., 2022. An empirical analysis of facilitators and barriers to the hybrid work model: a cross-cultural and multi-theoretical approach. Personnel review, 51(8), pp.1990-2020.</w:t>
      </w:r>
    </w:p>
    <w:p w14:paraId="0D9EA11C" w14:textId="77777777" w:rsidR="001443A3" w:rsidRPr="0073068E" w:rsidRDefault="00A64D3D" w:rsidP="0073068E">
      <w:pPr>
        <w:pStyle w:val="ListParagraph"/>
        <w:numPr>
          <w:ilvl w:val="0"/>
          <w:numId w:val="3"/>
        </w:numPr>
        <w:spacing w:line="360" w:lineRule="auto"/>
        <w:jc w:val="both"/>
        <w:rPr>
          <w:rFonts w:ascii="Arial" w:hAnsi="Arial" w:cs="Arial"/>
          <w:sz w:val="24"/>
          <w:szCs w:val="24"/>
        </w:rPr>
      </w:pPr>
      <w:r w:rsidRPr="0073068E">
        <w:rPr>
          <w:rFonts w:ascii="Arial" w:hAnsi="Arial" w:cs="Arial"/>
          <w:sz w:val="24"/>
          <w:szCs w:val="24"/>
        </w:rPr>
        <w:t>Aquino, J.F., Riss, R.R., Multerer, S.M., Mogilner, L.N. and Turner, T.L., 2022. A step-by-step guide for mentors to facilitate team building and communication in virtual teams. Medical Education Online, 27(1), p.2094529.</w:t>
      </w:r>
    </w:p>
    <w:p w14:paraId="19976233" w14:textId="77777777" w:rsidR="001443A3" w:rsidRPr="0073068E" w:rsidRDefault="00A64D3D" w:rsidP="0073068E">
      <w:pPr>
        <w:pStyle w:val="ListParagraph"/>
        <w:numPr>
          <w:ilvl w:val="0"/>
          <w:numId w:val="3"/>
        </w:numPr>
        <w:spacing w:line="360" w:lineRule="auto"/>
        <w:jc w:val="both"/>
        <w:rPr>
          <w:rFonts w:ascii="Arial" w:hAnsi="Arial" w:cs="Arial"/>
          <w:sz w:val="24"/>
          <w:szCs w:val="24"/>
        </w:rPr>
      </w:pPr>
      <w:r w:rsidRPr="0073068E">
        <w:rPr>
          <w:rFonts w:ascii="Arial" w:hAnsi="Arial" w:cs="Arial"/>
          <w:sz w:val="24"/>
          <w:szCs w:val="24"/>
        </w:rPr>
        <w:t xml:space="preserve">Poser, M. and Bittner, E.A., 2020. Hybrid Teamwork: Consideration of Teamwork Concepts to Reach Naturalistic Interaction between Humans and Conversational Agents. In </w:t>
      </w:r>
      <w:proofErr w:type="spellStart"/>
      <w:r w:rsidRPr="0073068E">
        <w:rPr>
          <w:rFonts w:ascii="Arial" w:hAnsi="Arial" w:cs="Arial"/>
          <w:sz w:val="24"/>
          <w:szCs w:val="24"/>
        </w:rPr>
        <w:t>Wirtschaftsinformatik</w:t>
      </w:r>
      <w:proofErr w:type="spellEnd"/>
      <w:r w:rsidRPr="0073068E">
        <w:rPr>
          <w:rFonts w:ascii="Arial" w:hAnsi="Arial" w:cs="Arial"/>
          <w:sz w:val="24"/>
          <w:szCs w:val="24"/>
        </w:rPr>
        <w:t xml:space="preserve"> (</w:t>
      </w:r>
      <w:proofErr w:type="spellStart"/>
      <w:r w:rsidRPr="0073068E">
        <w:rPr>
          <w:rFonts w:ascii="Arial" w:hAnsi="Arial" w:cs="Arial"/>
          <w:sz w:val="24"/>
          <w:szCs w:val="24"/>
        </w:rPr>
        <w:t>Zentrale</w:t>
      </w:r>
      <w:proofErr w:type="spellEnd"/>
      <w:r w:rsidRPr="0073068E">
        <w:rPr>
          <w:rFonts w:ascii="Arial" w:hAnsi="Arial" w:cs="Arial"/>
          <w:sz w:val="24"/>
          <w:szCs w:val="24"/>
        </w:rPr>
        <w:t xml:space="preserve"> Tracks) (pp. 83-98).</w:t>
      </w:r>
    </w:p>
    <w:p w14:paraId="5F9F0CC0" w14:textId="77777777" w:rsidR="001443A3" w:rsidRPr="0073068E" w:rsidRDefault="00A64D3D" w:rsidP="0073068E">
      <w:pPr>
        <w:pStyle w:val="ListParagraph"/>
        <w:numPr>
          <w:ilvl w:val="0"/>
          <w:numId w:val="3"/>
        </w:numPr>
        <w:spacing w:line="360" w:lineRule="auto"/>
        <w:jc w:val="both"/>
        <w:rPr>
          <w:rFonts w:ascii="Arial" w:hAnsi="Arial" w:cs="Arial"/>
          <w:sz w:val="24"/>
          <w:szCs w:val="24"/>
        </w:rPr>
      </w:pPr>
      <w:r w:rsidRPr="0073068E">
        <w:rPr>
          <w:rFonts w:ascii="Arial" w:hAnsi="Arial" w:cs="Arial"/>
          <w:sz w:val="24"/>
          <w:szCs w:val="24"/>
        </w:rPr>
        <w:t xml:space="preserve">Vaida, S.E.B.A.S.T.I.A.N. and Șerban, D., 2021. Group development stages. A brief comparative analysis of various models. Studia Universitatis Babes-Bolyai, </w:t>
      </w:r>
      <w:proofErr w:type="spellStart"/>
      <w:r w:rsidRPr="0073068E">
        <w:rPr>
          <w:rFonts w:ascii="Arial" w:hAnsi="Arial" w:cs="Arial"/>
          <w:sz w:val="24"/>
          <w:szCs w:val="24"/>
        </w:rPr>
        <w:t>Psychologia-Paedagogia</w:t>
      </w:r>
      <w:proofErr w:type="spellEnd"/>
      <w:r w:rsidRPr="0073068E">
        <w:rPr>
          <w:rFonts w:ascii="Arial" w:hAnsi="Arial" w:cs="Arial"/>
          <w:sz w:val="24"/>
          <w:szCs w:val="24"/>
        </w:rPr>
        <w:t>, 66(1), pp.91-110.</w:t>
      </w:r>
    </w:p>
    <w:p w14:paraId="73B913DD" w14:textId="77777777" w:rsidR="001443A3" w:rsidRPr="0073068E" w:rsidRDefault="00A64D3D" w:rsidP="0073068E">
      <w:pPr>
        <w:pStyle w:val="ListParagraph"/>
        <w:numPr>
          <w:ilvl w:val="0"/>
          <w:numId w:val="3"/>
        </w:numPr>
        <w:spacing w:line="360" w:lineRule="auto"/>
        <w:jc w:val="both"/>
        <w:rPr>
          <w:rFonts w:ascii="Arial" w:hAnsi="Arial" w:cs="Arial"/>
          <w:sz w:val="24"/>
          <w:szCs w:val="24"/>
        </w:rPr>
      </w:pPr>
      <w:r w:rsidRPr="0073068E">
        <w:rPr>
          <w:rFonts w:ascii="Arial" w:hAnsi="Arial" w:cs="Arial"/>
          <w:sz w:val="24"/>
          <w:szCs w:val="24"/>
        </w:rPr>
        <w:t xml:space="preserve">Richter, U.M., </w:t>
      </w:r>
      <w:proofErr w:type="spellStart"/>
      <w:r w:rsidRPr="0073068E">
        <w:rPr>
          <w:rFonts w:ascii="Arial" w:hAnsi="Arial" w:cs="Arial"/>
          <w:sz w:val="24"/>
          <w:szCs w:val="24"/>
        </w:rPr>
        <w:t>Veerabhatla</w:t>
      </w:r>
      <w:proofErr w:type="spellEnd"/>
      <w:r w:rsidRPr="0073068E">
        <w:rPr>
          <w:rFonts w:ascii="Arial" w:hAnsi="Arial" w:cs="Arial"/>
          <w:sz w:val="24"/>
          <w:szCs w:val="24"/>
        </w:rPr>
        <w:t xml:space="preserve">, S. and </w:t>
      </w:r>
      <w:proofErr w:type="spellStart"/>
      <w:r w:rsidRPr="0073068E">
        <w:rPr>
          <w:rFonts w:ascii="Arial" w:hAnsi="Arial" w:cs="Arial"/>
          <w:sz w:val="24"/>
          <w:szCs w:val="24"/>
        </w:rPr>
        <w:t>Zasiekina</w:t>
      </w:r>
      <w:proofErr w:type="spellEnd"/>
      <w:r w:rsidRPr="0073068E">
        <w:rPr>
          <w:rFonts w:ascii="Arial" w:hAnsi="Arial" w:cs="Arial"/>
          <w:sz w:val="24"/>
          <w:szCs w:val="24"/>
        </w:rPr>
        <w:t>, L., 2021. Managing and facilitating student learning in teams in higher education. In Cases on Active Blended Learning in Higher Education (pp. 149-171). IGI Global.</w:t>
      </w:r>
    </w:p>
    <w:p w14:paraId="1E3BF7A1" w14:textId="77777777" w:rsidR="001443A3" w:rsidRPr="0073068E" w:rsidRDefault="00A64D3D" w:rsidP="0073068E">
      <w:pPr>
        <w:pStyle w:val="ListParagraph"/>
        <w:numPr>
          <w:ilvl w:val="0"/>
          <w:numId w:val="3"/>
        </w:numPr>
        <w:spacing w:line="360" w:lineRule="auto"/>
        <w:jc w:val="both"/>
        <w:rPr>
          <w:rFonts w:ascii="Arial" w:hAnsi="Arial" w:cs="Arial"/>
          <w:sz w:val="24"/>
          <w:szCs w:val="24"/>
        </w:rPr>
      </w:pPr>
      <w:r w:rsidRPr="0073068E">
        <w:rPr>
          <w:rFonts w:ascii="Arial" w:hAnsi="Arial" w:cs="Arial"/>
          <w:sz w:val="24"/>
          <w:szCs w:val="24"/>
        </w:rPr>
        <w:t xml:space="preserve">Flores </w:t>
      </w:r>
      <w:proofErr w:type="spellStart"/>
      <w:r w:rsidRPr="0073068E">
        <w:rPr>
          <w:rFonts w:ascii="Arial" w:hAnsi="Arial" w:cs="Arial"/>
          <w:sz w:val="24"/>
          <w:szCs w:val="24"/>
        </w:rPr>
        <w:t>Ureba</w:t>
      </w:r>
      <w:proofErr w:type="spellEnd"/>
      <w:r w:rsidRPr="0073068E">
        <w:rPr>
          <w:rFonts w:ascii="Arial" w:hAnsi="Arial" w:cs="Arial"/>
          <w:sz w:val="24"/>
          <w:szCs w:val="24"/>
        </w:rPr>
        <w:t xml:space="preserve">, S., Simón de Blas, C., </w:t>
      </w:r>
      <w:proofErr w:type="spellStart"/>
      <w:r w:rsidRPr="0073068E">
        <w:rPr>
          <w:rFonts w:ascii="Arial" w:hAnsi="Arial" w:cs="Arial"/>
          <w:sz w:val="24"/>
          <w:szCs w:val="24"/>
        </w:rPr>
        <w:t>Borrás-Gené</w:t>
      </w:r>
      <w:proofErr w:type="spellEnd"/>
      <w:r w:rsidRPr="0073068E">
        <w:rPr>
          <w:rFonts w:ascii="Arial" w:hAnsi="Arial" w:cs="Arial"/>
          <w:sz w:val="24"/>
          <w:szCs w:val="24"/>
        </w:rPr>
        <w:t>, O. and Macías-Guillén, A., 2022. Analyzing the Influence of Belbin’s Roles on the Quality of Collaborative Learning for the Study of Business Fundamentals. Education Sciences, 12(9), p.594.</w:t>
      </w:r>
    </w:p>
    <w:p w14:paraId="7D979627" w14:textId="77777777" w:rsidR="001443A3" w:rsidRPr="0073068E" w:rsidRDefault="00A64D3D" w:rsidP="0073068E">
      <w:pPr>
        <w:pStyle w:val="ListParagraph"/>
        <w:numPr>
          <w:ilvl w:val="0"/>
          <w:numId w:val="3"/>
        </w:numPr>
        <w:spacing w:line="360" w:lineRule="auto"/>
        <w:jc w:val="both"/>
        <w:rPr>
          <w:rFonts w:ascii="Arial" w:hAnsi="Arial" w:cs="Arial"/>
          <w:sz w:val="24"/>
          <w:szCs w:val="24"/>
        </w:rPr>
      </w:pPr>
      <w:r w:rsidRPr="0073068E">
        <w:rPr>
          <w:rFonts w:ascii="Arial" w:hAnsi="Arial" w:cs="Arial"/>
          <w:sz w:val="24"/>
          <w:szCs w:val="24"/>
        </w:rPr>
        <w:t>Kahlow, J., Klecka, H. and Ruppel, E., 2020. What the differences in conflict between online and face-to-face work groups mean for hybrid groups: A state-of-the-art review. Review of Communication Research, 8, pp.51-77.</w:t>
      </w:r>
    </w:p>
    <w:p w14:paraId="3B685EFD" w14:textId="77777777" w:rsidR="001443A3" w:rsidRPr="0073068E" w:rsidRDefault="00A64D3D" w:rsidP="0073068E">
      <w:pPr>
        <w:pStyle w:val="ListParagraph"/>
        <w:numPr>
          <w:ilvl w:val="0"/>
          <w:numId w:val="3"/>
        </w:numPr>
        <w:spacing w:line="360" w:lineRule="auto"/>
        <w:jc w:val="both"/>
        <w:rPr>
          <w:rFonts w:ascii="Arial" w:hAnsi="Arial" w:cs="Arial"/>
          <w:sz w:val="24"/>
          <w:szCs w:val="24"/>
        </w:rPr>
      </w:pPr>
      <w:r w:rsidRPr="0073068E">
        <w:rPr>
          <w:rFonts w:ascii="Arial" w:hAnsi="Arial" w:cs="Arial"/>
          <w:sz w:val="24"/>
          <w:szCs w:val="24"/>
        </w:rPr>
        <w:t>Kuczmarski, S. and Kuczmarski, T., 2018. How rewards fuel or fail innovation. Strategic HR Review, 18(1), pp.8-12.</w:t>
      </w:r>
    </w:p>
    <w:p w14:paraId="2E10DD76" w14:textId="77777777" w:rsidR="001443A3" w:rsidRPr="0073068E" w:rsidRDefault="00A64D3D" w:rsidP="0073068E">
      <w:pPr>
        <w:pStyle w:val="ListParagraph"/>
        <w:numPr>
          <w:ilvl w:val="0"/>
          <w:numId w:val="3"/>
        </w:numPr>
        <w:spacing w:line="360" w:lineRule="auto"/>
        <w:jc w:val="both"/>
        <w:rPr>
          <w:rFonts w:ascii="Arial" w:hAnsi="Arial" w:cs="Arial"/>
          <w:sz w:val="24"/>
          <w:szCs w:val="24"/>
        </w:rPr>
      </w:pPr>
      <w:r w:rsidRPr="0073068E">
        <w:rPr>
          <w:rFonts w:ascii="Arial" w:hAnsi="Arial" w:cs="Arial"/>
          <w:sz w:val="24"/>
          <w:szCs w:val="24"/>
        </w:rPr>
        <w:lastRenderedPageBreak/>
        <w:t>de Souza Santos, R.E. and Ralph, P., 2022, May. A grounded theory of coordination in remote-first and hybrid software teams. In Proceedings of the 44th International Conference on Software Engineering (pp. 25-35).</w:t>
      </w:r>
    </w:p>
    <w:p w14:paraId="580CD1A1" w14:textId="77777777" w:rsidR="001443A3" w:rsidRPr="0073068E" w:rsidRDefault="00A64D3D" w:rsidP="0073068E">
      <w:pPr>
        <w:pStyle w:val="ListParagraph"/>
        <w:numPr>
          <w:ilvl w:val="0"/>
          <w:numId w:val="3"/>
        </w:numPr>
        <w:spacing w:line="360" w:lineRule="auto"/>
        <w:jc w:val="both"/>
        <w:rPr>
          <w:rFonts w:ascii="Arial" w:hAnsi="Arial" w:cs="Arial"/>
          <w:sz w:val="24"/>
          <w:szCs w:val="24"/>
        </w:rPr>
      </w:pPr>
      <w:r w:rsidRPr="0073068E">
        <w:rPr>
          <w:rFonts w:ascii="Arial" w:hAnsi="Arial" w:cs="Arial"/>
          <w:sz w:val="24"/>
          <w:szCs w:val="24"/>
        </w:rPr>
        <w:t xml:space="preserve">McMurtrie, J.C. and </w:t>
      </w:r>
      <w:proofErr w:type="spellStart"/>
      <w:r w:rsidRPr="0073068E">
        <w:rPr>
          <w:rFonts w:ascii="Arial" w:hAnsi="Arial" w:cs="Arial"/>
          <w:sz w:val="24"/>
          <w:szCs w:val="24"/>
        </w:rPr>
        <w:t>Ostrikov</w:t>
      </w:r>
      <w:proofErr w:type="spellEnd"/>
      <w:r w:rsidRPr="0073068E">
        <w:rPr>
          <w:rFonts w:ascii="Arial" w:hAnsi="Arial" w:cs="Arial"/>
          <w:sz w:val="24"/>
          <w:szCs w:val="24"/>
        </w:rPr>
        <w:t xml:space="preserve">, K., 2021. Hybrid participation options to mitigate discrimination and </w:t>
      </w:r>
      <w:proofErr w:type="spellStart"/>
      <w:r w:rsidRPr="0073068E">
        <w:rPr>
          <w:rFonts w:ascii="Arial" w:hAnsi="Arial" w:cs="Arial"/>
          <w:sz w:val="24"/>
          <w:szCs w:val="24"/>
        </w:rPr>
        <w:t>maximise</w:t>
      </w:r>
      <w:proofErr w:type="spellEnd"/>
      <w:r w:rsidRPr="0073068E">
        <w:rPr>
          <w:rFonts w:ascii="Arial" w:hAnsi="Arial" w:cs="Arial"/>
          <w:sz w:val="24"/>
          <w:szCs w:val="24"/>
        </w:rPr>
        <w:t xml:space="preserve"> productivity in post-COVID higher education and research workplaces. Physical and Engineering Sciences in Medicine, 44(2), pp.339-339.</w:t>
      </w:r>
    </w:p>
    <w:p w14:paraId="7ED2FE8D" w14:textId="77777777" w:rsidR="0073068E" w:rsidRPr="0073068E" w:rsidRDefault="0073068E" w:rsidP="0073068E">
      <w:pPr>
        <w:spacing w:line="360" w:lineRule="auto"/>
        <w:jc w:val="both"/>
        <w:rPr>
          <w:rFonts w:ascii="Arial" w:hAnsi="Arial" w:cs="Arial"/>
          <w:sz w:val="24"/>
          <w:szCs w:val="24"/>
        </w:rPr>
      </w:pPr>
    </w:p>
    <w:p w14:paraId="7F7C6B18" w14:textId="77777777" w:rsidR="004111F3" w:rsidRPr="0073068E" w:rsidRDefault="004111F3" w:rsidP="0073068E">
      <w:pPr>
        <w:spacing w:line="360" w:lineRule="auto"/>
        <w:jc w:val="both"/>
        <w:rPr>
          <w:rFonts w:ascii="Arial" w:hAnsi="Arial" w:cs="Arial"/>
          <w:sz w:val="24"/>
          <w:szCs w:val="24"/>
        </w:rPr>
      </w:pPr>
    </w:p>
    <w:p w14:paraId="63256BEE" w14:textId="77777777" w:rsidR="004111F3" w:rsidRPr="0073068E" w:rsidRDefault="004111F3" w:rsidP="0073068E">
      <w:pPr>
        <w:spacing w:line="360" w:lineRule="auto"/>
        <w:jc w:val="both"/>
        <w:rPr>
          <w:rFonts w:ascii="Arial" w:hAnsi="Arial" w:cs="Arial"/>
          <w:sz w:val="24"/>
          <w:szCs w:val="24"/>
        </w:rPr>
      </w:pPr>
    </w:p>
    <w:p w14:paraId="2DAA7F2D" w14:textId="77777777" w:rsidR="004111F3" w:rsidRPr="0073068E" w:rsidRDefault="004111F3" w:rsidP="0073068E">
      <w:pPr>
        <w:spacing w:line="360" w:lineRule="auto"/>
        <w:jc w:val="both"/>
        <w:rPr>
          <w:rFonts w:ascii="Arial" w:hAnsi="Arial" w:cs="Arial"/>
          <w:sz w:val="24"/>
          <w:szCs w:val="24"/>
        </w:rPr>
      </w:pPr>
    </w:p>
    <w:p w14:paraId="00DDA28A" w14:textId="77777777" w:rsidR="004111F3" w:rsidRPr="0073068E" w:rsidRDefault="004111F3" w:rsidP="0073068E">
      <w:pPr>
        <w:spacing w:line="360" w:lineRule="auto"/>
        <w:jc w:val="both"/>
        <w:rPr>
          <w:rFonts w:ascii="Arial" w:hAnsi="Arial" w:cs="Arial"/>
          <w:sz w:val="24"/>
          <w:szCs w:val="24"/>
        </w:rPr>
      </w:pPr>
    </w:p>
    <w:sectPr w:rsidR="004111F3" w:rsidRPr="0073068E">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4724C24" w14:textId="77777777" w:rsidR="00A64D3D" w:rsidRDefault="00A64D3D" w:rsidP="00E83562">
      <w:pPr>
        <w:spacing w:after="0" w:line="240" w:lineRule="auto"/>
      </w:pPr>
      <w:r>
        <w:separator/>
      </w:r>
    </w:p>
  </w:endnote>
  <w:endnote w:type="continuationSeparator" w:id="0">
    <w:p w14:paraId="68D8A6CF" w14:textId="77777777" w:rsidR="00A64D3D" w:rsidRDefault="00A64D3D" w:rsidP="00E8356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Nunito">
    <w:altName w:val="Cambria"/>
    <w:panose1 w:val="00000000000000000000"/>
    <w:charset w:val="00"/>
    <w:family w:val="roman"/>
    <w:notTrueType/>
    <w:pitch w:val="default"/>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770DF8A" w14:textId="77777777" w:rsidR="00A64D3D" w:rsidRDefault="00A64D3D" w:rsidP="00E83562">
      <w:pPr>
        <w:spacing w:after="0" w:line="240" w:lineRule="auto"/>
      </w:pPr>
      <w:r>
        <w:separator/>
      </w:r>
    </w:p>
  </w:footnote>
  <w:footnote w:type="continuationSeparator" w:id="0">
    <w:p w14:paraId="06AD74B4" w14:textId="77777777" w:rsidR="00A64D3D" w:rsidRDefault="00A64D3D" w:rsidP="00E8356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FFFFFFFE"/>
    <w:multiLevelType w:val="singleLevel"/>
    <w:tmpl w:val="A04E80B8"/>
    <w:lvl w:ilvl="0">
      <w:numFmt w:val="bullet"/>
      <w:lvlText w:val="*"/>
      <w:lvlJc w:val="left"/>
    </w:lvl>
  </w:abstractNum>
  <w:abstractNum w:abstractNumId="1" w15:restartNumberingAfterBreak="0">
    <w:nsid w:val="5C683D19"/>
    <w:multiLevelType w:val="hybridMultilevel"/>
    <w:tmpl w:val="4A1EEC8A"/>
    <w:lvl w:ilvl="0" w:tplc="0409000F">
      <w:start w:val="1"/>
      <w:numFmt w:val="decimal"/>
      <w:lvlText w:val="%1."/>
      <w:lvlJc w:val="left"/>
      <w:pPr>
        <w:ind w:left="1080" w:hanging="360"/>
      </w:pPr>
    </w:lvl>
    <w:lvl w:ilvl="1" w:tplc="04090019" w:tentative="1">
      <w:start w:val="1"/>
      <w:numFmt w:val="lowerLetter"/>
      <w:lvlText w:val="%2."/>
      <w:lvlJc w:val="left"/>
      <w:pPr>
        <w:ind w:left="1800" w:hanging="360"/>
      </w:pPr>
    </w:lvl>
    <w:lvl w:ilvl="2" w:tplc="0409001B" w:tentative="1">
      <w:start w:val="1"/>
      <w:numFmt w:val="lowerRoman"/>
      <w:lvlText w:val="%3."/>
      <w:lvlJc w:val="right"/>
      <w:pPr>
        <w:ind w:left="2520" w:hanging="180"/>
      </w:pPr>
    </w:lvl>
    <w:lvl w:ilvl="3" w:tplc="0409000F" w:tentative="1">
      <w:start w:val="1"/>
      <w:numFmt w:val="decimal"/>
      <w:lvlText w:val="%4."/>
      <w:lvlJc w:val="left"/>
      <w:pPr>
        <w:ind w:left="3240" w:hanging="360"/>
      </w:pPr>
    </w:lvl>
    <w:lvl w:ilvl="4" w:tplc="04090019" w:tentative="1">
      <w:start w:val="1"/>
      <w:numFmt w:val="lowerLetter"/>
      <w:lvlText w:val="%5."/>
      <w:lvlJc w:val="left"/>
      <w:pPr>
        <w:ind w:left="3960" w:hanging="360"/>
      </w:pPr>
    </w:lvl>
    <w:lvl w:ilvl="5" w:tplc="0409001B" w:tentative="1">
      <w:start w:val="1"/>
      <w:numFmt w:val="lowerRoman"/>
      <w:lvlText w:val="%6."/>
      <w:lvlJc w:val="right"/>
      <w:pPr>
        <w:ind w:left="4680" w:hanging="180"/>
      </w:pPr>
    </w:lvl>
    <w:lvl w:ilvl="6" w:tplc="0409000F" w:tentative="1">
      <w:start w:val="1"/>
      <w:numFmt w:val="decimal"/>
      <w:lvlText w:val="%7."/>
      <w:lvlJc w:val="left"/>
      <w:pPr>
        <w:ind w:left="5400" w:hanging="360"/>
      </w:pPr>
    </w:lvl>
    <w:lvl w:ilvl="7" w:tplc="04090019" w:tentative="1">
      <w:start w:val="1"/>
      <w:numFmt w:val="lowerLetter"/>
      <w:lvlText w:val="%8."/>
      <w:lvlJc w:val="left"/>
      <w:pPr>
        <w:ind w:left="6120" w:hanging="360"/>
      </w:pPr>
    </w:lvl>
    <w:lvl w:ilvl="8" w:tplc="0409001B" w:tentative="1">
      <w:start w:val="1"/>
      <w:numFmt w:val="lowerRoman"/>
      <w:lvlText w:val="%9."/>
      <w:lvlJc w:val="right"/>
      <w:pPr>
        <w:ind w:left="6840" w:hanging="180"/>
      </w:pPr>
    </w:lvl>
  </w:abstractNum>
  <w:abstractNum w:abstractNumId="2" w15:restartNumberingAfterBreak="0">
    <w:nsid w:val="6E0158E6"/>
    <w:multiLevelType w:val="hybridMultilevel"/>
    <w:tmpl w:val="70D65D1C"/>
    <w:lvl w:ilvl="0" w:tplc="99BC46EC">
      <w:start w:val="1"/>
      <w:numFmt w:val="bullet"/>
      <w:lvlText w:val="●"/>
      <w:lvlJc w:val="left"/>
      <w:pPr>
        <w:tabs>
          <w:tab w:val="num" w:pos="720"/>
        </w:tabs>
        <w:ind w:left="720" w:hanging="360"/>
      </w:pPr>
      <w:rPr>
        <w:rFonts w:ascii="Nunito" w:hAnsi="Nunito" w:hint="default"/>
      </w:rPr>
    </w:lvl>
    <w:lvl w:ilvl="1" w:tplc="3E7A61CE" w:tentative="1">
      <w:start w:val="1"/>
      <w:numFmt w:val="bullet"/>
      <w:lvlText w:val="●"/>
      <w:lvlJc w:val="left"/>
      <w:pPr>
        <w:tabs>
          <w:tab w:val="num" w:pos="1440"/>
        </w:tabs>
        <w:ind w:left="1440" w:hanging="360"/>
      </w:pPr>
      <w:rPr>
        <w:rFonts w:ascii="Nunito" w:hAnsi="Nunito" w:hint="default"/>
      </w:rPr>
    </w:lvl>
    <w:lvl w:ilvl="2" w:tplc="B8761216" w:tentative="1">
      <w:start w:val="1"/>
      <w:numFmt w:val="bullet"/>
      <w:lvlText w:val="●"/>
      <w:lvlJc w:val="left"/>
      <w:pPr>
        <w:tabs>
          <w:tab w:val="num" w:pos="2160"/>
        </w:tabs>
        <w:ind w:left="2160" w:hanging="360"/>
      </w:pPr>
      <w:rPr>
        <w:rFonts w:ascii="Nunito" w:hAnsi="Nunito" w:hint="default"/>
      </w:rPr>
    </w:lvl>
    <w:lvl w:ilvl="3" w:tplc="1C52F138" w:tentative="1">
      <w:start w:val="1"/>
      <w:numFmt w:val="bullet"/>
      <w:lvlText w:val="●"/>
      <w:lvlJc w:val="left"/>
      <w:pPr>
        <w:tabs>
          <w:tab w:val="num" w:pos="2880"/>
        </w:tabs>
        <w:ind w:left="2880" w:hanging="360"/>
      </w:pPr>
      <w:rPr>
        <w:rFonts w:ascii="Nunito" w:hAnsi="Nunito" w:hint="default"/>
      </w:rPr>
    </w:lvl>
    <w:lvl w:ilvl="4" w:tplc="A6DCE696" w:tentative="1">
      <w:start w:val="1"/>
      <w:numFmt w:val="bullet"/>
      <w:lvlText w:val="●"/>
      <w:lvlJc w:val="left"/>
      <w:pPr>
        <w:tabs>
          <w:tab w:val="num" w:pos="3600"/>
        </w:tabs>
        <w:ind w:left="3600" w:hanging="360"/>
      </w:pPr>
      <w:rPr>
        <w:rFonts w:ascii="Nunito" w:hAnsi="Nunito" w:hint="default"/>
      </w:rPr>
    </w:lvl>
    <w:lvl w:ilvl="5" w:tplc="9B4AD1CC" w:tentative="1">
      <w:start w:val="1"/>
      <w:numFmt w:val="bullet"/>
      <w:lvlText w:val="●"/>
      <w:lvlJc w:val="left"/>
      <w:pPr>
        <w:tabs>
          <w:tab w:val="num" w:pos="4320"/>
        </w:tabs>
        <w:ind w:left="4320" w:hanging="360"/>
      </w:pPr>
      <w:rPr>
        <w:rFonts w:ascii="Nunito" w:hAnsi="Nunito" w:hint="default"/>
      </w:rPr>
    </w:lvl>
    <w:lvl w:ilvl="6" w:tplc="F5DEC8A8" w:tentative="1">
      <w:start w:val="1"/>
      <w:numFmt w:val="bullet"/>
      <w:lvlText w:val="●"/>
      <w:lvlJc w:val="left"/>
      <w:pPr>
        <w:tabs>
          <w:tab w:val="num" w:pos="5040"/>
        </w:tabs>
        <w:ind w:left="5040" w:hanging="360"/>
      </w:pPr>
      <w:rPr>
        <w:rFonts w:ascii="Nunito" w:hAnsi="Nunito" w:hint="default"/>
      </w:rPr>
    </w:lvl>
    <w:lvl w:ilvl="7" w:tplc="8B48E1A2" w:tentative="1">
      <w:start w:val="1"/>
      <w:numFmt w:val="bullet"/>
      <w:lvlText w:val="●"/>
      <w:lvlJc w:val="left"/>
      <w:pPr>
        <w:tabs>
          <w:tab w:val="num" w:pos="5760"/>
        </w:tabs>
        <w:ind w:left="5760" w:hanging="360"/>
      </w:pPr>
      <w:rPr>
        <w:rFonts w:ascii="Nunito" w:hAnsi="Nunito" w:hint="default"/>
      </w:rPr>
    </w:lvl>
    <w:lvl w:ilvl="8" w:tplc="B86CA97C" w:tentative="1">
      <w:start w:val="1"/>
      <w:numFmt w:val="bullet"/>
      <w:lvlText w:val="●"/>
      <w:lvlJc w:val="left"/>
      <w:pPr>
        <w:tabs>
          <w:tab w:val="num" w:pos="6480"/>
        </w:tabs>
        <w:ind w:left="6480" w:hanging="360"/>
      </w:pPr>
      <w:rPr>
        <w:rFonts w:ascii="Nunito" w:hAnsi="Nunito" w:hint="default"/>
      </w:rPr>
    </w:lvl>
  </w:abstractNum>
  <w:num w:numId="1" w16cid:durableId="1787652747">
    <w:abstractNumId w:val="0"/>
    <w:lvlOverride w:ilvl="0">
      <w:lvl w:ilvl="0">
        <w:numFmt w:val="bullet"/>
        <w:lvlText w:val="●"/>
        <w:legacy w:legacy="1" w:legacySpace="0" w:legacyIndent="0"/>
        <w:lvlJc w:val="left"/>
        <w:rPr>
          <w:rFonts w:ascii="Arial" w:hAnsi="Arial" w:cs="Arial" w:hint="default"/>
          <w:sz w:val="22"/>
        </w:rPr>
      </w:lvl>
    </w:lvlOverride>
  </w:num>
  <w:num w:numId="2" w16cid:durableId="1313752219">
    <w:abstractNumId w:val="2"/>
  </w:num>
  <w:num w:numId="3" w16cid:durableId="163436231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proofState w:spelling="clean" w:grammar="clean"/>
  <w:defaultTabStop w:val="720"/>
  <w:characterSpacingControl w:val="doNotCompress"/>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111F3"/>
    <w:rsid w:val="001443A3"/>
    <w:rsid w:val="001F7C5E"/>
    <w:rsid w:val="002A0714"/>
    <w:rsid w:val="004111F3"/>
    <w:rsid w:val="00472FB8"/>
    <w:rsid w:val="00603782"/>
    <w:rsid w:val="0073068E"/>
    <w:rsid w:val="00982104"/>
    <w:rsid w:val="00A64D3D"/>
    <w:rsid w:val="00BC0795"/>
    <w:rsid w:val="00C60A06"/>
    <w:rsid w:val="00E83562"/>
    <w:rsid w:val="00FB626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4097"/>
    <o:shapelayout v:ext="edit">
      <o:idmap v:ext="edit" data="1"/>
    </o:shapelayout>
  </w:shapeDefaults>
  <w:decimalSymbol w:val="."/>
  <w:listSeparator w:val=","/>
  <w14:docId w14:val="7EBE6C13"/>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73068E"/>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E83562"/>
    <w:pPr>
      <w:tabs>
        <w:tab w:val="center" w:pos="4680"/>
        <w:tab w:val="right" w:pos="9360"/>
      </w:tabs>
      <w:spacing w:after="0" w:line="240" w:lineRule="auto"/>
    </w:pPr>
  </w:style>
  <w:style w:type="character" w:customStyle="1" w:styleId="HeaderChar">
    <w:name w:val="Header Char"/>
    <w:basedOn w:val="DefaultParagraphFont"/>
    <w:link w:val="Header"/>
    <w:uiPriority w:val="99"/>
    <w:rsid w:val="00E83562"/>
  </w:style>
  <w:style w:type="paragraph" w:styleId="Footer">
    <w:name w:val="footer"/>
    <w:basedOn w:val="Normal"/>
    <w:link w:val="FooterChar"/>
    <w:uiPriority w:val="99"/>
    <w:unhideWhenUsed/>
    <w:rsid w:val="00E83562"/>
    <w:pPr>
      <w:tabs>
        <w:tab w:val="center" w:pos="4680"/>
        <w:tab w:val="right" w:pos="9360"/>
      </w:tabs>
      <w:spacing w:after="0" w:line="240" w:lineRule="auto"/>
    </w:pPr>
  </w:style>
  <w:style w:type="character" w:customStyle="1" w:styleId="FooterChar">
    <w:name w:val="Footer Char"/>
    <w:basedOn w:val="DefaultParagraphFont"/>
    <w:link w:val="Footer"/>
    <w:uiPriority w:val="99"/>
    <w:rsid w:val="00E83562"/>
  </w:style>
  <w:style w:type="character" w:customStyle="1" w:styleId="Heading1Char">
    <w:name w:val="Heading 1 Char"/>
    <w:basedOn w:val="DefaultParagraphFont"/>
    <w:link w:val="Heading1"/>
    <w:uiPriority w:val="9"/>
    <w:rsid w:val="0073068E"/>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73068E"/>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36258020">
      <w:bodyDiv w:val="1"/>
      <w:marLeft w:val="0"/>
      <w:marRight w:val="0"/>
      <w:marTop w:val="0"/>
      <w:marBottom w:val="0"/>
      <w:divBdr>
        <w:top w:val="none" w:sz="0" w:space="0" w:color="auto"/>
        <w:left w:val="none" w:sz="0" w:space="0" w:color="auto"/>
        <w:bottom w:val="none" w:sz="0" w:space="0" w:color="auto"/>
        <w:right w:val="none" w:sz="0" w:space="0" w:color="auto"/>
      </w:divBdr>
      <w:divsChild>
        <w:div w:id="1781145354">
          <w:marLeft w:val="274"/>
          <w:marRight w:val="0"/>
          <w:marTop w:val="0"/>
          <w:marBottom w:val="0"/>
          <w:divBdr>
            <w:top w:val="none" w:sz="0" w:space="0" w:color="auto"/>
            <w:left w:val="none" w:sz="0" w:space="0" w:color="auto"/>
            <w:bottom w:val="none" w:sz="0" w:space="0" w:color="auto"/>
            <w:right w:val="none" w:sz="0" w:space="0" w:color="auto"/>
          </w:divBdr>
        </w:div>
        <w:div w:id="1890606301">
          <w:marLeft w:val="274"/>
          <w:marRight w:val="0"/>
          <w:marTop w:val="0"/>
          <w:marBottom w:val="0"/>
          <w:divBdr>
            <w:top w:val="none" w:sz="0" w:space="0" w:color="auto"/>
            <w:left w:val="none" w:sz="0" w:space="0" w:color="auto"/>
            <w:bottom w:val="none" w:sz="0" w:space="0" w:color="auto"/>
            <w:right w:val="none" w:sz="0" w:space="0" w:color="auto"/>
          </w:divBdr>
        </w:div>
        <w:div w:id="1029139043">
          <w:marLeft w:val="274"/>
          <w:marRight w:val="0"/>
          <w:marTop w:val="0"/>
          <w:marBottom w:val="0"/>
          <w:divBdr>
            <w:top w:val="none" w:sz="0" w:space="0" w:color="auto"/>
            <w:left w:val="none" w:sz="0" w:space="0" w:color="auto"/>
            <w:bottom w:val="none" w:sz="0" w:space="0" w:color="auto"/>
            <w:right w:val="none" w:sz="0" w:space="0" w:color="auto"/>
          </w:divBdr>
        </w:div>
        <w:div w:id="2074234697">
          <w:marLeft w:val="274"/>
          <w:marRight w:val="0"/>
          <w:marTop w:val="0"/>
          <w:marBottom w:val="0"/>
          <w:divBdr>
            <w:top w:val="none" w:sz="0" w:space="0" w:color="auto"/>
            <w:left w:val="none" w:sz="0" w:space="0" w:color="auto"/>
            <w:bottom w:val="none" w:sz="0" w:space="0" w:color="auto"/>
            <w:right w:val="none" w:sz="0" w:space="0" w:color="auto"/>
          </w:divBdr>
        </w:div>
        <w:div w:id="744646869">
          <w:marLeft w:val="274"/>
          <w:marRight w:val="0"/>
          <w:marTop w:val="0"/>
          <w:marBottom w:val="0"/>
          <w:divBdr>
            <w:top w:val="none" w:sz="0" w:space="0" w:color="auto"/>
            <w:left w:val="none" w:sz="0" w:space="0" w:color="auto"/>
            <w:bottom w:val="none" w:sz="0" w:space="0" w:color="auto"/>
            <w:right w:val="none" w:sz="0" w:space="0" w:color="auto"/>
          </w:divBdr>
        </w:div>
        <w:div w:id="251551190">
          <w:marLeft w:val="274"/>
          <w:marRight w:val="0"/>
          <w:marTop w:val="0"/>
          <w:marBottom w:val="0"/>
          <w:divBdr>
            <w:top w:val="none" w:sz="0" w:space="0" w:color="auto"/>
            <w:left w:val="none" w:sz="0" w:space="0" w:color="auto"/>
            <w:bottom w:val="none" w:sz="0" w:space="0" w:color="auto"/>
            <w:right w:val="none" w:sz="0" w:space="0" w:color="auto"/>
          </w:divBdr>
        </w:div>
        <w:div w:id="993602666">
          <w:marLeft w:val="274"/>
          <w:marRight w:val="0"/>
          <w:marTop w:val="0"/>
          <w:marBottom w:val="0"/>
          <w:divBdr>
            <w:top w:val="none" w:sz="0" w:space="0" w:color="auto"/>
            <w:left w:val="none" w:sz="0" w:space="0" w:color="auto"/>
            <w:bottom w:val="none" w:sz="0" w:space="0" w:color="auto"/>
            <w:right w:val="none" w:sz="0" w:space="0" w:color="auto"/>
          </w:divBdr>
        </w:div>
        <w:div w:id="1207061538">
          <w:marLeft w:val="274"/>
          <w:marRight w:val="0"/>
          <w:marTop w:val="0"/>
          <w:marBottom w:val="0"/>
          <w:divBdr>
            <w:top w:val="none" w:sz="0" w:space="0" w:color="auto"/>
            <w:left w:val="none" w:sz="0" w:space="0" w:color="auto"/>
            <w:bottom w:val="none" w:sz="0" w:space="0" w:color="auto"/>
            <w:right w:val="none" w:sz="0" w:space="0" w:color="auto"/>
          </w:divBdr>
        </w:div>
        <w:div w:id="1680809637">
          <w:marLeft w:val="274"/>
          <w:marRight w:val="0"/>
          <w:marTop w:val="0"/>
          <w:marBottom w:val="0"/>
          <w:divBdr>
            <w:top w:val="none" w:sz="0" w:space="0" w:color="auto"/>
            <w:left w:val="none" w:sz="0" w:space="0" w:color="auto"/>
            <w:bottom w:val="none" w:sz="0" w:space="0" w:color="auto"/>
            <w:right w:val="none" w:sz="0" w:space="0" w:color="auto"/>
          </w:divBdr>
        </w:div>
        <w:div w:id="331032450">
          <w:marLeft w:val="274"/>
          <w:marRight w:val="0"/>
          <w:marTop w:val="0"/>
          <w:marBottom w:val="0"/>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4</Pages>
  <Words>932</Words>
  <Characters>5799</Characters>
  <Application>Microsoft Office Word</Application>
  <DocSecurity>0</DocSecurity>
  <Lines>48</Lines>
  <Paragraphs>13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6718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2024-02-27T18:41:00Z</dcterms:created>
  <dcterms:modified xsi:type="dcterms:W3CDTF">2024-02-27T18:41:00Z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c8e98767b2e8c9c7faeae18be2e3c0867c263b070f74624154cba8395426c27c</vt:lpwstr>
  </property>
</Properties>
</file>