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421B9" w14:textId="77777777" w:rsidR="00FF6BB4" w:rsidRDefault="00FF6BB4" w:rsidP="00FF6BB4">
      <w:pPr>
        <w:rPr>
          <w:rFonts w:ascii="Arial" w:hAnsi="Arial" w:cs="Arial"/>
          <w:b/>
          <w:bCs/>
        </w:rPr>
      </w:pPr>
      <w:r w:rsidRPr="007B34B0">
        <w:rPr>
          <w:rFonts w:ascii="Arial" w:hAnsi="Arial" w:cs="Arial"/>
          <w:b/>
          <w:bCs/>
        </w:rPr>
        <w:t xml:space="preserve">Evaluate the role of police within joint emergency services operations and examine the potential impact that critical and major incidents can have on officers’ mental wellbeing. Your answer must be based on academic research, but you may make reference to relevant high-profile incidents (2000 Words) </w:t>
      </w:r>
    </w:p>
    <w:p w14:paraId="6A0E9D4E" w14:textId="77777777" w:rsidR="00FF6BB4" w:rsidRDefault="00FF6BB4" w:rsidP="00FF6BB4">
      <w:pPr>
        <w:tabs>
          <w:tab w:val="right" w:pos="9026"/>
        </w:tabs>
        <w:rPr>
          <w:rFonts w:ascii="Arial" w:hAnsi="Arial" w:cs="Arial"/>
          <w:b/>
          <w:bCs/>
        </w:rPr>
      </w:pPr>
      <w:r>
        <w:rPr>
          <w:rFonts w:ascii="Arial" w:hAnsi="Arial" w:cs="Arial"/>
          <w:b/>
          <w:bCs/>
          <w:noProof/>
          <w:color w:val="000000" w:themeColor="text1"/>
          <w:sz w:val="20"/>
          <w:szCs w:val="20"/>
        </w:rPr>
        <mc:AlternateContent>
          <mc:Choice Requires="wps">
            <w:drawing>
              <wp:anchor distT="0" distB="0" distL="114300" distR="114300" simplePos="0" relativeHeight="251659264" behindDoc="0" locked="0" layoutInCell="1" allowOverlap="1" wp14:anchorId="6AAF3341" wp14:editId="5E4E451D">
                <wp:simplePos x="0" y="0"/>
                <wp:positionH relativeFrom="column">
                  <wp:posOffset>-36176</wp:posOffset>
                </wp:positionH>
                <wp:positionV relativeFrom="paragraph">
                  <wp:posOffset>73660</wp:posOffset>
                </wp:positionV>
                <wp:extent cx="5604095" cy="9053"/>
                <wp:effectExtent l="0" t="0" r="34925" b="29210"/>
                <wp:wrapNone/>
                <wp:docPr id="5" name="Straight Connector 5"/>
                <wp:cNvGraphicFramePr/>
                <a:graphic xmlns:a="http://schemas.openxmlformats.org/drawingml/2006/main">
                  <a:graphicData uri="http://schemas.microsoft.com/office/word/2010/wordprocessingShape">
                    <wps:wsp>
                      <wps:cNvCnPr/>
                      <wps:spPr>
                        <a:xfrm flipV="1">
                          <a:off x="0" y="0"/>
                          <a:ext cx="5604095" cy="9053"/>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A5562A" id="Straight Connector 5"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85pt,5.8pt" to="438.4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" strokecolor="black [3200]" strokeweight="1pt">
                <v:stroke joinstyle="miter"/>
              </v:line>
            </w:pict>
          </mc:Fallback>
        </mc:AlternateContent>
      </w:r>
      <w:r>
        <w:rPr>
          <w:rFonts w:ascii="Arial" w:hAnsi="Arial" w:cs="Arial"/>
          <w:b/>
          <w:bCs/>
        </w:rPr>
        <w:tab/>
      </w:r>
    </w:p>
    <w:p w14:paraId="4DB5B724" w14:textId="77777777" w:rsidR="00FF6BB4" w:rsidRPr="00B50A05" w:rsidRDefault="00FF6BB4" w:rsidP="00FF6BB4">
      <w:pPr>
        <w:tabs>
          <w:tab w:val="right" w:pos="9026"/>
        </w:tabs>
        <w:rPr>
          <w:rFonts w:ascii="Arial" w:hAnsi="Arial" w:cs="Arial"/>
        </w:rPr>
      </w:pPr>
      <w:r w:rsidRPr="00E532F7">
        <w:rPr>
          <w:rFonts w:ascii="Arial" w:hAnsi="Arial" w:cs="Arial"/>
        </w:rPr>
        <w:t>In this essay I will be evaluating</w:t>
      </w:r>
      <w:r>
        <w:rPr>
          <w:rFonts w:ascii="Arial" w:hAnsi="Arial" w:cs="Arial"/>
        </w:rPr>
        <w:t xml:space="preserve"> the role of the police service within a joint emergency services operation and the potential impact that critical and major incidents can have on </w:t>
      </w:r>
      <w:r w:rsidRPr="00B50A05">
        <w:rPr>
          <w:rFonts w:ascii="Arial" w:hAnsi="Arial" w:cs="Arial"/>
        </w:rPr>
        <w:t xml:space="preserve">officers’ mental wellbeing. </w:t>
      </w:r>
    </w:p>
    <w:p w14:paraId="4F3FB8F1" w14:textId="77777777" w:rsidR="00FF6BB4" w:rsidRDefault="00FF6BB4" w:rsidP="00FF6BB4">
      <w:pPr>
        <w:tabs>
          <w:tab w:val="right" w:pos="9026"/>
        </w:tabs>
        <w:rPr>
          <w:rFonts w:ascii="Arial" w:hAnsi="Arial" w:cs="Arial"/>
        </w:rPr>
      </w:pPr>
      <w:r>
        <w:rPr>
          <w:rFonts w:ascii="Arial" w:hAnsi="Arial" w:cs="Arial"/>
        </w:rPr>
        <w:t xml:space="preserve">The College of Policing (2013) defines a major incident as “an event or situation requiring a response under one or more of the emergency services’ major incident plans. This will usually include involving large numbers of people directly or indirectly”. In other words, a major incident requires emergency teams to combine their expertise to manage a situation that would otherwise be impossible to handle by a single team; demanding collaboration in and between services (Brown et al, 2021, p. 591). </w:t>
      </w:r>
    </w:p>
    <w:p w14:paraId="5AA6DFB9" w14:textId="77777777" w:rsidR="00FF6BB4" w:rsidRDefault="00FF6BB4" w:rsidP="00FF6BB4">
      <w:pPr>
        <w:tabs>
          <w:tab w:val="right" w:pos="9026"/>
        </w:tabs>
        <w:rPr>
          <w:rFonts w:ascii="Arial" w:hAnsi="Arial" w:cs="Arial"/>
        </w:rPr>
      </w:pPr>
      <w:r>
        <w:rPr>
          <w:rFonts w:ascii="Arial" w:hAnsi="Arial" w:cs="Arial"/>
        </w:rPr>
        <w:t>On the other hand a critical incident is “any incident where the effectiveness of the police response is likely to have a significant impact on the confidence of the victim, their family and/or the community” (College of Policing, 2021).</w:t>
      </w:r>
    </w:p>
    <w:p w14:paraId="4EE1A4CE" w14:textId="77777777" w:rsidR="00FF6BB4" w:rsidRDefault="00FF6BB4" w:rsidP="00FF6BB4">
      <w:pPr>
        <w:tabs>
          <w:tab w:val="right" w:pos="9026"/>
        </w:tabs>
        <w:rPr>
          <w:rFonts w:ascii="Arial" w:hAnsi="Arial" w:cs="Arial"/>
        </w:rPr>
      </w:pPr>
      <w:r>
        <w:rPr>
          <w:rFonts w:ascii="Arial" w:hAnsi="Arial" w:cs="Arial"/>
        </w:rPr>
        <w:t xml:space="preserve">It is imperative that during any such incident that the ambulance, police, and fire service work together to effectively and successfully contain and respond to the crisis in order to protect the public and save lives (HMICFRS, 2016) and each responding service draws on a set of emergency response guidelines specific to their expertise. (Hickey et al, 2021, p. 853). By all the services working together they can reduce harm in high-risk incidents and the response effort goes beyond what is needed for typical routine incidents (Hickey et al, 2021, p. 855).  </w:t>
      </w:r>
    </w:p>
    <w:p w14:paraId="417C628E" w14:textId="77777777" w:rsidR="00FF6BB4" w:rsidRDefault="00FF6BB4" w:rsidP="00FF6BB4">
      <w:pPr>
        <w:tabs>
          <w:tab w:val="right" w:pos="9026"/>
        </w:tabs>
        <w:rPr>
          <w:rFonts w:ascii="Arial" w:hAnsi="Arial" w:cs="Arial"/>
        </w:rPr>
      </w:pPr>
      <w:r>
        <w:rPr>
          <w:rFonts w:ascii="Arial" w:hAnsi="Arial" w:cs="Arial"/>
        </w:rPr>
        <w:t xml:space="preserve">In 2013 the Joint Emergency Services Interoperability Programme (JESIP) was introduced to improve joint working between emergency services in the UK (Power et al, 2024, p. 234) following </w:t>
      </w:r>
      <w:r w:rsidRPr="001967C4">
        <w:rPr>
          <w:rFonts w:ascii="Arial" w:hAnsi="Arial" w:cs="Arial"/>
        </w:rPr>
        <w:t>failings such as the July 2005 London bombings and the case of Derrick Bird in Cumbria in 2010</w:t>
      </w:r>
      <w:r>
        <w:rPr>
          <w:rFonts w:ascii="Arial" w:hAnsi="Arial" w:cs="Arial"/>
        </w:rPr>
        <w:t xml:space="preserve"> (HMICFRS, 2016). After the London Bombings which took place in 2005, whereby four suicide bombers detonated 4 explosives claiming the lives on 52 and injuring over 770 others (British Transport Police, 2024) an assembly of 25 members from fourteen different constituencies was published a report highlighting the failings of emergency services (Hughes, 2006). This report emphasised poor communication between the emergency services present on the scene as each service primarily focused on their own point of view rather than working in a coordinated way (Hughes, 2006). </w:t>
      </w:r>
    </w:p>
    <w:p w14:paraId="5BDDB4C1" w14:textId="77777777" w:rsidR="00FF6BB4" w:rsidRDefault="00FF6BB4" w:rsidP="00FF6BB4">
      <w:pPr>
        <w:tabs>
          <w:tab w:val="right" w:pos="9026"/>
        </w:tabs>
        <w:rPr>
          <w:rFonts w:ascii="Arial" w:hAnsi="Arial" w:cs="Arial"/>
        </w:rPr>
      </w:pPr>
      <w:r>
        <w:rPr>
          <w:rFonts w:ascii="Arial" w:hAnsi="Arial" w:cs="Arial"/>
        </w:rPr>
        <w:t>Effective communication is vital at major/critical incidents as the transfer of information between services facilitates a share understanding of the incident and what is needed between each service and enables synchronised actions (Davison et al, 2012, p. 808). However, as highlighted by Fodor (2016) “communication is challenging due to the organisation specific expertise of each component tea and use of consistent language and the lack of familiarity amongst inter-team colleagues”. This in turn can lead to ambiguity between teams of what their role is and where the stage of the incident is at and a lack of clarity regarding what information has already been shared (Luciano et al, 2018)</w:t>
      </w:r>
    </w:p>
    <w:p w14:paraId="636C41C7" w14:textId="77777777" w:rsidR="00FF6BB4" w:rsidRDefault="00FF6BB4" w:rsidP="00FF6BB4">
      <w:pPr>
        <w:tabs>
          <w:tab w:val="right" w:pos="9026"/>
        </w:tabs>
        <w:rPr>
          <w:rFonts w:ascii="Arial" w:hAnsi="Arial" w:cs="Arial"/>
        </w:rPr>
      </w:pPr>
      <w:r>
        <w:rPr>
          <w:rFonts w:ascii="Arial" w:hAnsi="Arial" w:cs="Arial"/>
        </w:rPr>
        <w:t xml:space="preserve">Procedural guidelines describe how responders coordinate their response over two stages. The first stage being the ‘response stage’ – this is where the incident is still in progress. The second stage is referred to as the ‘recovery stage’ – this is when the danger and/or threat has subsided, but the legacy of the incident is still ongoing (Brown et al, 2021, p. 591). An </w:t>
      </w:r>
      <w:r>
        <w:rPr>
          <w:rFonts w:ascii="Arial" w:hAnsi="Arial" w:cs="Arial"/>
        </w:rPr>
        <w:lastRenderedPageBreak/>
        <w:t xml:space="preserve">example of this would be during a terrorist attack when the response stage is saving life and neutralising the threat whereas the recovery stage is rebuilding trust in the community and long-term support for victims. </w:t>
      </w:r>
    </w:p>
    <w:p w14:paraId="4B245E30" w14:textId="77777777" w:rsidR="00FF6BB4" w:rsidRDefault="00FF6BB4" w:rsidP="00FF6BB4">
      <w:pPr>
        <w:tabs>
          <w:tab w:val="right" w:pos="9026"/>
        </w:tabs>
        <w:rPr>
          <w:rFonts w:ascii="Arial" w:hAnsi="Arial" w:cs="Arial"/>
        </w:rPr>
      </w:pPr>
      <w:r>
        <w:rPr>
          <w:rFonts w:ascii="Arial" w:hAnsi="Arial" w:cs="Arial"/>
        </w:rPr>
        <w:t xml:space="preserve">Police officers play an imperative role in both the response and recovery efforts in relation to critical, major, and traumatic incidents (Hickey et al, 2021, p. 853). They have to make decisions based on the circumstances in front of them and respond to any differing developments all whilst assessing on going threats and risks (Roycroft, 2019). Typically, police officers make decisions based on 5 ‘master guidelines’; the criminal law, the *police authority, other staff members, the public and their conscience (Roycroft, 2019). However during major incidents’ officer discretion is not as applicable as they have to work with other services. </w:t>
      </w:r>
    </w:p>
    <w:p w14:paraId="4D3E2AAF" w14:textId="77777777" w:rsidR="00FF6BB4" w:rsidRDefault="00FF6BB4" w:rsidP="00FF6BB4">
      <w:pPr>
        <w:tabs>
          <w:tab w:val="right" w:pos="9026"/>
        </w:tabs>
        <w:rPr>
          <w:rFonts w:ascii="Arial" w:hAnsi="Arial" w:cs="Arial"/>
        </w:rPr>
      </w:pPr>
      <w:r>
        <w:rPr>
          <w:rFonts w:ascii="Arial" w:hAnsi="Arial" w:cs="Arial"/>
        </w:rPr>
        <w:t>In the response stage of a major and/or critical incident the police services are responsible for numerous roles. Alongside the other agencies present, the priority for the police on scene is to save and protect life (GOV.UK, 2013). Officers will not know what will face them upon arrival on a scene; for example how many offenders there will be, how many victims there are and the number of casualties. They need to consider the potential outcomes of their initial actions as well as prioritising their duties (Hine and Bragias, 2021, p. 1493)</w:t>
      </w:r>
    </w:p>
    <w:p w14:paraId="64F84DD8" w14:textId="77777777" w:rsidR="00FF6BB4" w:rsidRDefault="00FF6BB4" w:rsidP="00FF6BB4">
      <w:pPr>
        <w:tabs>
          <w:tab w:val="right" w:pos="9026"/>
        </w:tabs>
        <w:rPr>
          <w:rFonts w:ascii="Arial" w:hAnsi="Arial" w:cs="Arial"/>
        </w:rPr>
      </w:pPr>
      <w:r>
        <w:rPr>
          <w:rFonts w:ascii="Arial" w:hAnsi="Arial" w:cs="Arial"/>
        </w:rPr>
        <w:t xml:space="preserve">Beside this though, police oversee any criminal investigation that may have caused the incident and therefore the scene must be preserved to protect evidence in order to investigate any enquiries that come to light from this (GOV.UK, 2013). The ‘Golden Hour Enquiries’ is a term that refers to principle that securing evidential material as soon as possible on scene before they become contaminated; this could be either forensically contaminated or witness statements becoming less accurate and reliable (Roycroft, 2019). </w:t>
      </w:r>
    </w:p>
    <w:p w14:paraId="24CF423E" w14:textId="77777777" w:rsidR="00FF6BB4" w:rsidRDefault="00FF6BB4" w:rsidP="00FF6BB4">
      <w:pPr>
        <w:tabs>
          <w:tab w:val="right" w:pos="9026"/>
        </w:tabs>
        <w:rPr>
          <w:rFonts w:ascii="Arial" w:hAnsi="Arial" w:cs="Arial"/>
        </w:rPr>
      </w:pPr>
      <w:r>
        <w:rPr>
          <w:rFonts w:ascii="Arial" w:hAnsi="Arial" w:cs="Arial"/>
        </w:rPr>
        <w:t>In the recovery of a major/critical incident, police officers are the main responders that are visible and present in the community on a daily basis (Hickey et al, 2021, p. 854). There has been a change in thinking surrounding the aftermath of critical incidents and it is recognised that there is a need to improve and strengthen real and perceived public safety in the aftermath of such incidents. This is significant as communities need to feel a sense of safety following such incidents and the presence of officers can aid with this (Hobfoll et al, 2007, p.283). This theory is corroborated by ‘The Broken Windows’ hypotheses proposed by Wilson and Kelling in 1982 which explained that fear rises in communities when there are visible signs of social disorder; this can in turn lead to further serious crimes being committed (Innes, 2004, p 151). Historically, officers conducting foot patrols has been the centre of ‘reassurance policing’ (Cooke, 2005, p.229).</w:t>
      </w:r>
    </w:p>
    <w:p w14:paraId="3E2D1825" w14:textId="77777777" w:rsidR="00FF6BB4" w:rsidRDefault="00FF6BB4" w:rsidP="00FF6BB4">
      <w:pPr>
        <w:tabs>
          <w:tab w:val="right" w:pos="9026"/>
        </w:tabs>
        <w:rPr>
          <w:rFonts w:ascii="Arial" w:hAnsi="Arial" w:cs="Arial"/>
        </w:rPr>
      </w:pPr>
      <w:r>
        <w:rPr>
          <w:rFonts w:ascii="Arial" w:hAnsi="Arial" w:cs="Arial"/>
        </w:rPr>
        <w:t xml:space="preserve">The two-stage response has been criticised for being split into just two sharp phases when there is more than just the response and recovery. Brown et al (2021) conducted their own simulated terrorist attack to measure communication between services and found that a three-phase structure of ‘response/resolve/recovery’ is more appropriate and reflective of emergency services’ behaviour. This three-stage response “describes the behaviours of responders during emergencies and accounts for the shift in urgency between an ongoing incident and shortly afterwards when the immediate threat has subsided” (Brown et al, 2021). </w:t>
      </w:r>
    </w:p>
    <w:p w14:paraId="63041230" w14:textId="77777777" w:rsidR="00FF6BB4" w:rsidRDefault="00FF6BB4" w:rsidP="00FF6BB4">
      <w:pPr>
        <w:tabs>
          <w:tab w:val="right" w:pos="9026"/>
        </w:tabs>
        <w:rPr>
          <w:rFonts w:ascii="Arial" w:hAnsi="Arial" w:cs="Arial"/>
        </w:rPr>
      </w:pPr>
      <w:r>
        <w:rPr>
          <w:rFonts w:ascii="Arial" w:hAnsi="Arial" w:cs="Arial"/>
        </w:rPr>
        <w:t xml:space="preserve">In 2015, the government stated although they invested £70 million in projects and areas have shown benefits of joint working between emergency services there are still developments to be made in the way the services save lives, serve the community and in the polices’ case – cut crime (GOV.UK, 2015). </w:t>
      </w:r>
    </w:p>
    <w:p w14:paraId="2E3AB7F8" w14:textId="77777777" w:rsidR="00FF6BB4" w:rsidRDefault="00FF6BB4" w:rsidP="00FF6BB4">
      <w:pPr>
        <w:tabs>
          <w:tab w:val="right" w:pos="9026"/>
        </w:tabs>
        <w:rPr>
          <w:rFonts w:ascii="Arial" w:hAnsi="Arial" w:cs="Arial"/>
        </w:rPr>
      </w:pPr>
      <w:r>
        <w:rPr>
          <w:rFonts w:ascii="Arial" w:hAnsi="Arial" w:cs="Arial"/>
        </w:rPr>
        <w:lastRenderedPageBreak/>
        <w:t xml:space="preserve">Compared to other professions, first responders are more likely to suffer from mental health problems, burnout and substance abuse due to the traumatic incidents they come face to face with on an almost daily basis (Maia et al, 2007, p.241). This is especially true for police officers as they are up to 6 times more likely to suffer with PTSD compared to other members of the public (Green, 2004, p. 101). On top of this, research conducted by </w:t>
      </w:r>
      <w:r w:rsidRPr="00B12391">
        <w:rPr>
          <w:rFonts w:ascii="Arial" w:hAnsi="Arial" w:cs="Arial"/>
        </w:rPr>
        <w:t>Mernard and Arter (2013)</w:t>
      </w:r>
      <w:r>
        <w:rPr>
          <w:rFonts w:ascii="Arial" w:hAnsi="Arial" w:cs="Arial"/>
        </w:rPr>
        <w:t xml:space="preserve"> found that 53% of police officers’ PTSD is as a result of attending a critical incident.</w:t>
      </w:r>
    </w:p>
    <w:p w14:paraId="1DB07A97" w14:textId="77777777" w:rsidR="00FF6BB4" w:rsidRDefault="00FF6BB4" w:rsidP="00FF6BB4">
      <w:pPr>
        <w:tabs>
          <w:tab w:val="right" w:pos="9026"/>
        </w:tabs>
        <w:rPr>
          <w:rFonts w:ascii="Arial" w:hAnsi="Arial" w:cs="Arial"/>
        </w:rPr>
      </w:pPr>
      <w:r>
        <w:rPr>
          <w:rFonts w:ascii="Arial" w:hAnsi="Arial" w:cs="Arial"/>
        </w:rPr>
        <w:t xml:space="preserve">In regard to critical incidents, the longer officers serve in the force and subsequently the more critical incidents they are exposed to, the more likely they are going to sustain poor mental and/or physical health problems as well as taking more time off on sick (Gerber et al, 2010, p.1167). On top of this, critical incidents that have a shortage of resourcing and supplies and are therefore poorly managed contribute to levels of stress and feelings of failure within officers </w:t>
      </w:r>
      <w:r w:rsidRPr="00323955">
        <w:rPr>
          <w:rFonts w:ascii="Arial" w:hAnsi="Arial" w:cs="Arial"/>
        </w:rPr>
        <w:t>(Declercq et al, 2011, p. 135)</w:t>
      </w:r>
      <w:r>
        <w:rPr>
          <w:rFonts w:ascii="Arial" w:hAnsi="Arial" w:cs="Arial"/>
        </w:rPr>
        <w:t xml:space="preserve">. </w:t>
      </w:r>
    </w:p>
    <w:p w14:paraId="165BB000" w14:textId="77777777" w:rsidR="00FF6BB4" w:rsidRDefault="00FF6BB4" w:rsidP="00FF6BB4">
      <w:pPr>
        <w:tabs>
          <w:tab w:val="right" w:pos="9026"/>
        </w:tabs>
        <w:rPr>
          <w:rFonts w:ascii="Arial" w:hAnsi="Arial" w:cs="Arial"/>
        </w:rPr>
      </w:pPr>
      <w:r>
        <w:rPr>
          <w:rFonts w:ascii="Arial" w:hAnsi="Arial" w:cs="Arial"/>
        </w:rPr>
        <w:t xml:space="preserve">Being exposed to critical incidents are also going to increase the risk of having alcohol problems and binge drinking in police </w:t>
      </w:r>
      <w:r w:rsidRPr="002C205F">
        <w:rPr>
          <w:rFonts w:ascii="Arial" w:hAnsi="Arial" w:cs="Arial"/>
        </w:rPr>
        <w:t>officers (Ballenger et al, 2011).</w:t>
      </w:r>
      <w:r>
        <w:rPr>
          <w:rFonts w:ascii="Arial" w:hAnsi="Arial" w:cs="Arial"/>
        </w:rPr>
        <w:t xml:space="preserve"> </w:t>
      </w:r>
    </w:p>
    <w:p w14:paraId="567BABDE" w14:textId="77777777" w:rsidR="00FF6BB4" w:rsidRDefault="00FF6BB4" w:rsidP="00FF6BB4">
      <w:pPr>
        <w:tabs>
          <w:tab w:val="right" w:pos="9026"/>
        </w:tabs>
        <w:rPr>
          <w:rFonts w:ascii="Arial" w:hAnsi="Arial" w:cs="Arial"/>
        </w:rPr>
      </w:pPr>
      <w:r>
        <w:rPr>
          <w:rFonts w:ascii="Arial" w:hAnsi="Arial" w:cs="Arial"/>
        </w:rPr>
        <w:t xml:space="preserve">First responders can also be subject to public enquiries after major and critical incidents. In fact, police officers face more public scrutiny compared to other first responders and often find they are ‘guilty until proven innocent’ when being subject to criticism (Birch et al, 2016, p. 748). This can have a harmful impact on officers as they have already been affected by the trauma of the actual incident, never mind the added stress of being criticised by media, members of the public and even their supervisors, regarding what they could have done better (Regehr et al, 2003). </w:t>
      </w:r>
    </w:p>
    <w:p w14:paraId="617D4282" w14:textId="77777777" w:rsidR="00FF6BB4" w:rsidRDefault="00FF6BB4" w:rsidP="00FF6BB4">
      <w:pPr>
        <w:tabs>
          <w:tab w:val="right" w:pos="9026"/>
        </w:tabs>
        <w:rPr>
          <w:rFonts w:ascii="Arial" w:hAnsi="Arial" w:cs="Arial"/>
        </w:rPr>
      </w:pPr>
      <w:r>
        <w:rPr>
          <w:rFonts w:ascii="Arial" w:hAnsi="Arial" w:cs="Arial"/>
        </w:rPr>
        <w:t>WORD COUNT: 1458</w:t>
      </w:r>
    </w:p>
    <w:p w14:paraId="1D6D4D6B" w14:textId="77777777" w:rsidR="00FF6BB4" w:rsidRDefault="00FF6BB4" w:rsidP="00FF6BB4">
      <w:pPr>
        <w:tabs>
          <w:tab w:val="right" w:pos="9026"/>
        </w:tabs>
        <w:rPr>
          <w:rFonts w:ascii="Arial" w:hAnsi="Arial" w:cs="Arial"/>
        </w:rPr>
      </w:pPr>
    </w:p>
    <w:p w14:paraId="053FD3B2" w14:textId="77777777" w:rsidR="00FF6BB4" w:rsidRDefault="00FF6BB4" w:rsidP="00FF6BB4">
      <w:pPr>
        <w:tabs>
          <w:tab w:val="right" w:pos="9026"/>
        </w:tabs>
        <w:rPr>
          <w:rFonts w:ascii="Arial" w:hAnsi="Arial" w:cs="Arial"/>
        </w:rPr>
      </w:pPr>
    </w:p>
    <w:p w14:paraId="7CA914A0" w14:textId="77777777" w:rsidR="00FF6BB4" w:rsidRDefault="00FF6BB4" w:rsidP="00FF6BB4">
      <w:pPr>
        <w:tabs>
          <w:tab w:val="right" w:pos="9026"/>
        </w:tabs>
        <w:rPr>
          <w:rFonts w:ascii="Arial" w:hAnsi="Arial" w:cs="Arial"/>
        </w:rPr>
      </w:pPr>
    </w:p>
    <w:p w14:paraId="7D892A78" w14:textId="77777777" w:rsidR="00FF6BB4" w:rsidRDefault="00FF6BB4" w:rsidP="00FF6BB4">
      <w:pPr>
        <w:tabs>
          <w:tab w:val="right" w:pos="9026"/>
        </w:tabs>
        <w:rPr>
          <w:rFonts w:ascii="Arial" w:hAnsi="Arial" w:cs="Arial"/>
        </w:rPr>
      </w:pPr>
    </w:p>
    <w:p w14:paraId="122F309D" w14:textId="77777777" w:rsidR="00FF6BB4" w:rsidRDefault="00FF6BB4" w:rsidP="00FF6BB4">
      <w:pPr>
        <w:tabs>
          <w:tab w:val="right" w:pos="9026"/>
        </w:tabs>
        <w:rPr>
          <w:rFonts w:ascii="Arial" w:hAnsi="Arial" w:cs="Arial"/>
        </w:rPr>
      </w:pPr>
    </w:p>
    <w:p w14:paraId="3768A39E" w14:textId="77777777" w:rsidR="00FF6BB4" w:rsidRDefault="00FF6BB4" w:rsidP="00FF6BB4">
      <w:pPr>
        <w:tabs>
          <w:tab w:val="right" w:pos="9026"/>
        </w:tabs>
        <w:rPr>
          <w:rFonts w:ascii="Arial" w:hAnsi="Arial" w:cs="Arial"/>
        </w:rPr>
      </w:pPr>
    </w:p>
    <w:p w14:paraId="4459C129" w14:textId="77777777" w:rsidR="00FF6BB4" w:rsidRDefault="00FF6BB4" w:rsidP="00FF6BB4">
      <w:pPr>
        <w:tabs>
          <w:tab w:val="right" w:pos="9026"/>
        </w:tabs>
        <w:rPr>
          <w:rFonts w:ascii="Arial" w:hAnsi="Arial" w:cs="Arial"/>
        </w:rPr>
      </w:pPr>
    </w:p>
    <w:p w14:paraId="425416CA" w14:textId="77777777" w:rsidR="00FF6BB4" w:rsidRDefault="00FF6BB4" w:rsidP="00FF6BB4">
      <w:pPr>
        <w:tabs>
          <w:tab w:val="right" w:pos="9026"/>
        </w:tabs>
        <w:rPr>
          <w:rFonts w:ascii="Arial" w:hAnsi="Arial" w:cs="Arial"/>
        </w:rPr>
      </w:pPr>
    </w:p>
    <w:p w14:paraId="2EFB1581" w14:textId="77777777" w:rsidR="00FF6BB4" w:rsidRDefault="00FF6BB4" w:rsidP="00FF6BB4">
      <w:pPr>
        <w:tabs>
          <w:tab w:val="right" w:pos="9026"/>
        </w:tabs>
        <w:rPr>
          <w:rFonts w:ascii="Arial" w:hAnsi="Arial" w:cs="Arial"/>
        </w:rPr>
      </w:pPr>
    </w:p>
    <w:p w14:paraId="7174D2B2" w14:textId="77777777" w:rsidR="00FF6BB4" w:rsidRDefault="00FF6BB4" w:rsidP="00FF6BB4">
      <w:pPr>
        <w:tabs>
          <w:tab w:val="right" w:pos="9026"/>
        </w:tabs>
        <w:rPr>
          <w:rFonts w:ascii="Arial" w:hAnsi="Arial" w:cs="Arial"/>
        </w:rPr>
      </w:pPr>
    </w:p>
    <w:p w14:paraId="29C3F8E4" w14:textId="77777777" w:rsidR="00FF6BB4" w:rsidRDefault="00FF6BB4" w:rsidP="00FF6BB4">
      <w:pPr>
        <w:tabs>
          <w:tab w:val="right" w:pos="9026"/>
        </w:tabs>
        <w:rPr>
          <w:rFonts w:ascii="Arial" w:hAnsi="Arial" w:cs="Arial"/>
        </w:rPr>
      </w:pPr>
    </w:p>
    <w:p w14:paraId="5E3010FA" w14:textId="77777777" w:rsidR="00FF6BB4" w:rsidRDefault="00FF6BB4" w:rsidP="00FF6BB4">
      <w:pPr>
        <w:tabs>
          <w:tab w:val="right" w:pos="9026"/>
        </w:tabs>
        <w:rPr>
          <w:rFonts w:ascii="Arial" w:hAnsi="Arial" w:cs="Arial"/>
        </w:rPr>
      </w:pPr>
    </w:p>
    <w:p w14:paraId="750831F7" w14:textId="77777777" w:rsidR="00FF6BB4" w:rsidRDefault="00FF6BB4" w:rsidP="00FF6BB4">
      <w:pPr>
        <w:tabs>
          <w:tab w:val="right" w:pos="9026"/>
        </w:tabs>
        <w:rPr>
          <w:rFonts w:ascii="Arial" w:hAnsi="Arial" w:cs="Arial"/>
          <w:b/>
          <w:bCs/>
        </w:rPr>
      </w:pPr>
    </w:p>
    <w:p w14:paraId="5671C731" w14:textId="77777777" w:rsidR="00FF6BB4" w:rsidRDefault="00FF6BB4" w:rsidP="00FF6BB4">
      <w:pPr>
        <w:tabs>
          <w:tab w:val="right" w:pos="9026"/>
        </w:tabs>
        <w:rPr>
          <w:rFonts w:ascii="Arial" w:hAnsi="Arial" w:cs="Arial"/>
          <w:b/>
          <w:bCs/>
        </w:rPr>
      </w:pPr>
    </w:p>
    <w:p w14:paraId="65F38362" w14:textId="77777777" w:rsidR="00FF6BB4" w:rsidRDefault="00FF6BB4" w:rsidP="00FF6BB4">
      <w:pPr>
        <w:tabs>
          <w:tab w:val="right" w:pos="9026"/>
        </w:tabs>
        <w:rPr>
          <w:rFonts w:ascii="Arial" w:hAnsi="Arial" w:cs="Arial"/>
          <w:b/>
          <w:bCs/>
        </w:rPr>
      </w:pPr>
    </w:p>
    <w:p w14:paraId="4A04259C" w14:textId="77777777" w:rsidR="00FF6BB4" w:rsidRPr="00545D1D" w:rsidRDefault="00FF6BB4" w:rsidP="00FF6BB4">
      <w:pPr>
        <w:tabs>
          <w:tab w:val="right" w:pos="9026"/>
        </w:tabs>
        <w:rPr>
          <w:rFonts w:ascii="Arial" w:hAnsi="Arial" w:cs="Arial"/>
          <w:b/>
          <w:bCs/>
        </w:rPr>
      </w:pPr>
      <w:r w:rsidRPr="00545D1D">
        <w:rPr>
          <w:rFonts w:ascii="Arial" w:hAnsi="Arial" w:cs="Arial"/>
          <w:b/>
          <w:bCs/>
        </w:rPr>
        <w:lastRenderedPageBreak/>
        <w:t>Evaluate the use and effectiveness of specialist interview techniques (e.g. cognitive interview, structured investigative interview). What factors increase or limit their effectiveness? Your answer must be based on academic research rather than personal experience.</w:t>
      </w:r>
    </w:p>
    <w:p w14:paraId="1C23B7CD" w14:textId="77777777" w:rsidR="00FF6BB4" w:rsidRDefault="00FF6BB4" w:rsidP="00FF6BB4">
      <w:pPr>
        <w:tabs>
          <w:tab w:val="right" w:pos="9026"/>
        </w:tabs>
        <w:rPr>
          <w:rFonts w:ascii="Arial" w:hAnsi="Arial" w:cs="Arial"/>
        </w:rPr>
      </w:pPr>
      <w:r>
        <w:rPr>
          <w:rFonts w:ascii="Arial" w:hAnsi="Arial" w:cs="Arial"/>
          <w:b/>
          <w:bCs/>
          <w:noProof/>
          <w:color w:val="000000" w:themeColor="text1"/>
          <w:sz w:val="20"/>
          <w:szCs w:val="20"/>
        </w:rPr>
        <mc:AlternateContent>
          <mc:Choice Requires="wps">
            <w:drawing>
              <wp:anchor distT="0" distB="0" distL="114300" distR="114300" simplePos="0" relativeHeight="251660288" behindDoc="0" locked="0" layoutInCell="1" allowOverlap="1" wp14:anchorId="7BBE5714" wp14:editId="501F8989">
                <wp:simplePos x="0" y="0"/>
                <wp:positionH relativeFrom="margin">
                  <wp:align>left</wp:align>
                </wp:positionH>
                <wp:positionV relativeFrom="paragraph">
                  <wp:posOffset>16790</wp:posOffset>
                </wp:positionV>
                <wp:extent cx="5604095" cy="9053"/>
                <wp:effectExtent l="0" t="0" r="34925" b="29210"/>
                <wp:wrapNone/>
                <wp:docPr id="1" name="Straight Connector 1"/>
                <wp:cNvGraphicFramePr/>
                <a:graphic xmlns:a="http://schemas.openxmlformats.org/drawingml/2006/main">
                  <a:graphicData uri="http://schemas.microsoft.com/office/word/2010/wordprocessingShape">
                    <wps:wsp>
                      <wps:cNvCnPr/>
                      <wps:spPr>
                        <a:xfrm flipV="1">
                          <a:off x="0" y="0"/>
                          <a:ext cx="5604095" cy="9053"/>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8C30C3" id="Straight Connector 1" o:spid="_x0000_s1026" style="position:absolute;flip:y;z-index:251660288;visibility:visible;mso-wrap-style:square;mso-wrap-distance-left:9pt;mso-wrap-distance-top:0;mso-wrap-distance-right:9pt;mso-wrap-distance-bottom:0;mso-position-horizontal:left;mso-position-horizontal-relative:margin;mso-position-vertical:absolute;mso-position-vertical-relative:text" from="0,1.3pt" to="441.2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" strokecolor="black [3200]" strokeweight="1pt">
                <v:stroke joinstyle="miter"/>
                <w10:wrap anchorx="margin"/>
              </v:line>
            </w:pict>
          </mc:Fallback>
        </mc:AlternateContent>
      </w:r>
    </w:p>
    <w:p w14:paraId="214EFD0E" w14:textId="77777777" w:rsidR="00FF6BB4" w:rsidRDefault="00FF6BB4" w:rsidP="00FF6BB4">
      <w:pPr>
        <w:tabs>
          <w:tab w:val="right" w:pos="9026"/>
        </w:tabs>
        <w:rPr>
          <w:rFonts w:ascii="Arial" w:hAnsi="Arial" w:cs="Arial"/>
        </w:rPr>
      </w:pPr>
      <w:r>
        <w:rPr>
          <w:rFonts w:ascii="Arial" w:hAnsi="Arial" w:cs="Arial"/>
        </w:rPr>
        <w:t xml:space="preserve">In this essay, I will be evaluating the effectiveness of specialist interview techniques and the factors that increase or limit their effectiveness. </w:t>
      </w:r>
    </w:p>
    <w:p w14:paraId="6E4EC3CC" w14:textId="77777777" w:rsidR="00FF6BB4" w:rsidRPr="009B1763" w:rsidRDefault="00FF6BB4" w:rsidP="00FF6BB4">
      <w:pPr>
        <w:tabs>
          <w:tab w:val="right" w:pos="9026"/>
        </w:tabs>
        <w:rPr>
          <w:rFonts w:ascii="Arial" w:hAnsi="Arial" w:cs="Arial"/>
        </w:rPr>
      </w:pPr>
      <w:r>
        <w:rPr>
          <w:rFonts w:ascii="Arial" w:hAnsi="Arial" w:cs="Arial"/>
        </w:rPr>
        <w:t xml:space="preserve">The College of Policing (2013) describes how “Interviewing victims, witnesses and suspects is central to the success of an investigation”. This is because without obtaining an account from those involved in the crime, other parts of the investigation (such and CCTV images, footprints, and forensic material) may have little value (College of Policing, 2013). Therefore, it is paramount interviewing techniques are used to gather the most accurate and in-depth accounts possible from witnesses and suspects. </w:t>
      </w:r>
    </w:p>
    <w:p w14:paraId="5EBA4E69" w14:textId="77777777" w:rsidR="00FF6BB4" w:rsidRDefault="00FF6BB4" w:rsidP="00FF6BB4">
      <w:pPr>
        <w:tabs>
          <w:tab w:val="right" w:pos="9026"/>
        </w:tabs>
        <w:rPr>
          <w:rFonts w:ascii="Arial" w:hAnsi="Arial" w:cs="Arial"/>
        </w:rPr>
      </w:pPr>
      <w:r>
        <w:rPr>
          <w:rFonts w:ascii="Arial" w:hAnsi="Arial" w:cs="Arial"/>
        </w:rPr>
        <w:t xml:space="preserve">The UK Home Office introduced the PEACE model in order to develop their professional skills to conduct effective and fair interviews (ACPO, 2001) and in England and Wales police interviews are governed by this model (Dando et al, 2009, p. 491). Before the PEACE model was introduced there were concerns over interviewers using poor questioning techniques, not adequately planning before interviews, and interviewing based on the assumption of guilt (Pearse and Gudjonsson, 1996, p. 63). </w:t>
      </w:r>
    </w:p>
    <w:p w14:paraId="2C5F022A" w14:textId="77777777" w:rsidR="00FF6BB4" w:rsidRDefault="00FF6BB4" w:rsidP="00FF6BB4">
      <w:pPr>
        <w:tabs>
          <w:tab w:val="right" w:pos="9026"/>
        </w:tabs>
        <w:rPr>
          <w:rFonts w:ascii="Arial" w:hAnsi="Arial" w:cs="Arial"/>
        </w:rPr>
      </w:pPr>
      <w:r>
        <w:rPr>
          <w:rFonts w:ascii="Arial" w:hAnsi="Arial" w:cs="Arial"/>
        </w:rPr>
        <w:t xml:space="preserve">The PEACE model is made up of five stages. These stages are: </w:t>
      </w:r>
    </w:p>
    <w:p w14:paraId="53E2CDF0" w14:textId="77777777" w:rsidR="00FF6BB4" w:rsidRPr="007344E7" w:rsidRDefault="00FF6BB4" w:rsidP="00FF6BB4">
      <w:pPr>
        <w:pStyle w:val="ListParagraph"/>
        <w:numPr>
          <w:ilvl w:val="0"/>
          <w:numId w:val="1"/>
        </w:numPr>
        <w:tabs>
          <w:tab w:val="right" w:pos="9026"/>
        </w:tabs>
        <w:rPr>
          <w:rFonts w:ascii="Arial" w:hAnsi="Arial" w:cs="Arial"/>
        </w:rPr>
      </w:pPr>
      <w:r w:rsidRPr="007344E7">
        <w:rPr>
          <w:rFonts w:ascii="Arial" w:hAnsi="Arial" w:cs="Arial"/>
        </w:rPr>
        <w:t xml:space="preserve">Planning and Preparation </w:t>
      </w:r>
    </w:p>
    <w:p w14:paraId="3F03515F" w14:textId="77777777" w:rsidR="00FF6BB4" w:rsidRDefault="00FF6BB4" w:rsidP="00FF6BB4">
      <w:pPr>
        <w:pStyle w:val="ListParagraph"/>
        <w:numPr>
          <w:ilvl w:val="0"/>
          <w:numId w:val="1"/>
        </w:numPr>
        <w:tabs>
          <w:tab w:val="right" w:pos="9026"/>
        </w:tabs>
        <w:rPr>
          <w:rFonts w:ascii="Arial" w:hAnsi="Arial" w:cs="Arial"/>
        </w:rPr>
      </w:pPr>
      <w:r>
        <w:rPr>
          <w:rFonts w:ascii="Arial" w:hAnsi="Arial" w:cs="Arial"/>
        </w:rPr>
        <w:t>Engage and explain.</w:t>
      </w:r>
    </w:p>
    <w:p w14:paraId="7D55738A" w14:textId="77777777" w:rsidR="00FF6BB4" w:rsidRDefault="00FF6BB4" w:rsidP="00FF6BB4">
      <w:pPr>
        <w:pStyle w:val="ListParagraph"/>
        <w:numPr>
          <w:ilvl w:val="0"/>
          <w:numId w:val="1"/>
        </w:numPr>
        <w:tabs>
          <w:tab w:val="right" w:pos="9026"/>
        </w:tabs>
        <w:rPr>
          <w:rFonts w:ascii="Arial" w:hAnsi="Arial" w:cs="Arial"/>
        </w:rPr>
      </w:pPr>
      <w:r>
        <w:rPr>
          <w:rFonts w:ascii="Arial" w:hAnsi="Arial" w:cs="Arial"/>
        </w:rPr>
        <w:t xml:space="preserve">Account clarification and challenge </w:t>
      </w:r>
    </w:p>
    <w:p w14:paraId="523E60A7" w14:textId="77777777" w:rsidR="00FF6BB4" w:rsidRDefault="00FF6BB4" w:rsidP="00FF6BB4">
      <w:pPr>
        <w:pStyle w:val="ListParagraph"/>
        <w:numPr>
          <w:ilvl w:val="0"/>
          <w:numId w:val="1"/>
        </w:numPr>
        <w:tabs>
          <w:tab w:val="right" w:pos="9026"/>
        </w:tabs>
        <w:rPr>
          <w:rFonts w:ascii="Arial" w:hAnsi="Arial" w:cs="Arial"/>
        </w:rPr>
      </w:pPr>
      <w:r>
        <w:rPr>
          <w:rFonts w:ascii="Arial" w:hAnsi="Arial" w:cs="Arial"/>
        </w:rPr>
        <w:t xml:space="preserve">Closure </w:t>
      </w:r>
    </w:p>
    <w:p w14:paraId="3E0ED9AF" w14:textId="77777777" w:rsidR="00FF6BB4" w:rsidRDefault="00FF6BB4" w:rsidP="00FF6BB4">
      <w:pPr>
        <w:pStyle w:val="ListParagraph"/>
        <w:numPr>
          <w:ilvl w:val="0"/>
          <w:numId w:val="1"/>
        </w:numPr>
        <w:tabs>
          <w:tab w:val="right" w:pos="9026"/>
        </w:tabs>
        <w:rPr>
          <w:rFonts w:ascii="Arial" w:hAnsi="Arial" w:cs="Arial"/>
        </w:rPr>
      </w:pPr>
      <w:r>
        <w:rPr>
          <w:rFonts w:ascii="Arial" w:hAnsi="Arial" w:cs="Arial"/>
        </w:rPr>
        <w:t xml:space="preserve">Evaluation </w:t>
      </w:r>
    </w:p>
    <w:p w14:paraId="5AC1E172" w14:textId="77777777" w:rsidR="00FF6BB4" w:rsidRDefault="00FF6BB4" w:rsidP="00FF6BB4">
      <w:pPr>
        <w:tabs>
          <w:tab w:val="right" w:pos="9026"/>
        </w:tabs>
        <w:jc w:val="right"/>
        <w:rPr>
          <w:rFonts w:ascii="Arial" w:hAnsi="Arial" w:cs="Arial"/>
        </w:rPr>
      </w:pPr>
      <w:r>
        <w:rPr>
          <w:rFonts w:ascii="Arial" w:hAnsi="Arial" w:cs="Arial"/>
        </w:rPr>
        <w:t>(College of policing, 2013)</w:t>
      </w:r>
    </w:p>
    <w:p w14:paraId="5AF2A835" w14:textId="77777777" w:rsidR="00FF6BB4" w:rsidRDefault="00FF6BB4" w:rsidP="00FF6BB4">
      <w:pPr>
        <w:tabs>
          <w:tab w:val="right" w:pos="9026"/>
        </w:tabs>
        <w:rPr>
          <w:rFonts w:ascii="Arial" w:hAnsi="Arial" w:cs="Arial"/>
        </w:rPr>
      </w:pPr>
      <w:r>
        <w:rPr>
          <w:rFonts w:ascii="Arial" w:hAnsi="Arial" w:cs="Arial"/>
        </w:rPr>
        <w:t xml:space="preserve">The first stage of the model is used by the interviewer to understand the purpose of the interview they are conducting, defining their aims and objects when completing the interview and analysing/preparing the available information and evidence that they are in possession of (Bull, 2023, p. 83). The second stage is when the interviewer introduces themselves, covers the legal requirements to the interviewee and building rapport with the interviewee. (Bull, 2023, p. 83). The third stage of the interview is when the invitation of ‘free recall’ is introduced (this also means not interrupting the interviewee when they are speaking) and asking open questions; once this has been completed the interviewer can then point out any inconsistencies that have become apparent from the narrative that the interviewee has provided (Bull, 2023, p 83). The fourth stage involves summarising the information given in order to give the interviewee the opportunity to correct anything (Bull, 2023, p.84). The final stage is when the interviewer evaluates their own performance, as well as their colleagues or supervisor (Bull, 2023, p. 84). </w:t>
      </w:r>
    </w:p>
    <w:p w14:paraId="2A2BD245" w14:textId="77777777" w:rsidR="00FF6BB4" w:rsidRDefault="00FF6BB4" w:rsidP="00FF6BB4">
      <w:pPr>
        <w:tabs>
          <w:tab w:val="right" w:pos="9026"/>
        </w:tabs>
        <w:rPr>
          <w:rFonts w:ascii="Arial" w:hAnsi="Arial" w:cs="Arial"/>
        </w:rPr>
      </w:pPr>
      <w:r>
        <w:rPr>
          <w:rFonts w:ascii="Arial" w:hAnsi="Arial" w:cs="Arial"/>
        </w:rPr>
        <w:t xml:space="preserve">Whilst conducting research based on the evaluation of the PEACE model, Clarke and Milne (2001) found that 59% of officers were considered good or very good when planning interviews but a third did state further training was required for them to fully utilise the model. They also found during the engage and explain stage the interviewer’s technique was only adequate; officers rarely explained the caution to the subject, they did not fully explain it was the subjects time to give an explanation and a lack of rapport building. The substantial flaws </w:t>
      </w:r>
      <w:r>
        <w:rPr>
          <w:rFonts w:ascii="Arial" w:hAnsi="Arial" w:cs="Arial"/>
        </w:rPr>
        <w:lastRenderedPageBreak/>
        <w:t xml:space="preserve">from officers were found in the closure stage. Officers would not explain what would happen next however approximately 75% of officers did give interviewees the chance to add anything that had not been mentioned. Although it must be considered that this research was when the model was first released and therefore is not up to date, it still does highlight that without adequate training for officers the model will not work. </w:t>
      </w:r>
    </w:p>
    <w:p w14:paraId="6E2E72D0" w14:textId="77777777" w:rsidR="00FF6BB4" w:rsidRDefault="00FF6BB4" w:rsidP="00FF6BB4">
      <w:pPr>
        <w:tabs>
          <w:tab w:val="right" w:pos="9026"/>
        </w:tabs>
        <w:rPr>
          <w:rFonts w:ascii="Arial" w:hAnsi="Arial" w:cs="Arial"/>
        </w:rPr>
      </w:pPr>
      <w:r>
        <w:rPr>
          <w:rFonts w:ascii="Arial" w:hAnsi="Arial" w:cs="Arial"/>
        </w:rPr>
        <w:t xml:space="preserve">There is overwhelming support for the model being an effective interviewing technique for complex cases, but it was found too time consuming for more straightforward investigations and investigators have found the structure unnecessary for these simple cases; for example a shoplift for goods where there is CCTV available showing the suspect responsible (Walshe and Milne, 2007). </w:t>
      </w:r>
    </w:p>
    <w:p w14:paraId="06F775ED" w14:textId="77777777" w:rsidR="00FF6BB4" w:rsidRDefault="00FF6BB4" w:rsidP="00FF6BB4">
      <w:pPr>
        <w:tabs>
          <w:tab w:val="right" w:pos="9026"/>
        </w:tabs>
        <w:rPr>
          <w:rFonts w:ascii="Arial" w:hAnsi="Arial" w:cs="Arial"/>
        </w:rPr>
      </w:pPr>
      <w:r>
        <w:rPr>
          <w:rFonts w:ascii="Arial" w:hAnsi="Arial" w:cs="Arial"/>
        </w:rPr>
        <w:t xml:space="preserve">One of the other most widely researched and acknowledged form of interviewing is The Cognitive Interview (CI) (Kocsis, 2009, p.147). The CI is an investigative interview technique focused on recovering information from the memory (Gieselman et al, 1984, p.74). This technique is used by police to improve the retrieval of information from an eyewitness’s memory by using four stages; reinstating the context, recalling evets in reverse order, reporting everything they can remember and describing the events from somebody else’s point of view. By doing this, CI promotes extensive and detailed responses, encourages active witness participation, and builds rapport (Dodier et al, 2021, p. 1099). </w:t>
      </w:r>
    </w:p>
    <w:p w14:paraId="5E73A8FD" w14:textId="77777777" w:rsidR="00FF6BB4" w:rsidRDefault="00FF6BB4" w:rsidP="00FF6BB4">
      <w:pPr>
        <w:tabs>
          <w:tab w:val="right" w:pos="9026"/>
        </w:tabs>
        <w:rPr>
          <w:rFonts w:ascii="Arial" w:hAnsi="Arial" w:cs="Arial"/>
        </w:rPr>
      </w:pPr>
      <w:r>
        <w:rPr>
          <w:rFonts w:ascii="Arial" w:hAnsi="Arial" w:cs="Arial"/>
        </w:rPr>
        <w:t xml:space="preserve">It is crucial that police officers build rapport for those they are interviewing, whether they are a suspect or a witness. This is because they will encounter individuals in varying emotional states and who will have differing psychological needs which will need to be managed to provide the best account possible (Risan, 2018, p. 372). In interviewing, rapport can be </w:t>
      </w:r>
      <w:r w:rsidRPr="00BA256D">
        <w:rPr>
          <w:rFonts w:ascii="Arial" w:hAnsi="Arial" w:cs="Arial"/>
          <w:color w:val="000000" w:themeColor="text1"/>
        </w:rPr>
        <w:t>defined as</w:t>
      </w:r>
      <w:r w:rsidRPr="00BA256D">
        <w:rPr>
          <w:rFonts w:ascii="Arial" w:hAnsi="Arial" w:cs="Arial"/>
          <w:i/>
          <w:iCs/>
          <w:color w:val="000000" w:themeColor="text1"/>
        </w:rPr>
        <w:t xml:space="preserve"> </w:t>
      </w:r>
      <w:r w:rsidRPr="002E4513">
        <w:rPr>
          <w:rFonts w:ascii="Arial" w:hAnsi="Arial" w:cs="Arial"/>
          <w:i/>
          <w:iCs/>
          <w:color w:val="000000" w:themeColor="text1"/>
        </w:rPr>
        <w:t>“a</w:t>
      </w:r>
      <w:r w:rsidRPr="002E4513">
        <w:rPr>
          <w:rStyle w:val="Emphasis"/>
          <w:rFonts w:ascii="Arial" w:hAnsi="Arial" w:cs="Arial"/>
          <w:color w:val="000000" w:themeColor="text1"/>
          <w:bdr w:val="none" w:sz="0" w:space="0" w:color="auto" w:frame="1"/>
          <w:shd w:val="clear" w:color="auto" w:fill="FFFFFF"/>
        </w:rPr>
        <w:t xml:space="preserve"> goal-oriented working relationship based on a shared social and emotional understanding between interviewer and interviewee</w:t>
      </w:r>
      <w:r>
        <w:rPr>
          <w:rStyle w:val="Emphasis"/>
          <w:rFonts w:ascii="Arial" w:hAnsi="Arial" w:cs="Arial"/>
          <w:color w:val="000000" w:themeColor="text1"/>
          <w:bdr w:val="none" w:sz="0" w:space="0" w:color="auto" w:frame="1"/>
          <w:shd w:val="clear" w:color="auto" w:fill="FFFFFF"/>
        </w:rPr>
        <w:t>” (Risan, 2018, p. 374)</w:t>
      </w:r>
      <w:r>
        <w:rPr>
          <w:rFonts w:ascii="Arial" w:hAnsi="Arial" w:cs="Arial"/>
        </w:rPr>
        <w:t xml:space="preserve">. A relationship with good rapport consists of warmth, is natural, offers trusts and stimulates cooperation (Vanderhallen et al, 2011, p. 113). Tickle-Degnen and Rosenthal (1990) created a theoretical framework in order to help describe the nature of rapport. They explain rapport has three essential components: mutual attentiveness, positivity, and coordination and these components are needed to produce the best evidence from eyewitnesses. It has been found that a positive rapport is beneficial to witnesses as it reduces anxiety and in return assist with recall (Vallano, 2015). </w:t>
      </w:r>
    </w:p>
    <w:p w14:paraId="1626CBFA" w14:textId="77777777" w:rsidR="00FF6BB4" w:rsidRDefault="00FF6BB4" w:rsidP="00FF6BB4">
      <w:pPr>
        <w:tabs>
          <w:tab w:val="right" w:pos="9026"/>
        </w:tabs>
        <w:rPr>
          <w:rFonts w:ascii="Arial" w:hAnsi="Arial" w:cs="Arial"/>
        </w:rPr>
      </w:pPr>
      <w:r>
        <w:rPr>
          <w:rFonts w:ascii="Arial" w:hAnsi="Arial" w:cs="Arial"/>
        </w:rPr>
        <w:t xml:space="preserve">Generally, from research conducted in the past, the CI has been found to enhance the quality and quantity of information recalled by witnesses, victims, and suspects (Dando et al, 2011, p. 495) </w:t>
      </w:r>
    </w:p>
    <w:p w14:paraId="696BF608" w14:textId="77777777" w:rsidR="00FF6BB4" w:rsidRDefault="00FF6BB4" w:rsidP="00FF6BB4">
      <w:pPr>
        <w:tabs>
          <w:tab w:val="right" w:pos="9026"/>
        </w:tabs>
        <w:rPr>
          <w:rFonts w:ascii="Arial" w:hAnsi="Arial" w:cs="Arial"/>
        </w:rPr>
      </w:pPr>
      <w:r>
        <w:rPr>
          <w:rFonts w:ascii="Arial" w:hAnsi="Arial" w:cs="Arial"/>
        </w:rPr>
        <w:t xml:space="preserve">The effectiveness of the CI was tested in an experiment conducted by Fisher et al (1990). This experiment trained detectives to use the CI in police interviews rather than the standard interviewing technique. It was found that compared to standard procedure, there was a 46% increase in recall and 90% increase in accuracy. These findings also suggest that CI would be beneficial for older witnesses as they may struggle with their recall – this is corroborated by research conducted by Wright and Holliday (2007) who found that when using the CI with older participants, they were able to recall greater detail without giving false information. </w:t>
      </w:r>
    </w:p>
    <w:p w14:paraId="6DCA844B" w14:textId="77777777" w:rsidR="00FF6BB4" w:rsidRDefault="00FF6BB4" w:rsidP="00FF6BB4">
      <w:pPr>
        <w:tabs>
          <w:tab w:val="right" w:pos="9026"/>
        </w:tabs>
        <w:rPr>
          <w:rFonts w:ascii="Arial" w:hAnsi="Arial" w:cs="Arial"/>
        </w:rPr>
      </w:pPr>
      <w:r>
        <w:rPr>
          <w:rFonts w:ascii="Arial" w:hAnsi="Arial" w:cs="Arial"/>
        </w:rPr>
        <w:t xml:space="preserve">On the other hand, although CI has many benefits, similarly to the PEACE model, it may not be used frequently due to it being time consuming compared to a standard police interview (Mcleod, 2023). In fact, Kebbell and Wagstaff (1999) found that many officers avoided using this technique as it seems less applicable for less serious crime and too complex to use for certain types of crimes, such as a simple shoplift (Dando et al, 2009, p. 491) especially as officers carry such high workloads (Hewitt, 2001). </w:t>
      </w:r>
    </w:p>
    <w:p w14:paraId="0D4226F6" w14:textId="77777777" w:rsidR="00FF6BB4" w:rsidRDefault="00FF6BB4" w:rsidP="00FF6BB4">
      <w:pPr>
        <w:tabs>
          <w:tab w:val="right" w:pos="9026"/>
        </w:tabs>
        <w:rPr>
          <w:rFonts w:ascii="Arial" w:hAnsi="Arial" w:cs="Arial"/>
        </w:rPr>
      </w:pPr>
      <w:r>
        <w:rPr>
          <w:rFonts w:ascii="Arial" w:hAnsi="Arial" w:cs="Arial"/>
        </w:rPr>
        <w:lastRenderedPageBreak/>
        <w:t xml:space="preserve">The CI is only as effective as the interviewing officer makes it. This is highlighted by Clifford and George (1996) who found that some officers use the different components for frequently than others; thus reducing the effectiveness. For example, changing perspective of the interviewee was used less compared to mental reinstatement. This is supported by Milne, Wilcock and Dando (2009) who also found police officers, despite going through the comprehensive training, do not use the CI in its entirety as they are taught and instead still skip the four stages. </w:t>
      </w:r>
    </w:p>
    <w:p w14:paraId="3DDD6CA1" w14:textId="77777777" w:rsidR="00FF6BB4" w:rsidRDefault="00FF6BB4" w:rsidP="00FF6BB4">
      <w:pPr>
        <w:tabs>
          <w:tab w:val="right" w:pos="9026"/>
        </w:tabs>
        <w:rPr>
          <w:rFonts w:ascii="Arial" w:hAnsi="Arial" w:cs="Arial"/>
        </w:rPr>
      </w:pPr>
      <w:r>
        <w:rPr>
          <w:rFonts w:ascii="Arial" w:hAnsi="Arial" w:cs="Arial"/>
        </w:rPr>
        <w:t xml:space="preserve">Another specialist interviewing technique is achieving best evidence (ABE) interviewing. It is the interview technique used for child victim and witnesses as well as adults that may be considered vulnerable or intimidated (GOV.UK, 2022) and was introduced to assist police officers with securing accurate and reliable testimony from these witnesses/victims (Ministry of Justice, 2011). It was also introduced following concerns regarding a child’s ability to give their best evidence in an open court (Home Office, 2022). Section 27 of the Youth Justice and Criminal Evidence Act 1999 allows children and vulnerable/intimidated witnesses to provide an ABE interview as evidence in chief (Legislation, 1999) and then a live link can be used when the witness is cross examined by the defence (CPS, 2023). The main focus during an ABE interview is the emphasis on open questions to allow a free narrative (Welsh Assembly Government, 2004). </w:t>
      </w:r>
    </w:p>
    <w:p w14:paraId="729D3E58" w14:textId="77777777" w:rsidR="00FF6BB4" w:rsidRDefault="00FF6BB4" w:rsidP="00FF6BB4">
      <w:pPr>
        <w:tabs>
          <w:tab w:val="right" w:pos="9026"/>
        </w:tabs>
        <w:rPr>
          <w:rFonts w:ascii="Arial" w:hAnsi="Arial" w:cs="Arial"/>
        </w:rPr>
      </w:pPr>
      <w:r>
        <w:rPr>
          <w:rFonts w:ascii="Arial" w:hAnsi="Arial" w:cs="Arial"/>
        </w:rPr>
        <w:t xml:space="preserve">Prosecutors have emphasised that good interviewers have helped young children effectively describe events by getting them to imagine the scenario in their head and explain what they see, and they found good practice was evident in interviews by using open questions (Bunting et al, 2015, p. 4). Also, using open questions encourage interviewees to recall information from their memory rather than specifying what memories need to be recalled (Cederborg et al, 2013, p.245).  This highlights the importance of a free narrative as it does not shape the answer of the interviewee with what they think the expected answer is and it will not constrain responses; in turn making the answers more accurate and lessening the likelihood of false narratives (Lamb et al, 2007). </w:t>
      </w:r>
    </w:p>
    <w:p w14:paraId="156D985A" w14:textId="77777777" w:rsidR="00FF6BB4" w:rsidRDefault="00FF6BB4" w:rsidP="00FF6BB4">
      <w:pPr>
        <w:tabs>
          <w:tab w:val="right" w:pos="9026"/>
        </w:tabs>
        <w:rPr>
          <w:rFonts w:ascii="Arial" w:hAnsi="Arial" w:cs="Arial"/>
        </w:rPr>
      </w:pPr>
      <w:r>
        <w:rPr>
          <w:rFonts w:ascii="Arial" w:hAnsi="Arial" w:cs="Arial"/>
        </w:rPr>
        <w:t xml:space="preserve">However there are some limitations of ABE interviews. A survey conducted by Bunting et al (2015) found that some officers did not know enough about certain disabilities/disorders that people they were interviewing were affected by; therefore they have a rigid approach to questioning everybody the same way rather than facilitating to people’s different needs. They also found that due to limited staff members being trained in ABE interviewing he process felt rushed and therefore they did not have time to build rapport with the person they were interviewing. As highlighted earlier in the essay, rapport is considered one of the most important factors of conducting a successful interview.  </w:t>
      </w:r>
    </w:p>
    <w:p w14:paraId="287A7B34" w14:textId="77777777" w:rsidR="00FF6BB4" w:rsidRDefault="00FF6BB4" w:rsidP="00FF6BB4">
      <w:pPr>
        <w:tabs>
          <w:tab w:val="right" w:pos="9026"/>
        </w:tabs>
        <w:rPr>
          <w:rFonts w:ascii="Arial" w:hAnsi="Arial" w:cs="Arial"/>
        </w:rPr>
      </w:pPr>
      <w:r>
        <w:rPr>
          <w:rFonts w:ascii="Arial" w:hAnsi="Arial" w:cs="Arial"/>
        </w:rPr>
        <w:t xml:space="preserve">The Criminal Justice Joint Inspection (2014) also scrutinised the use of ABE interviews following an increase in child sexual offences and their aim was to examine whether ABE interviews met the aims intended at its creation to produce the best quality evidence for trail.  This report explained that ABE interviewers do not always follow guidelines set out and no rationale is being recorded as to why guidelines are not being followed. Improvements could be made during the planning stages of the interview to improve the method of questioning and summarising; in turn this would reduce the need for the interview to leave the room to speak to a colleague and leaving the interviewee by themselves. The poor planning also meant that interviewers did not take into consideration what action they may take if the interviewee presented in a way that was not expected and what would be done to overcome this to assist with getting more information out of them. </w:t>
      </w:r>
    </w:p>
    <w:p w14:paraId="7DD550CE" w14:textId="77777777" w:rsidR="00FF6BB4" w:rsidRDefault="00FF6BB4" w:rsidP="00FF6BB4">
      <w:pPr>
        <w:tabs>
          <w:tab w:val="right" w:pos="9026"/>
        </w:tabs>
        <w:rPr>
          <w:rFonts w:ascii="Arial" w:hAnsi="Arial" w:cs="Arial"/>
        </w:rPr>
      </w:pPr>
      <w:r>
        <w:rPr>
          <w:rFonts w:ascii="Arial" w:hAnsi="Arial" w:cs="Arial"/>
        </w:rPr>
        <w:t xml:space="preserve">In conclusion, the development of specialist interviewing techniques has helped investigators gain more in-depth accounts and therefore evidence from witnesses and victims. It has </w:t>
      </w:r>
      <w:r>
        <w:rPr>
          <w:rFonts w:ascii="Arial" w:hAnsi="Arial" w:cs="Arial"/>
        </w:rPr>
        <w:lastRenderedPageBreak/>
        <w:t xml:space="preserve">helped suspects provide more accurate and fair accounts of their narrative of the crime for which they are being investigated for. Rapport and open narrative are largely recognised as being a vital part of effective interviewing for both witnesses and suspects. However, officers need to have the time and the training in order to put these skills to use otherwise they are redundant. </w:t>
      </w:r>
    </w:p>
    <w:p w14:paraId="7B89E3A5" w14:textId="77777777" w:rsidR="00FF6BB4" w:rsidRDefault="00FF6BB4" w:rsidP="00FF6BB4">
      <w:pPr>
        <w:tabs>
          <w:tab w:val="right" w:pos="9026"/>
        </w:tabs>
        <w:rPr>
          <w:rFonts w:ascii="Arial" w:hAnsi="Arial" w:cs="Arial"/>
        </w:rPr>
      </w:pPr>
      <w:r>
        <w:rPr>
          <w:rFonts w:ascii="Arial" w:hAnsi="Arial" w:cs="Arial"/>
        </w:rPr>
        <w:t>WORD COUNT: 1806</w:t>
      </w:r>
    </w:p>
    <w:p w14:paraId="73EF3809" w14:textId="77777777" w:rsidR="00FF6BB4" w:rsidRDefault="00FF6BB4" w:rsidP="00FF6BB4">
      <w:pPr>
        <w:tabs>
          <w:tab w:val="right" w:pos="9026"/>
        </w:tabs>
        <w:rPr>
          <w:rFonts w:ascii="Arial" w:hAnsi="Arial" w:cs="Arial"/>
        </w:rPr>
      </w:pPr>
    </w:p>
    <w:p w14:paraId="3B459E4A" w14:textId="77777777" w:rsidR="00FF6BB4" w:rsidRDefault="00FF6BB4" w:rsidP="00FF6BB4">
      <w:pPr>
        <w:tabs>
          <w:tab w:val="right" w:pos="9026"/>
        </w:tabs>
        <w:rPr>
          <w:rFonts w:ascii="Arial" w:hAnsi="Arial" w:cs="Arial"/>
        </w:rPr>
      </w:pPr>
    </w:p>
    <w:p w14:paraId="78D661CF" w14:textId="77777777" w:rsidR="00FF6BB4" w:rsidRDefault="00FF6BB4" w:rsidP="00FF6BB4">
      <w:pPr>
        <w:tabs>
          <w:tab w:val="right" w:pos="9026"/>
        </w:tabs>
        <w:rPr>
          <w:rFonts w:ascii="Arial" w:hAnsi="Arial" w:cs="Arial"/>
        </w:rPr>
      </w:pPr>
    </w:p>
    <w:p w14:paraId="537335BD" w14:textId="77777777" w:rsidR="00FF6BB4" w:rsidRDefault="00FF6BB4" w:rsidP="00FF6BB4">
      <w:pPr>
        <w:tabs>
          <w:tab w:val="right" w:pos="9026"/>
        </w:tabs>
        <w:rPr>
          <w:rFonts w:ascii="Arial" w:hAnsi="Arial" w:cs="Arial"/>
        </w:rPr>
      </w:pPr>
    </w:p>
    <w:p w14:paraId="05E17119" w14:textId="77777777" w:rsidR="00FF6BB4" w:rsidRDefault="00FF6BB4" w:rsidP="00FF6BB4">
      <w:pPr>
        <w:tabs>
          <w:tab w:val="right" w:pos="9026"/>
        </w:tabs>
        <w:rPr>
          <w:rFonts w:ascii="Arial" w:hAnsi="Arial" w:cs="Arial"/>
        </w:rPr>
      </w:pPr>
    </w:p>
    <w:p w14:paraId="34BC92F7" w14:textId="77777777" w:rsidR="00FF6BB4" w:rsidRDefault="00FF6BB4" w:rsidP="00FF6BB4">
      <w:pPr>
        <w:tabs>
          <w:tab w:val="right" w:pos="9026"/>
        </w:tabs>
        <w:rPr>
          <w:rFonts w:ascii="Arial" w:hAnsi="Arial" w:cs="Arial"/>
        </w:rPr>
      </w:pPr>
    </w:p>
    <w:p w14:paraId="415EE120" w14:textId="77777777" w:rsidR="00FF6BB4" w:rsidRDefault="00FF6BB4" w:rsidP="00FF6BB4">
      <w:pPr>
        <w:tabs>
          <w:tab w:val="right" w:pos="9026"/>
        </w:tabs>
        <w:rPr>
          <w:rFonts w:ascii="Arial" w:hAnsi="Arial" w:cs="Arial"/>
        </w:rPr>
      </w:pPr>
    </w:p>
    <w:p w14:paraId="6FEF68D5" w14:textId="77777777" w:rsidR="00FF6BB4" w:rsidRDefault="00FF6BB4" w:rsidP="00FF6BB4">
      <w:pPr>
        <w:tabs>
          <w:tab w:val="right" w:pos="9026"/>
        </w:tabs>
        <w:rPr>
          <w:rFonts w:ascii="Arial" w:hAnsi="Arial" w:cs="Arial"/>
        </w:rPr>
      </w:pPr>
    </w:p>
    <w:p w14:paraId="4E9595E9" w14:textId="77777777" w:rsidR="00FF6BB4" w:rsidRDefault="00FF6BB4" w:rsidP="00FF6BB4">
      <w:pPr>
        <w:tabs>
          <w:tab w:val="right" w:pos="9026"/>
        </w:tabs>
        <w:rPr>
          <w:rFonts w:ascii="Arial" w:hAnsi="Arial" w:cs="Arial"/>
        </w:rPr>
      </w:pPr>
    </w:p>
    <w:p w14:paraId="5BA4E016" w14:textId="77777777" w:rsidR="00FF6BB4" w:rsidRDefault="00FF6BB4" w:rsidP="00FF6BB4">
      <w:pPr>
        <w:tabs>
          <w:tab w:val="right" w:pos="9026"/>
        </w:tabs>
        <w:rPr>
          <w:rFonts w:ascii="Arial" w:hAnsi="Arial" w:cs="Arial"/>
        </w:rPr>
      </w:pPr>
    </w:p>
    <w:p w14:paraId="5F35A107" w14:textId="77777777" w:rsidR="00FF6BB4" w:rsidRDefault="00FF6BB4" w:rsidP="00FF6BB4">
      <w:pPr>
        <w:tabs>
          <w:tab w:val="right" w:pos="9026"/>
        </w:tabs>
        <w:rPr>
          <w:rFonts w:ascii="Arial" w:hAnsi="Arial" w:cs="Arial"/>
        </w:rPr>
      </w:pPr>
    </w:p>
    <w:p w14:paraId="276F7F1B" w14:textId="77777777" w:rsidR="00FF6BB4" w:rsidRDefault="00FF6BB4" w:rsidP="00FF6BB4">
      <w:pPr>
        <w:tabs>
          <w:tab w:val="right" w:pos="9026"/>
        </w:tabs>
        <w:rPr>
          <w:rFonts w:ascii="Arial" w:hAnsi="Arial" w:cs="Arial"/>
        </w:rPr>
      </w:pPr>
    </w:p>
    <w:p w14:paraId="7B6C086B" w14:textId="77777777" w:rsidR="00FF6BB4" w:rsidRDefault="00FF6BB4" w:rsidP="00FF6BB4">
      <w:pPr>
        <w:tabs>
          <w:tab w:val="right" w:pos="9026"/>
        </w:tabs>
        <w:rPr>
          <w:rFonts w:ascii="Arial" w:hAnsi="Arial" w:cs="Arial"/>
        </w:rPr>
      </w:pPr>
    </w:p>
    <w:p w14:paraId="7A8BFA5C" w14:textId="77777777" w:rsidR="00FF6BB4" w:rsidRPr="0069386D" w:rsidRDefault="00FF6BB4" w:rsidP="00FF6BB4">
      <w:pPr>
        <w:tabs>
          <w:tab w:val="right" w:pos="9026"/>
        </w:tabs>
        <w:rPr>
          <w:rFonts w:ascii="Arial" w:hAnsi="Arial" w:cs="Arial"/>
        </w:rPr>
      </w:pPr>
    </w:p>
    <w:p w14:paraId="6710A79C" w14:textId="77777777" w:rsidR="00FF6BB4" w:rsidRDefault="00FF6BB4" w:rsidP="00FF6BB4">
      <w:pPr>
        <w:tabs>
          <w:tab w:val="right" w:pos="9026"/>
        </w:tabs>
        <w:rPr>
          <w:rFonts w:ascii="Arial" w:hAnsi="Arial" w:cs="Arial"/>
        </w:rPr>
      </w:pPr>
    </w:p>
    <w:p w14:paraId="04FB062F" w14:textId="77777777" w:rsidR="00FF6BB4" w:rsidRDefault="00FF6BB4" w:rsidP="00FF6BB4">
      <w:pPr>
        <w:tabs>
          <w:tab w:val="right" w:pos="9026"/>
        </w:tabs>
        <w:rPr>
          <w:rFonts w:ascii="Arial" w:hAnsi="Arial" w:cs="Arial"/>
        </w:rPr>
      </w:pPr>
    </w:p>
    <w:p w14:paraId="2D28EBE1" w14:textId="77777777" w:rsidR="00FF6BB4" w:rsidRDefault="00FF6BB4" w:rsidP="00FF6BB4">
      <w:pPr>
        <w:tabs>
          <w:tab w:val="right" w:pos="9026"/>
        </w:tabs>
        <w:rPr>
          <w:rFonts w:ascii="Arial" w:hAnsi="Arial" w:cs="Arial"/>
        </w:rPr>
      </w:pPr>
    </w:p>
    <w:p w14:paraId="15EDD010" w14:textId="77777777" w:rsidR="00FF6BB4" w:rsidRDefault="00FF6BB4" w:rsidP="00FF6BB4">
      <w:pPr>
        <w:tabs>
          <w:tab w:val="right" w:pos="9026"/>
        </w:tabs>
        <w:rPr>
          <w:rFonts w:ascii="Arial" w:hAnsi="Arial" w:cs="Arial"/>
        </w:rPr>
      </w:pPr>
    </w:p>
    <w:p w14:paraId="5F53A790" w14:textId="77777777" w:rsidR="00FF6BB4" w:rsidRDefault="00FF6BB4" w:rsidP="00FF6BB4">
      <w:pPr>
        <w:tabs>
          <w:tab w:val="right" w:pos="9026"/>
        </w:tabs>
        <w:rPr>
          <w:rFonts w:ascii="Arial" w:hAnsi="Arial" w:cs="Arial"/>
        </w:rPr>
      </w:pPr>
    </w:p>
    <w:p w14:paraId="27503088" w14:textId="77777777" w:rsidR="00FF6BB4" w:rsidRDefault="00FF6BB4" w:rsidP="00FF6BB4">
      <w:pPr>
        <w:tabs>
          <w:tab w:val="right" w:pos="9026"/>
        </w:tabs>
        <w:rPr>
          <w:rFonts w:ascii="Arial" w:hAnsi="Arial" w:cs="Arial"/>
        </w:rPr>
      </w:pPr>
    </w:p>
    <w:p w14:paraId="4A62967D" w14:textId="77777777" w:rsidR="00FF6BB4" w:rsidRDefault="00FF6BB4" w:rsidP="00FF6BB4">
      <w:pPr>
        <w:tabs>
          <w:tab w:val="right" w:pos="9026"/>
        </w:tabs>
        <w:rPr>
          <w:rFonts w:ascii="Arial" w:hAnsi="Arial" w:cs="Arial"/>
        </w:rPr>
      </w:pPr>
    </w:p>
    <w:p w14:paraId="43342562" w14:textId="77777777" w:rsidR="00FF6BB4" w:rsidRDefault="00FF6BB4" w:rsidP="00FF6BB4">
      <w:pPr>
        <w:tabs>
          <w:tab w:val="right" w:pos="9026"/>
        </w:tabs>
        <w:rPr>
          <w:rFonts w:ascii="Arial" w:hAnsi="Arial" w:cs="Arial"/>
        </w:rPr>
      </w:pPr>
    </w:p>
    <w:p w14:paraId="428AF0A0" w14:textId="77777777" w:rsidR="00FF6BB4" w:rsidRDefault="00FF6BB4" w:rsidP="00FF6BB4">
      <w:pPr>
        <w:tabs>
          <w:tab w:val="right" w:pos="9026"/>
        </w:tabs>
        <w:rPr>
          <w:rFonts w:ascii="Arial" w:hAnsi="Arial" w:cs="Arial"/>
        </w:rPr>
      </w:pPr>
    </w:p>
    <w:p w14:paraId="673E03AA" w14:textId="77777777" w:rsidR="00FF6BB4" w:rsidRDefault="00FF6BB4" w:rsidP="00FF6BB4">
      <w:pPr>
        <w:tabs>
          <w:tab w:val="right" w:pos="9026"/>
        </w:tabs>
        <w:rPr>
          <w:rFonts w:ascii="Arial" w:hAnsi="Arial" w:cs="Arial"/>
        </w:rPr>
      </w:pPr>
    </w:p>
    <w:p w14:paraId="511F6CEB" w14:textId="77777777" w:rsidR="00FF6BB4" w:rsidRDefault="00FF6BB4" w:rsidP="00FF6BB4">
      <w:pPr>
        <w:tabs>
          <w:tab w:val="right" w:pos="9026"/>
        </w:tabs>
        <w:rPr>
          <w:rFonts w:ascii="Arial" w:hAnsi="Arial" w:cs="Arial"/>
        </w:rPr>
      </w:pPr>
    </w:p>
    <w:p w14:paraId="3DA25D3F" w14:textId="77777777" w:rsidR="00FF6BB4" w:rsidRDefault="00FF6BB4" w:rsidP="00FF6BB4">
      <w:pPr>
        <w:tabs>
          <w:tab w:val="right" w:pos="9026"/>
        </w:tabs>
        <w:rPr>
          <w:rFonts w:ascii="Arial" w:hAnsi="Arial" w:cs="Arial"/>
        </w:rPr>
      </w:pPr>
    </w:p>
    <w:p w14:paraId="18E0069E" w14:textId="77777777" w:rsidR="00FF6BB4" w:rsidRDefault="00FF6BB4" w:rsidP="00FF6BB4">
      <w:pPr>
        <w:tabs>
          <w:tab w:val="right" w:pos="9026"/>
        </w:tabs>
        <w:rPr>
          <w:rFonts w:ascii="Arial" w:hAnsi="Arial" w:cs="Arial"/>
        </w:rPr>
      </w:pPr>
    </w:p>
    <w:p w14:paraId="656A8EDF" w14:textId="77777777" w:rsidR="00FF6BB4" w:rsidRDefault="00FF6BB4" w:rsidP="00FF6BB4">
      <w:pPr>
        <w:tabs>
          <w:tab w:val="right" w:pos="9026"/>
        </w:tabs>
        <w:rPr>
          <w:rFonts w:ascii="Arial" w:hAnsi="Arial" w:cs="Arial"/>
        </w:rPr>
      </w:pPr>
    </w:p>
    <w:p w14:paraId="43F7F90C" w14:textId="77777777" w:rsidR="00FF6BB4" w:rsidRPr="004931ED" w:rsidRDefault="00FF6BB4" w:rsidP="00FF6BB4">
      <w:pPr>
        <w:tabs>
          <w:tab w:val="right" w:pos="9026"/>
        </w:tabs>
        <w:rPr>
          <w:rFonts w:ascii="Arial" w:hAnsi="Arial" w:cs="Arial"/>
          <w:b/>
          <w:bCs/>
          <w:u w:val="single"/>
        </w:rPr>
      </w:pPr>
      <w:r w:rsidRPr="004931ED">
        <w:rPr>
          <w:rFonts w:ascii="Arial" w:hAnsi="Arial" w:cs="Arial"/>
          <w:b/>
          <w:bCs/>
          <w:u w:val="single"/>
        </w:rPr>
        <w:lastRenderedPageBreak/>
        <w:t xml:space="preserve">Bibliography </w:t>
      </w:r>
    </w:p>
    <w:p w14:paraId="1B1A1AC0"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ACPO (2001) </w:t>
      </w:r>
      <w:r w:rsidRPr="001D718C">
        <w:rPr>
          <w:rFonts w:ascii="Arial" w:hAnsi="Arial" w:cs="Arial"/>
          <w:i/>
          <w:iCs/>
          <w:sz w:val="20"/>
          <w:szCs w:val="20"/>
        </w:rPr>
        <w:t>Investigative Interviewing Strategy</w:t>
      </w:r>
      <w:r w:rsidRPr="001D718C">
        <w:rPr>
          <w:rFonts w:ascii="Arial" w:hAnsi="Arial" w:cs="Arial"/>
          <w:sz w:val="20"/>
          <w:szCs w:val="20"/>
        </w:rPr>
        <w:t>, UK: Wybosten</w:t>
      </w:r>
    </w:p>
    <w:p w14:paraId="538105F9"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Ballenger et al (2011) ‘Patterns and predictors of alcohol use in male and female urban police officers’ </w:t>
      </w:r>
      <w:r w:rsidRPr="00B12DB3">
        <w:rPr>
          <w:rFonts w:ascii="Arial" w:hAnsi="Arial" w:cs="Arial"/>
          <w:i/>
          <w:iCs/>
          <w:sz w:val="20"/>
          <w:szCs w:val="20"/>
        </w:rPr>
        <w:t>The American Journal On Addictions,</w:t>
      </w:r>
      <w:r w:rsidRPr="001D718C">
        <w:rPr>
          <w:rFonts w:ascii="Arial" w:hAnsi="Arial" w:cs="Arial"/>
          <w:sz w:val="20"/>
          <w:szCs w:val="20"/>
        </w:rPr>
        <w:t xml:space="preserve"> 20(1), pp. 21-21. DOI: 10.1111/j.1521-0391.2010.00092.x</w:t>
      </w:r>
    </w:p>
    <w:p w14:paraId="17CF1393"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Birch, G.</w:t>
      </w:r>
      <w:r>
        <w:rPr>
          <w:rFonts w:ascii="Arial" w:hAnsi="Arial" w:cs="Arial"/>
          <w:sz w:val="20"/>
          <w:szCs w:val="20"/>
        </w:rPr>
        <w:t xml:space="preserve"> et al</w:t>
      </w:r>
      <w:r w:rsidRPr="001D718C">
        <w:rPr>
          <w:rFonts w:ascii="Arial" w:hAnsi="Arial" w:cs="Arial"/>
          <w:sz w:val="20"/>
          <w:szCs w:val="20"/>
        </w:rPr>
        <w:t xml:space="preserve"> (2016) ‘Procedural Justice and Frontline Proceeding: The Effect </w:t>
      </w:r>
      <w:r>
        <w:rPr>
          <w:rFonts w:ascii="Arial" w:hAnsi="Arial" w:cs="Arial"/>
          <w:sz w:val="20"/>
          <w:szCs w:val="20"/>
        </w:rPr>
        <w:t>o</w:t>
      </w:r>
      <w:r w:rsidRPr="001D718C">
        <w:rPr>
          <w:rFonts w:ascii="Arial" w:hAnsi="Arial" w:cs="Arial"/>
          <w:sz w:val="20"/>
          <w:szCs w:val="20"/>
        </w:rPr>
        <w:t xml:space="preserve">f </w:t>
      </w:r>
      <w:r>
        <w:rPr>
          <w:rFonts w:ascii="Arial" w:hAnsi="Arial" w:cs="Arial"/>
          <w:sz w:val="20"/>
          <w:szCs w:val="20"/>
        </w:rPr>
        <w:t>t</w:t>
      </w:r>
      <w:r w:rsidRPr="001D718C">
        <w:rPr>
          <w:rFonts w:ascii="Arial" w:hAnsi="Arial" w:cs="Arial"/>
          <w:sz w:val="20"/>
          <w:szCs w:val="20"/>
        </w:rPr>
        <w:t xml:space="preserve">he Police Complaints System.’ </w:t>
      </w:r>
      <w:r w:rsidRPr="00B12DB3">
        <w:rPr>
          <w:rFonts w:ascii="Arial" w:hAnsi="Arial" w:cs="Arial"/>
          <w:i/>
          <w:iCs/>
          <w:sz w:val="20"/>
          <w:szCs w:val="20"/>
        </w:rPr>
        <w:t>The Journal of Forensic Practice</w:t>
      </w:r>
      <w:r w:rsidRPr="001D718C">
        <w:rPr>
          <w:rFonts w:ascii="Arial" w:hAnsi="Arial" w:cs="Arial"/>
          <w:sz w:val="20"/>
          <w:szCs w:val="20"/>
        </w:rPr>
        <w:t xml:space="preserve">, 68(5), pp. 748-766 </w:t>
      </w:r>
    </w:p>
    <w:p w14:paraId="7E2EBA60"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British Transport Police (2024), </w:t>
      </w:r>
      <w:r w:rsidRPr="001D718C">
        <w:rPr>
          <w:rFonts w:ascii="Arial" w:hAnsi="Arial" w:cs="Arial"/>
          <w:i/>
          <w:iCs/>
          <w:sz w:val="20"/>
          <w:szCs w:val="20"/>
        </w:rPr>
        <w:t>London bombings of 2005</w:t>
      </w:r>
      <w:r w:rsidRPr="001D718C">
        <w:rPr>
          <w:rFonts w:ascii="Arial" w:hAnsi="Arial" w:cs="Arial"/>
          <w:sz w:val="20"/>
          <w:szCs w:val="20"/>
        </w:rPr>
        <w:t>. Available at https://www.btp.police.uk/police-forces/british-transport-police/areas/about-us/about-us/our-history/london-bombings-of-2005/ (Accessed: 5</w:t>
      </w:r>
      <w:r w:rsidRPr="001D718C">
        <w:rPr>
          <w:rFonts w:ascii="Arial" w:hAnsi="Arial" w:cs="Arial"/>
          <w:sz w:val="20"/>
          <w:szCs w:val="20"/>
          <w:vertAlign w:val="superscript"/>
        </w:rPr>
        <w:t>th</w:t>
      </w:r>
      <w:r w:rsidRPr="001D718C">
        <w:rPr>
          <w:rFonts w:ascii="Arial" w:hAnsi="Arial" w:cs="Arial"/>
          <w:sz w:val="20"/>
          <w:szCs w:val="20"/>
        </w:rPr>
        <w:t xml:space="preserve"> April 2024) </w:t>
      </w:r>
    </w:p>
    <w:p w14:paraId="61B0FC1E" w14:textId="77777777" w:rsidR="00FF6BB4" w:rsidRPr="001D718C" w:rsidRDefault="00FF6BB4" w:rsidP="00FF6BB4">
      <w:pPr>
        <w:rPr>
          <w:rFonts w:ascii="Arial" w:eastAsia="Times New Roman" w:hAnsi="Arial" w:cs="Arial"/>
          <w:color w:val="000000" w:themeColor="text1"/>
          <w:sz w:val="20"/>
          <w:szCs w:val="20"/>
          <w:lang w:eastAsia="en-GB"/>
        </w:rPr>
      </w:pPr>
      <w:r w:rsidRPr="001D718C">
        <w:rPr>
          <w:rFonts w:ascii="Arial" w:hAnsi="Arial" w:cs="Arial"/>
          <w:color w:val="000000" w:themeColor="text1"/>
          <w:sz w:val="20"/>
          <w:szCs w:val="20"/>
        </w:rPr>
        <w:t xml:space="preserve">Brown O, Power N, and Conchie S (2021) ‘Communication and coordination across event phases: A multi-team system emergency response’, </w:t>
      </w:r>
      <w:r w:rsidRPr="001D718C">
        <w:rPr>
          <w:rFonts w:ascii="Arial" w:hAnsi="Arial" w:cs="Arial"/>
          <w:i/>
          <w:iCs/>
          <w:color w:val="000000" w:themeColor="text1"/>
          <w:sz w:val="20"/>
          <w:szCs w:val="20"/>
        </w:rPr>
        <w:t>Journal of Occupational and Organisational Psychology</w:t>
      </w:r>
      <w:r w:rsidRPr="001D718C">
        <w:rPr>
          <w:rFonts w:ascii="Arial" w:hAnsi="Arial" w:cs="Arial"/>
          <w:color w:val="000000" w:themeColor="text1"/>
          <w:sz w:val="20"/>
          <w:szCs w:val="20"/>
        </w:rPr>
        <w:t xml:space="preserve">, 94(3), pp. 591-615 Available at </w:t>
      </w:r>
      <w:r w:rsidRPr="001D718C">
        <w:rPr>
          <w:rFonts w:ascii="Arial" w:eastAsia="Times New Roman" w:hAnsi="Arial" w:cs="Arial"/>
          <w:color w:val="000000" w:themeColor="text1"/>
          <w:sz w:val="20"/>
          <w:szCs w:val="20"/>
          <w:shd w:val="clear" w:color="auto" w:fill="FFFFFF"/>
          <w:lang w:eastAsia="en-GB"/>
        </w:rPr>
        <w:t>https://doi.org/10.1111/joop.12349</w:t>
      </w:r>
    </w:p>
    <w:p w14:paraId="5DC505DB"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Brown, O., Power, N., Conchie, S. (2021) ‘Communication and coordination across event phases: A multi-tam system emergency response’, </w:t>
      </w:r>
      <w:r w:rsidRPr="001D718C">
        <w:rPr>
          <w:rFonts w:ascii="Arial" w:hAnsi="Arial" w:cs="Arial"/>
          <w:i/>
          <w:iCs/>
          <w:sz w:val="20"/>
          <w:szCs w:val="20"/>
        </w:rPr>
        <w:t>Journal of occupational and Organizational Psychology</w:t>
      </w:r>
      <w:r w:rsidRPr="001D718C">
        <w:rPr>
          <w:rFonts w:ascii="Arial" w:hAnsi="Arial" w:cs="Arial"/>
          <w:sz w:val="20"/>
          <w:szCs w:val="20"/>
        </w:rPr>
        <w:t>, 94(3), pp. 591-615. DOI: 10.1111/joop.12349</w:t>
      </w:r>
    </w:p>
    <w:p w14:paraId="6A7E7F2B"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Bull, R (2023) ‘Improving the interviewing of Suspects using the PEACE Model: A comprehensive overview’, Canadian Journal of Criminology and Criminal Justice, 65(1), pp 80-91</w:t>
      </w:r>
    </w:p>
    <w:p w14:paraId="11E181F2"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Bunting L., Carr, N., Hayes, D., Marshall, J (2015) ‘Good Practice in Achieving Bets Evidence Interview with Child Witnesses in Northern Ireland’ </w:t>
      </w:r>
      <w:r w:rsidRPr="001D718C">
        <w:rPr>
          <w:rFonts w:ascii="Arial" w:hAnsi="Arial" w:cs="Arial"/>
          <w:i/>
          <w:iCs/>
          <w:sz w:val="20"/>
          <w:szCs w:val="20"/>
        </w:rPr>
        <w:t>Criminal Justice Perspectives</w:t>
      </w:r>
      <w:r w:rsidRPr="001D718C">
        <w:rPr>
          <w:rFonts w:ascii="Arial" w:hAnsi="Arial" w:cs="Arial"/>
          <w:sz w:val="20"/>
          <w:szCs w:val="20"/>
        </w:rPr>
        <w:t>, pp. 1-79</w:t>
      </w:r>
    </w:p>
    <w:p w14:paraId="1342D4EB"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Cederborg et al (2013) ‘Investigative interviewing of alleged child abuse victims: an evaluation of a new training program for investigative interviewers’, </w:t>
      </w:r>
      <w:r w:rsidRPr="001D718C">
        <w:rPr>
          <w:rFonts w:ascii="Arial" w:hAnsi="Arial" w:cs="Arial"/>
          <w:i/>
          <w:iCs/>
          <w:sz w:val="20"/>
          <w:szCs w:val="20"/>
        </w:rPr>
        <w:t>Police Practice and Research</w:t>
      </w:r>
      <w:r w:rsidRPr="001D718C">
        <w:rPr>
          <w:rFonts w:ascii="Arial" w:hAnsi="Arial" w:cs="Arial"/>
          <w:sz w:val="20"/>
          <w:szCs w:val="20"/>
        </w:rPr>
        <w:t>, 14(3), pp. 242-254. DOI: 10.1080/15614263.2012.712292</w:t>
      </w:r>
    </w:p>
    <w:p w14:paraId="05EEF119"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Clarke and Milne (2001) ‘National Evaluation of the PEACE investigative interviewing course’, </w:t>
      </w:r>
      <w:r w:rsidRPr="001D718C">
        <w:rPr>
          <w:rFonts w:ascii="Arial" w:hAnsi="Arial" w:cs="Arial"/>
          <w:i/>
          <w:iCs/>
          <w:sz w:val="20"/>
          <w:szCs w:val="20"/>
        </w:rPr>
        <w:t>Police Research Award Scheme Report</w:t>
      </w:r>
      <w:r w:rsidRPr="001D718C">
        <w:rPr>
          <w:rFonts w:ascii="Arial" w:hAnsi="Arial" w:cs="Arial"/>
          <w:sz w:val="20"/>
          <w:szCs w:val="20"/>
        </w:rPr>
        <w:t xml:space="preserve">, London: Home Office </w:t>
      </w:r>
    </w:p>
    <w:p w14:paraId="3AA408A0" w14:textId="77777777" w:rsidR="00FF6BB4" w:rsidRPr="001D718C" w:rsidRDefault="00FF6BB4" w:rsidP="00FF6BB4">
      <w:pPr>
        <w:tabs>
          <w:tab w:val="right" w:pos="9026"/>
        </w:tabs>
        <w:rPr>
          <w:rFonts w:ascii="Arial" w:hAnsi="Arial" w:cs="Arial"/>
          <w:color w:val="000000" w:themeColor="text1"/>
          <w:sz w:val="20"/>
          <w:szCs w:val="20"/>
        </w:rPr>
      </w:pPr>
      <w:r w:rsidRPr="001D718C">
        <w:rPr>
          <w:rFonts w:ascii="Arial" w:hAnsi="Arial" w:cs="Arial"/>
          <w:color w:val="000000" w:themeColor="text1"/>
          <w:sz w:val="20"/>
          <w:szCs w:val="20"/>
        </w:rPr>
        <w:t>Clifford, B., George, R (1996) ‘A field evaluation of training in three methods of witness/victim investigative interviewing’ Psychology, Crime and Law, 2(1), pp. 231-248</w:t>
      </w:r>
    </w:p>
    <w:p w14:paraId="41EBB2F9"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College of Policing (2013) </w:t>
      </w:r>
      <w:r w:rsidRPr="001D718C">
        <w:rPr>
          <w:rFonts w:ascii="Arial" w:hAnsi="Arial" w:cs="Arial"/>
          <w:i/>
          <w:iCs/>
          <w:sz w:val="20"/>
          <w:szCs w:val="20"/>
        </w:rPr>
        <w:t xml:space="preserve">Definitions. </w:t>
      </w:r>
      <w:r w:rsidRPr="001D718C">
        <w:rPr>
          <w:rFonts w:ascii="Arial" w:hAnsi="Arial" w:cs="Arial"/>
          <w:sz w:val="20"/>
          <w:szCs w:val="20"/>
        </w:rPr>
        <w:t>Available at https://www.college.police.uk/app/civil-emergencies/disaster-victim-identification/definitions (Accessed: 5</w:t>
      </w:r>
      <w:r w:rsidRPr="001D718C">
        <w:rPr>
          <w:rFonts w:ascii="Arial" w:hAnsi="Arial" w:cs="Arial"/>
          <w:sz w:val="20"/>
          <w:szCs w:val="20"/>
          <w:vertAlign w:val="superscript"/>
        </w:rPr>
        <w:t>th</w:t>
      </w:r>
      <w:r w:rsidRPr="001D718C">
        <w:rPr>
          <w:rFonts w:ascii="Arial" w:hAnsi="Arial" w:cs="Arial"/>
          <w:sz w:val="20"/>
          <w:szCs w:val="20"/>
        </w:rPr>
        <w:t xml:space="preserve"> April 2024) </w:t>
      </w:r>
    </w:p>
    <w:p w14:paraId="0A3DD3ED"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College of Policing (2013) </w:t>
      </w:r>
      <w:r w:rsidRPr="00AF065A">
        <w:rPr>
          <w:rFonts w:ascii="Arial" w:hAnsi="Arial" w:cs="Arial"/>
          <w:i/>
          <w:iCs/>
          <w:sz w:val="20"/>
          <w:szCs w:val="20"/>
        </w:rPr>
        <w:t>Investigative Interviewing</w:t>
      </w:r>
      <w:r w:rsidRPr="001D718C">
        <w:rPr>
          <w:rFonts w:ascii="Arial" w:hAnsi="Arial" w:cs="Arial"/>
          <w:sz w:val="20"/>
          <w:szCs w:val="20"/>
        </w:rPr>
        <w:t>. Available at https://www.college.police.uk/app/investigation/investigative-interviewing (Accessed 22</w:t>
      </w:r>
      <w:r w:rsidRPr="001D718C">
        <w:rPr>
          <w:rFonts w:ascii="Arial" w:hAnsi="Arial" w:cs="Arial"/>
          <w:sz w:val="20"/>
          <w:szCs w:val="20"/>
          <w:vertAlign w:val="superscript"/>
        </w:rPr>
        <w:t>nd</w:t>
      </w:r>
      <w:r w:rsidRPr="001D718C">
        <w:rPr>
          <w:rFonts w:ascii="Arial" w:hAnsi="Arial" w:cs="Arial"/>
          <w:sz w:val="20"/>
          <w:szCs w:val="20"/>
        </w:rPr>
        <w:t xml:space="preserve"> May 2024)</w:t>
      </w:r>
    </w:p>
    <w:p w14:paraId="00F7D9EF"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College of Policing (2021) </w:t>
      </w:r>
      <w:r w:rsidRPr="001D718C">
        <w:rPr>
          <w:rFonts w:ascii="Arial" w:hAnsi="Arial" w:cs="Arial"/>
          <w:i/>
          <w:iCs/>
          <w:sz w:val="20"/>
          <w:szCs w:val="20"/>
        </w:rPr>
        <w:t>Introduction and types of critical incidents.</w:t>
      </w:r>
      <w:r w:rsidRPr="001D718C">
        <w:rPr>
          <w:rFonts w:ascii="Arial" w:hAnsi="Arial" w:cs="Arial"/>
          <w:sz w:val="20"/>
          <w:szCs w:val="20"/>
        </w:rPr>
        <w:t xml:space="preserve"> Available at https://www.college.police.uk/app/critical-incident-management/introduction-and-types-critical-incidents (Accessed: 5</w:t>
      </w:r>
      <w:r w:rsidRPr="001D718C">
        <w:rPr>
          <w:rFonts w:ascii="Arial" w:hAnsi="Arial" w:cs="Arial"/>
          <w:sz w:val="20"/>
          <w:szCs w:val="20"/>
          <w:vertAlign w:val="superscript"/>
        </w:rPr>
        <w:t>th</w:t>
      </w:r>
      <w:r w:rsidRPr="001D718C">
        <w:rPr>
          <w:rFonts w:ascii="Arial" w:hAnsi="Arial" w:cs="Arial"/>
          <w:sz w:val="20"/>
          <w:szCs w:val="20"/>
        </w:rPr>
        <w:t xml:space="preserve"> April 2024) </w:t>
      </w:r>
    </w:p>
    <w:p w14:paraId="3F704718" w14:textId="77777777" w:rsidR="00FF6BB4" w:rsidRDefault="00FF6BB4" w:rsidP="00FF6BB4">
      <w:pPr>
        <w:tabs>
          <w:tab w:val="right" w:pos="9026"/>
        </w:tabs>
        <w:rPr>
          <w:rFonts w:ascii="Arial" w:hAnsi="Arial" w:cs="Arial"/>
          <w:sz w:val="20"/>
          <w:szCs w:val="20"/>
        </w:rPr>
      </w:pPr>
      <w:r w:rsidRPr="001D718C">
        <w:rPr>
          <w:rFonts w:ascii="Arial" w:hAnsi="Arial" w:cs="Arial"/>
          <w:sz w:val="20"/>
          <w:szCs w:val="20"/>
        </w:rPr>
        <w:t xml:space="preserve">Cooke (2005) ‘Issues Concerning Visibility and Reassurance Provided By The New Policing Family’ </w:t>
      </w:r>
      <w:r w:rsidRPr="001D718C">
        <w:rPr>
          <w:rFonts w:ascii="Arial" w:hAnsi="Arial" w:cs="Arial"/>
          <w:i/>
          <w:iCs/>
          <w:sz w:val="20"/>
          <w:szCs w:val="20"/>
        </w:rPr>
        <w:t>Journal of community and applied social psychology</w:t>
      </w:r>
      <w:r w:rsidRPr="001D718C">
        <w:rPr>
          <w:rFonts w:ascii="Arial" w:hAnsi="Arial" w:cs="Arial"/>
          <w:sz w:val="20"/>
          <w:szCs w:val="20"/>
        </w:rPr>
        <w:t>, 15(1), pp 229-240.</w:t>
      </w:r>
    </w:p>
    <w:p w14:paraId="51643012"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CPS (2023) </w:t>
      </w:r>
      <w:r w:rsidRPr="001D718C">
        <w:rPr>
          <w:rFonts w:ascii="Arial" w:hAnsi="Arial" w:cs="Arial"/>
          <w:i/>
          <w:iCs/>
          <w:sz w:val="20"/>
          <w:szCs w:val="20"/>
        </w:rPr>
        <w:t>Special Measures</w:t>
      </w:r>
      <w:r w:rsidRPr="001D718C">
        <w:rPr>
          <w:rFonts w:ascii="Arial" w:hAnsi="Arial" w:cs="Arial"/>
          <w:sz w:val="20"/>
          <w:szCs w:val="20"/>
        </w:rPr>
        <w:t>. Available at https://www.cps.gov.uk/legal-guidance/special-measures (Accessed: 22</w:t>
      </w:r>
      <w:r w:rsidRPr="001D718C">
        <w:rPr>
          <w:rFonts w:ascii="Arial" w:hAnsi="Arial" w:cs="Arial"/>
          <w:sz w:val="20"/>
          <w:szCs w:val="20"/>
          <w:vertAlign w:val="superscript"/>
        </w:rPr>
        <w:t>nd</w:t>
      </w:r>
      <w:r w:rsidRPr="001D718C">
        <w:rPr>
          <w:rFonts w:ascii="Arial" w:hAnsi="Arial" w:cs="Arial"/>
          <w:sz w:val="20"/>
          <w:szCs w:val="20"/>
        </w:rPr>
        <w:t xml:space="preserve"> May 2024) </w:t>
      </w:r>
    </w:p>
    <w:p w14:paraId="0B950B5E"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Criminal Justice Joint Inspection (2014) </w:t>
      </w:r>
      <w:r w:rsidRPr="00F05CC0">
        <w:rPr>
          <w:rFonts w:ascii="Arial" w:hAnsi="Arial" w:cs="Arial"/>
          <w:i/>
          <w:iCs/>
          <w:sz w:val="20"/>
          <w:szCs w:val="20"/>
        </w:rPr>
        <w:t>Achieving Best Evidence in Child Sexual Abuse Cases – A Joint Inspection.</w:t>
      </w:r>
      <w:r w:rsidRPr="001D718C">
        <w:rPr>
          <w:rFonts w:ascii="Arial" w:hAnsi="Arial" w:cs="Arial"/>
          <w:sz w:val="20"/>
          <w:szCs w:val="20"/>
        </w:rPr>
        <w:t xml:space="preserve"> Available at https://www.justiceinspectorates.gov.uk/cjji/wp-content/uploads/sites/2/2014/12/CJJI_ABE_Dec14_rpt.pdf (Accessed: 22</w:t>
      </w:r>
      <w:r w:rsidRPr="001D718C">
        <w:rPr>
          <w:rFonts w:ascii="Arial" w:hAnsi="Arial" w:cs="Arial"/>
          <w:sz w:val="20"/>
          <w:szCs w:val="20"/>
          <w:vertAlign w:val="superscript"/>
        </w:rPr>
        <w:t>nd</w:t>
      </w:r>
      <w:r w:rsidRPr="001D718C">
        <w:rPr>
          <w:rFonts w:ascii="Arial" w:hAnsi="Arial" w:cs="Arial"/>
          <w:sz w:val="20"/>
          <w:szCs w:val="20"/>
        </w:rPr>
        <w:t xml:space="preserve"> May 2024) </w:t>
      </w:r>
    </w:p>
    <w:p w14:paraId="6FE1CD0B" w14:textId="77777777" w:rsidR="00FF6BB4" w:rsidRPr="001D718C" w:rsidRDefault="00FF6BB4" w:rsidP="00FF6BB4">
      <w:pPr>
        <w:tabs>
          <w:tab w:val="right" w:pos="9026"/>
        </w:tabs>
        <w:rPr>
          <w:rFonts w:ascii="Arial" w:hAnsi="Arial" w:cs="Arial"/>
          <w:color w:val="000000" w:themeColor="text1"/>
          <w:sz w:val="20"/>
          <w:szCs w:val="20"/>
        </w:rPr>
      </w:pPr>
      <w:r w:rsidRPr="001D718C">
        <w:rPr>
          <w:rFonts w:ascii="Arial" w:hAnsi="Arial" w:cs="Arial"/>
          <w:color w:val="000000" w:themeColor="text1"/>
          <w:sz w:val="20"/>
          <w:szCs w:val="20"/>
          <w:shd w:val="clear" w:color="auto" w:fill="FFFFFF"/>
        </w:rPr>
        <w:t>Dando, C. J. </w:t>
      </w:r>
      <w:r w:rsidRPr="001D718C">
        <w:rPr>
          <w:rFonts w:ascii="Arial" w:hAnsi="Arial" w:cs="Arial"/>
          <w:i/>
          <w:iCs/>
          <w:color w:val="000000" w:themeColor="text1"/>
          <w:sz w:val="20"/>
          <w:szCs w:val="20"/>
          <w:shd w:val="clear" w:color="auto" w:fill="FFFFFF"/>
        </w:rPr>
        <w:t>et al.</w:t>
      </w:r>
      <w:r w:rsidRPr="001D718C">
        <w:rPr>
          <w:rFonts w:ascii="Arial" w:hAnsi="Arial" w:cs="Arial"/>
          <w:color w:val="000000" w:themeColor="text1"/>
          <w:sz w:val="20"/>
          <w:szCs w:val="20"/>
          <w:shd w:val="clear" w:color="auto" w:fill="FFFFFF"/>
        </w:rPr>
        <w:t> (2011) ‘Modifying the Cognitive Interview: Countenancing Forensic Application By Enhancing Practicability’, </w:t>
      </w:r>
      <w:r w:rsidRPr="001D718C">
        <w:rPr>
          <w:rFonts w:ascii="Arial" w:hAnsi="Arial" w:cs="Arial"/>
          <w:i/>
          <w:iCs/>
          <w:color w:val="000000" w:themeColor="text1"/>
          <w:sz w:val="20"/>
          <w:szCs w:val="20"/>
          <w:shd w:val="clear" w:color="auto" w:fill="FFFFFF"/>
        </w:rPr>
        <w:t>Psychology, Crime &amp; Law</w:t>
      </w:r>
      <w:r w:rsidRPr="001D718C">
        <w:rPr>
          <w:rFonts w:ascii="Arial" w:hAnsi="Arial" w:cs="Arial"/>
          <w:color w:val="000000" w:themeColor="text1"/>
          <w:sz w:val="20"/>
          <w:szCs w:val="20"/>
          <w:shd w:val="clear" w:color="auto" w:fill="FFFFFF"/>
        </w:rPr>
        <w:t>, 17(6), pp. 491–511. doi: 10.1080/10683160903334212.</w:t>
      </w:r>
      <w:r w:rsidRPr="001D718C">
        <w:rPr>
          <w:rFonts w:ascii="Arial" w:hAnsi="Arial" w:cs="Arial"/>
          <w:color w:val="000000" w:themeColor="text1"/>
          <w:sz w:val="20"/>
          <w:szCs w:val="20"/>
        </w:rPr>
        <w:t xml:space="preserve"> </w:t>
      </w:r>
    </w:p>
    <w:p w14:paraId="44840C2B" w14:textId="77777777" w:rsidR="00FF6BB4" w:rsidRDefault="00FF6BB4" w:rsidP="00FF6BB4">
      <w:pPr>
        <w:tabs>
          <w:tab w:val="right" w:pos="9026"/>
        </w:tabs>
        <w:rPr>
          <w:rFonts w:ascii="Arial" w:hAnsi="Arial" w:cs="Arial"/>
          <w:i/>
          <w:iCs/>
          <w:color w:val="000000" w:themeColor="text1"/>
          <w:sz w:val="20"/>
          <w:szCs w:val="20"/>
          <w:shd w:val="clear" w:color="auto" w:fill="FFFFFF"/>
        </w:rPr>
      </w:pPr>
      <w:r w:rsidRPr="001D718C">
        <w:rPr>
          <w:rFonts w:ascii="Arial" w:hAnsi="Arial" w:cs="Arial"/>
          <w:color w:val="000000" w:themeColor="text1"/>
          <w:sz w:val="20"/>
          <w:szCs w:val="20"/>
          <w:shd w:val="clear" w:color="auto" w:fill="FFFFFF"/>
        </w:rPr>
        <w:lastRenderedPageBreak/>
        <w:t xml:space="preserve">Dando, C., Wilcock R., Milne, R (2009) ‘Novice Police Officers’ Application of The Cognitive Interview Procedure Post Investigative Interview Training’ </w:t>
      </w:r>
      <w:r w:rsidRPr="001D718C">
        <w:rPr>
          <w:rFonts w:ascii="Arial" w:hAnsi="Arial" w:cs="Arial"/>
          <w:i/>
          <w:iCs/>
          <w:color w:val="000000" w:themeColor="text1"/>
          <w:sz w:val="20"/>
          <w:szCs w:val="20"/>
          <w:shd w:val="clear" w:color="auto" w:fill="FFFFFF"/>
        </w:rPr>
        <w:t>Psychology,</w:t>
      </w:r>
      <w:r w:rsidRPr="001D718C">
        <w:rPr>
          <w:rFonts w:ascii="Arial" w:hAnsi="Arial" w:cs="Arial"/>
          <w:color w:val="000000" w:themeColor="text1"/>
          <w:sz w:val="20"/>
          <w:szCs w:val="20"/>
          <w:shd w:val="clear" w:color="auto" w:fill="FFFFFF"/>
        </w:rPr>
        <w:t xml:space="preserve"> </w:t>
      </w:r>
      <w:r w:rsidRPr="001D718C">
        <w:rPr>
          <w:rFonts w:ascii="Arial" w:hAnsi="Arial" w:cs="Arial"/>
          <w:i/>
          <w:iCs/>
          <w:color w:val="000000" w:themeColor="text1"/>
          <w:sz w:val="20"/>
          <w:szCs w:val="20"/>
          <w:shd w:val="clear" w:color="auto" w:fill="FFFFFF"/>
        </w:rPr>
        <w:t>Crime and Law</w:t>
      </w:r>
    </w:p>
    <w:p w14:paraId="18D39A20" w14:textId="77777777" w:rsidR="00FF6BB4" w:rsidRPr="003C3657" w:rsidRDefault="00FF6BB4" w:rsidP="00FF6BB4">
      <w:pPr>
        <w:tabs>
          <w:tab w:val="right" w:pos="9026"/>
        </w:tabs>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Davison et al (2012) ‘Coordinated action in multiteam systems’ </w:t>
      </w:r>
      <w:r w:rsidRPr="00C41FDF">
        <w:rPr>
          <w:rFonts w:ascii="Arial" w:hAnsi="Arial" w:cs="Arial"/>
          <w:i/>
          <w:iCs/>
          <w:color w:val="000000" w:themeColor="text1"/>
          <w:sz w:val="20"/>
          <w:szCs w:val="20"/>
          <w:shd w:val="clear" w:color="auto" w:fill="FFFFFF"/>
        </w:rPr>
        <w:t>Journal of Applied Psychology</w:t>
      </w:r>
      <w:r>
        <w:rPr>
          <w:rFonts w:ascii="Arial" w:hAnsi="Arial" w:cs="Arial"/>
          <w:color w:val="000000" w:themeColor="text1"/>
          <w:sz w:val="20"/>
          <w:szCs w:val="20"/>
          <w:shd w:val="clear" w:color="auto" w:fill="FFFFFF"/>
        </w:rPr>
        <w:t>, 97(1), pp. 808-824. DOI: 10.1037/a0026682</w:t>
      </w:r>
    </w:p>
    <w:p w14:paraId="08CC8290"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Declercq et al (2011) ‘Frequency of and subjective response to critical incidents in the prediction of PTSD in emergency personnel’ </w:t>
      </w:r>
      <w:r w:rsidRPr="001D718C">
        <w:rPr>
          <w:rFonts w:ascii="Arial" w:hAnsi="Arial" w:cs="Arial"/>
          <w:i/>
          <w:iCs/>
          <w:sz w:val="20"/>
          <w:szCs w:val="20"/>
        </w:rPr>
        <w:t>Journal of vocational behaviour</w:t>
      </w:r>
      <w:r w:rsidRPr="001D718C">
        <w:rPr>
          <w:rFonts w:ascii="Arial" w:hAnsi="Arial" w:cs="Arial"/>
          <w:sz w:val="20"/>
          <w:szCs w:val="20"/>
        </w:rPr>
        <w:t>, 64(1), pp. 131-136</w:t>
      </w:r>
    </w:p>
    <w:p w14:paraId="28B985FC"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Dodier, O</w:t>
      </w:r>
      <w:r>
        <w:rPr>
          <w:rFonts w:ascii="Arial" w:hAnsi="Arial" w:cs="Arial"/>
          <w:sz w:val="20"/>
          <w:szCs w:val="20"/>
        </w:rPr>
        <w:t xml:space="preserve"> et al </w:t>
      </w:r>
      <w:r w:rsidRPr="001D718C">
        <w:rPr>
          <w:rFonts w:ascii="Arial" w:hAnsi="Arial" w:cs="Arial"/>
          <w:sz w:val="20"/>
          <w:szCs w:val="20"/>
        </w:rPr>
        <w:t xml:space="preserve">(2021) ‘Using The Cognitive Interview To Recall Real World Emotionally Stressful Experiences: Road Accidents’, </w:t>
      </w:r>
      <w:r w:rsidRPr="001D718C">
        <w:rPr>
          <w:rFonts w:ascii="Arial" w:hAnsi="Arial" w:cs="Arial"/>
          <w:i/>
          <w:iCs/>
          <w:sz w:val="20"/>
          <w:szCs w:val="20"/>
        </w:rPr>
        <w:t>Applied Cognitive Psychology</w:t>
      </w:r>
      <w:r w:rsidRPr="001D718C">
        <w:rPr>
          <w:rFonts w:ascii="Arial" w:hAnsi="Arial" w:cs="Arial"/>
          <w:sz w:val="20"/>
          <w:szCs w:val="20"/>
        </w:rPr>
        <w:t>, 35(4), pp. 1099-1105. DOI: 10.1002/acp.3828</w:t>
      </w:r>
    </w:p>
    <w:p w14:paraId="7055ECCF"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Fisher, R., Chin, D., McCauley M (1990) ‘Enhancing eyewitness recollection with the cognitive Interview’ </w:t>
      </w:r>
      <w:r w:rsidRPr="001D718C">
        <w:rPr>
          <w:rFonts w:ascii="Arial" w:hAnsi="Arial" w:cs="Arial"/>
          <w:i/>
          <w:iCs/>
          <w:sz w:val="20"/>
          <w:szCs w:val="20"/>
        </w:rPr>
        <w:t>National Police Research Unit Review</w:t>
      </w:r>
      <w:r w:rsidRPr="001D718C">
        <w:rPr>
          <w:rFonts w:ascii="Arial" w:hAnsi="Arial" w:cs="Arial"/>
          <w:sz w:val="20"/>
          <w:szCs w:val="20"/>
        </w:rPr>
        <w:t xml:space="preserve">, 6(3), pp. 11. </w:t>
      </w:r>
    </w:p>
    <w:p w14:paraId="2B6AC05B" w14:textId="77777777" w:rsidR="00FF6BB4" w:rsidRPr="001D718C" w:rsidRDefault="00FF6BB4" w:rsidP="00FF6BB4">
      <w:pPr>
        <w:tabs>
          <w:tab w:val="right" w:pos="9026"/>
        </w:tabs>
        <w:rPr>
          <w:rFonts w:ascii="Arial" w:hAnsi="Arial" w:cs="Arial"/>
          <w:color w:val="000000" w:themeColor="text1"/>
          <w:sz w:val="20"/>
          <w:szCs w:val="20"/>
        </w:rPr>
      </w:pPr>
      <w:r w:rsidRPr="001D718C">
        <w:rPr>
          <w:rFonts w:ascii="Arial" w:hAnsi="Arial" w:cs="Arial"/>
          <w:color w:val="000000" w:themeColor="text1"/>
          <w:sz w:val="20"/>
          <w:szCs w:val="20"/>
        </w:rPr>
        <w:t xml:space="preserve">Fodor, O. C., &amp; Flestea, A. M. (2016). ‘When fluid structures fail: A social network approach to multiteam systems’ effectiveness.’ </w:t>
      </w:r>
      <w:r w:rsidRPr="001D718C">
        <w:rPr>
          <w:rFonts w:ascii="Arial" w:hAnsi="Arial" w:cs="Arial"/>
          <w:i/>
          <w:iCs/>
          <w:color w:val="000000" w:themeColor="text1"/>
          <w:sz w:val="20"/>
          <w:szCs w:val="20"/>
        </w:rPr>
        <w:t>Team Performance Management</w:t>
      </w:r>
      <w:r w:rsidRPr="001D718C">
        <w:rPr>
          <w:rFonts w:ascii="Arial" w:hAnsi="Arial" w:cs="Arial"/>
          <w:color w:val="000000" w:themeColor="text1"/>
          <w:sz w:val="20"/>
          <w:szCs w:val="20"/>
        </w:rPr>
        <w:t>, 22</w:t>
      </w:r>
      <w:r>
        <w:rPr>
          <w:rFonts w:ascii="Arial" w:hAnsi="Arial" w:cs="Arial"/>
          <w:color w:val="000000" w:themeColor="text1"/>
          <w:sz w:val="20"/>
          <w:szCs w:val="20"/>
        </w:rPr>
        <w:t>(1)</w:t>
      </w:r>
      <w:r w:rsidRPr="001D718C">
        <w:rPr>
          <w:rFonts w:ascii="Arial" w:hAnsi="Arial" w:cs="Arial"/>
          <w:color w:val="000000" w:themeColor="text1"/>
          <w:sz w:val="20"/>
          <w:szCs w:val="20"/>
        </w:rPr>
        <w:t xml:space="preserve">, </w:t>
      </w:r>
      <w:r>
        <w:rPr>
          <w:rFonts w:ascii="Arial" w:hAnsi="Arial" w:cs="Arial"/>
          <w:color w:val="000000" w:themeColor="text1"/>
          <w:sz w:val="20"/>
          <w:szCs w:val="20"/>
        </w:rPr>
        <w:t>pp.</w:t>
      </w:r>
      <w:r w:rsidRPr="001D718C">
        <w:rPr>
          <w:rFonts w:ascii="Arial" w:hAnsi="Arial" w:cs="Arial"/>
          <w:color w:val="000000" w:themeColor="text1"/>
          <w:sz w:val="20"/>
          <w:szCs w:val="20"/>
        </w:rPr>
        <w:t>. 156–180. https://doi.org/ 10.1108/TPM-11-2015-0055</w:t>
      </w:r>
    </w:p>
    <w:p w14:paraId="39621FFA" w14:textId="77777777" w:rsidR="00FF6BB4" w:rsidRPr="001D718C" w:rsidRDefault="00FF6BB4" w:rsidP="00FF6BB4">
      <w:pPr>
        <w:tabs>
          <w:tab w:val="right" w:pos="9026"/>
        </w:tabs>
        <w:rPr>
          <w:rFonts w:ascii="Arial" w:hAnsi="Arial" w:cs="Arial"/>
          <w:color w:val="000000" w:themeColor="text1"/>
          <w:sz w:val="20"/>
          <w:szCs w:val="20"/>
        </w:rPr>
      </w:pPr>
      <w:r w:rsidRPr="001D718C">
        <w:rPr>
          <w:rFonts w:ascii="Arial" w:hAnsi="Arial" w:cs="Arial"/>
          <w:color w:val="000000" w:themeColor="text1"/>
          <w:sz w:val="20"/>
          <w:szCs w:val="20"/>
        </w:rPr>
        <w:t>Geiselman , R</w:t>
      </w:r>
      <w:r>
        <w:rPr>
          <w:rFonts w:ascii="Arial" w:hAnsi="Arial" w:cs="Arial"/>
          <w:color w:val="000000" w:themeColor="text1"/>
          <w:sz w:val="20"/>
          <w:szCs w:val="20"/>
        </w:rPr>
        <w:t xml:space="preserve"> et al</w:t>
      </w:r>
      <w:r w:rsidRPr="001D718C">
        <w:rPr>
          <w:rFonts w:ascii="Arial" w:hAnsi="Arial" w:cs="Arial"/>
          <w:color w:val="000000" w:themeColor="text1"/>
          <w:sz w:val="20"/>
          <w:szCs w:val="20"/>
        </w:rPr>
        <w:t xml:space="preserve"> (1984) ‘Enhancement of eyewitness memory: An empirical evaluation of the cognitive interview.’ </w:t>
      </w:r>
      <w:r w:rsidRPr="001D718C">
        <w:rPr>
          <w:rFonts w:ascii="Arial" w:hAnsi="Arial" w:cs="Arial"/>
          <w:i/>
          <w:iCs/>
          <w:color w:val="000000" w:themeColor="text1"/>
          <w:sz w:val="20"/>
          <w:szCs w:val="20"/>
        </w:rPr>
        <w:t>Journal of Police and Science Administrative</w:t>
      </w:r>
      <w:r w:rsidRPr="001D718C">
        <w:rPr>
          <w:rFonts w:ascii="Arial" w:hAnsi="Arial" w:cs="Arial"/>
          <w:color w:val="000000" w:themeColor="text1"/>
          <w:sz w:val="20"/>
          <w:szCs w:val="20"/>
        </w:rPr>
        <w:t>, 12(1), pp. 74-80</w:t>
      </w:r>
    </w:p>
    <w:p w14:paraId="04718726"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Gerber et al (2010) ‘The relationship between shift work, perceived stress, sleep and health in Swiss police officers.’ </w:t>
      </w:r>
      <w:r w:rsidRPr="00263395">
        <w:rPr>
          <w:rFonts w:ascii="Arial" w:hAnsi="Arial" w:cs="Arial"/>
          <w:i/>
          <w:iCs/>
          <w:sz w:val="20"/>
          <w:szCs w:val="20"/>
        </w:rPr>
        <w:t>Journal Of Criminal Justice</w:t>
      </w:r>
      <w:r w:rsidRPr="001D718C">
        <w:rPr>
          <w:rFonts w:ascii="Arial" w:hAnsi="Arial" w:cs="Arial"/>
          <w:sz w:val="20"/>
          <w:szCs w:val="20"/>
        </w:rPr>
        <w:t>, 38(6), pp. 1167-1175</w:t>
      </w:r>
    </w:p>
    <w:p w14:paraId="125A81AB" w14:textId="77777777" w:rsidR="00FF6BB4" w:rsidRDefault="00FF6BB4" w:rsidP="00FF6BB4">
      <w:pPr>
        <w:tabs>
          <w:tab w:val="right" w:pos="9026"/>
        </w:tabs>
        <w:rPr>
          <w:rFonts w:ascii="Arial" w:hAnsi="Arial" w:cs="Arial"/>
          <w:sz w:val="20"/>
          <w:szCs w:val="20"/>
        </w:rPr>
      </w:pPr>
      <w:r w:rsidRPr="001D718C">
        <w:rPr>
          <w:rFonts w:ascii="Arial" w:hAnsi="Arial" w:cs="Arial"/>
          <w:sz w:val="20"/>
          <w:szCs w:val="20"/>
        </w:rPr>
        <w:t xml:space="preserve">GOV.UK (2013), </w:t>
      </w:r>
      <w:r w:rsidRPr="001D718C">
        <w:rPr>
          <w:rFonts w:ascii="Arial" w:hAnsi="Arial" w:cs="Arial"/>
          <w:i/>
          <w:iCs/>
          <w:sz w:val="20"/>
          <w:szCs w:val="20"/>
        </w:rPr>
        <w:t>Emergency response and recovery</w:t>
      </w:r>
      <w:r w:rsidRPr="001D718C">
        <w:rPr>
          <w:rFonts w:ascii="Arial" w:hAnsi="Arial" w:cs="Arial"/>
          <w:sz w:val="20"/>
          <w:szCs w:val="20"/>
        </w:rPr>
        <w:t>. Available at https://www.gov.uk/guidance/emergency-response-and-recovery (Accessed: 22</w:t>
      </w:r>
      <w:r w:rsidRPr="001D718C">
        <w:rPr>
          <w:rFonts w:ascii="Arial" w:hAnsi="Arial" w:cs="Arial"/>
          <w:sz w:val="20"/>
          <w:szCs w:val="20"/>
          <w:vertAlign w:val="superscript"/>
        </w:rPr>
        <w:t>nd</w:t>
      </w:r>
      <w:r w:rsidRPr="001D718C">
        <w:rPr>
          <w:rFonts w:ascii="Arial" w:hAnsi="Arial" w:cs="Arial"/>
          <w:sz w:val="20"/>
          <w:szCs w:val="20"/>
        </w:rPr>
        <w:t xml:space="preserve"> May 2024) </w:t>
      </w:r>
    </w:p>
    <w:p w14:paraId="352D2DD3" w14:textId="77777777" w:rsidR="00FF6BB4" w:rsidRPr="001D718C" w:rsidRDefault="00FF6BB4" w:rsidP="00FF6BB4">
      <w:pPr>
        <w:tabs>
          <w:tab w:val="right" w:pos="9026"/>
        </w:tabs>
        <w:rPr>
          <w:rFonts w:ascii="Arial" w:hAnsi="Arial" w:cs="Arial"/>
          <w:sz w:val="20"/>
          <w:szCs w:val="20"/>
        </w:rPr>
      </w:pPr>
      <w:r>
        <w:rPr>
          <w:rFonts w:ascii="Arial" w:hAnsi="Arial" w:cs="Arial"/>
          <w:sz w:val="20"/>
          <w:szCs w:val="20"/>
        </w:rPr>
        <w:t xml:space="preserve">GOV.UK (2015) </w:t>
      </w:r>
      <w:r w:rsidRPr="0050775F">
        <w:rPr>
          <w:rFonts w:ascii="Arial" w:hAnsi="Arial" w:cs="Arial"/>
          <w:i/>
          <w:iCs/>
          <w:sz w:val="20"/>
          <w:szCs w:val="20"/>
        </w:rPr>
        <w:t>Proposals for further emergency services collaboration announced</w:t>
      </w:r>
      <w:r>
        <w:rPr>
          <w:rFonts w:ascii="Arial" w:hAnsi="Arial" w:cs="Arial"/>
          <w:sz w:val="20"/>
          <w:szCs w:val="20"/>
        </w:rPr>
        <w:t xml:space="preserve">. Available at </w:t>
      </w:r>
      <w:r w:rsidRPr="0050775F">
        <w:t xml:space="preserve">https://www.gov.uk/government/news/proposals-for-further-emergency-services-collaboration-announced </w:t>
      </w:r>
      <w:r>
        <w:t>(Accessed: 24</w:t>
      </w:r>
      <w:r w:rsidRPr="0050775F">
        <w:rPr>
          <w:vertAlign w:val="superscript"/>
        </w:rPr>
        <w:t>th</w:t>
      </w:r>
      <w:r>
        <w:t xml:space="preserve"> May 2024)</w:t>
      </w:r>
    </w:p>
    <w:p w14:paraId="2143D40B"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GOV.UK (2022) </w:t>
      </w:r>
      <w:r w:rsidRPr="001D718C">
        <w:rPr>
          <w:rFonts w:ascii="Arial" w:hAnsi="Arial" w:cs="Arial"/>
          <w:i/>
          <w:iCs/>
          <w:sz w:val="20"/>
          <w:szCs w:val="20"/>
        </w:rPr>
        <w:t>Achieving best evidence in criminal proceedings.</w:t>
      </w:r>
      <w:r w:rsidRPr="001D718C">
        <w:rPr>
          <w:rFonts w:ascii="Arial" w:hAnsi="Arial" w:cs="Arial"/>
          <w:sz w:val="20"/>
          <w:szCs w:val="20"/>
        </w:rPr>
        <w:t xml:space="preserve"> Available at https://www.gov.uk/government/publications/achieving-best-evidence-in-criminal-proceedings (Accessed: 22</w:t>
      </w:r>
      <w:r w:rsidRPr="001D718C">
        <w:rPr>
          <w:rFonts w:ascii="Arial" w:hAnsi="Arial" w:cs="Arial"/>
          <w:sz w:val="20"/>
          <w:szCs w:val="20"/>
          <w:vertAlign w:val="superscript"/>
        </w:rPr>
        <w:t>nd</w:t>
      </w:r>
      <w:r w:rsidRPr="001D718C">
        <w:rPr>
          <w:rFonts w:ascii="Arial" w:hAnsi="Arial" w:cs="Arial"/>
          <w:sz w:val="20"/>
          <w:szCs w:val="20"/>
        </w:rPr>
        <w:t xml:space="preserve"> May 2024)  </w:t>
      </w:r>
    </w:p>
    <w:p w14:paraId="422A5C0C"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Green (2004) ‘Post traumatic stress disorder in UK police officers.’ </w:t>
      </w:r>
      <w:r w:rsidRPr="001D718C">
        <w:rPr>
          <w:rFonts w:ascii="Arial" w:hAnsi="Arial" w:cs="Arial"/>
          <w:i/>
          <w:iCs/>
          <w:sz w:val="20"/>
          <w:szCs w:val="20"/>
        </w:rPr>
        <w:t>Current medical research and opinion</w:t>
      </w:r>
      <w:r w:rsidRPr="001D718C">
        <w:rPr>
          <w:rFonts w:ascii="Arial" w:hAnsi="Arial" w:cs="Arial"/>
          <w:sz w:val="20"/>
          <w:szCs w:val="20"/>
        </w:rPr>
        <w:t>, 20(1), pp. 101-105</w:t>
      </w:r>
    </w:p>
    <w:p w14:paraId="6E1A1F15"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Hickey, L., Harms, L., Kosta, l.. (2021). ‘Public reassurance following a collective trauma event; a scoping review of the evidence to inform police practice.’ </w:t>
      </w:r>
      <w:r w:rsidRPr="001D718C">
        <w:rPr>
          <w:rFonts w:ascii="Arial" w:hAnsi="Arial" w:cs="Arial"/>
          <w:i/>
          <w:iCs/>
          <w:sz w:val="20"/>
          <w:szCs w:val="20"/>
        </w:rPr>
        <w:t>Policing: an international journal of police strategies and management</w:t>
      </w:r>
      <w:r w:rsidRPr="001D718C">
        <w:rPr>
          <w:rFonts w:ascii="Arial" w:hAnsi="Arial" w:cs="Arial"/>
          <w:sz w:val="20"/>
          <w:szCs w:val="20"/>
        </w:rPr>
        <w:t>, 44(5), pp. 853-874. DOI: 10.1108/PIJPSM-11-2020-0177</w:t>
      </w:r>
    </w:p>
    <w:p w14:paraId="7B2769F4"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Hine, K and Bragias, A (2021) ‘Effective communication during a major crises: A systematic literature review to identify best practices for police’ </w:t>
      </w:r>
      <w:r w:rsidRPr="00263395">
        <w:rPr>
          <w:rFonts w:ascii="Arial" w:hAnsi="Arial" w:cs="Arial"/>
          <w:i/>
          <w:iCs/>
          <w:sz w:val="20"/>
          <w:szCs w:val="20"/>
        </w:rPr>
        <w:t>Journal of Police Practice and Research</w:t>
      </w:r>
      <w:r w:rsidRPr="001D718C">
        <w:rPr>
          <w:rFonts w:ascii="Arial" w:hAnsi="Arial" w:cs="Arial"/>
          <w:sz w:val="20"/>
          <w:szCs w:val="20"/>
        </w:rPr>
        <w:t xml:space="preserve">, 22(5), pp. 1492-1507. </w:t>
      </w:r>
    </w:p>
    <w:p w14:paraId="3218A343"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HMICFRS (2016) </w:t>
      </w:r>
      <w:r w:rsidRPr="001D718C">
        <w:rPr>
          <w:rFonts w:ascii="Arial" w:hAnsi="Arial" w:cs="Arial"/>
          <w:i/>
          <w:iCs/>
          <w:sz w:val="20"/>
          <w:szCs w:val="20"/>
        </w:rPr>
        <w:t xml:space="preserve">The tri-service review of Joint Emergency Services Interoperability Principles. </w:t>
      </w:r>
      <w:r w:rsidRPr="001D718C">
        <w:rPr>
          <w:rFonts w:ascii="Arial" w:hAnsi="Arial" w:cs="Arial"/>
          <w:sz w:val="20"/>
          <w:szCs w:val="20"/>
        </w:rPr>
        <w:t>Available at https://hmicfrs.justiceinspectorates.gov.uk/publications/the-tri-service-review-of-the-joint-emergency-services-interoperability-principles/ https://hmicfrs.justiceinspectorates.gov.uk/publications/the-tri-service-review-of-the-joint-emergency-services-interoperability-principles/ (Accessed: 5</w:t>
      </w:r>
      <w:r w:rsidRPr="001D718C">
        <w:rPr>
          <w:rFonts w:ascii="Arial" w:hAnsi="Arial" w:cs="Arial"/>
          <w:sz w:val="20"/>
          <w:szCs w:val="20"/>
          <w:vertAlign w:val="superscript"/>
        </w:rPr>
        <w:t>th</w:t>
      </w:r>
      <w:r w:rsidRPr="001D718C">
        <w:rPr>
          <w:rFonts w:ascii="Arial" w:hAnsi="Arial" w:cs="Arial"/>
          <w:sz w:val="20"/>
          <w:szCs w:val="20"/>
        </w:rPr>
        <w:t xml:space="preserve"> April 2024) </w:t>
      </w:r>
    </w:p>
    <w:p w14:paraId="763C1149" w14:textId="77777777" w:rsidR="00FF6BB4" w:rsidRPr="001D718C" w:rsidRDefault="00FF6BB4" w:rsidP="00FF6BB4">
      <w:pPr>
        <w:tabs>
          <w:tab w:val="right" w:pos="9026"/>
        </w:tabs>
        <w:rPr>
          <w:rStyle w:val="titleauthoretc"/>
          <w:rFonts w:ascii="Arial" w:hAnsi="Arial" w:cs="Arial"/>
          <w:color w:val="000000" w:themeColor="text1"/>
          <w:sz w:val="20"/>
          <w:szCs w:val="20"/>
          <w:shd w:val="clear" w:color="auto" w:fill="FFFFFF"/>
        </w:rPr>
      </w:pPr>
      <w:r w:rsidRPr="001D718C">
        <w:rPr>
          <w:rStyle w:val="titleauthoretc"/>
          <w:rFonts w:ascii="Arial" w:hAnsi="Arial" w:cs="Arial"/>
          <w:color w:val="000000" w:themeColor="text1"/>
          <w:sz w:val="20"/>
          <w:szCs w:val="20"/>
          <w:shd w:val="clear" w:color="auto" w:fill="FFFFFF"/>
        </w:rPr>
        <w:t xml:space="preserve">Hobfoll, S. </w:t>
      </w:r>
      <w:r>
        <w:rPr>
          <w:rStyle w:val="titleauthoretc"/>
          <w:rFonts w:ascii="Arial" w:hAnsi="Arial" w:cs="Arial"/>
          <w:color w:val="000000" w:themeColor="text1"/>
          <w:sz w:val="20"/>
          <w:szCs w:val="20"/>
          <w:shd w:val="clear" w:color="auto" w:fill="FFFFFF"/>
        </w:rPr>
        <w:t>et al</w:t>
      </w:r>
      <w:r w:rsidRPr="001D718C">
        <w:rPr>
          <w:rStyle w:val="titleauthoretc"/>
          <w:rFonts w:ascii="Arial" w:hAnsi="Arial" w:cs="Arial"/>
          <w:color w:val="000000" w:themeColor="text1"/>
          <w:sz w:val="20"/>
          <w:szCs w:val="20"/>
          <w:shd w:val="clear" w:color="auto" w:fill="FFFFFF"/>
        </w:rPr>
        <w:t xml:space="preserve"> (2007)  ’Five essential elements of immediate and mid-term trauma intervention: Empirical evidence’, </w:t>
      </w:r>
      <w:r w:rsidRPr="001D718C">
        <w:rPr>
          <w:rStyle w:val="titleauthoretc"/>
          <w:rFonts w:ascii="Arial" w:hAnsi="Arial" w:cs="Arial"/>
          <w:i/>
          <w:iCs/>
          <w:color w:val="000000" w:themeColor="text1"/>
          <w:sz w:val="20"/>
          <w:szCs w:val="20"/>
          <w:shd w:val="clear" w:color="auto" w:fill="FFFFFF"/>
        </w:rPr>
        <w:t>Psychiatry: Interpersonal and Biological Processes</w:t>
      </w:r>
      <w:r w:rsidRPr="001D718C">
        <w:rPr>
          <w:rStyle w:val="titleauthoretc"/>
          <w:rFonts w:ascii="Arial" w:hAnsi="Arial" w:cs="Arial"/>
          <w:color w:val="000000" w:themeColor="text1"/>
          <w:sz w:val="20"/>
          <w:szCs w:val="20"/>
          <w:shd w:val="clear" w:color="auto" w:fill="FFFFFF"/>
        </w:rPr>
        <w:t>, 70(4), pp. 283-315.</w:t>
      </w:r>
    </w:p>
    <w:p w14:paraId="79701673"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Hughes G (2006) ‘The London bombings of 7 July 2005: What is the main lesson?’, </w:t>
      </w:r>
      <w:r w:rsidRPr="001D718C">
        <w:rPr>
          <w:rFonts w:ascii="Arial" w:hAnsi="Arial" w:cs="Arial"/>
          <w:i/>
          <w:iCs/>
          <w:sz w:val="20"/>
          <w:szCs w:val="20"/>
        </w:rPr>
        <w:t xml:space="preserve">Emergency Medicine Journal, </w:t>
      </w:r>
      <w:r w:rsidRPr="001D718C">
        <w:rPr>
          <w:rFonts w:ascii="Arial" w:hAnsi="Arial" w:cs="Arial"/>
          <w:sz w:val="20"/>
          <w:szCs w:val="20"/>
        </w:rPr>
        <w:t xml:space="preserve">23(9), DOI: </w:t>
      </w:r>
      <w:hyperlink r:id="rId5" w:tgtFrame="_blank" w:history="1">
        <w:r w:rsidRPr="001D718C">
          <w:rPr>
            <w:rStyle w:val="Hyperlink"/>
            <w:rFonts w:ascii="Arial" w:hAnsi="Arial" w:cs="Arial"/>
            <w:color w:val="000000" w:themeColor="text1"/>
            <w:sz w:val="20"/>
            <w:szCs w:val="20"/>
            <w:u w:val="none"/>
            <w:shd w:val="clear" w:color="auto" w:fill="FFFFFF"/>
          </w:rPr>
          <w:t>10.1136/emj.2006.039586</w:t>
        </w:r>
      </w:hyperlink>
    </w:p>
    <w:p w14:paraId="5C1A4092" w14:textId="77777777" w:rsidR="00FF6BB4" w:rsidRPr="001D718C" w:rsidRDefault="00FF6BB4" w:rsidP="00FF6BB4">
      <w:pPr>
        <w:tabs>
          <w:tab w:val="right" w:pos="9026"/>
        </w:tabs>
        <w:rPr>
          <w:rFonts w:ascii="Arial" w:hAnsi="Arial" w:cs="Arial"/>
          <w:color w:val="000000" w:themeColor="text1"/>
          <w:sz w:val="20"/>
          <w:szCs w:val="20"/>
        </w:rPr>
      </w:pPr>
      <w:r w:rsidRPr="001D718C">
        <w:rPr>
          <w:rStyle w:val="titleauthoretc"/>
          <w:rFonts w:ascii="Arial" w:hAnsi="Arial" w:cs="Arial"/>
          <w:color w:val="000000" w:themeColor="text1"/>
          <w:sz w:val="20"/>
          <w:szCs w:val="20"/>
          <w:shd w:val="clear" w:color="auto" w:fill="FFFFFF"/>
        </w:rPr>
        <w:t xml:space="preserve">Innes, M (2004) ‘Reinventing tradition? Reassurance, neighbourhood security and policing’, </w:t>
      </w:r>
      <w:r w:rsidRPr="001D718C">
        <w:rPr>
          <w:rStyle w:val="titleauthoretc"/>
          <w:rFonts w:ascii="Arial" w:hAnsi="Arial" w:cs="Arial"/>
          <w:i/>
          <w:iCs/>
          <w:color w:val="000000" w:themeColor="text1"/>
          <w:sz w:val="20"/>
          <w:szCs w:val="20"/>
          <w:shd w:val="clear" w:color="auto" w:fill="FFFFFF"/>
        </w:rPr>
        <w:t>Criminal Justice: International Journal of policy and practice</w:t>
      </w:r>
      <w:r w:rsidRPr="001D718C">
        <w:rPr>
          <w:rStyle w:val="titleauthoretc"/>
          <w:rFonts w:ascii="Arial" w:hAnsi="Arial" w:cs="Arial"/>
          <w:color w:val="000000" w:themeColor="text1"/>
          <w:sz w:val="20"/>
          <w:szCs w:val="20"/>
          <w:shd w:val="clear" w:color="auto" w:fill="FFFFFF"/>
        </w:rPr>
        <w:t xml:space="preserve">, 4(1), pp. 151-171 </w:t>
      </w:r>
    </w:p>
    <w:p w14:paraId="762C188C"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lastRenderedPageBreak/>
        <w:t xml:space="preserve">Kebbel, M., Waggstaff, F (1999) ‘The cognitive interview: A survey of its forensic effectiveness’, </w:t>
      </w:r>
      <w:r w:rsidRPr="001D718C">
        <w:rPr>
          <w:rFonts w:ascii="Arial" w:hAnsi="Arial" w:cs="Arial"/>
          <w:i/>
          <w:iCs/>
          <w:sz w:val="20"/>
          <w:szCs w:val="20"/>
        </w:rPr>
        <w:t xml:space="preserve">Psychology, Crime, </w:t>
      </w:r>
      <w:r>
        <w:rPr>
          <w:rFonts w:ascii="Arial" w:hAnsi="Arial" w:cs="Arial"/>
          <w:i/>
          <w:iCs/>
          <w:sz w:val="20"/>
          <w:szCs w:val="20"/>
        </w:rPr>
        <w:t>a</w:t>
      </w:r>
      <w:r w:rsidRPr="001D718C">
        <w:rPr>
          <w:rFonts w:ascii="Arial" w:hAnsi="Arial" w:cs="Arial"/>
          <w:i/>
          <w:iCs/>
          <w:sz w:val="20"/>
          <w:szCs w:val="20"/>
        </w:rPr>
        <w:t>nd Law</w:t>
      </w:r>
      <w:r w:rsidRPr="001D718C">
        <w:rPr>
          <w:rFonts w:ascii="Arial" w:hAnsi="Arial" w:cs="Arial"/>
          <w:sz w:val="20"/>
          <w:szCs w:val="20"/>
        </w:rPr>
        <w:t xml:space="preserve">, 5()2), pp. 11-115 </w:t>
      </w:r>
    </w:p>
    <w:p w14:paraId="14B6A833"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Kocsis, R (2009) ‘Cognitive Interviewing’, </w:t>
      </w:r>
      <w:r w:rsidRPr="001D718C">
        <w:rPr>
          <w:rFonts w:ascii="Arial" w:hAnsi="Arial" w:cs="Arial"/>
          <w:i/>
          <w:iCs/>
          <w:sz w:val="20"/>
          <w:szCs w:val="20"/>
        </w:rPr>
        <w:t>Applied Criminal Psychology</w:t>
      </w:r>
      <w:r w:rsidRPr="001D718C">
        <w:rPr>
          <w:rFonts w:ascii="Arial" w:hAnsi="Arial" w:cs="Arial"/>
          <w:sz w:val="20"/>
          <w:szCs w:val="20"/>
        </w:rPr>
        <w:t>, Illinois: Charles Thomas</w:t>
      </w:r>
    </w:p>
    <w:p w14:paraId="3E5F7163"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Lamb et al (2007) ‘Enhancing Performance: Factors Affective the informativeness of young witnesses’, </w:t>
      </w:r>
      <w:r w:rsidRPr="001D718C">
        <w:rPr>
          <w:rFonts w:ascii="Arial" w:hAnsi="Arial" w:cs="Arial"/>
          <w:i/>
          <w:iCs/>
          <w:sz w:val="20"/>
          <w:szCs w:val="20"/>
        </w:rPr>
        <w:t>The Handbook of Eyewitness Psychology</w:t>
      </w:r>
      <w:r w:rsidRPr="001D718C">
        <w:rPr>
          <w:rFonts w:ascii="Arial" w:hAnsi="Arial" w:cs="Arial"/>
          <w:sz w:val="20"/>
          <w:szCs w:val="20"/>
        </w:rPr>
        <w:t>, pp. 2</w:t>
      </w:r>
      <w:r>
        <w:rPr>
          <w:rFonts w:ascii="Arial" w:hAnsi="Arial" w:cs="Arial"/>
          <w:sz w:val="20"/>
          <w:szCs w:val="20"/>
        </w:rPr>
        <w:t>-4.</w:t>
      </w:r>
      <w:r w:rsidRPr="001D718C">
        <w:rPr>
          <w:rFonts w:ascii="Arial" w:hAnsi="Arial" w:cs="Arial"/>
          <w:sz w:val="20"/>
          <w:szCs w:val="20"/>
        </w:rPr>
        <w:t xml:space="preserve"> </w:t>
      </w:r>
    </w:p>
    <w:p w14:paraId="6E8DBA07" w14:textId="77777777" w:rsidR="00FF6BB4" w:rsidRDefault="00FF6BB4" w:rsidP="00FF6BB4">
      <w:pPr>
        <w:tabs>
          <w:tab w:val="right" w:pos="9026"/>
        </w:tabs>
        <w:rPr>
          <w:rFonts w:ascii="Arial" w:hAnsi="Arial" w:cs="Arial"/>
          <w:sz w:val="20"/>
          <w:szCs w:val="20"/>
        </w:rPr>
      </w:pPr>
      <w:r w:rsidRPr="001D718C">
        <w:rPr>
          <w:rFonts w:ascii="Arial" w:hAnsi="Arial" w:cs="Arial"/>
          <w:sz w:val="20"/>
          <w:szCs w:val="20"/>
        </w:rPr>
        <w:t xml:space="preserve">Legislation (1999) </w:t>
      </w:r>
      <w:r w:rsidRPr="001D718C">
        <w:rPr>
          <w:rFonts w:ascii="Arial" w:hAnsi="Arial" w:cs="Arial"/>
          <w:i/>
          <w:iCs/>
          <w:sz w:val="20"/>
          <w:szCs w:val="20"/>
        </w:rPr>
        <w:t>Youth Justice and Criminal Evidence Act</w:t>
      </w:r>
      <w:r w:rsidRPr="001D718C">
        <w:rPr>
          <w:rFonts w:ascii="Arial" w:hAnsi="Arial" w:cs="Arial"/>
          <w:sz w:val="20"/>
          <w:szCs w:val="20"/>
        </w:rPr>
        <w:t>. Available https://www.legislation.gov.uk/ukpga/1999/23/section/27 (Accessed: 22</w:t>
      </w:r>
      <w:r w:rsidRPr="001D718C">
        <w:rPr>
          <w:rFonts w:ascii="Arial" w:hAnsi="Arial" w:cs="Arial"/>
          <w:sz w:val="20"/>
          <w:szCs w:val="20"/>
          <w:vertAlign w:val="superscript"/>
        </w:rPr>
        <w:t>nd</w:t>
      </w:r>
      <w:r w:rsidRPr="001D718C">
        <w:rPr>
          <w:rFonts w:ascii="Arial" w:hAnsi="Arial" w:cs="Arial"/>
          <w:sz w:val="20"/>
          <w:szCs w:val="20"/>
        </w:rPr>
        <w:t xml:space="preserve"> May 2024) </w:t>
      </w:r>
    </w:p>
    <w:p w14:paraId="4E26A14B" w14:textId="77777777" w:rsidR="00FF6BB4" w:rsidRPr="001D718C" w:rsidRDefault="00FF6BB4" w:rsidP="00FF6BB4">
      <w:pPr>
        <w:tabs>
          <w:tab w:val="right" w:pos="9026"/>
        </w:tabs>
        <w:rPr>
          <w:rFonts w:ascii="Arial" w:hAnsi="Arial" w:cs="Arial"/>
          <w:sz w:val="20"/>
          <w:szCs w:val="20"/>
        </w:rPr>
      </w:pPr>
      <w:r>
        <w:rPr>
          <w:rFonts w:ascii="Arial" w:hAnsi="Arial" w:cs="Arial"/>
          <w:sz w:val="20"/>
          <w:szCs w:val="20"/>
        </w:rPr>
        <w:t xml:space="preserve">Luciano et al (2018) ‘Multi team systems: A structural framework and meso-theory of system functioning’ </w:t>
      </w:r>
      <w:r w:rsidRPr="00DB5614">
        <w:rPr>
          <w:rFonts w:ascii="Arial" w:hAnsi="Arial" w:cs="Arial"/>
          <w:i/>
          <w:iCs/>
          <w:sz w:val="20"/>
          <w:szCs w:val="20"/>
        </w:rPr>
        <w:t>Journal of management</w:t>
      </w:r>
      <w:r>
        <w:rPr>
          <w:rFonts w:ascii="Arial" w:hAnsi="Arial" w:cs="Arial"/>
          <w:sz w:val="20"/>
          <w:szCs w:val="20"/>
        </w:rPr>
        <w:t>, 44(1), pp. 106501096. DOI: 10.1177/0149206315601184</w:t>
      </w:r>
    </w:p>
    <w:p w14:paraId="3B0692BD"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Maia, B., Marmar, R., Metzler T (2007) ‘post-traumatic stress symptoms in an elite unit of Brazilian Police officers: Prevalence and impact on psychosocial functioning and on physical and mental health’. </w:t>
      </w:r>
      <w:r w:rsidRPr="001D718C">
        <w:rPr>
          <w:rFonts w:ascii="Arial" w:hAnsi="Arial" w:cs="Arial"/>
          <w:i/>
          <w:iCs/>
          <w:sz w:val="20"/>
          <w:szCs w:val="20"/>
        </w:rPr>
        <w:t>Journal of affective disorders,</w:t>
      </w:r>
      <w:r w:rsidRPr="001D718C">
        <w:rPr>
          <w:rFonts w:ascii="Arial" w:hAnsi="Arial" w:cs="Arial"/>
          <w:sz w:val="20"/>
          <w:szCs w:val="20"/>
        </w:rPr>
        <w:t xml:space="preserve"> 97(3), pp. 241-245</w:t>
      </w:r>
    </w:p>
    <w:p w14:paraId="063823FF" w14:textId="77777777" w:rsidR="00FF6BB4" w:rsidRPr="001D718C" w:rsidRDefault="00FF6BB4" w:rsidP="00FF6BB4">
      <w:pPr>
        <w:tabs>
          <w:tab w:val="right" w:pos="9026"/>
        </w:tabs>
        <w:rPr>
          <w:rFonts w:ascii="Arial" w:hAnsi="Arial" w:cs="Arial"/>
          <w:color w:val="000000" w:themeColor="text1"/>
          <w:sz w:val="20"/>
          <w:szCs w:val="20"/>
        </w:rPr>
      </w:pPr>
      <w:r w:rsidRPr="001D718C">
        <w:rPr>
          <w:rFonts w:ascii="Arial" w:hAnsi="Arial" w:cs="Arial"/>
          <w:color w:val="000000" w:themeColor="text1"/>
          <w:sz w:val="20"/>
          <w:szCs w:val="20"/>
        </w:rPr>
        <w:t xml:space="preserve">Mcleod, S (2023) </w:t>
      </w:r>
      <w:r w:rsidRPr="001D718C">
        <w:rPr>
          <w:rFonts w:ascii="Arial" w:hAnsi="Arial" w:cs="Arial"/>
          <w:i/>
          <w:iCs/>
          <w:color w:val="000000" w:themeColor="text1"/>
          <w:sz w:val="20"/>
          <w:szCs w:val="20"/>
        </w:rPr>
        <w:t xml:space="preserve">Cognitive Interview Technique. </w:t>
      </w:r>
      <w:r w:rsidRPr="001D718C">
        <w:rPr>
          <w:rFonts w:ascii="Arial" w:hAnsi="Arial" w:cs="Arial"/>
          <w:color w:val="000000" w:themeColor="text1"/>
          <w:sz w:val="20"/>
          <w:szCs w:val="20"/>
        </w:rPr>
        <w:t xml:space="preserve">Available at </w:t>
      </w:r>
      <w:r w:rsidRPr="001D718C">
        <w:rPr>
          <w:rFonts w:ascii="Arial" w:hAnsi="Arial" w:cs="Arial"/>
          <w:sz w:val="20"/>
          <w:szCs w:val="20"/>
        </w:rPr>
        <w:t>https://www.simplypsychology.org/cognitive-interview.html.</w:t>
      </w:r>
      <w:r w:rsidRPr="001D718C">
        <w:rPr>
          <w:rFonts w:ascii="Arial" w:hAnsi="Arial" w:cs="Arial"/>
          <w:color w:val="000000" w:themeColor="text1"/>
          <w:sz w:val="20"/>
          <w:szCs w:val="20"/>
        </w:rPr>
        <w:t xml:space="preserve"> (Accessed: 22</w:t>
      </w:r>
      <w:r w:rsidRPr="001D718C">
        <w:rPr>
          <w:rFonts w:ascii="Arial" w:hAnsi="Arial" w:cs="Arial"/>
          <w:color w:val="000000" w:themeColor="text1"/>
          <w:sz w:val="20"/>
          <w:szCs w:val="20"/>
          <w:vertAlign w:val="superscript"/>
        </w:rPr>
        <w:t>nd</w:t>
      </w:r>
      <w:r w:rsidRPr="001D718C">
        <w:rPr>
          <w:rFonts w:ascii="Arial" w:hAnsi="Arial" w:cs="Arial"/>
          <w:color w:val="000000" w:themeColor="text1"/>
          <w:sz w:val="20"/>
          <w:szCs w:val="20"/>
        </w:rPr>
        <w:t xml:space="preserve"> May 2024)  </w:t>
      </w:r>
    </w:p>
    <w:p w14:paraId="32C99E1E"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Mernard, K and Arter, L (2013) ‘Police officer alcohol use and trauma symptoms: Associations with critical incidents, coping and social stressors.’ </w:t>
      </w:r>
      <w:r w:rsidRPr="001D718C">
        <w:rPr>
          <w:rFonts w:ascii="Arial" w:hAnsi="Arial" w:cs="Arial"/>
          <w:i/>
          <w:iCs/>
          <w:sz w:val="20"/>
          <w:szCs w:val="20"/>
        </w:rPr>
        <w:t>International journal of stress management</w:t>
      </w:r>
      <w:r w:rsidRPr="001D718C">
        <w:rPr>
          <w:rFonts w:ascii="Arial" w:hAnsi="Arial" w:cs="Arial"/>
          <w:sz w:val="20"/>
          <w:szCs w:val="20"/>
        </w:rPr>
        <w:t>, 20(1), pp. 37-56</w:t>
      </w:r>
    </w:p>
    <w:p w14:paraId="7BC3AC60" w14:textId="77777777" w:rsidR="00FF6BB4" w:rsidRPr="001D718C" w:rsidRDefault="00FF6BB4" w:rsidP="00FF6BB4">
      <w:pPr>
        <w:tabs>
          <w:tab w:val="right" w:pos="9026"/>
        </w:tabs>
        <w:rPr>
          <w:rFonts w:ascii="Arial" w:hAnsi="Arial" w:cs="Arial"/>
          <w:color w:val="000000" w:themeColor="text1"/>
          <w:sz w:val="20"/>
          <w:szCs w:val="20"/>
        </w:rPr>
      </w:pPr>
      <w:r w:rsidRPr="001D718C">
        <w:rPr>
          <w:rFonts w:ascii="Arial" w:hAnsi="Arial" w:cs="Arial"/>
          <w:color w:val="000000" w:themeColor="text1"/>
          <w:sz w:val="20"/>
          <w:szCs w:val="20"/>
          <w:shd w:val="clear" w:color="auto" w:fill="FFFFFF"/>
        </w:rPr>
        <w:t>Ministry of Justice (2011) </w:t>
      </w:r>
      <w:r w:rsidRPr="001D718C">
        <w:rPr>
          <w:rStyle w:val="Emphasis"/>
          <w:rFonts w:ascii="Arial" w:hAnsi="Arial" w:cs="Arial"/>
          <w:color w:val="000000" w:themeColor="text1"/>
          <w:sz w:val="20"/>
          <w:szCs w:val="20"/>
          <w:shd w:val="clear" w:color="auto" w:fill="FFFFFF"/>
        </w:rPr>
        <w:t>Achieving Best Evidence</w:t>
      </w:r>
      <w:r w:rsidRPr="001D718C">
        <w:rPr>
          <w:rFonts w:ascii="Arial" w:hAnsi="Arial" w:cs="Arial"/>
          <w:color w:val="000000" w:themeColor="text1"/>
          <w:sz w:val="20"/>
          <w:szCs w:val="20"/>
          <w:shd w:val="clear" w:color="auto" w:fill="FFFFFF"/>
        </w:rPr>
        <w:t>. London: Ministry of Justice.</w:t>
      </w:r>
    </w:p>
    <w:p w14:paraId="1CB8EA05"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Pearce, J and Gudjonsson, G (1996) ‘Police interviewing techniques at two south London police stations’ Psychology, crime and law, 3(1), pp. 63-74</w:t>
      </w:r>
    </w:p>
    <w:p w14:paraId="7CF68121"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Power, N</w:t>
      </w:r>
      <w:r>
        <w:rPr>
          <w:rFonts w:ascii="Arial" w:hAnsi="Arial" w:cs="Arial"/>
          <w:sz w:val="20"/>
          <w:szCs w:val="20"/>
        </w:rPr>
        <w:t xml:space="preserve"> et al </w:t>
      </w:r>
      <w:r w:rsidRPr="001D718C">
        <w:rPr>
          <w:rFonts w:ascii="Arial" w:hAnsi="Arial" w:cs="Arial"/>
          <w:sz w:val="20"/>
          <w:szCs w:val="20"/>
        </w:rPr>
        <w:t xml:space="preserve">(2024). ‘The Psychology of Interoperability: A Systematic Review Of Joint Working Between The UK Emergency Services.’ </w:t>
      </w:r>
      <w:r w:rsidRPr="001D718C">
        <w:rPr>
          <w:rFonts w:ascii="Arial" w:hAnsi="Arial" w:cs="Arial"/>
          <w:i/>
          <w:iCs/>
          <w:sz w:val="20"/>
          <w:szCs w:val="20"/>
        </w:rPr>
        <w:t>Journal of Occupational and Organisational Psychology,</w:t>
      </w:r>
      <w:r w:rsidRPr="001D718C">
        <w:rPr>
          <w:rFonts w:ascii="Arial" w:hAnsi="Arial" w:cs="Arial"/>
          <w:sz w:val="20"/>
          <w:szCs w:val="20"/>
        </w:rPr>
        <w:t xml:space="preserve"> 97(1), pp. 233–252. Available at </w:t>
      </w:r>
      <w:r w:rsidRPr="00FE6B0B">
        <w:rPr>
          <w:rFonts w:ascii="Arial" w:hAnsi="Arial" w:cs="Arial"/>
          <w:sz w:val="20"/>
          <w:szCs w:val="20"/>
        </w:rPr>
        <w:t>https://doi.org/10.1111/joop.12469</w:t>
      </w:r>
    </w:p>
    <w:p w14:paraId="17C4BB7D"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Regehr, C</w:t>
      </w:r>
      <w:r>
        <w:rPr>
          <w:rFonts w:ascii="Arial" w:hAnsi="Arial" w:cs="Arial"/>
          <w:sz w:val="20"/>
          <w:szCs w:val="20"/>
        </w:rPr>
        <w:t xml:space="preserve"> et al </w:t>
      </w:r>
      <w:r w:rsidRPr="001D718C">
        <w:rPr>
          <w:rFonts w:ascii="Arial" w:hAnsi="Arial" w:cs="Arial"/>
          <w:sz w:val="20"/>
          <w:szCs w:val="20"/>
        </w:rPr>
        <w:t xml:space="preserve">(2003) ‘The Police Officer and The Public Inquiry: A Qualitative Inquiry Into The Aftermath </w:t>
      </w:r>
      <w:r>
        <w:rPr>
          <w:rFonts w:ascii="Arial" w:hAnsi="Arial" w:cs="Arial"/>
          <w:sz w:val="20"/>
          <w:szCs w:val="20"/>
        </w:rPr>
        <w:t>o</w:t>
      </w:r>
      <w:r w:rsidRPr="001D718C">
        <w:rPr>
          <w:rFonts w:ascii="Arial" w:hAnsi="Arial" w:cs="Arial"/>
          <w:sz w:val="20"/>
          <w:szCs w:val="20"/>
        </w:rPr>
        <w:t xml:space="preserve">f Workplace Trauma’, </w:t>
      </w:r>
      <w:r w:rsidRPr="001D718C">
        <w:rPr>
          <w:rFonts w:ascii="Arial" w:hAnsi="Arial" w:cs="Arial"/>
          <w:i/>
          <w:iCs/>
          <w:sz w:val="20"/>
          <w:szCs w:val="20"/>
        </w:rPr>
        <w:t xml:space="preserve">Brief Treatment </w:t>
      </w:r>
      <w:r>
        <w:rPr>
          <w:rFonts w:ascii="Arial" w:hAnsi="Arial" w:cs="Arial"/>
          <w:i/>
          <w:iCs/>
          <w:sz w:val="20"/>
          <w:szCs w:val="20"/>
        </w:rPr>
        <w:t>a</w:t>
      </w:r>
      <w:r w:rsidRPr="001D718C">
        <w:rPr>
          <w:rFonts w:ascii="Arial" w:hAnsi="Arial" w:cs="Arial"/>
          <w:i/>
          <w:iCs/>
          <w:sz w:val="20"/>
          <w:szCs w:val="20"/>
        </w:rPr>
        <w:t>nd Crisis Intervention</w:t>
      </w:r>
      <w:r w:rsidRPr="001D718C">
        <w:rPr>
          <w:rFonts w:ascii="Arial" w:hAnsi="Arial" w:cs="Arial"/>
          <w:sz w:val="20"/>
          <w:szCs w:val="20"/>
        </w:rPr>
        <w:t xml:space="preserve">, 3(1), PP. 383-396. </w:t>
      </w:r>
    </w:p>
    <w:p w14:paraId="71595E7C"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Risan, P (2018) ‘Establishing and Maintaining Rapport in Investigative Interviews of Traumatised Victims: A qualitative </w:t>
      </w:r>
      <w:r>
        <w:rPr>
          <w:rFonts w:ascii="Arial" w:hAnsi="Arial" w:cs="Arial"/>
          <w:sz w:val="20"/>
          <w:szCs w:val="20"/>
        </w:rPr>
        <w:t>Study’</w:t>
      </w:r>
      <w:r w:rsidRPr="001D718C">
        <w:rPr>
          <w:rFonts w:ascii="Arial" w:hAnsi="Arial" w:cs="Arial"/>
          <w:sz w:val="20"/>
          <w:szCs w:val="20"/>
        </w:rPr>
        <w:t xml:space="preserve">, </w:t>
      </w:r>
      <w:r w:rsidRPr="001D718C">
        <w:rPr>
          <w:rFonts w:ascii="Arial" w:hAnsi="Arial" w:cs="Arial"/>
          <w:i/>
          <w:iCs/>
          <w:sz w:val="20"/>
          <w:szCs w:val="20"/>
        </w:rPr>
        <w:t>Policing: A journal of police and practice</w:t>
      </w:r>
      <w:r w:rsidRPr="001D718C">
        <w:rPr>
          <w:rFonts w:ascii="Arial" w:hAnsi="Arial" w:cs="Arial"/>
          <w:sz w:val="20"/>
          <w:szCs w:val="20"/>
        </w:rPr>
        <w:t>, 12(4), pp. 372-387. DOI: 10.1093/police/pax031</w:t>
      </w:r>
    </w:p>
    <w:p w14:paraId="0C8A9E1B"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Roycroft, M. (2019) </w:t>
      </w:r>
      <w:r w:rsidRPr="001D718C">
        <w:rPr>
          <w:rFonts w:ascii="Arial" w:hAnsi="Arial" w:cs="Arial"/>
          <w:i/>
          <w:iCs/>
          <w:sz w:val="20"/>
          <w:szCs w:val="20"/>
        </w:rPr>
        <w:t>Decision making in police enquiries and critical incidents: What really works?</w:t>
      </w:r>
      <w:r w:rsidRPr="001D718C">
        <w:rPr>
          <w:rFonts w:ascii="Arial" w:hAnsi="Arial" w:cs="Arial"/>
          <w:sz w:val="20"/>
          <w:szCs w:val="20"/>
        </w:rPr>
        <w:t xml:space="preserve"> 1</w:t>
      </w:r>
      <w:r w:rsidRPr="001D718C">
        <w:rPr>
          <w:rFonts w:ascii="Arial" w:hAnsi="Arial" w:cs="Arial"/>
          <w:sz w:val="20"/>
          <w:szCs w:val="20"/>
          <w:vertAlign w:val="superscript"/>
        </w:rPr>
        <w:t>st</w:t>
      </w:r>
      <w:r w:rsidRPr="001D718C">
        <w:rPr>
          <w:rFonts w:ascii="Arial" w:hAnsi="Arial" w:cs="Arial"/>
          <w:sz w:val="20"/>
          <w:szCs w:val="20"/>
        </w:rPr>
        <w:t xml:space="preserve"> edn. London: Palgrave Macmillan UK </w:t>
      </w:r>
    </w:p>
    <w:p w14:paraId="3CE02A61"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Vallano (2015) ‘Rapport Building with Cooperative Witnesses and Criminal Suspects: A theoretical and Empirical Review.’ </w:t>
      </w:r>
      <w:r w:rsidRPr="001D718C">
        <w:rPr>
          <w:rFonts w:ascii="Arial" w:hAnsi="Arial" w:cs="Arial"/>
          <w:i/>
          <w:iCs/>
          <w:sz w:val="20"/>
          <w:szCs w:val="20"/>
        </w:rPr>
        <w:t>Psychology, Public Police and Law</w:t>
      </w:r>
      <w:r w:rsidRPr="001D718C">
        <w:rPr>
          <w:rFonts w:ascii="Arial" w:hAnsi="Arial" w:cs="Arial"/>
          <w:sz w:val="20"/>
          <w:szCs w:val="20"/>
        </w:rPr>
        <w:t xml:space="preserve">, 21(1), pp. 85-99 </w:t>
      </w:r>
    </w:p>
    <w:p w14:paraId="7EC6AA65"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Vanderhallen, M., Vervaeke, G. Holmberg, U (2011) ‘Witness and Suspect Perceptions Of Working Alliance and Interviewing Style.’ </w:t>
      </w:r>
      <w:r w:rsidRPr="009506F9">
        <w:rPr>
          <w:rFonts w:ascii="Arial" w:hAnsi="Arial" w:cs="Arial"/>
          <w:i/>
          <w:iCs/>
          <w:sz w:val="20"/>
          <w:szCs w:val="20"/>
        </w:rPr>
        <w:t>Journal of investigative psychology and offender profiling</w:t>
      </w:r>
      <w:r w:rsidRPr="001D718C">
        <w:rPr>
          <w:rFonts w:ascii="Arial" w:hAnsi="Arial" w:cs="Arial"/>
          <w:sz w:val="20"/>
          <w:szCs w:val="20"/>
        </w:rPr>
        <w:t xml:space="preserve">, 8(2) pp. 110-130 </w:t>
      </w:r>
    </w:p>
    <w:p w14:paraId="2683D8C2"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Walshe, D and Milne, R (2007) ‘Giving PEACE a chance: A study of DWP investigators’ perceptions of their interviewing practices’, </w:t>
      </w:r>
      <w:r w:rsidRPr="001D718C">
        <w:rPr>
          <w:rFonts w:ascii="Arial" w:hAnsi="Arial" w:cs="Arial"/>
          <w:i/>
          <w:iCs/>
          <w:sz w:val="20"/>
          <w:szCs w:val="20"/>
        </w:rPr>
        <w:t>public administration</w:t>
      </w:r>
      <w:r w:rsidRPr="001D718C">
        <w:rPr>
          <w:rFonts w:ascii="Arial" w:hAnsi="Arial" w:cs="Arial"/>
          <w:sz w:val="20"/>
          <w:szCs w:val="20"/>
        </w:rPr>
        <w:t>, 85(1), pp. 525-540</w:t>
      </w:r>
    </w:p>
    <w:p w14:paraId="2B1F4BE4" w14:textId="77777777" w:rsidR="00FF6BB4" w:rsidRPr="001D718C" w:rsidRDefault="00FF6BB4" w:rsidP="00FF6BB4">
      <w:pPr>
        <w:tabs>
          <w:tab w:val="right" w:pos="9026"/>
        </w:tabs>
        <w:rPr>
          <w:rFonts w:ascii="Arial" w:hAnsi="Arial" w:cs="Arial"/>
          <w:sz w:val="20"/>
          <w:szCs w:val="20"/>
        </w:rPr>
      </w:pPr>
      <w:r w:rsidRPr="001D718C">
        <w:rPr>
          <w:rFonts w:ascii="Arial" w:hAnsi="Arial" w:cs="Arial"/>
          <w:sz w:val="20"/>
          <w:szCs w:val="20"/>
        </w:rPr>
        <w:t xml:space="preserve">Wright, A., Holliday R (2007) ‘Interviewing cognitively impaired older adults: How useful is the cognitive interview?’ </w:t>
      </w:r>
      <w:r w:rsidRPr="001D718C">
        <w:rPr>
          <w:rFonts w:ascii="Arial" w:hAnsi="Arial" w:cs="Arial"/>
          <w:i/>
          <w:iCs/>
          <w:sz w:val="20"/>
          <w:szCs w:val="20"/>
        </w:rPr>
        <w:t>Memory</w:t>
      </w:r>
      <w:r w:rsidRPr="001D718C">
        <w:rPr>
          <w:rFonts w:ascii="Arial" w:hAnsi="Arial" w:cs="Arial"/>
          <w:sz w:val="20"/>
          <w:szCs w:val="20"/>
        </w:rPr>
        <w:t xml:space="preserve">, 15(1) pp. 17-33. </w:t>
      </w:r>
    </w:p>
    <w:p w14:paraId="06534695" w14:textId="77777777" w:rsidR="00FF6BB4" w:rsidRDefault="00FF6BB4"/>
    <w:sectPr w:rsidR="000C5D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3C0B9F"/>
    <w:multiLevelType w:val="hybridMultilevel"/>
    <w:tmpl w:val="AC70EA1E"/>
    <w:lvl w:ilvl="0" w:tplc="2FB222FC">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143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BB4"/>
    <w:rsid w:val="00A5609D"/>
    <w:rsid w:val="00AB0C17"/>
    <w:rsid w:val="00FF6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65828"/>
  <w15:chartTrackingRefBased/>
  <w15:docId w15:val="{A1C7ACDC-750A-47BB-AAB9-A12061250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B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6BB4"/>
    <w:rPr>
      <w:color w:val="0000FF"/>
      <w:u w:val="single"/>
    </w:rPr>
  </w:style>
  <w:style w:type="character" w:customStyle="1" w:styleId="titleauthoretc">
    <w:name w:val="titleauthoretc"/>
    <w:basedOn w:val="DefaultParagraphFont"/>
    <w:rsid w:val="00FF6BB4"/>
  </w:style>
  <w:style w:type="paragraph" w:styleId="ListParagraph">
    <w:name w:val="List Paragraph"/>
    <w:basedOn w:val="Normal"/>
    <w:uiPriority w:val="34"/>
    <w:qFormat/>
    <w:rsid w:val="00FF6BB4"/>
    <w:pPr>
      <w:ind w:left="720"/>
      <w:contextualSpacing/>
    </w:pPr>
  </w:style>
  <w:style w:type="character" w:styleId="Emphasis">
    <w:name w:val="Emphasis"/>
    <w:basedOn w:val="DefaultParagraphFont"/>
    <w:uiPriority w:val="20"/>
    <w:qFormat/>
    <w:rsid w:val="00FF6B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136%2Femj.2006.03958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4672</Words>
  <Characters>26633</Characters>
  <Application>Microsoft Office Word</Application>
  <DocSecurity>0</DocSecurity>
  <Lines>221</Lines>
  <Paragraphs>62</Paragraphs>
  <ScaleCrop>false</ScaleCrop>
  <Company>Gwent Police</Company>
  <LinksUpToDate>false</LinksUpToDate>
  <CharactersWithSpaces>31243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Askew, Amy</dc:creator>
  <cp:keywords/>
  <dc:description/>
  <cp:lastModifiedBy>Askew, Amy</cp:lastModifiedBy>
  <cp:revision>1</cp:revision>
  <dcterms:created xsi:type="dcterms:W3CDTF">2024-05-27T14:00:00Z</dcterms:created>
  <dcterms:modified xsi:type="dcterms:W3CDTF">2024-05-27T14:01:00Z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2024-05-27T14:00:53Z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458da19e-377a-46b4-ba7f-ef33b89a0d71</vt:lpwstr>
  </property>
  <property fmtid="{D5CDD505-2E9C-101B-9397-08002B2CF9AE}" pid="8" name="MSIP_Label_f2acd28b-79a3-4a0f-b0ff-4b75658b1549_ContentBits">
    <vt:lpwstr>0</vt:lpwstr>
  </property>
</Properties>
</file>