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1A8B9" w14:textId="23B40E36" w:rsidR="00617487" w:rsidRPr="00617487" w:rsidRDefault="00617487" w:rsidP="00617487">
      <w:pPr>
        <w:pStyle w:val="NormalWeb"/>
        <w:spacing w:line="360" w:lineRule="auto"/>
        <w:jc w:val="center"/>
        <w:rPr>
          <w:rStyle w:val="Strong"/>
          <w:rFonts w:ascii="Arial" w:eastAsiaTheme="majorEastAsia" w:hAnsi="Arial" w:cs="Arial"/>
        </w:rPr>
      </w:pPr>
      <w:r w:rsidRPr="00617487">
        <w:rPr>
          <w:rFonts w:ascii="Arial" w:eastAsiaTheme="majorEastAsia" w:hAnsi="Arial" w:cs="Arial"/>
          <w:color w:val="262626" w:themeColor="text1" w:themeTint="D9"/>
          <w:kern w:val="24"/>
          <w:lang w:val="en-US"/>
        </w:rPr>
        <w:t>Adele McCann - 2416685</w:t>
      </w:r>
      <w:r w:rsidRPr="00617487">
        <w:rPr>
          <w:rFonts w:ascii="Arial" w:eastAsiaTheme="majorEastAsia" w:hAnsi="Arial" w:cs="Arial"/>
          <w:color w:val="262626" w:themeColor="text1" w:themeTint="D9"/>
          <w:kern w:val="24"/>
          <w:lang w:val="en-US"/>
        </w:rPr>
        <w:br/>
        <w:t>(</w:t>
      </w:r>
      <w:r w:rsidRPr="00617487">
        <w:rPr>
          <w:rFonts w:ascii="Arial" w:hAnsi="Arial" w:cs="Arial"/>
          <w:spacing w:val="-2"/>
        </w:rPr>
        <w:t>LCHS4010</w:t>
      </w:r>
      <w:r w:rsidRPr="00617487">
        <w:rPr>
          <w:rFonts w:ascii="Arial" w:eastAsiaTheme="majorEastAsia" w:hAnsi="Arial" w:cs="Arial"/>
          <w:color w:val="262626" w:themeColor="text1" w:themeTint="D9"/>
          <w:kern w:val="24"/>
        </w:rPr>
        <w:t xml:space="preserve"> </w:t>
      </w:r>
      <w:r w:rsidRPr="00617487">
        <w:rPr>
          <w:rFonts w:ascii="Arial" w:eastAsiaTheme="majorEastAsia" w:hAnsi="Arial" w:cs="Arial"/>
          <w:color w:val="262626" w:themeColor="text1" w:themeTint="D9"/>
          <w:kern w:val="24"/>
          <w:lang w:val="en-US"/>
        </w:rPr>
        <w:t>_BIRM)</w:t>
      </w:r>
      <w:r w:rsidRPr="00617487">
        <w:rPr>
          <w:rFonts w:ascii="Arial" w:eastAsiaTheme="majorEastAsia" w:hAnsi="Arial" w:cs="Arial"/>
          <w:color w:val="262626" w:themeColor="text1" w:themeTint="D9"/>
          <w:kern w:val="24"/>
          <w:lang w:val="en-US"/>
        </w:rPr>
        <w:br/>
        <w:t>Category: Birmingham Campus</w:t>
      </w:r>
      <w:r w:rsidRPr="00617487">
        <w:rPr>
          <w:rFonts w:ascii="Arial" w:eastAsiaTheme="majorEastAsia" w:hAnsi="Arial" w:cs="Arial"/>
          <w:color w:val="262626" w:themeColor="text1" w:themeTint="D9"/>
          <w:kern w:val="24"/>
          <w:lang w:val="en-US"/>
        </w:rPr>
        <w:br/>
        <w:t xml:space="preserve">Lecturer – Kennedy </w:t>
      </w:r>
      <w:proofErr w:type="spellStart"/>
      <w:r w:rsidRPr="00617487">
        <w:rPr>
          <w:rFonts w:ascii="Arial" w:eastAsiaTheme="majorEastAsia" w:hAnsi="Arial" w:cs="Arial"/>
          <w:color w:val="262626" w:themeColor="text1" w:themeTint="D9"/>
          <w:kern w:val="24"/>
          <w:lang w:val="en-US"/>
        </w:rPr>
        <w:t>Obohwemu</w:t>
      </w:r>
      <w:proofErr w:type="spellEnd"/>
      <w:r w:rsidRPr="00617487">
        <w:rPr>
          <w:rFonts w:ascii="Arial" w:eastAsiaTheme="majorEastAsia" w:hAnsi="Arial" w:cs="Arial"/>
          <w:color w:val="262626" w:themeColor="text1" w:themeTint="D9"/>
          <w:kern w:val="24"/>
          <w:lang w:val="en-US"/>
        </w:rPr>
        <w:br/>
        <w:t>Component 2</w:t>
      </w:r>
    </w:p>
    <w:p w14:paraId="7949AFEE" w14:textId="77777777" w:rsidR="00617487" w:rsidRDefault="00617487" w:rsidP="00617487">
      <w:pPr>
        <w:pStyle w:val="NormalWeb"/>
        <w:spacing w:line="360" w:lineRule="auto"/>
        <w:jc w:val="center"/>
        <w:rPr>
          <w:rStyle w:val="Strong"/>
          <w:rFonts w:ascii="Arial" w:eastAsiaTheme="majorEastAsia" w:hAnsi="Arial" w:cs="Arial"/>
        </w:rPr>
      </w:pPr>
    </w:p>
    <w:p w14:paraId="6612209B" w14:textId="77777777" w:rsidR="00617487" w:rsidRDefault="00617487" w:rsidP="00617487">
      <w:pPr>
        <w:pStyle w:val="NormalWeb"/>
        <w:spacing w:line="360" w:lineRule="auto"/>
        <w:jc w:val="center"/>
        <w:rPr>
          <w:rStyle w:val="Strong"/>
          <w:rFonts w:ascii="Arial" w:eastAsiaTheme="majorEastAsia" w:hAnsi="Arial" w:cs="Arial"/>
        </w:rPr>
      </w:pPr>
    </w:p>
    <w:p w14:paraId="5CF16CBA" w14:textId="1AEF36B3" w:rsidR="00617487" w:rsidRPr="00617487" w:rsidRDefault="00617487" w:rsidP="00617487">
      <w:pPr>
        <w:pStyle w:val="NormalWeb"/>
        <w:spacing w:line="360" w:lineRule="auto"/>
        <w:jc w:val="center"/>
        <w:rPr>
          <w:rFonts w:ascii="Arial" w:hAnsi="Arial" w:cs="Arial"/>
          <w:b/>
          <w:bCs/>
        </w:rPr>
      </w:pPr>
      <w:r w:rsidRPr="00617487">
        <w:rPr>
          <w:rStyle w:val="Strong"/>
          <w:rFonts w:ascii="Arial" w:eastAsiaTheme="majorEastAsia" w:hAnsi="Arial" w:cs="Arial"/>
          <w:b w:val="0"/>
          <w:bCs w:val="0"/>
        </w:rPr>
        <w:t>Supporting Adults Aged 65 and Over with Dementia: The Role of Psychological Theories in Health and Social Care</w:t>
      </w:r>
    </w:p>
    <w:p w14:paraId="4B2C7D8E" w14:textId="77777777" w:rsidR="00617487" w:rsidRDefault="00617487" w:rsidP="00617487">
      <w:pPr>
        <w:pStyle w:val="NormalWeb"/>
        <w:spacing w:line="360" w:lineRule="auto"/>
        <w:rPr>
          <w:rFonts w:ascii="Arial" w:hAnsi="Arial" w:cs="Arial"/>
        </w:rPr>
      </w:pPr>
    </w:p>
    <w:p w14:paraId="273339B2" w14:textId="77777777" w:rsidR="00617487" w:rsidRDefault="00617487" w:rsidP="00617487">
      <w:pPr>
        <w:pStyle w:val="NormalWeb"/>
        <w:spacing w:line="360" w:lineRule="auto"/>
        <w:rPr>
          <w:rFonts w:ascii="Arial" w:hAnsi="Arial" w:cs="Arial"/>
        </w:rPr>
      </w:pPr>
    </w:p>
    <w:p w14:paraId="738D4DFA" w14:textId="77777777" w:rsidR="00617487" w:rsidRDefault="00617487" w:rsidP="00617487">
      <w:pPr>
        <w:pStyle w:val="NormalWeb"/>
        <w:spacing w:line="360" w:lineRule="auto"/>
        <w:rPr>
          <w:rFonts w:ascii="Arial" w:hAnsi="Arial" w:cs="Arial"/>
        </w:rPr>
      </w:pPr>
    </w:p>
    <w:p w14:paraId="74C6D6BD" w14:textId="77777777" w:rsidR="00617487" w:rsidRDefault="00617487" w:rsidP="00617487">
      <w:pPr>
        <w:pStyle w:val="NormalWeb"/>
        <w:spacing w:line="360" w:lineRule="auto"/>
        <w:rPr>
          <w:rFonts w:ascii="Arial" w:hAnsi="Arial" w:cs="Arial"/>
        </w:rPr>
      </w:pPr>
    </w:p>
    <w:p w14:paraId="41CC1C35" w14:textId="77777777" w:rsidR="00617487" w:rsidRDefault="00617487" w:rsidP="00617487">
      <w:pPr>
        <w:pStyle w:val="NormalWeb"/>
        <w:spacing w:line="360" w:lineRule="auto"/>
        <w:rPr>
          <w:rFonts w:ascii="Arial" w:hAnsi="Arial" w:cs="Arial"/>
        </w:rPr>
      </w:pPr>
    </w:p>
    <w:p w14:paraId="44F34DCC" w14:textId="77777777" w:rsidR="00617487" w:rsidRDefault="00617487" w:rsidP="00617487">
      <w:pPr>
        <w:pStyle w:val="NormalWeb"/>
        <w:spacing w:line="360" w:lineRule="auto"/>
        <w:rPr>
          <w:rFonts w:ascii="Arial" w:hAnsi="Arial" w:cs="Arial"/>
        </w:rPr>
      </w:pPr>
    </w:p>
    <w:p w14:paraId="218E71E4" w14:textId="77777777" w:rsidR="00617487" w:rsidRDefault="00617487" w:rsidP="00617487">
      <w:pPr>
        <w:pStyle w:val="NormalWeb"/>
        <w:spacing w:line="360" w:lineRule="auto"/>
        <w:rPr>
          <w:rFonts w:ascii="Arial" w:hAnsi="Arial" w:cs="Arial"/>
        </w:rPr>
      </w:pPr>
    </w:p>
    <w:p w14:paraId="44C9594E" w14:textId="77777777" w:rsidR="00617487" w:rsidRDefault="00617487" w:rsidP="00617487">
      <w:pPr>
        <w:pStyle w:val="NormalWeb"/>
        <w:spacing w:line="360" w:lineRule="auto"/>
        <w:rPr>
          <w:rFonts w:ascii="Arial" w:hAnsi="Arial" w:cs="Arial"/>
        </w:rPr>
      </w:pPr>
    </w:p>
    <w:p w14:paraId="2756D23F" w14:textId="77777777" w:rsidR="00617487" w:rsidRDefault="00617487" w:rsidP="00617487">
      <w:pPr>
        <w:pStyle w:val="NormalWeb"/>
        <w:spacing w:line="360" w:lineRule="auto"/>
        <w:rPr>
          <w:rFonts w:ascii="Arial" w:hAnsi="Arial" w:cs="Arial"/>
        </w:rPr>
      </w:pPr>
    </w:p>
    <w:p w14:paraId="67ACA0B2" w14:textId="77777777" w:rsidR="00617487" w:rsidRDefault="00617487" w:rsidP="00617487">
      <w:pPr>
        <w:pStyle w:val="NormalWeb"/>
        <w:spacing w:line="360" w:lineRule="auto"/>
        <w:rPr>
          <w:rFonts w:ascii="Arial" w:hAnsi="Arial" w:cs="Arial"/>
        </w:rPr>
      </w:pPr>
    </w:p>
    <w:p w14:paraId="0F822F1B" w14:textId="77777777" w:rsidR="00617487" w:rsidRDefault="00617487" w:rsidP="00617487">
      <w:pPr>
        <w:pStyle w:val="NormalWeb"/>
        <w:spacing w:line="360" w:lineRule="auto"/>
        <w:rPr>
          <w:rFonts w:ascii="Arial" w:hAnsi="Arial" w:cs="Arial"/>
        </w:rPr>
      </w:pPr>
    </w:p>
    <w:p w14:paraId="4A2E6CA3" w14:textId="77777777" w:rsidR="00617487" w:rsidRDefault="00617487" w:rsidP="00617487">
      <w:pPr>
        <w:pStyle w:val="NormalWeb"/>
        <w:spacing w:line="360" w:lineRule="auto"/>
        <w:rPr>
          <w:rFonts w:ascii="Arial" w:hAnsi="Arial" w:cs="Arial"/>
        </w:rPr>
      </w:pPr>
    </w:p>
    <w:p w14:paraId="25ACD1A9" w14:textId="77777777" w:rsidR="008A55A3" w:rsidRDefault="008A55A3" w:rsidP="00617487">
      <w:pPr>
        <w:pStyle w:val="NormalWeb"/>
        <w:spacing w:line="360" w:lineRule="auto"/>
        <w:rPr>
          <w:rFonts w:ascii="Arial" w:hAnsi="Arial" w:cs="Arial"/>
        </w:rPr>
      </w:pPr>
    </w:p>
    <w:p w14:paraId="34E4F99B" w14:textId="596C2AA5" w:rsidR="00617487" w:rsidRPr="00617487" w:rsidRDefault="00617487" w:rsidP="00617487">
      <w:pPr>
        <w:pStyle w:val="NormalWeb"/>
        <w:spacing w:line="360" w:lineRule="auto"/>
        <w:rPr>
          <w:rFonts w:ascii="Arial" w:hAnsi="Arial" w:cs="Arial"/>
        </w:rPr>
      </w:pPr>
      <w:r w:rsidRPr="00617487">
        <w:rPr>
          <w:rFonts w:ascii="Arial" w:hAnsi="Arial" w:cs="Arial"/>
        </w:rPr>
        <w:lastRenderedPageBreak/>
        <w:t>Dementia is a progressive neurodegenerative condition that affects millions of older adults worldwide, with significant implications for psychological wellbeing and quality of life. In the United Kingdom, dementia care homes provide essential support for individuals aged 65 and over who experience moderate to severe cognitive impairment. These settings are designed to offer safety, routine, and therapeutic engagement, yet they also present complex challenges for health and social care professionals. Understanding and applying psychological theories is vital to delivering person-centred, emotionally responsive care that addresses both behavioural and psychological symptoms of dementia.</w:t>
      </w:r>
    </w:p>
    <w:p w14:paraId="4F488793" w14:textId="77777777" w:rsidR="00617487" w:rsidRPr="00617487" w:rsidRDefault="00617487" w:rsidP="00617487">
      <w:pPr>
        <w:pStyle w:val="NormalWeb"/>
        <w:spacing w:line="360" w:lineRule="auto"/>
        <w:rPr>
          <w:rFonts w:ascii="Arial" w:hAnsi="Arial" w:cs="Arial"/>
        </w:rPr>
      </w:pPr>
      <w:r w:rsidRPr="00617487">
        <w:rPr>
          <w:rFonts w:ascii="Arial" w:hAnsi="Arial" w:cs="Arial"/>
        </w:rPr>
        <w:t>The psychological impact of dementia extends beyond memory loss and confusion. It alters how individuals perceive themselves, interact with others, and navigate their environment. According to the British Psychological Society (2016), dementia leads to profound changes in brain function, which in turn affect emotional regulation, identity, and social behaviour. As such, psychological insight is essential for professionals working in dementia care homes, where residents often experience distress, agitation, and withdrawal. This essay explores how two key psychological theories—Erikson’s Psychosocial Theory of Development and the Person-Centred Approach—can be applied to support older adults with dementia, offering practical examples, critical evaluation, and strategies for implementation.</w:t>
      </w:r>
    </w:p>
    <w:p w14:paraId="2C85EB32" w14:textId="77777777" w:rsidR="00617487" w:rsidRPr="00617487" w:rsidRDefault="00617487" w:rsidP="00617487">
      <w:pPr>
        <w:pStyle w:val="NormalWeb"/>
        <w:spacing w:line="360" w:lineRule="auto"/>
        <w:rPr>
          <w:rFonts w:ascii="Arial" w:hAnsi="Arial" w:cs="Arial"/>
        </w:rPr>
      </w:pPr>
      <w:r w:rsidRPr="00617487">
        <w:rPr>
          <w:rFonts w:ascii="Arial" w:hAnsi="Arial" w:cs="Arial"/>
        </w:rPr>
        <w:t>Erik Erikson’s Psychosocial Theory of Development provides a lifespan perspective on human growth, with each stage characterised by a central psychosocial conflict. The final stage, Integrity versus Despair, occurs in late adulthood and involves reflecting on one’s life to achieve a sense of fulfilment or regret. For individuals aged 65 and over, this stage is crucial in shaping emotional wellbeing. Erikson (1982) argued that successful resolution leads to wisdom and acceptance, while unresolved conflict results in despair and hopelessness. In the context of dementia, this process is complicated by cognitive decline, which may impair memory recall and self-reflection. Nevertheless, the emotional need for validation, meaning, and identity remains intact.</w:t>
      </w:r>
    </w:p>
    <w:p w14:paraId="289C9A02" w14:textId="77777777" w:rsidR="00617487" w:rsidRPr="00617487" w:rsidRDefault="00617487" w:rsidP="00617487">
      <w:pPr>
        <w:pStyle w:val="NormalWeb"/>
        <w:spacing w:line="360" w:lineRule="auto"/>
        <w:rPr>
          <w:rFonts w:ascii="Arial" w:hAnsi="Arial" w:cs="Arial"/>
        </w:rPr>
      </w:pPr>
      <w:r w:rsidRPr="00617487">
        <w:rPr>
          <w:rFonts w:ascii="Arial" w:hAnsi="Arial" w:cs="Arial"/>
        </w:rPr>
        <w:t xml:space="preserve">Applying Erikson’s theory in dementia care involves supporting residents in life review and identity continuity. One effective intervention is life story work, which encourages individuals to create memory books, share personal narratives, and </w:t>
      </w:r>
      <w:r w:rsidRPr="00617487">
        <w:rPr>
          <w:rFonts w:ascii="Arial" w:hAnsi="Arial" w:cs="Arial"/>
        </w:rPr>
        <w:lastRenderedPageBreak/>
        <w:t>engage in reminiscence therapy. For example, a resident named Margaret may struggle with short-term memory but vividly recalls her time as a nurse during the 1960s. By encouraging her to share these stories and documenting them in a personalised scrapbook, staff can foster a sense of pride, continuity, and emotional stability. Research by Cambridge University Press (2018) supports the efficacy of reminiscence therapy in improving mood and reducing agitation among people with dementia. It allows individuals to reconnect with meaningful experiences, reinforcing a sense of self and promoting psychological resilience.</w:t>
      </w:r>
    </w:p>
    <w:p w14:paraId="1ACD0516" w14:textId="77777777" w:rsidR="00617487" w:rsidRPr="00617487" w:rsidRDefault="00617487" w:rsidP="00617487">
      <w:pPr>
        <w:pStyle w:val="NormalWeb"/>
        <w:spacing w:line="360" w:lineRule="auto"/>
        <w:rPr>
          <w:rFonts w:ascii="Arial" w:hAnsi="Arial" w:cs="Arial"/>
        </w:rPr>
      </w:pPr>
      <w:r w:rsidRPr="00617487">
        <w:rPr>
          <w:rFonts w:ascii="Arial" w:hAnsi="Arial" w:cs="Arial"/>
        </w:rPr>
        <w:t>However, applying Erikson’s theory in practice is not without challenges. Memory loss may hinder coherent life review, and staff may lack training in therapeutic communication. Additionally, time constraints in busy care environments can limit opportunities for personalised engagement. To address these barriers, professionals can use visual aids, such as photographs and familiar objects, to support memory recall. Involving family members in life story work can also provide valuable context and emotional support. Furthermore, training staff in active listening and reminiscence techniques can enhance their ability to facilitate meaningful conversations and emotional validation.</w:t>
      </w:r>
    </w:p>
    <w:p w14:paraId="4648E5F9" w14:textId="77777777" w:rsidR="00617487" w:rsidRPr="00617487" w:rsidRDefault="00617487" w:rsidP="00617487">
      <w:pPr>
        <w:pStyle w:val="NormalWeb"/>
        <w:spacing w:line="360" w:lineRule="auto"/>
        <w:rPr>
          <w:rFonts w:ascii="Arial" w:hAnsi="Arial" w:cs="Arial"/>
        </w:rPr>
      </w:pPr>
      <w:r w:rsidRPr="00617487">
        <w:rPr>
          <w:rFonts w:ascii="Arial" w:hAnsi="Arial" w:cs="Arial"/>
        </w:rPr>
        <w:t>The Person-Centred Approach, developed by Carl Rogers, offers a complementary framework for dementia care. This approach emphasises empathy, unconditional positive regard, and congruence in therapeutic relationships. Rogers (1951) believed that individuals possess an innate capacity for growth and self-actualisation when supported in a non-judgmental environment. In dementia care, this translates into recognising the person behind the diagnosis and valuing their preferences, history, and emotional experiences. Tom Kitwood (1997) expanded this model into dementia care, introducing the concept of personhood and arguing that it must be preserved despite cognitive decline. He warned against “malignant social psychology,” where institutional practices unintentionally undermine a person’s identity and dignity.</w:t>
      </w:r>
    </w:p>
    <w:p w14:paraId="75AB5825" w14:textId="77777777" w:rsidR="00617487" w:rsidRPr="00617487" w:rsidRDefault="00617487" w:rsidP="00617487">
      <w:pPr>
        <w:pStyle w:val="NormalWeb"/>
        <w:spacing w:line="360" w:lineRule="auto"/>
        <w:rPr>
          <w:rFonts w:ascii="Arial" w:hAnsi="Arial" w:cs="Arial"/>
        </w:rPr>
      </w:pPr>
      <w:r w:rsidRPr="00617487">
        <w:rPr>
          <w:rFonts w:ascii="Arial" w:hAnsi="Arial" w:cs="Arial"/>
        </w:rPr>
        <w:t xml:space="preserve">In practice, the Person-Centred Approach involves adapting care to meet individual needs and preferences. For instance, a resident named John becomes agitated during mealtimes. Instead of enforcing routine, staff explore his preferences and discover that he dislikes crowded environments. By offering a quieter dining space and adjusting the schedule to suit his comfort, his distress reduces significantly. This </w:t>
      </w:r>
      <w:r w:rsidRPr="00617487">
        <w:rPr>
          <w:rFonts w:ascii="Arial" w:hAnsi="Arial" w:cs="Arial"/>
        </w:rPr>
        <w:lastRenderedPageBreak/>
        <w:t xml:space="preserve">example illustrates the importance of understanding behaviour as communication and responding with empathy and flexibility. </w:t>
      </w:r>
      <w:proofErr w:type="spellStart"/>
      <w:r w:rsidRPr="00617487">
        <w:rPr>
          <w:rFonts w:ascii="Arial" w:hAnsi="Arial" w:cs="Arial"/>
        </w:rPr>
        <w:t>Kitwood’s</w:t>
      </w:r>
      <w:proofErr w:type="spellEnd"/>
      <w:r w:rsidRPr="00617487">
        <w:rPr>
          <w:rFonts w:ascii="Arial" w:hAnsi="Arial" w:cs="Arial"/>
        </w:rPr>
        <w:t xml:space="preserve"> model encourages professionals to see behavioural symptoms not as problems to be managed but as expressions of unmet needs or emotional discomfort.</w:t>
      </w:r>
    </w:p>
    <w:p w14:paraId="496189B6" w14:textId="77777777" w:rsidR="00617487" w:rsidRPr="00617487" w:rsidRDefault="00617487" w:rsidP="00617487">
      <w:pPr>
        <w:pStyle w:val="NormalWeb"/>
        <w:spacing w:line="360" w:lineRule="auto"/>
        <w:rPr>
          <w:rFonts w:ascii="Arial" w:hAnsi="Arial" w:cs="Arial"/>
        </w:rPr>
      </w:pPr>
      <w:r w:rsidRPr="00617487">
        <w:rPr>
          <w:rFonts w:ascii="Arial" w:hAnsi="Arial" w:cs="Arial"/>
        </w:rPr>
        <w:t>The benefits of person-centred care are well-documented. It promotes dignity, autonomy, and emotional safety, while reducing behavioural and psychological symptoms of dementia (BPSD). It also fosters trust between staff and residents, improving the overall quality of care. However, implementing this approach can be challenging in institutional settings. Rigid routines, high staff turnover, and limited resources may restrict the flexibility required for personalised care. Continuity of care is essential, yet difficult to maintain when staff are frequently rotated or overburdened.</w:t>
      </w:r>
    </w:p>
    <w:p w14:paraId="3DECF823" w14:textId="77777777" w:rsidR="00617487" w:rsidRPr="00617487" w:rsidRDefault="00617487" w:rsidP="00617487">
      <w:pPr>
        <w:pStyle w:val="NormalWeb"/>
        <w:spacing w:line="360" w:lineRule="auto"/>
        <w:rPr>
          <w:rFonts w:ascii="Arial" w:hAnsi="Arial" w:cs="Arial"/>
        </w:rPr>
      </w:pPr>
      <w:r w:rsidRPr="00617487">
        <w:rPr>
          <w:rFonts w:ascii="Arial" w:hAnsi="Arial" w:cs="Arial"/>
        </w:rPr>
        <w:t>To overcome these challenges, care homes can implement flexible care plans that prioritise individual preferences and emotional wellbeing. Staff handover protocols should include detailed information about residents’ histories, triggers, and coping strategies. Regular team meetings and reflective practice sessions can help staff internalise person-centred values and share insights. Additionally, person-centred care audits can be used to evaluate practice and identify areas for improvement. These strategies require organisational commitment and leadership support to be effective.</w:t>
      </w:r>
    </w:p>
    <w:p w14:paraId="46F83B91" w14:textId="77777777" w:rsidR="00617487" w:rsidRPr="00617487" w:rsidRDefault="00617487" w:rsidP="00617487">
      <w:pPr>
        <w:pStyle w:val="NormalWeb"/>
        <w:spacing w:line="360" w:lineRule="auto"/>
        <w:rPr>
          <w:rFonts w:ascii="Arial" w:hAnsi="Arial" w:cs="Arial"/>
        </w:rPr>
      </w:pPr>
      <w:r w:rsidRPr="00617487">
        <w:rPr>
          <w:rFonts w:ascii="Arial" w:hAnsi="Arial" w:cs="Arial"/>
        </w:rPr>
        <w:t>Integrating Erikson’s and Rogers’ theories offers a holistic framework for supporting older adults with dementia. While Erikson provides insight into developmental needs and the importance of life reflection, Rogers emphasises relational dynamics and emotional safety. Together, these theories guide professionals in addressing both the psychological and behavioural aspects of dementia. For example, a resident experiencing despair may benefit from both life story work and empathetic engagement. Staff can validate their emotions, gently guide them toward positive reflections, and adapt care to their preferences. This dual approach supports emotional healing and reinforces personhood.</w:t>
      </w:r>
    </w:p>
    <w:p w14:paraId="3C12163F" w14:textId="77777777" w:rsidR="00617487" w:rsidRPr="00617487" w:rsidRDefault="00617487" w:rsidP="00617487">
      <w:pPr>
        <w:pStyle w:val="NormalWeb"/>
        <w:spacing w:line="360" w:lineRule="auto"/>
        <w:rPr>
          <w:rFonts w:ascii="Arial" w:hAnsi="Arial" w:cs="Arial"/>
        </w:rPr>
      </w:pPr>
      <w:r w:rsidRPr="00617487">
        <w:rPr>
          <w:rFonts w:ascii="Arial" w:hAnsi="Arial" w:cs="Arial"/>
        </w:rPr>
        <w:t>Training is a critical component of theory integration. Health and social care professionals should receive education on psychosocial development, person-</w:t>
      </w:r>
      <w:r w:rsidRPr="00617487">
        <w:rPr>
          <w:rFonts w:ascii="Arial" w:hAnsi="Arial" w:cs="Arial"/>
        </w:rPr>
        <w:lastRenderedPageBreak/>
        <w:t>centred care, and therapeutic communication. Reflective practice sessions can help staff explore their emotional responses, ethical dilemmas, and relational challenges. Supervision should include opportunities for discussing complex cases, sharing strategies, and reinforcing theoretical understanding. Organisational policies must reflect person-centred values and allocate resources for training, supervision, and therapeutic activities.</w:t>
      </w:r>
    </w:p>
    <w:p w14:paraId="1CEC504C" w14:textId="77777777" w:rsidR="00617487" w:rsidRPr="00617487" w:rsidRDefault="00617487" w:rsidP="00617487">
      <w:pPr>
        <w:pStyle w:val="NormalWeb"/>
        <w:spacing w:line="360" w:lineRule="auto"/>
        <w:rPr>
          <w:rFonts w:ascii="Arial" w:hAnsi="Arial" w:cs="Arial"/>
        </w:rPr>
      </w:pPr>
      <w:r w:rsidRPr="00617487">
        <w:rPr>
          <w:rFonts w:ascii="Arial" w:hAnsi="Arial" w:cs="Arial"/>
        </w:rPr>
        <w:t>The importance of psychologically informed care is underscored by the growing prevalence of dementia and the increasing complexity of care needs. As the population ages, health and social care professionals must be equipped to support not only physical health but also emotional and psychological wellbeing. The integration of psychological theories into practice is not without obstacles, but with strategic planning, training, and organisational commitment, it is possible to create environments where older adults feel valued, understood, and supported.</w:t>
      </w:r>
    </w:p>
    <w:p w14:paraId="30D12C2E" w14:textId="77777777" w:rsidR="00617487" w:rsidRPr="00617487" w:rsidRDefault="00617487" w:rsidP="00617487">
      <w:pPr>
        <w:pStyle w:val="NormalWeb"/>
        <w:spacing w:line="360" w:lineRule="auto"/>
        <w:rPr>
          <w:rFonts w:ascii="Arial" w:hAnsi="Arial" w:cs="Arial"/>
        </w:rPr>
      </w:pPr>
      <w:r w:rsidRPr="00617487">
        <w:rPr>
          <w:rFonts w:ascii="Arial" w:hAnsi="Arial" w:cs="Arial"/>
        </w:rPr>
        <w:t>In conclusion, psychological theories offer valuable tools for enhancing dementia care in health and social care settings. Erikson’s Psychosocial Theory of Development highlights the importance of life reflection and identity, while the Person-Centred Approach ensures care is compassionate, individualised, and emotionally responsive. By applying these models, professionals can address the psychological and behavioural challenges associated with dementia, improve quality of life, and uphold the dignity of older adults. The successful implementation of these theories requires training, flexibility, and a commitment to personhood. As dementia care continues to evolve, psychological insight will remain essential to delivering effective, empathetic, and meaningful support.</w:t>
      </w:r>
    </w:p>
    <w:p w14:paraId="3C60CBA8" w14:textId="77777777" w:rsidR="00617487" w:rsidRDefault="00617487" w:rsidP="00617487">
      <w:pPr>
        <w:pStyle w:val="NormalWeb"/>
        <w:spacing w:line="360" w:lineRule="auto"/>
        <w:rPr>
          <w:rStyle w:val="Strong"/>
          <w:rFonts w:ascii="Arial" w:eastAsiaTheme="majorEastAsia" w:hAnsi="Arial" w:cs="Arial"/>
        </w:rPr>
      </w:pPr>
    </w:p>
    <w:p w14:paraId="6E707CD0" w14:textId="77777777" w:rsidR="00617487" w:rsidRDefault="00617487" w:rsidP="00617487">
      <w:pPr>
        <w:pStyle w:val="NormalWeb"/>
        <w:spacing w:line="360" w:lineRule="auto"/>
        <w:rPr>
          <w:rStyle w:val="Strong"/>
          <w:rFonts w:ascii="Arial" w:eastAsiaTheme="majorEastAsia" w:hAnsi="Arial" w:cs="Arial"/>
        </w:rPr>
      </w:pPr>
    </w:p>
    <w:p w14:paraId="4BE8A93B" w14:textId="77777777" w:rsidR="00617487" w:rsidRDefault="00617487" w:rsidP="00617487">
      <w:pPr>
        <w:pStyle w:val="NormalWeb"/>
        <w:spacing w:line="360" w:lineRule="auto"/>
        <w:rPr>
          <w:rStyle w:val="Strong"/>
          <w:rFonts w:ascii="Arial" w:eastAsiaTheme="majorEastAsia" w:hAnsi="Arial" w:cs="Arial"/>
        </w:rPr>
      </w:pPr>
    </w:p>
    <w:p w14:paraId="21D83446" w14:textId="77777777" w:rsidR="00617487" w:rsidRDefault="00617487" w:rsidP="00617487">
      <w:pPr>
        <w:pStyle w:val="NormalWeb"/>
        <w:spacing w:line="360" w:lineRule="auto"/>
        <w:rPr>
          <w:rStyle w:val="Strong"/>
          <w:rFonts w:ascii="Arial" w:eastAsiaTheme="majorEastAsia" w:hAnsi="Arial" w:cs="Arial"/>
        </w:rPr>
      </w:pPr>
    </w:p>
    <w:p w14:paraId="1EF144B2" w14:textId="77777777" w:rsidR="008A55A3" w:rsidRDefault="008A55A3" w:rsidP="00617487">
      <w:pPr>
        <w:pStyle w:val="NormalWeb"/>
        <w:spacing w:line="360" w:lineRule="auto"/>
        <w:rPr>
          <w:rStyle w:val="Strong"/>
          <w:rFonts w:ascii="Arial" w:eastAsiaTheme="majorEastAsia" w:hAnsi="Arial" w:cs="Arial"/>
        </w:rPr>
      </w:pPr>
    </w:p>
    <w:p w14:paraId="6398BFDE" w14:textId="06023D2B" w:rsidR="00617487" w:rsidRPr="00617487" w:rsidRDefault="00617487" w:rsidP="00617487">
      <w:pPr>
        <w:pStyle w:val="NormalWeb"/>
        <w:spacing w:line="360" w:lineRule="auto"/>
        <w:rPr>
          <w:rFonts w:ascii="Arial" w:hAnsi="Arial" w:cs="Arial"/>
          <w:b/>
          <w:bCs/>
        </w:rPr>
      </w:pPr>
      <w:r w:rsidRPr="00617487">
        <w:rPr>
          <w:rStyle w:val="Strong"/>
          <w:rFonts w:ascii="Arial" w:eastAsiaTheme="majorEastAsia" w:hAnsi="Arial" w:cs="Arial"/>
          <w:b w:val="0"/>
          <w:bCs w:val="0"/>
        </w:rPr>
        <w:lastRenderedPageBreak/>
        <w:t xml:space="preserve">References </w:t>
      </w:r>
    </w:p>
    <w:p w14:paraId="35F74BB9" w14:textId="1DBAC8E6"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r w:rsidRPr="00617487">
        <w:rPr>
          <w:rFonts w:ascii="Arial" w:eastAsia="Times New Roman" w:hAnsi="Arial" w:cs="Arial"/>
          <w:kern w:val="0"/>
          <w:lang w:eastAsia="en-GB"/>
          <w14:ligatures w14:val="none"/>
        </w:rPr>
        <w:t xml:space="preserve">British Psychological Society (2016) </w:t>
      </w:r>
      <w:r w:rsidRPr="00617487">
        <w:rPr>
          <w:rFonts w:ascii="Arial" w:eastAsia="Times New Roman" w:hAnsi="Arial" w:cs="Arial"/>
          <w:i/>
          <w:iCs/>
          <w:kern w:val="0"/>
          <w:lang w:eastAsia="en-GB"/>
          <w14:ligatures w14:val="none"/>
        </w:rPr>
        <w:t>Psychological dimensions of dementia: Putting the person at the centre of care</w:t>
      </w:r>
      <w:r w:rsidRPr="00617487">
        <w:rPr>
          <w:rFonts w:ascii="Arial" w:eastAsia="Times New Roman" w:hAnsi="Arial" w:cs="Arial"/>
          <w:kern w:val="0"/>
          <w:lang w:eastAsia="en-GB"/>
          <w14:ligatures w14:val="none"/>
        </w:rPr>
        <w:t xml:space="preserve">. Available at: https://www.dementiauk.org/wp-content/uploads/british-psychological-society-psychological-dimensions-of-dementia_Putting-the-person-at-the-centre-of-care.pdf (Accessed: </w:t>
      </w:r>
      <w:r w:rsidR="00AE78EC">
        <w:rPr>
          <w:rFonts w:ascii="Arial" w:eastAsia="Times New Roman" w:hAnsi="Arial" w:cs="Arial"/>
          <w:kern w:val="0"/>
          <w:lang w:eastAsia="en-GB"/>
          <w14:ligatures w14:val="none"/>
        </w:rPr>
        <w:t>11</w:t>
      </w:r>
      <w:r w:rsidRPr="00617487">
        <w:rPr>
          <w:rFonts w:ascii="Arial" w:eastAsia="Times New Roman" w:hAnsi="Arial" w:cs="Arial"/>
          <w:kern w:val="0"/>
          <w:lang w:eastAsia="en-GB"/>
          <w14:ligatures w14:val="none"/>
        </w:rPr>
        <w:t xml:space="preserve"> </w:t>
      </w:r>
      <w:r w:rsidR="00AE78EC">
        <w:rPr>
          <w:rFonts w:ascii="Arial" w:eastAsia="Times New Roman" w:hAnsi="Arial" w:cs="Arial"/>
          <w:kern w:val="0"/>
          <w:lang w:eastAsia="en-GB"/>
          <w14:ligatures w14:val="none"/>
        </w:rPr>
        <w:t>November</w:t>
      </w:r>
      <w:r w:rsidRPr="00617487">
        <w:rPr>
          <w:rFonts w:ascii="Arial" w:eastAsia="Times New Roman" w:hAnsi="Arial" w:cs="Arial"/>
          <w:kern w:val="0"/>
          <w:lang w:eastAsia="en-GB"/>
          <w14:ligatures w14:val="none"/>
        </w:rPr>
        <w:t xml:space="preserve"> 2025). [See pp. 4–12 for person-centred care principles]</w:t>
      </w:r>
    </w:p>
    <w:p w14:paraId="6B20D4BE" w14:textId="649FACB5"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r w:rsidRPr="00617487">
        <w:rPr>
          <w:rFonts w:ascii="Arial" w:eastAsia="Times New Roman" w:hAnsi="Arial" w:cs="Arial"/>
          <w:kern w:val="0"/>
          <w:lang w:eastAsia="en-GB"/>
          <w14:ligatures w14:val="none"/>
        </w:rPr>
        <w:t xml:space="preserve">Cambridge University Press (2018) </w:t>
      </w:r>
      <w:r w:rsidRPr="00617487">
        <w:rPr>
          <w:rFonts w:ascii="Arial" w:eastAsia="Times New Roman" w:hAnsi="Arial" w:cs="Arial"/>
          <w:i/>
          <w:iCs/>
          <w:kern w:val="0"/>
          <w:lang w:eastAsia="en-GB"/>
          <w14:ligatures w14:val="none"/>
        </w:rPr>
        <w:t>Psychosocial interventions for dementia: From evidence to practice</w:t>
      </w:r>
      <w:r w:rsidRPr="00617487">
        <w:rPr>
          <w:rFonts w:ascii="Arial" w:eastAsia="Times New Roman" w:hAnsi="Arial" w:cs="Arial"/>
          <w:kern w:val="0"/>
          <w:lang w:eastAsia="en-GB"/>
          <w14:ligatures w14:val="none"/>
        </w:rPr>
        <w:t xml:space="preserve">. </w:t>
      </w:r>
      <w:r w:rsidRPr="00617487">
        <w:rPr>
          <w:rFonts w:ascii="Arial" w:eastAsia="Times New Roman" w:hAnsi="Arial" w:cs="Arial"/>
          <w:i/>
          <w:iCs/>
          <w:kern w:val="0"/>
          <w:lang w:eastAsia="en-GB"/>
          <w14:ligatures w14:val="none"/>
        </w:rPr>
        <w:t>Advances in Psychiatric Treatment</w:t>
      </w:r>
      <w:r w:rsidRPr="00617487">
        <w:rPr>
          <w:rFonts w:ascii="Arial" w:eastAsia="Times New Roman" w:hAnsi="Arial" w:cs="Arial"/>
          <w:kern w:val="0"/>
          <w:lang w:eastAsia="en-GB"/>
          <w14:ligatures w14:val="none"/>
        </w:rPr>
        <w:t xml:space="preserve">, 24(3), pp. 168–176. Available at: https://www.cambridge.org/core/journals/advances-in-psychiatric-treatment/article/psychosocial-interventions-for-dementia-from-evidence-to-practice/7D06AD3D2097AFB9384F010A132F4D70 (Accessed: </w:t>
      </w:r>
      <w:r w:rsidR="00AE78EC">
        <w:rPr>
          <w:rFonts w:ascii="Arial" w:eastAsia="Times New Roman" w:hAnsi="Arial" w:cs="Arial"/>
          <w:kern w:val="0"/>
          <w:lang w:eastAsia="en-GB"/>
          <w14:ligatures w14:val="none"/>
        </w:rPr>
        <w:t>11 November</w:t>
      </w:r>
      <w:r w:rsidRPr="00617487">
        <w:rPr>
          <w:rFonts w:ascii="Arial" w:eastAsia="Times New Roman" w:hAnsi="Arial" w:cs="Arial"/>
          <w:kern w:val="0"/>
          <w:lang w:eastAsia="en-GB"/>
          <w14:ligatures w14:val="none"/>
        </w:rPr>
        <w:t xml:space="preserve"> 2025).</w:t>
      </w:r>
    </w:p>
    <w:p w14:paraId="658E6360" w14:textId="77777777"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r w:rsidRPr="00617487">
        <w:rPr>
          <w:rFonts w:ascii="Arial" w:eastAsia="Times New Roman" w:hAnsi="Arial" w:cs="Arial"/>
          <w:kern w:val="0"/>
          <w:lang w:eastAsia="en-GB"/>
          <w14:ligatures w14:val="none"/>
        </w:rPr>
        <w:t xml:space="preserve">Erikson, E.H. and Erikson, J.M. (1998) </w:t>
      </w:r>
      <w:r w:rsidRPr="00617487">
        <w:rPr>
          <w:rFonts w:ascii="Arial" w:eastAsia="Times New Roman" w:hAnsi="Arial" w:cs="Arial"/>
          <w:i/>
          <w:iCs/>
          <w:kern w:val="0"/>
          <w:lang w:eastAsia="en-GB"/>
          <w14:ligatures w14:val="none"/>
        </w:rPr>
        <w:t>The Life Cycle Completed (Extended Version)</w:t>
      </w:r>
      <w:r w:rsidRPr="00617487">
        <w:rPr>
          <w:rFonts w:ascii="Arial" w:eastAsia="Times New Roman" w:hAnsi="Arial" w:cs="Arial"/>
          <w:kern w:val="0"/>
          <w:lang w:eastAsia="en-GB"/>
          <w14:ligatures w14:val="none"/>
        </w:rPr>
        <w:t>. New York: W.W. Norton &amp; Company. pp. 105–123.</w:t>
      </w:r>
    </w:p>
    <w:p w14:paraId="22873883" w14:textId="42FEFE0D"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r w:rsidRPr="00617487">
        <w:rPr>
          <w:rFonts w:ascii="Arial" w:eastAsia="Times New Roman" w:hAnsi="Arial" w:cs="Arial"/>
          <w:kern w:val="0"/>
          <w:lang w:eastAsia="en-GB"/>
          <w14:ligatures w14:val="none"/>
        </w:rPr>
        <w:t xml:space="preserve">Javed, S. and Kakul, F. (2023) ‘Psychological theories of dementia’, </w:t>
      </w:r>
      <w:r w:rsidRPr="00617487">
        <w:rPr>
          <w:rFonts w:ascii="Arial" w:eastAsia="Times New Roman" w:hAnsi="Arial" w:cs="Arial"/>
          <w:i/>
          <w:iCs/>
          <w:kern w:val="0"/>
          <w:lang w:eastAsia="en-GB"/>
          <w14:ligatures w14:val="none"/>
        </w:rPr>
        <w:t>Journal of Gerontology and Geriatrics</w:t>
      </w:r>
      <w:r w:rsidRPr="00617487">
        <w:rPr>
          <w:rFonts w:ascii="Arial" w:eastAsia="Times New Roman" w:hAnsi="Arial" w:cs="Arial"/>
          <w:kern w:val="0"/>
          <w:lang w:eastAsia="en-GB"/>
          <w14:ligatures w14:val="none"/>
        </w:rPr>
        <w:t xml:space="preserve">, 71(2), pp. 45–58. Available at: https://www.jgerontology-geriatrics.com/article/view/610 (Accessed: </w:t>
      </w:r>
      <w:r w:rsidR="00AE78EC">
        <w:rPr>
          <w:rFonts w:ascii="Arial" w:eastAsia="Times New Roman" w:hAnsi="Arial" w:cs="Arial"/>
          <w:kern w:val="0"/>
          <w:lang w:eastAsia="en-GB"/>
          <w14:ligatures w14:val="none"/>
        </w:rPr>
        <w:t xml:space="preserve">11 November </w:t>
      </w:r>
      <w:r w:rsidRPr="00617487">
        <w:rPr>
          <w:rFonts w:ascii="Arial" w:eastAsia="Times New Roman" w:hAnsi="Arial" w:cs="Arial"/>
          <w:kern w:val="0"/>
          <w:lang w:eastAsia="en-GB"/>
          <w14:ligatures w14:val="none"/>
        </w:rPr>
        <w:t>2025).</w:t>
      </w:r>
    </w:p>
    <w:p w14:paraId="388FBCE0" w14:textId="77777777"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proofErr w:type="spellStart"/>
      <w:r w:rsidRPr="00617487">
        <w:rPr>
          <w:rFonts w:ascii="Arial" w:eastAsia="Times New Roman" w:hAnsi="Arial" w:cs="Arial"/>
          <w:kern w:val="0"/>
          <w:lang w:eastAsia="en-GB"/>
          <w14:ligatures w14:val="none"/>
        </w:rPr>
        <w:t>Kitwood</w:t>
      </w:r>
      <w:proofErr w:type="spellEnd"/>
      <w:r w:rsidRPr="00617487">
        <w:rPr>
          <w:rFonts w:ascii="Arial" w:eastAsia="Times New Roman" w:hAnsi="Arial" w:cs="Arial"/>
          <w:kern w:val="0"/>
          <w:lang w:eastAsia="en-GB"/>
          <w14:ligatures w14:val="none"/>
        </w:rPr>
        <w:t xml:space="preserve">, T. (1997) </w:t>
      </w:r>
      <w:r w:rsidRPr="00617487">
        <w:rPr>
          <w:rFonts w:ascii="Arial" w:eastAsia="Times New Roman" w:hAnsi="Arial" w:cs="Arial"/>
          <w:i/>
          <w:iCs/>
          <w:kern w:val="0"/>
          <w:lang w:eastAsia="en-GB"/>
          <w14:ligatures w14:val="none"/>
        </w:rPr>
        <w:t>Dementia Reconsidered: The Person Comes First</w:t>
      </w:r>
      <w:r w:rsidRPr="00617487">
        <w:rPr>
          <w:rFonts w:ascii="Arial" w:eastAsia="Times New Roman" w:hAnsi="Arial" w:cs="Arial"/>
          <w:kern w:val="0"/>
          <w:lang w:eastAsia="en-GB"/>
          <w14:ligatures w14:val="none"/>
        </w:rPr>
        <w:t>. Buckingham: Open University Press. pp. 37–55.</w:t>
      </w:r>
    </w:p>
    <w:p w14:paraId="7D4DBB8E" w14:textId="77777777" w:rsidR="00617487" w:rsidRPr="00617487" w:rsidRDefault="00617487" w:rsidP="00AE78EC">
      <w:pPr>
        <w:spacing w:before="100" w:beforeAutospacing="1" w:after="100" w:afterAutospacing="1" w:line="240" w:lineRule="auto"/>
        <w:rPr>
          <w:rFonts w:ascii="Arial" w:eastAsia="Times New Roman" w:hAnsi="Arial" w:cs="Arial"/>
          <w:kern w:val="0"/>
          <w:lang w:eastAsia="en-GB"/>
          <w14:ligatures w14:val="none"/>
        </w:rPr>
      </w:pPr>
      <w:r w:rsidRPr="00617487">
        <w:rPr>
          <w:rFonts w:ascii="Arial" w:eastAsia="Times New Roman" w:hAnsi="Arial" w:cs="Arial"/>
          <w:kern w:val="0"/>
          <w:lang w:eastAsia="en-GB"/>
          <w14:ligatures w14:val="none"/>
        </w:rPr>
        <w:t xml:space="preserve">Rogers, C.R. (1951) </w:t>
      </w:r>
      <w:r w:rsidRPr="00617487">
        <w:rPr>
          <w:rFonts w:ascii="Arial" w:eastAsia="Times New Roman" w:hAnsi="Arial" w:cs="Arial"/>
          <w:i/>
          <w:iCs/>
          <w:kern w:val="0"/>
          <w:lang w:eastAsia="en-GB"/>
          <w14:ligatures w14:val="none"/>
        </w:rPr>
        <w:t>Client-</w:t>
      </w:r>
      <w:proofErr w:type="spellStart"/>
      <w:r w:rsidRPr="00617487">
        <w:rPr>
          <w:rFonts w:ascii="Arial" w:eastAsia="Times New Roman" w:hAnsi="Arial" w:cs="Arial"/>
          <w:i/>
          <w:iCs/>
          <w:kern w:val="0"/>
          <w:lang w:eastAsia="en-GB"/>
          <w14:ligatures w14:val="none"/>
        </w:rPr>
        <w:t>Centered</w:t>
      </w:r>
      <w:proofErr w:type="spellEnd"/>
      <w:r w:rsidRPr="00617487">
        <w:rPr>
          <w:rFonts w:ascii="Arial" w:eastAsia="Times New Roman" w:hAnsi="Arial" w:cs="Arial"/>
          <w:i/>
          <w:iCs/>
          <w:kern w:val="0"/>
          <w:lang w:eastAsia="en-GB"/>
          <w14:ligatures w14:val="none"/>
        </w:rPr>
        <w:t xml:space="preserve"> Therapy: Its Current Practice, Implications and Theory</w:t>
      </w:r>
      <w:r w:rsidRPr="00617487">
        <w:rPr>
          <w:rFonts w:ascii="Arial" w:eastAsia="Times New Roman" w:hAnsi="Arial" w:cs="Arial"/>
          <w:kern w:val="0"/>
          <w:lang w:eastAsia="en-GB"/>
          <w14:ligatures w14:val="none"/>
        </w:rPr>
        <w:t>. Boston: Houghton Mifflin. pp. 25–87.</w:t>
      </w:r>
    </w:p>
    <w:p w14:paraId="7269DE5D" w14:textId="44E228CB" w:rsidR="00617487" w:rsidRPr="00617487" w:rsidRDefault="00617487" w:rsidP="00617487">
      <w:pPr>
        <w:spacing w:before="100" w:beforeAutospacing="1" w:after="100" w:afterAutospacing="1" w:line="360" w:lineRule="auto"/>
        <w:outlineLvl w:val="0"/>
        <w:rPr>
          <w:rFonts w:ascii="Arial" w:eastAsia="Times New Roman" w:hAnsi="Arial" w:cs="Arial"/>
          <w:kern w:val="0"/>
          <w:lang w:eastAsia="en-GB"/>
          <w14:ligatures w14:val="none"/>
        </w:rPr>
      </w:pPr>
    </w:p>
    <w:p w14:paraId="17FE81E9" w14:textId="77777777" w:rsidR="003A4E79" w:rsidRDefault="003A4E79"/>
    <w:sectPr w:rsidR="003A4E7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1DA01" w14:textId="77777777" w:rsidR="00617487" w:rsidRDefault="00617487" w:rsidP="00617487">
      <w:pPr>
        <w:spacing w:after="0" w:line="240" w:lineRule="auto"/>
      </w:pPr>
      <w:r>
        <w:separator/>
      </w:r>
    </w:p>
  </w:endnote>
  <w:endnote w:type="continuationSeparator" w:id="0">
    <w:p w14:paraId="19332EC7" w14:textId="77777777" w:rsidR="00617487" w:rsidRDefault="00617487" w:rsidP="00617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223038"/>
      <w:docPartObj>
        <w:docPartGallery w:val="Page Numbers (Bottom of Page)"/>
        <w:docPartUnique/>
      </w:docPartObj>
    </w:sdtPr>
    <w:sdtEndPr/>
    <w:sdtContent>
      <w:p w14:paraId="5E0C6878" w14:textId="754F452F" w:rsidR="00617487" w:rsidRDefault="00617487">
        <w:pPr>
          <w:pStyle w:val="Footer"/>
          <w:jc w:val="center"/>
        </w:pPr>
        <w:r>
          <w:fldChar w:fldCharType="begin"/>
        </w:r>
        <w:r>
          <w:instrText>PAGE   \* MERGEFORMAT</w:instrText>
        </w:r>
        <w:r>
          <w:fldChar w:fldCharType="separate"/>
        </w:r>
        <w:r>
          <w:t>2</w:t>
        </w:r>
        <w:r>
          <w:fldChar w:fldCharType="end"/>
        </w:r>
      </w:p>
    </w:sdtContent>
  </w:sdt>
  <w:p w14:paraId="08C50636" w14:textId="77777777" w:rsidR="00617487" w:rsidRDefault="00617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17B09" w14:textId="77777777" w:rsidR="00617487" w:rsidRDefault="00617487" w:rsidP="00617487">
      <w:pPr>
        <w:spacing w:after="0" w:line="240" w:lineRule="auto"/>
      </w:pPr>
      <w:r>
        <w:separator/>
      </w:r>
    </w:p>
  </w:footnote>
  <w:footnote w:type="continuationSeparator" w:id="0">
    <w:p w14:paraId="3F068AFA" w14:textId="77777777" w:rsidR="00617487" w:rsidRDefault="00617487" w:rsidP="00617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B12C7"/>
    <w:multiLevelType w:val="multilevel"/>
    <w:tmpl w:val="230AA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84675"/>
    <w:multiLevelType w:val="multilevel"/>
    <w:tmpl w:val="6D829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0E7DD3"/>
    <w:multiLevelType w:val="multilevel"/>
    <w:tmpl w:val="CE1C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FA738E"/>
    <w:multiLevelType w:val="multilevel"/>
    <w:tmpl w:val="D11EF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E56F6B"/>
    <w:multiLevelType w:val="multilevel"/>
    <w:tmpl w:val="63C4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A14C6F"/>
    <w:multiLevelType w:val="multilevel"/>
    <w:tmpl w:val="FE2A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702DDA"/>
    <w:multiLevelType w:val="multilevel"/>
    <w:tmpl w:val="5C34C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5F38E8"/>
    <w:multiLevelType w:val="multilevel"/>
    <w:tmpl w:val="BA224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E131A4"/>
    <w:multiLevelType w:val="multilevel"/>
    <w:tmpl w:val="1EF0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083626"/>
    <w:multiLevelType w:val="multilevel"/>
    <w:tmpl w:val="099C0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1641497">
    <w:abstractNumId w:val="6"/>
  </w:num>
  <w:num w:numId="2" w16cid:durableId="1295792814">
    <w:abstractNumId w:val="5"/>
  </w:num>
  <w:num w:numId="3" w16cid:durableId="1386640854">
    <w:abstractNumId w:val="8"/>
  </w:num>
  <w:num w:numId="4" w16cid:durableId="369301294">
    <w:abstractNumId w:val="4"/>
  </w:num>
  <w:num w:numId="5" w16cid:durableId="1561667791">
    <w:abstractNumId w:val="9"/>
  </w:num>
  <w:num w:numId="6" w16cid:durableId="1174026811">
    <w:abstractNumId w:val="2"/>
  </w:num>
  <w:num w:numId="7" w16cid:durableId="853493056">
    <w:abstractNumId w:val="1"/>
  </w:num>
  <w:num w:numId="8" w16cid:durableId="1074357511">
    <w:abstractNumId w:val="7"/>
  </w:num>
  <w:num w:numId="9" w16cid:durableId="1563253934">
    <w:abstractNumId w:val="0"/>
  </w:num>
  <w:num w:numId="10" w16cid:durableId="1927878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487"/>
    <w:rsid w:val="003A4E79"/>
    <w:rsid w:val="00617487"/>
    <w:rsid w:val="00710083"/>
    <w:rsid w:val="008A55A3"/>
    <w:rsid w:val="009548D0"/>
    <w:rsid w:val="0099322C"/>
    <w:rsid w:val="00AE78EC"/>
    <w:rsid w:val="00BA4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90A9"/>
  <w15:chartTrackingRefBased/>
  <w15:docId w15:val="{8959C412-CB88-4D3C-83BF-7C32081E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4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74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74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74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74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74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74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74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74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4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74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74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74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74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74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4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4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487"/>
    <w:rPr>
      <w:rFonts w:eastAsiaTheme="majorEastAsia" w:cstheme="majorBidi"/>
      <w:color w:val="272727" w:themeColor="text1" w:themeTint="D8"/>
    </w:rPr>
  </w:style>
  <w:style w:type="paragraph" w:styleId="Title">
    <w:name w:val="Title"/>
    <w:basedOn w:val="Normal"/>
    <w:next w:val="Normal"/>
    <w:link w:val="TitleChar"/>
    <w:uiPriority w:val="10"/>
    <w:qFormat/>
    <w:rsid w:val="006174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4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4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74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487"/>
    <w:pPr>
      <w:spacing w:before="160"/>
      <w:jc w:val="center"/>
    </w:pPr>
    <w:rPr>
      <w:i/>
      <w:iCs/>
      <w:color w:val="404040" w:themeColor="text1" w:themeTint="BF"/>
    </w:rPr>
  </w:style>
  <w:style w:type="character" w:customStyle="1" w:styleId="QuoteChar">
    <w:name w:val="Quote Char"/>
    <w:basedOn w:val="DefaultParagraphFont"/>
    <w:link w:val="Quote"/>
    <w:uiPriority w:val="29"/>
    <w:rsid w:val="00617487"/>
    <w:rPr>
      <w:i/>
      <w:iCs/>
      <w:color w:val="404040" w:themeColor="text1" w:themeTint="BF"/>
    </w:rPr>
  </w:style>
  <w:style w:type="paragraph" w:styleId="ListParagraph">
    <w:name w:val="List Paragraph"/>
    <w:basedOn w:val="Normal"/>
    <w:uiPriority w:val="34"/>
    <w:qFormat/>
    <w:rsid w:val="00617487"/>
    <w:pPr>
      <w:ind w:left="720"/>
      <w:contextualSpacing/>
    </w:pPr>
  </w:style>
  <w:style w:type="character" w:styleId="IntenseEmphasis">
    <w:name w:val="Intense Emphasis"/>
    <w:basedOn w:val="DefaultParagraphFont"/>
    <w:uiPriority w:val="21"/>
    <w:qFormat/>
    <w:rsid w:val="00617487"/>
    <w:rPr>
      <w:i/>
      <w:iCs/>
      <w:color w:val="0F4761" w:themeColor="accent1" w:themeShade="BF"/>
    </w:rPr>
  </w:style>
  <w:style w:type="paragraph" w:styleId="IntenseQuote">
    <w:name w:val="Intense Quote"/>
    <w:basedOn w:val="Normal"/>
    <w:next w:val="Normal"/>
    <w:link w:val="IntenseQuoteChar"/>
    <w:uiPriority w:val="30"/>
    <w:qFormat/>
    <w:rsid w:val="006174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7487"/>
    <w:rPr>
      <w:i/>
      <w:iCs/>
      <w:color w:val="0F4761" w:themeColor="accent1" w:themeShade="BF"/>
    </w:rPr>
  </w:style>
  <w:style w:type="character" w:styleId="IntenseReference">
    <w:name w:val="Intense Reference"/>
    <w:basedOn w:val="DefaultParagraphFont"/>
    <w:uiPriority w:val="32"/>
    <w:qFormat/>
    <w:rsid w:val="00617487"/>
    <w:rPr>
      <w:b/>
      <w:bCs/>
      <w:smallCaps/>
      <w:color w:val="0F4761" w:themeColor="accent1" w:themeShade="BF"/>
      <w:spacing w:val="5"/>
    </w:rPr>
  </w:style>
  <w:style w:type="paragraph" w:styleId="NormalWeb">
    <w:name w:val="Normal (Web)"/>
    <w:basedOn w:val="Normal"/>
    <w:uiPriority w:val="99"/>
    <w:semiHidden/>
    <w:unhideWhenUsed/>
    <w:rsid w:val="006174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17487"/>
    <w:rPr>
      <w:b/>
      <w:bCs/>
    </w:rPr>
  </w:style>
  <w:style w:type="character" w:styleId="Emphasis">
    <w:name w:val="Emphasis"/>
    <w:basedOn w:val="DefaultParagraphFont"/>
    <w:uiPriority w:val="20"/>
    <w:qFormat/>
    <w:rsid w:val="00617487"/>
    <w:rPr>
      <w:i/>
      <w:iCs/>
    </w:rPr>
  </w:style>
  <w:style w:type="paragraph" w:styleId="Header">
    <w:name w:val="header"/>
    <w:basedOn w:val="Normal"/>
    <w:link w:val="HeaderChar"/>
    <w:uiPriority w:val="99"/>
    <w:unhideWhenUsed/>
    <w:rsid w:val="00617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487"/>
  </w:style>
  <w:style w:type="paragraph" w:styleId="Footer">
    <w:name w:val="footer"/>
    <w:basedOn w:val="Normal"/>
    <w:link w:val="FooterChar"/>
    <w:uiPriority w:val="99"/>
    <w:unhideWhenUsed/>
    <w:rsid w:val="00617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9629944">
      <w:bodyDiv w:val="1"/>
      <w:marLeft w:val="0"/>
      <w:marRight w:val="0"/>
      <w:marTop w:val="0"/>
      <w:marBottom w:val="0"/>
      <w:divBdr>
        <w:top w:val="none" w:sz="0" w:space="0" w:color="auto"/>
        <w:left w:val="none" w:sz="0" w:space="0" w:color="auto"/>
        <w:bottom w:val="none" w:sz="0" w:space="0" w:color="auto"/>
        <w:right w:val="none" w:sz="0" w:space="0" w:color="auto"/>
      </w:divBdr>
    </w:div>
    <w:div w:id="1048260910">
      <w:bodyDiv w:val="1"/>
      <w:marLeft w:val="0"/>
      <w:marRight w:val="0"/>
      <w:marTop w:val="0"/>
      <w:marBottom w:val="0"/>
      <w:divBdr>
        <w:top w:val="none" w:sz="0" w:space="0" w:color="auto"/>
        <w:left w:val="none" w:sz="0" w:space="0" w:color="auto"/>
        <w:bottom w:val="none" w:sz="0" w:space="0" w:color="auto"/>
        <w:right w:val="none" w:sz="0" w:space="0" w:color="auto"/>
      </w:divBdr>
    </w:div>
    <w:div w:id="113083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1598</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2</cp:revision>
  <dcterms:created xsi:type="dcterms:W3CDTF">2025-10-02T12:07:00Z</dcterms:created>
  <dcterms:modified xsi:type="dcterms:W3CDTF">2025-10-11T08:40:00Z</dcterms:modified>
</cp:coreProperties>
</file>