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A9C19" w14:textId="77777777" w:rsidR="00083947" w:rsidRPr="008A639E" w:rsidRDefault="00083947" w:rsidP="00083947">
      <w:pPr>
        <w:rPr>
          <w:b/>
          <w:bCs/>
          <w:sz w:val="32"/>
          <w:szCs w:val="36"/>
        </w:rPr>
      </w:pPr>
      <w:r>
        <w:rPr>
          <w:b/>
          <w:bCs/>
          <w:sz w:val="32"/>
          <w:szCs w:val="36"/>
        </w:rPr>
        <w:t>Financial Management and Planning</w:t>
      </w:r>
    </w:p>
    <w:p w14:paraId="3493515C" w14:textId="77777777" w:rsidR="00083947" w:rsidRPr="008A639E" w:rsidRDefault="00083947" w:rsidP="00083947">
      <w:pPr>
        <w:rPr>
          <w:b/>
          <w:bCs/>
          <w:sz w:val="32"/>
          <w:szCs w:val="36"/>
        </w:rPr>
      </w:pPr>
      <w:r w:rsidRPr="008A639E">
        <w:rPr>
          <w:b/>
          <w:bCs/>
          <w:sz w:val="32"/>
          <w:szCs w:val="36"/>
        </w:rPr>
        <w:t xml:space="preserve">Assignment </w:t>
      </w:r>
    </w:p>
    <w:p w14:paraId="12A50DF1" w14:textId="77777777" w:rsidR="00083947" w:rsidRPr="008A639E" w:rsidRDefault="00083947" w:rsidP="00083947">
      <w:pPr>
        <w:rPr>
          <w:b/>
          <w:bCs/>
          <w:sz w:val="32"/>
          <w:szCs w:val="36"/>
        </w:rPr>
      </w:pPr>
      <w:r w:rsidRPr="008A639E">
        <w:rPr>
          <w:b/>
          <w:bCs/>
          <w:sz w:val="32"/>
          <w:szCs w:val="36"/>
        </w:rPr>
        <w:t xml:space="preserve">MSc Industry 4.0 </w:t>
      </w:r>
      <w:r>
        <w:rPr>
          <w:b/>
          <w:bCs/>
          <w:sz w:val="32"/>
          <w:szCs w:val="36"/>
        </w:rPr>
        <w:t>– Advanced Manufacturing</w:t>
      </w:r>
    </w:p>
    <w:p w14:paraId="61149005" w14:textId="77777777" w:rsidR="00083947" w:rsidRPr="008A639E" w:rsidRDefault="00083947" w:rsidP="00083947">
      <w:pPr>
        <w:rPr>
          <w:sz w:val="28"/>
          <w:szCs w:val="32"/>
        </w:rPr>
      </w:pPr>
      <w:r w:rsidRPr="008A639E">
        <w:rPr>
          <w:sz w:val="28"/>
          <w:szCs w:val="32"/>
        </w:rPr>
        <w:t>Module Code:</w:t>
      </w:r>
      <w:r>
        <w:rPr>
          <w:sz w:val="28"/>
          <w:szCs w:val="32"/>
        </w:rPr>
        <w:t xml:space="preserve"> ACPA7002</w:t>
      </w:r>
    </w:p>
    <w:p w14:paraId="6CE5F5DE" w14:textId="77777777" w:rsidR="00083947" w:rsidRDefault="00083947" w:rsidP="00083947">
      <w:pPr>
        <w:rPr>
          <w:sz w:val="28"/>
          <w:szCs w:val="32"/>
        </w:rPr>
      </w:pPr>
      <w:r w:rsidRPr="008A639E">
        <w:rPr>
          <w:sz w:val="28"/>
          <w:szCs w:val="32"/>
        </w:rPr>
        <w:t xml:space="preserve">Supervisor: </w:t>
      </w:r>
      <w:r>
        <w:rPr>
          <w:sz w:val="28"/>
          <w:szCs w:val="32"/>
        </w:rPr>
        <w:t>Howard Davies</w:t>
      </w:r>
    </w:p>
    <w:p w14:paraId="2447FCCE" w14:textId="77777777" w:rsidR="00083947" w:rsidRDefault="00083947" w:rsidP="00083947">
      <w:pPr>
        <w:rPr>
          <w:b/>
          <w:bCs/>
          <w:sz w:val="36"/>
          <w:szCs w:val="40"/>
        </w:rPr>
      </w:pPr>
    </w:p>
    <w:p w14:paraId="78BA33E3" w14:textId="60381E33" w:rsidR="00083947" w:rsidRDefault="00083947" w:rsidP="00083947">
      <w:pPr>
        <w:rPr>
          <w:b/>
          <w:bCs/>
          <w:sz w:val="36"/>
          <w:szCs w:val="40"/>
        </w:rPr>
      </w:pPr>
    </w:p>
    <w:p w14:paraId="63EB6BEF" w14:textId="59988EC2" w:rsidR="00083947" w:rsidRDefault="00083947" w:rsidP="00083947">
      <w:pPr>
        <w:rPr>
          <w:b/>
          <w:bCs/>
          <w:sz w:val="36"/>
          <w:szCs w:val="40"/>
        </w:rPr>
      </w:pPr>
    </w:p>
    <w:p w14:paraId="453E8A59" w14:textId="3FC1B01A" w:rsidR="00083947" w:rsidRDefault="00313446" w:rsidP="00083947">
      <w:pPr>
        <w:rPr>
          <w:b/>
          <w:bCs/>
          <w:sz w:val="36"/>
          <w:szCs w:val="40"/>
        </w:rPr>
      </w:pPr>
      <w:r>
        <w:rPr>
          <w:b/>
          <w:bCs/>
          <w:sz w:val="36"/>
          <w:szCs w:val="40"/>
        </w:rPr>
        <w:t>Business and Financial review of Aston Martin Lagonda to assess suitability for consideration of joint venture in the development of electrical vehicles.</w:t>
      </w:r>
    </w:p>
    <w:p w14:paraId="33F0AA87" w14:textId="1EC545EB" w:rsidR="00083947" w:rsidRDefault="00083947" w:rsidP="00083947">
      <w:pPr>
        <w:rPr>
          <w:b/>
          <w:bCs/>
          <w:sz w:val="28"/>
          <w:szCs w:val="32"/>
        </w:rPr>
      </w:pPr>
    </w:p>
    <w:p w14:paraId="111809B6" w14:textId="77777777" w:rsidR="00083947" w:rsidRDefault="00083947" w:rsidP="00083947">
      <w:pPr>
        <w:rPr>
          <w:b/>
          <w:bCs/>
          <w:sz w:val="28"/>
          <w:szCs w:val="32"/>
        </w:rPr>
      </w:pPr>
    </w:p>
    <w:p w14:paraId="32CAD948" w14:textId="77777777" w:rsidR="00083947" w:rsidRDefault="00083947" w:rsidP="00083947">
      <w:pPr>
        <w:rPr>
          <w:b/>
          <w:bCs/>
          <w:sz w:val="28"/>
          <w:szCs w:val="32"/>
        </w:rPr>
      </w:pPr>
    </w:p>
    <w:p w14:paraId="2AFE69A3" w14:textId="6D83E038" w:rsidR="00083947" w:rsidRPr="008A639E" w:rsidRDefault="00313446" w:rsidP="00083947">
      <w:pPr>
        <w:rPr>
          <w:b/>
          <w:bCs/>
          <w:sz w:val="28"/>
          <w:szCs w:val="32"/>
        </w:rPr>
      </w:pPr>
      <w:r>
        <w:rPr>
          <w:b/>
          <w:bCs/>
          <w:sz w:val="28"/>
          <w:szCs w:val="32"/>
        </w:rPr>
        <w:t>30</w:t>
      </w:r>
      <w:r w:rsidRPr="00313446">
        <w:rPr>
          <w:b/>
          <w:bCs/>
          <w:sz w:val="28"/>
          <w:szCs w:val="32"/>
          <w:vertAlign w:val="superscript"/>
        </w:rPr>
        <w:t>th</w:t>
      </w:r>
      <w:r>
        <w:rPr>
          <w:b/>
          <w:bCs/>
          <w:sz w:val="28"/>
          <w:szCs w:val="32"/>
        </w:rPr>
        <w:t xml:space="preserve"> January 2023</w:t>
      </w:r>
    </w:p>
    <w:p w14:paraId="7D275AD1" w14:textId="0945BCF2" w:rsidR="00083947" w:rsidRPr="008A639E" w:rsidRDefault="00083947" w:rsidP="00083947">
      <w:pPr>
        <w:rPr>
          <w:b/>
          <w:bCs/>
          <w:sz w:val="28"/>
          <w:szCs w:val="32"/>
        </w:rPr>
      </w:pPr>
      <w:r w:rsidRPr="008A639E">
        <w:rPr>
          <w:b/>
          <w:bCs/>
          <w:sz w:val="28"/>
          <w:szCs w:val="32"/>
        </w:rPr>
        <w:t>Student: Christopher O’Connor</w:t>
      </w:r>
      <w:r w:rsidR="003C5533">
        <w:rPr>
          <w:b/>
          <w:bCs/>
          <w:sz w:val="28"/>
          <w:szCs w:val="32"/>
        </w:rPr>
        <w:t xml:space="preserve"> 1351620</w:t>
      </w:r>
    </w:p>
    <w:p w14:paraId="69D40480" w14:textId="77777777" w:rsidR="00083947" w:rsidRDefault="00083947" w:rsidP="00083947">
      <w:pPr>
        <w:rPr>
          <w:b/>
          <w:bCs/>
          <w:sz w:val="28"/>
          <w:szCs w:val="32"/>
        </w:rPr>
      </w:pPr>
      <w:r w:rsidRPr="008A639E">
        <w:rPr>
          <w:b/>
          <w:bCs/>
          <w:sz w:val="28"/>
          <w:szCs w:val="32"/>
        </w:rPr>
        <w:t xml:space="preserve">Email: </w:t>
      </w:r>
      <w:hyperlink r:id="rId8" w:history="1">
        <w:r w:rsidRPr="00143AEC">
          <w:rPr>
            <w:rStyle w:val="Hyperlink"/>
            <w:b/>
            <w:bCs/>
            <w:sz w:val="28"/>
            <w:szCs w:val="32"/>
          </w:rPr>
          <w:t>christopher.oconnor@hanson.biz</w:t>
        </w:r>
      </w:hyperlink>
    </w:p>
    <w:p w14:paraId="05BD9704" w14:textId="77777777" w:rsidR="00083947" w:rsidRDefault="00083947" w:rsidP="00083947">
      <w:pPr>
        <w:rPr>
          <w:noProof/>
        </w:rPr>
      </w:pPr>
    </w:p>
    <w:p w14:paraId="5557393C" w14:textId="77777777" w:rsidR="00083947" w:rsidRDefault="00083947" w:rsidP="00083947">
      <w:pPr>
        <w:rPr>
          <w:noProof/>
        </w:rPr>
      </w:pPr>
    </w:p>
    <w:p w14:paraId="0E3BA943" w14:textId="77777777" w:rsidR="00083947" w:rsidRDefault="00083947" w:rsidP="00083947">
      <w:pPr>
        <w:rPr>
          <w:noProof/>
        </w:rPr>
      </w:pPr>
      <w:r>
        <w:rPr>
          <w:noProof/>
        </w:rPr>
        <w:drawing>
          <wp:anchor distT="0" distB="0" distL="114300" distR="114300" simplePos="0" relativeHeight="251661312" behindDoc="0" locked="0" layoutInCell="1" allowOverlap="1" wp14:anchorId="1D6F003E" wp14:editId="466913BA">
            <wp:simplePos x="0" y="0"/>
            <wp:positionH relativeFrom="margin">
              <wp:align>left</wp:align>
            </wp:positionH>
            <wp:positionV relativeFrom="paragraph">
              <wp:posOffset>113937</wp:posOffset>
            </wp:positionV>
            <wp:extent cx="1512570" cy="7080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2570" cy="708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826B22B" wp14:editId="0F8DEF2B">
            <wp:simplePos x="0" y="0"/>
            <wp:positionH relativeFrom="margin">
              <wp:align>right</wp:align>
            </wp:positionH>
            <wp:positionV relativeFrom="paragraph">
              <wp:posOffset>155666</wp:posOffset>
            </wp:positionV>
            <wp:extent cx="1741170" cy="57531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170" cy="575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31D0C67" wp14:editId="1C71A5B6">
            <wp:simplePos x="0" y="0"/>
            <wp:positionH relativeFrom="margin">
              <wp:align>center</wp:align>
            </wp:positionH>
            <wp:positionV relativeFrom="paragraph">
              <wp:posOffset>160201</wp:posOffset>
            </wp:positionV>
            <wp:extent cx="663575" cy="600075"/>
            <wp:effectExtent l="0" t="0" r="317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600075"/>
                    </a:xfrm>
                    <a:prstGeom prst="rect">
                      <a:avLst/>
                    </a:prstGeom>
                  </pic:spPr>
                </pic:pic>
              </a:graphicData>
            </a:graphic>
            <wp14:sizeRelH relativeFrom="margin">
              <wp14:pctWidth>0</wp14:pctWidth>
            </wp14:sizeRelH>
            <wp14:sizeRelV relativeFrom="margin">
              <wp14:pctHeight>0</wp14:pctHeight>
            </wp14:sizeRelV>
          </wp:anchor>
        </w:drawing>
      </w:r>
    </w:p>
    <w:p w14:paraId="21D9297D" w14:textId="77777777" w:rsidR="00083947" w:rsidRDefault="00083947" w:rsidP="00083947">
      <w:pPr>
        <w:rPr>
          <w:b/>
          <w:bCs/>
          <w:sz w:val="28"/>
          <w:szCs w:val="32"/>
        </w:rPr>
      </w:pPr>
    </w:p>
    <w:p w14:paraId="2A8EBD23" w14:textId="77777777" w:rsidR="002B7B4E" w:rsidRDefault="002B7B4E">
      <w:pPr>
        <w:rPr>
          <w:szCs w:val="24"/>
        </w:rPr>
      </w:pPr>
      <w:r>
        <w:rPr>
          <w:szCs w:val="24"/>
        </w:rPr>
        <w:br w:type="page"/>
      </w:r>
    </w:p>
    <w:p w14:paraId="6AAF9843" w14:textId="4D7003C1" w:rsidR="006617DF" w:rsidRDefault="002B7B4E" w:rsidP="002B7B4E">
      <w:pPr>
        <w:pStyle w:val="Heading1"/>
      </w:pPr>
      <w:bookmarkStart w:id="0" w:name="_Toc125737752"/>
      <w:r>
        <w:lastRenderedPageBreak/>
        <w:t>Executive Summary</w:t>
      </w:r>
      <w:bookmarkEnd w:id="0"/>
    </w:p>
    <w:p w14:paraId="5D4CD9CE" w14:textId="69F0BD37" w:rsidR="002B7B4E" w:rsidRDefault="00D0628A" w:rsidP="002B7B4E">
      <w:r>
        <w:t xml:space="preserve">O’Connor Capital </w:t>
      </w:r>
      <w:r w:rsidR="00CC42E1">
        <w:t xml:space="preserve">(OC) </w:t>
      </w:r>
      <w:r>
        <w:t>is an emerging EV parts manufacturing company that has made significant product development gains year on year since its start up in 2018. Since the beginning of 2021 it has been in close discussions with Aston Martin Lagonda (AML) around a potential joint venture</w:t>
      </w:r>
      <w:r w:rsidR="00CC42E1">
        <w:t xml:space="preserve"> (JV)</w:t>
      </w:r>
      <w:r>
        <w:t xml:space="preserve"> into the manufacturing of EV parts </w:t>
      </w:r>
      <w:r w:rsidR="003D3EB9">
        <w:t xml:space="preserve">for </w:t>
      </w:r>
      <w:r>
        <w:t xml:space="preserve">AML’s new breed of electrified </w:t>
      </w:r>
      <w:r w:rsidR="00CC42E1">
        <w:t>vehicles.</w:t>
      </w:r>
    </w:p>
    <w:p w14:paraId="7DBBEBC9" w14:textId="0FAE494F" w:rsidR="00CC42E1" w:rsidRDefault="00CC42E1" w:rsidP="002B7B4E">
      <w:r>
        <w:t xml:space="preserve">In line with due diligence, the author of this report was asked by OC to carry out a financial assessment of AML over the last two years to understand its financial health, concluding with a recommendation as to </w:t>
      </w:r>
      <w:r w:rsidR="00BF6170">
        <w:t>whether</w:t>
      </w:r>
      <w:r>
        <w:t xml:space="preserve"> OC should take up the JV opportunity.</w:t>
      </w:r>
    </w:p>
    <w:p w14:paraId="7A58F2C5" w14:textId="5C16B167" w:rsidR="00CC42E1" w:rsidRDefault="00CC42E1" w:rsidP="002B7B4E">
      <w:r>
        <w:t>To do the assessment, the author has used standard financial tools such as statements and ratios to analyse the data and draw conclusions. Within the report, the author discusses the tools used, their purpose but also their limitations. The author has supported this information and evidence with relevant reference to financial and non-financial information</w:t>
      </w:r>
      <w:r w:rsidR="00AA04E7">
        <w:t xml:space="preserve"> and sources</w:t>
      </w:r>
      <w:r>
        <w:t xml:space="preserve">. There is a great emphasis throughout that these tools must be used in line with wider reading and analysis of non-financial information to make sound, thought through recommendations. </w:t>
      </w:r>
    </w:p>
    <w:p w14:paraId="5ED47E53" w14:textId="1A6EE1DE" w:rsidR="00CC42E1" w:rsidRPr="002B7B4E" w:rsidRDefault="00CC42E1" w:rsidP="002B7B4E">
      <w:r>
        <w:t>Some financial indicators raised concerns during the analysis, particularly surrounding the leveraged position of AML. However, on balance the strong revenue growth, improved operational costs and clear roadmap to a sustainable business, when considered with</w:t>
      </w:r>
      <w:r w:rsidR="0066437F">
        <w:t xml:space="preserve"> other</w:t>
      </w:r>
      <w:r>
        <w:t xml:space="preserve"> non-financial supporting information</w:t>
      </w:r>
      <w:r w:rsidR="00FD43F4">
        <w:t>,</w:t>
      </w:r>
      <w:r>
        <w:t xml:space="preserve"> </w:t>
      </w:r>
      <w:r w:rsidR="0066437F">
        <w:t xml:space="preserve">led to </w:t>
      </w:r>
      <w:r>
        <w:t xml:space="preserve">the recommendation </w:t>
      </w:r>
      <w:r w:rsidR="0066437F">
        <w:t>by</w:t>
      </w:r>
      <w:r>
        <w:t xml:space="preserve"> the author that the JV between OC and AML should proceed.</w:t>
      </w:r>
    </w:p>
    <w:p w14:paraId="3A64F831" w14:textId="77777777" w:rsidR="006617DF" w:rsidRDefault="006617DF">
      <w:pPr>
        <w:rPr>
          <w:szCs w:val="24"/>
        </w:rPr>
      </w:pPr>
      <w:r>
        <w:rPr>
          <w:szCs w:val="24"/>
        </w:rPr>
        <w:br w:type="page"/>
      </w:r>
    </w:p>
    <w:sdt>
      <w:sdtPr>
        <w:rPr>
          <w:rFonts w:asciiTheme="minorHAnsi" w:eastAsiaTheme="minorHAnsi" w:hAnsiTheme="minorHAnsi" w:cstheme="minorBidi"/>
          <w:color w:val="auto"/>
          <w:sz w:val="22"/>
          <w:szCs w:val="22"/>
          <w:lang w:val="en-GB"/>
        </w:rPr>
        <w:id w:val="-828745306"/>
        <w:docPartObj>
          <w:docPartGallery w:val="Table of Contents"/>
          <w:docPartUnique/>
        </w:docPartObj>
      </w:sdtPr>
      <w:sdtEndPr>
        <w:rPr>
          <w:b/>
          <w:bCs/>
          <w:noProof/>
        </w:rPr>
      </w:sdtEndPr>
      <w:sdtContent>
        <w:p w14:paraId="2F1FBA8F" w14:textId="0BD436FA" w:rsidR="006617DF" w:rsidRDefault="006617DF">
          <w:pPr>
            <w:pStyle w:val="TOCHeading"/>
          </w:pPr>
          <w:r>
            <w:t>Contents</w:t>
          </w:r>
        </w:p>
        <w:p w14:paraId="2C403EE6" w14:textId="784F9CF1" w:rsidR="00D578B8" w:rsidRDefault="006617D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5737752" w:history="1">
            <w:r w:rsidR="00D578B8" w:rsidRPr="00C46CA1">
              <w:rPr>
                <w:rStyle w:val="Hyperlink"/>
                <w:noProof/>
              </w:rPr>
              <w:t>Executive Summary</w:t>
            </w:r>
            <w:r w:rsidR="00D578B8">
              <w:rPr>
                <w:noProof/>
                <w:webHidden/>
              </w:rPr>
              <w:tab/>
            </w:r>
            <w:r w:rsidR="00D578B8">
              <w:rPr>
                <w:noProof/>
                <w:webHidden/>
              </w:rPr>
              <w:fldChar w:fldCharType="begin"/>
            </w:r>
            <w:r w:rsidR="00D578B8">
              <w:rPr>
                <w:noProof/>
                <w:webHidden/>
              </w:rPr>
              <w:instrText xml:space="preserve"> PAGEREF _Toc125737752 \h </w:instrText>
            </w:r>
            <w:r w:rsidR="00D578B8">
              <w:rPr>
                <w:noProof/>
                <w:webHidden/>
              </w:rPr>
            </w:r>
            <w:r w:rsidR="00D578B8">
              <w:rPr>
                <w:noProof/>
                <w:webHidden/>
              </w:rPr>
              <w:fldChar w:fldCharType="separate"/>
            </w:r>
            <w:r w:rsidR="00D578B8">
              <w:rPr>
                <w:noProof/>
                <w:webHidden/>
              </w:rPr>
              <w:t>2</w:t>
            </w:r>
            <w:r w:rsidR="00D578B8">
              <w:rPr>
                <w:noProof/>
                <w:webHidden/>
              </w:rPr>
              <w:fldChar w:fldCharType="end"/>
            </w:r>
          </w:hyperlink>
        </w:p>
        <w:p w14:paraId="37B9B980" w14:textId="692F2994" w:rsidR="00D578B8" w:rsidRDefault="00D578B8">
          <w:pPr>
            <w:pStyle w:val="TOC1"/>
            <w:tabs>
              <w:tab w:val="right" w:leader="dot" w:pos="9350"/>
            </w:tabs>
            <w:rPr>
              <w:rFonts w:eastAsiaTheme="minorEastAsia"/>
              <w:noProof/>
              <w:lang w:eastAsia="en-GB"/>
            </w:rPr>
          </w:pPr>
          <w:hyperlink w:anchor="_Toc125737753" w:history="1">
            <w:r w:rsidRPr="00C46CA1">
              <w:rPr>
                <w:rStyle w:val="Hyperlink"/>
                <w:noProof/>
              </w:rPr>
              <w:t>Introduction</w:t>
            </w:r>
            <w:r>
              <w:rPr>
                <w:noProof/>
                <w:webHidden/>
              </w:rPr>
              <w:tab/>
            </w:r>
            <w:r>
              <w:rPr>
                <w:noProof/>
                <w:webHidden/>
              </w:rPr>
              <w:fldChar w:fldCharType="begin"/>
            </w:r>
            <w:r>
              <w:rPr>
                <w:noProof/>
                <w:webHidden/>
              </w:rPr>
              <w:instrText xml:space="preserve"> PAGEREF _Toc125737753 \h </w:instrText>
            </w:r>
            <w:r>
              <w:rPr>
                <w:noProof/>
                <w:webHidden/>
              </w:rPr>
            </w:r>
            <w:r>
              <w:rPr>
                <w:noProof/>
                <w:webHidden/>
              </w:rPr>
              <w:fldChar w:fldCharType="separate"/>
            </w:r>
            <w:r>
              <w:rPr>
                <w:noProof/>
                <w:webHidden/>
              </w:rPr>
              <w:t>5</w:t>
            </w:r>
            <w:r>
              <w:rPr>
                <w:noProof/>
                <w:webHidden/>
              </w:rPr>
              <w:fldChar w:fldCharType="end"/>
            </w:r>
          </w:hyperlink>
        </w:p>
        <w:p w14:paraId="6B0E22F6" w14:textId="2AEA001B" w:rsidR="00D578B8" w:rsidRDefault="00D578B8">
          <w:pPr>
            <w:pStyle w:val="TOC2"/>
            <w:tabs>
              <w:tab w:val="right" w:leader="dot" w:pos="9350"/>
            </w:tabs>
            <w:rPr>
              <w:rFonts w:eastAsiaTheme="minorEastAsia"/>
              <w:noProof/>
              <w:lang w:eastAsia="en-GB"/>
            </w:rPr>
          </w:pPr>
          <w:hyperlink w:anchor="_Toc125737754" w:history="1">
            <w:r w:rsidRPr="00C46CA1">
              <w:rPr>
                <w:rStyle w:val="Hyperlink"/>
                <w:noProof/>
              </w:rPr>
              <w:t>Aston Martin Lagonda</w:t>
            </w:r>
            <w:r>
              <w:rPr>
                <w:noProof/>
                <w:webHidden/>
              </w:rPr>
              <w:tab/>
            </w:r>
            <w:r>
              <w:rPr>
                <w:noProof/>
                <w:webHidden/>
              </w:rPr>
              <w:fldChar w:fldCharType="begin"/>
            </w:r>
            <w:r>
              <w:rPr>
                <w:noProof/>
                <w:webHidden/>
              </w:rPr>
              <w:instrText xml:space="preserve"> PAGEREF _Toc125737754 \h </w:instrText>
            </w:r>
            <w:r>
              <w:rPr>
                <w:noProof/>
                <w:webHidden/>
              </w:rPr>
            </w:r>
            <w:r>
              <w:rPr>
                <w:noProof/>
                <w:webHidden/>
              </w:rPr>
              <w:fldChar w:fldCharType="separate"/>
            </w:r>
            <w:r>
              <w:rPr>
                <w:noProof/>
                <w:webHidden/>
              </w:rPr>
              <w:t>5</w:t>
            </w:r>
            <w:r>
              <w:rPr>
                <w:noProof/>
                <w:webHidden/>
              </w:rPr>
              <w:fldChar w:fldCharType="end"/>
            </w:r>
          </w:hyperlink>
        </w:p>
        <w:p w14:paraId="186031CE" w14:textId="6FC81B87" w:rsidR="00D578B8" w:rsidRDefault="00D578B8">
          <w:pPr>
            <w:pStyle w:val="TOC2"/>
            <w:tabs>
              <w:tab w:val="right" w:leader="dot" w:pos="9350"/>
            </w:tabs>
            <w:rPr>
              <w:rFonts w:eastAsiaTheme="minorEastAsia"/>
              <w:noProof/>
              <w:lang w:eastAsia="en-GB"/>
            </w:rPr>
          </w:pPr>
          <w:hyperlink w:anchor="_Toc125737755" w:history="1">
            <w:r w:rsidRPr="00C46CA1">
              <w:rPr>
                <w:rStyle w:val="Hyperlink"/>
                <w:noProof/>
              </w:rPr>
              <w:t>Financial Statements</w:t>
            </w:r>
            <w:r>
              <w:rPr>
                <w:noProof/>
                <w:webHidden/>
              </w:rPr>
              <w:tab/>
            </w:r>
            <w:r>
              <w:rPr>
                <w:noProof/>
                <w:webHidden/>
              </w:rPr>
              <w:fldChar w:fldCharType="begin"/>
            </w:r>
            <w:r>
              <w:rPr>
                <w:noProof/>
                <w:webHidden/>
              </w:rPr>
              <w:instrText xml:space="preserve"> PAGEREF _Toc125737755 \h </w:instrText>
            </w:r>
            <w:r>
              <w:rPr>
                <w:noProof/>
                <w:webHidden/>
              </w:rPr>
            </w:r>
            <w:r>
              <w:rPr>
                <w:noProof/>
                <w:webHidden/>
              </w:rPr>
              <w:fldChar w:fldCharType="separate"/>
            </w:r>
            <w:r>
              <w:rPr>
                <w:noProof/>
                <w:webHidden/>
              </w:rPr>
              <w:t>5</w:t>
            </w:r>
            <w:r>
              <w:rPr>
                <w:noProof/>
                <w:webHidden/>
              </w:rPr>
              <w:fldChar w:fldCharType="end"/>
            </w:r>
          </w:hyperlink>
        </w:p>
        <w:p w14:paraId="3D6357D2" w14:textId="74A88637" w:rsidR="00D578B8" w:rsidRDefault="00D578B8">
          <w:pPr>
            <w:pStyle w:val="TOC1"/>
            <w:tabs>
              <w:tab w:val="right" w:leader="dot" w:pos="9350"/>
            </w:tabs>
            <w:rPr>
              <w:rFonts w:eastAsiaTheme="minorEastAsia"/>
              <w:noProof/>
              <w:lang w:eastAsia="en-GB"/>
            </w:rPr>
          </w:pPr>
          <w:hyperlink w:anchor="_Toc125737756" w:history="1">
            <w:r w:rsidRPr="00C46CA1">
              <w:rPr>
                <w:rStyle w:val="Hyperlink"/>
                <w:noProof/>
              </w:rPr>
              <w:t>Aston Martin Lagonda: Ratio Analysis – Two Year Comparison</w:t>
            </w:r>
            <w:r>
              <w:rPr>
                <w:noProof/>
                <w:webHidden/>
              </w:rPr>
              <w:tab/>
            </w:r>
            <w:r>
              <w:rPr>
                <w:noProof/>
                <w:webHidden/>
              </w:rPr>
              <w:fldChar w:fldCharType="begin"/>
            </w:r>
            <w:r>
              <w:rPr>
                <w:noProof/>
                <w:webHidden/>
              </w:rPr>
              <w:instrText xml:space="preserve"> PAGEREF _Toc125737756 \h </w:instrText>
            </w:r>
            <w:r>
              <w:rPr>
                <w:noProof/>
                <w:webHidden/>
              </w:rPr>
            </w:r>
            <w:r>
              <w:rPr>
                <w:noProof/>
                <w:webHidden/>
              </w:rPr>
              <w:fldChar w:fldCharType="separate"/>
            </w:r>
            <w:r>
              <w:rPr>
                <w:noProof/>
                <w:webHidden/>
              </w:rPr>
              <w:t>6</w:t>
            </w:r>
            <w:r>
              <w:rPr>
                <w:noProof/>
                <w:webHidden/>
              </w:rPr>
              <w:fldChar w:fldCharType="end"/>
            </w:r>
          </w:hyperlink>
        </w:p>
        <w:p w14:paraId="272CDEAB" w14:textId="593E9584" w:rsidR="00D578B8" w:rsidRDefault="00D578B8">
          <w:pPr>
            <w:pStyle w:val="TOC2"/>
            <w:tabs>
              <w:tab w:val="right" w:leader="dot" w:pos="9350"/>
            </w:tabs>
            <w:rPr>
              <w:rFonts w:eastAsiaTheme="minorEastAsia"/>
              <w:noProof/>
              <w:lang w:eastAsia="en-GB"/>
            </w:rPr>
          </w:pPr>
          <w:hyperlink w:anchor="_Toc125737757" w:history="1">
            <w:r w:rsidRPr="00C46CA1">
              <w:rPr>
                <w:rStyle w:val="Hyperlink"/>
                <w:noProof/>
              </w:rPr>
              <w:t>2020-21 Comparison</w:t>
            </w:r>
            <w:r>
              <w:rPr>
                <w:noProof/>
                <w:webHidden/>
              </w:rPr>
              <w:tab/>
            </w:r>
            <w:r>
              <w:rPr>
                <w:noProof/>
                <w:webHidden/>
              </w:rPr>
              <w:fldChar w:fldCharType="begin"/>
            </w:r>
            <w:r>
              <w:rPr>
                <w:noProof/>
                <w:webHidden/>
              </w:rPr>
              <w:instrText xml:space="preserve"> PAGEREF _Toc125737757 \h </w:instrText>
            </w:r>
            <w:r>
              <w:rPr>
                <w:noProof/>
                <w:webHidden/>
              </w:rPr>
            </w:r>
            <w:r>
              <w:rPr>
                <w:noProof/>
                <w:webHidden/>
              </w:rPr>
              <w:fldChar w:fldCharType="separate"/>
            </w:r>
            <w:r>
              <w:rPr>
                <w:noProof/>
                <w:webHidden/>
              </w:rPr>
              <w:t>6</w:t>
            </w:r>
            <w:r>
              <w:rPr>
                <w:noProof/>
                <w:webHidden/>
              </w:rPr>
              <w:fldChar w:fldCharType="end"/>
            </w:r>
          </w:hyperlink>
        </w:p>
        <w:p w14:paraId="7F67159E" w14:textId="3B58FDBA" w:rsidR="00D578B8" w:rsidRDefault="00D578B8">
          <w:pPr>
            <w:pStyle w:val="TOC2"/>
            <w:tabs>
              <w:tab w:val="right" w:leader="dot" w:pos="9350"/>
            </w:tabs>
            <w:rPr>
              <w:rFonts w:eastAsiaTheme="minorEastAsia"/>
              <w:noProof/>
              <w:lang w:eastAsia="en-GB"/>
            </w:rPr>
          </w:pPr>
          <w:hyperlink w:anchor="_Toc125737758" w:history="1">
            <w:r w:rsidRPr="00C46CA1">
              <w:rPr>
                <w:rStyle w:val="Hyperlink"/>
                <w:noProof/>
              </w:rPr>
              <w:t>Financial Ratio Analysis</w:t>
            </w:r>
            <w:r>
              <w:rPr>
                <w:noProof/>
                <w:webHidden/>
              </w:rPr>
              <w:tab/>
            </w:r>
            <w:r>
              <w:rPr>
                <w:noProof/>
                <w:webHidden/>
              </w:rPr>
              <w:fldChar w:fldCharType="begin"/>
            </w:r>
            <w:r>
              <w:rPr>
                <w:noProof/>
                <w:webHidden/>
              </w:rPr>
              <w:instrText xml:space="preserve"> PAGEREF _Toc125737758 \h </w:instrText>
            </w:r>
            <w:r>
              <w:rPr>
                <w:noProof/>
                <w:webHidden/>
              </w:rPr>
            </w:r>
            <w:r>
              <w:rPr>
                <w:noProof/>
                <w:webHidden/>
              </w:rPr>
              <w:fldChar w:fldCharType="separate"/>
            </w:r>
            <w:r>
              <w:rPr>
                <w:noProof/>
                <w:webHidden/>
              </w:rPr>
              <w:t>6</w:t>
            </w:r>
            <w:r>
              <w:rPr>
                <w:noProof/>
                <w:webHidden/>
              </w:rPr>
              <w:fldChar w:fldCharType="end"/>
            </w:r>
          </w:hyperlink>
        </w:p>
        <w:p w14:paraId="30B543E3" w14:textId="07A88365" w:rsidR="00D578B8" w:rsidRDefault="00D578B8">
          <w:pPr>
            <w:pStyle w:val="TOC3"/>
            <w:tabs>
              <w:tab w:val="right" w:leader="dot" w:pos="9350"/>
            </w:tabs>
            <w:rPr>
              <w:rFonts w:eastAsiaTheme="minorEastAsia"/>
              <w:noProof/>
              <w:lang w:eastAsia="en-GB"/>
            </w:rPr>
          </w:pPr>
          <w:hyperlink w:anchor="_Toc125737759" w:history="1">
            <w:r w:rsidRPr="00C46CA1">
              <w:rPr>
                <w:rStyle w:val="Hyperlink"/>
                <w:noProof/>
              </w:rPr>
              <w:t>Financial Ratio Limitations</w:t>
            </w:r>
            <w:r>
              <w:rPr>
                <w:noProof/>
                <w:webHidden/>
              </w:rPr>
              <w:tab/>
            </w:r>
            <w:r>
              <w:rPr>
                <w:noProof/>
                <w:webHidden/>
              </w:rPr>
              <w:fldChar w:fldCharType="begin"/>
            </w:r>
            <w:r>
              <w:rPr>
                <w:noProof/>
                <w:webHidden/>
              </w:rPr>
              <w:instrText xml:space="preserve"> PAGEREF _Toc125737759 \h </w:instrText>
            </w:r>
            <w:r>
              <w:rPr>
                <w:noProof/>
                <w:webHidden/>
              </w:rPr>
            </w:r>
            <w:r>
              <w:rPr>
                <w:noProof/>
                <w:webHidden/>
              </w:rPr>
              <w:fldChar w:fldCharType="separate"/>
            </w:r>
            <w:r>
              <w:rPr>
                <w:noProof/>
                <w:webHidden/>
              </w:rPr>
              <w:t>6</w:t>
            </w:r>
            <w:r>
              <w:rPr>
                <w:noProof/>
                <w:webHidden/>
              </w:rPr>
              <w:fldChar w:fldCharType="end"/>
            </w:r>
          </w:hyperlink>
        </w:p>
        <w:p w14:paraId="34FA2E1D" w14:textId="4A3FA71E" w:rsidR="00D578B8" w:rsidRDefault="00D578B8">
          <w:pPr>
            <w:pStyle w:val="TOC3"/>
            <w:tabs>
              <w:tab w:val="right" w:leader="dot" w:pos="9350"/>
            </w:tabs>
            <w:rPr>
              <w:rFonts w:eastAsiaTheme="minorEastAsia"/>
              <w:noProof/>
              <w:lang w:eastAsia="en-GB"/>
            </w:rPr>
          </w:pPr>
          <w:hyperlink w:anchor="_Toc125737760" w:history="1">
            <w:r w:rsidRPr="00C46CA1">
              <w:rPr>
                <w:rStyle w:val="Hyperlink"/>
                <w:noProof/>
              </w:rPr>
              <w:t>Profitability Ratios</w:t>
            </w:r>
            <w:r>
              <w:rPr>
                <w:noProof/>
                <w:webHidden/>
              </w:rPr>
              <w:tab/>
            </w:r>
            <w:r>
              <w:rPr>
                <w:noProof/>
                <w:webHidden/>
              </w:rPr>
              <w:fldChar w:fldCharType="begin"/>
            </w:r>
            <w:r>
              <w:rPr>
                <w:noProof/>
                <w:webHidden/>
              </w:rPr>
              <w:instrText xml:space="preserve"> PAGEREF _Toc125737760 \h </w:instrText>
            </w:r>
            <w:r>
              <w:rPr>
                <w:noProof/>
                <w:webHidden/>
              </w:rPr>
            </w:r>
            <w:r>
              <w:rPr>
                <w:noProof/>
                <w:webHidden/>
              </w:rPr>
              <w:fldChar w:fldCharType="separate"/>
            </w:r>
            <w:r>
              <w:rPr>
                <w:noProof/>
                <w:webHidden/>
              </w:rPr>
              <w:t>7</w:t>
            </w:r>
            <w:r>
              <w:rPr>
                <w:noProof/>
                <w:webHidden/>
              </w:rPr>
              <w:fldChar w:fldCharType="end"/>
            </w:r>
          </w:hyperlink>
        </w:p>
        <w:p w14:paraId="7CC7CF6B" w14:textId="0EBA15FD" w:rsidR="00D578B8" w:rsidRDefault="00D578B8">
          <w:pPr>
            <w:pStyle w:val="TOC3"/>
            <w:tabs>
              <w:tab w:val="right" w:leader="dot" w:pos="9350"/>
            </w:tabs>
            <w:rPr>
              <w:rFonts w:eastAsiaTheme="minorEastAsia"/>
              <w:noProof/>
              <w:lang w:eastAsia="en-GB"/>
            </w:rPr>
          </w:pPr>
          <w:hyperlink w:anchor="_Toc125737761" w:history="1">
            <w:r w:rsidRPr="00C46CA1">
              <w:rPr>
                <w:rStyle w:val="Hyperlink"/>
                <w:noProof/>
              </w:rPr>
              <w:t>Liquidity Ratios</w:t>
            </w:r>
            <w:r>
              <w:rPr>
                <w:noProof/>
                <w:webHidden/>
              </w:rPr>
              <w:tab/>
            </w:r>
            <w:r>
              <w:rPr>
                <w:noProof/>
                <w:webHidden/>
              </w:rPr>
              <w:fldChar w:fldCharType="begin"/>
            </w:r>
            <w:r>
              <w:rPr>
                <w:noProof/>
                <w:webHidden/>
              </w:rPr>
              <w:instrText xml:space="preserve"> PAGEREF _Toc125737761 \h </w:instrText>
            </w:r>
            <w:r>
              <w:rPr>
                <w:noProof/>
                <w:webHidden/>
              </w:rPr>
            </w:r>
            <w:r>
              <w:rPr>
                <w:noProof/>
                <w:webHidden/>
              </w:rPr>
              <w:fldChar w:fldCharType="separate"/>
            </w:r>
            <w:r>
              <w:rPr>
                <w:noProof/>
                <w:webHidden/>
              </w:rPr>
              <w:t>7</w:t>
            </w:r>
            <w:r>
              <w:rPr>
                <w:noProof/>
                <w:webHidden/>
              </w:rPr>
              <w:fldChar w:fldCharType="end"/>
            </w:r>
          </w:hyperlink>
        </w:p>
        <w:p w14:paraId="186D479D" w14:textId="47954ADD" w:rsidR="00D578B8" w:rsidRDefault="00D578B8">
          <w:pPr>
            <w:pStyle w:val="TOC3"/>
            <w:tabs>
              <w:tab w:val="right" w:leader="dot" w:pos="9350"/>
            </w:tabs>
            <w:rPr>
              <w:rFonts w:eastAsiaTheme="minorEastAsia"/>
              <w:noProof/>
              <w:lang w:eastAsia="en-GB"/>
            </w:rPr>
          </w:pPr>
          <w:hyperlink w:anchor="_Toc125737762" w:history="1">
            <w:r w:rsidRPr="00C46CA1">
              <w:rPr>
                <w:rStyle w:val="Hyperlink"/>
                <w:noProof/>
              </w:rPr>
              <w:t>Activity Ratios</w:t>
            </w:r>
            <w:r>
              <w:rPr>
                <w:noProof/>
                <w:webHidden/>
              </w:rPr>
              <w:tab/>
            </w:r>
            <w:r>
              <w:rPr>
                <w:noProof/>
                <w:webHidden/>
              </w:rPr>
              <w:fldChar w:fldCharType="begin"/>
            </w:r>
            <w:r>
              <w:rPr>
                <w:noProof/>
                <w:webHidden/>
              </w:rPr>
              <w:instrText xml:space="preserve"> PAGEREF _Toc125737762 \h </w:instrText>
            </w:r>
            <w:r>
              <w:rPr>
                <w:noProof/>
                <w:webHidden/>
              </w:rPr>
            </w:r>
            <w:r>
              <w:rPr>
                <w:noProof/>
                <w:webHidden/>
              </w:rPr>
              <w:fldChar w:fldCharType="separate"/>
            </w:r>
            <w:r>
              <w:rPr>
                <w:noProof/>
                <w:webHidden/>
              </w:rPr>
              <w:t>8</w:t>
            </w:r>
            <w:r>
              <w:rPr>
                <w:noProof/>
                <w:webHidden/>
              </w:rPr>
              <w:fldChar w:fldCharType="end"/>
            </w:r>
          </w:hyperlink>
        </w:p>
        <w:p w14:paraId="336122BC" w14:textId="6A7A77B2" w:rsidR="00D578B8" w:rsidRDefault="00D578B8">
          <w:pPr>
            <w:pStyle w:val="TOC3"/>
            <w:tabs>
              <w:tab w:val="right" w:leader="dot" w:pos="9350"/>
            </w:tabs>
            <w:rPr>
              <w:rFonts w:eastAsiaTheme="minorEastAsia"/>
              <w:noProof/>
              <w:lang w:eastAsia="en-GB"/>
            </w:rPr>
          </w:pPr>
          <w:hyperlink w:anchor="_Toc125737763" w:history="1">
            <w:r w:rsidRPr="00C46CA1">
              <w:rPr>
                <w:rStyle w:val="Hyperlink"/>
                <w:noProof/>
              </w:rPr>
              <w:t>Leverage Ratios</w:t>
            </w:r>
            <w:r>
              <w:rPr>
                <w:noProof/>
                <w:webHidden/>
              </w:rPr>
              <w:tab/>
            </w:r>
            <w:r>
              <w:rPr>
                <w:noProof/>
                <w:webHidden/>
              </w:rPr>
              <w:fldChar w:fldCharType="begin"/>
            </w:r>
            <w:r>
              <w:rPr>
                <w:noProof/>
                <w:webHidden/>
              </w:rPr>
              <w:instrText xml:space="preserve"> PAGEREF _Toc125737763 \h </w:instrText>
            </w:r>
            <w:r>
              <w:rPr>
                <w:noProof/>
                <w:webHidden/>
              </w:rPr>
            </w:r>
            <w:r>
              <w:rPr>
                <w:noProof/>
                <w:webHidden/>
              </w:rPr>
              <w:fldChar w:fldCharType="separate"/>
            </w:r>
            <w:r>
              <w:rPr>
                <w:noProof/>
                <w:webHidden/>
              </w:rPr>
              <w:t>8</w:t>
            </w:r>
            <w:r>
              <w:rPr>
                <w:noProof/>
                <w:webHidden/>
              </w:rPr>
              <w:fldChar w:fldCharType="end"/>
            </w:r>
          </w:hyperlink>
        </w:p>
        <w:p w14:paraId="307E51D3" w14:textId="353F524E" w:rsidR="00D578B8" w:rsidRDefault="00D578B8">
          <w:pPr>
            <w:pStyle w:val="TOC3"/>
            <w:tabs>
              <w:tab w:val="right" w:leader="dot" w:pos="9350"/>
            </w:tabs>
            <w:rPr>
              <w:rFonts w:eastAsiaTheme="minorEastAsia"/>
              <w:noProof/>
              <w:lang w:eastAsia="en-GB"/>
            </w:rPr>
          </w:pPr>
          <w:hyperlink w:anchor="_Toc125737764" w:history="1">
            <w:r w:rsidRPr="00C46CA1">
              <w:rPr>
                <w:rStyle w:val="Hyperlink"/>
                <w:noProof/>
              </w:rPr>
              <w:t>Investor Ratios</w:t>
            </w:r>
            <w:r>
              <w:rPr>
                <w:noProof/>
                <w:webHidden/>
              </w:rPr>
              <w:tab/>
            </w:r>
            <w:r>
              <w:rPr>
                <w:noProof/>
                <w:webHidden/>
              </w:rPr>
              <w:fldChar w:fldCharType="begin"/>
            </w:r>
            <w:r>
              <w:rPr>
                <w:noProof/>
                <w:webHidden/>
              </w:rPr>
              <w:instrText xml:space="preserve"> PAGEREF _Toc125737764 \h </w:instrText>
            </w:r>
            <w:r>
              <w:rPr>
                <w:noProof/>
                <w:webHidden/>
              </w:rPr>
            </w:r>
            <w:r>
              <w:rPr>
                <w:noProof/>
                <w:webHidden/>
              </w:rPr>
              <w:fldChar w:fldCharType="separate"/>
            </w:r>
            <w:r>
              <w:rPr>
                <w:noProof/>
                <w:webHidden/>
              </w:rPr>
              <w:t>9</w:t>
            </w:r>
            <w:r>
              <w:rPr>
                <w:noProof/>
                <w:webHidden/>
              </w:rPr>
              <w:fldChar w:fldCharType="end"/>
            </w:r>
          </w:hyperlink>
        </w:p>
        <w:p w14:paraId="7915E916" w14:textId="68731E98" w:rsidR="00D578B8" w:rsidRDefault="00D578B8">
          <w:pPr>
            <w:pStyle w:val="TOC3"/>
            <w:tabs>
              <w:tab w:val="right" w:leader="dot" w:pos="9350"/>
            </w:tabs>
            <w:rPr>
              <w:rFonts w:eastAsiaTheme="minorEastAsia"/>
              <w:noProof/>
              <w:lang w:eastAsia="en-GB"/>
            </w:rPr>
          </w:pPr>
          <w:hyperlink w:anchor="_Toc125737765" w:history="1">
            <w:r w:rsidRPr="00C46CA1">
              <w:rPr>
                <w:rStyle w:val="Hyperlink"/>
                <w:noProof/>
              </w:rPr>
              <w:t>Other ratios that can be used:</w:t>
            </w:r>
            <w:r>
              <w:rPr>
                <w:noProof/>
                <w:webHidden/>
              </w:rPr>
              <w:tab/>
            </w:r>
            <w:r>
              <w:rPr>
                <w:noProof/>
                <w:webHidden/>
              </w:rPr>
              <w:fldChar w:fldCharType="begin"/>
            </w:r>
            <w:r>
              <w:rPr>
                <w:noProof/>
                <w:webHidden/>
              </w:rPr>
              <w:instrText xml:space="preserve"> PAGEREF _Toc125737765 \h </w:instrText>
            </w:r>
            <w:r>
              <w:rPr>
                <w:noProof/>
                <w:webHidden/>
              </w:rPr>
            </w:r>
            <w:r>
              <w:rPr>
                <w:noProof/>
                <w:webHidden/>
              </w:rPr>
              <w:fldChar w:fldCharType="separate"/>
            </w:r>
            <w:r>
              <w:rPr>
                <w:noProof/>
                <w:webHidden/>
              </w:rPr>
              <w:t>10</w:t>
            </w:r>
            <w:r>
              <w:rPr>
                <w:noProof/>
                <w:webHidden/>
              </w:rPr>
              <w:fldChar w:fldCharType="end"/>
            </w:r>
          </w:hyperlink>
        </w:p>
        <w:p w14:paraId="589BDE3D" w14:textId="6EF9F56A" w:rsidR="00D578B8" w:rsidRDefault="00D578B8">
          <w:pPr>
            <w:pStyle w:val="TOC1"/>
            <w:tabs>
              <w:tab w:val="right" w:leader="dot" w:pos="9350"/>
            </w:tabs>
            <w:rPr>
              <w:rFonts w:eastAsiaTheme="minorEastAsia"/>
              <w:noProof/>
              <w:lang w:eastAsia="en-GB"/>
            </w:rPr>
          </w:pPr>
          <w:hyperlink w:anchor="_Toc125737766" w:history="1">
            <w:r w:rsidRPr="00C46CA1">
              <w:rPr>
                <w:rStyle w:val="Hyperlink"/>
                <w:noProof/>
              </w:rPr>
              <w:t>Conclusion</w:t>
            </w:r>
            <w:r>
              <w:rPr>
                <w:noProof/>
                <w:webHidden/>
              </w:rPr>
              <w:tab/>
            </w:r>
            <w:r>
              <w:rPr>
                <w:noProof/>
                <w:webHidden/>
              </w:rPr>
              <w:fldChar w:fldCharType="begin"/>
            </w:r>
            <w:r>
              <w:rPr>
                <w:noProof/>
                <w:webHidden/>
              </w:rPr>
              <w:instrText xml:space="preserve"> PAGEREF _Toc125737766 \h </w:instrText>
            </w:r>
            <w:r>
              <w:rPr>
                <w:noProof/>
                <w:webHidden/>
              </w:rPr>
            </w:r>
            <w:r>
              <w:rPr>
                <w:noProof/>
                <w:webHidden/>
              </w:rPr>
              <w:fldChar w:fldCharType="separate"/>
            </w:r>
            <w:r>
              <w:rPr>
                <w:noProof/>
                <w:webHidden/>
              </w:rPr>
              <w:t>10</w:t>
            </w:r>
            <w:r>
              <w:rPr>
                <w:noProof/>
                <w:webHidden/>
              </w:rPr>
              <w:fldChar w:fldCharType="end"/>
            </w:r>
          </w:hyperlink>
        </w:p>
        <w:p w14:paraId="6EA99DB4" w14:textId="192425F2" w:rsidR="00D578B8" w:rsidRDefault="00D578B8">
          <w:pPr>
            <w:pStyle w:val="TOC2"/>
            <w:tabs>
              <w:tab w:val="right" w:leader="dot" w:pos="9350"/>
            </w:tabs>
            <w:rPr>
              <w:rFonts w:eastAsiaTheme="minorEastAsia"/>
              <w:noProof/>
              <w:lang w:eastAsia="en-GB"/>
            </w:rPr>
          </w:pPr>
          <w:hyperlink w:anchor="_Toc125737767" w:history="1">
            <w:r w:rsidRPr="00C46CA1">
              <w:rPr>
                <w:rStyle w:val="Hyperlink"/>
                <w:noProof/>
              </w:rPr>
              <w:t>Conclusion on Financial Analysis</w:t>
            </w:r>
            <w:r>
              <w:rPr>
                <w:noProof/>
                <w:webHidden/>
              </w:rPr>
              <w:tab/>
            </w:r>
            <w:r>
              <w:rPr>
                <w:noProof/>
                <w:webHidden/>
              </w:rPr>
              <w:fldChar w:fldCharType="begin"/>
            </w:r>
            <w:r>
              <w:rPr>
                <w:noProof/>
                <w:webHidden/>
              </w:rPr>
              <w:instrText xml:space="preserve"> PAGEREF _Toc125737767 \h </w:instrText>
            </w:r>
            <w:r>
              <w:rPr>
                <w:noProof/>
                <w:webHidden/>
              </w:rPr>
            </w:r>
            <w:r>
              <w:rPr>
                <w:noProof/>
                <w:webHidden/>
              </w:rPr>
              <w:fldChar w:fldCharType="separate"/>
            </w:r>
            <w:r>
              <w:rPr>
                <w:noProof/>
                <w:webHidden/>
              </w:rPr>
              <w:t>10</w:t>
            </w:r>
            <w:r>
              <w:rPr>
                <w:noProof/>
                <w:webHidden/>
              </w:rPr>
              <w:fldChar w:fldCharType="end"/>
            </w:r>
          </w:hyperlink>
        </w:p>
        <w:p w14:paraId="7C13F088" w14:textId="7367522D" w:rsidR="00D578B8" w:rsidRDefault="00D578B8">
          <w:pPr>
            <w:pStyle w:val="TOC2"/>
            <w:tabs>
              <w:tab w:val="right" w:leader="dot" w:pos="9350"/>
            </w:tabs>
            <w:rPr>
              <w:rFonts w:eastAsiaTheme="minorEastAsia"/>
              <w:noProof/>
              <w:lang w:eastAsia="en-GB"/>
            </w:rPr>
          </w:pPr>
          <w:hyperlink w:anchor="_Toc125737768" w:history="1">
            <w:r w:rsidRPr="00C46CA1">
              <w:rPr>
                <w:rStyle w:val="Hyperlink"/>
                <w:noProof/>
              </w:rPr>
              <w:t>Non-financial Supporting Information</w:t>
            </w:r>
            <w:r>
              <w:rPr>
                <w:noProof/>
                <w:webHidden/>
              </w:rPr>
              <w:tab/>
            </w:r>
            <w:r>
              <w:rPr>
                <w:noProof/>
                <w:webHidden/>
              </w:rPr>
              <w:fldChar w:fldCharType="begin"/>
            </w:r>
            <w:r>
              <w:rPr>
                <w:noProof/>
                <w:webHidden/>
              </w:rPr>
              <w:instrText xml:space="preserve"> PAGEREF _Toc125737768 \h </w:instrText>
            </w:r>
            <w:r>
              <w:rPr>
                <w:noProof/>
                <w:webHidden/>
              </w:rPr>
            </w:r>
            <w:r>
              <w:rPr>
                <w:noProof/>
                <w:webHidden/>
              </w:rPr>
              <w:fldChar w:fldCharType="separate"/>
            </w:r>
            <w:r>
              <w:rPr>
                <w:noProof/>
                <w:webHidden/>
              </w:rPr>
              <w:t>11</w:t>
            </w:r>
            <w:r>
              <w:rPr>
                <w:noProof/>
                <w:webHidden/>
              </w:rPr>
              <w:fldChar w:fldCharType="end"/>
            </w:r>
          </w:hyperlink>
        </w:p>
        <w:p w14:paraId="23FF9236" w14:textId="550A26A7" w:rsidR="00D578B8" w:rsidRDefault="00D578B8">
          <w:pPr>
            <w:pStyle w:val="TOC3"/>
            <w:tabs>
              <w:tab w:val="right" w:leader="dot" w:pos="9350"/>
            </w:tabs>
            <w:rPr>
              <w:rFonts w:eastAsiaTheme="minorEastAsia"/>
              <w:noProof/>
              <w:lang w:eastAsia="en-GB"/>
            </w:rPr>
          </w:pPr>
          <w:hyperlink w:anchor="_Toc125737769" w:history="1">
            <w:r w:rsidRPr="00C46CA1">
              <w:rPr>
                <w:rStyle w:val="Hyperlink"/>
                <w:noProof/>
              </w:rPr>
              <w:t>Sustainability</w:t>
            </w:r>
            <w:r>
              <w:rPr>
                <w:noProof/>
                <w:webHidden/>
              </w:rPr>
              <w:tab/>
            </w:r>
            <w:r>
              <w:rPr>
                <w:noProof/>
                <w:webHidden/>
              </w:rPr>
              <w:fldChar w:fldCharType="begin"/>
            </w:r>
            <w:r>
              <w:rPr>
                <w:noProof/>
                <w:webHidden/>
              </w:rPr>
              <w:instrText xml:space="preserve"> PAGEREF _Toc125737769 \h </w:instrText>
            </w:r>
            <w:r>
              <w:rPr>
                <w:noProof/>
                <w:webHidden/>
              </w:rPr>
            </w:r>
            <w:r>
              <w:rPr>
                <w:noProof/>
                <w:webHidden/>
              </w:rPr>
              <w:fldChar w:fldCharType="separate"/>
            </w:r>
            <w:r>
              <w:rPr>
                <w:noProof/>
                <w:webHidden/>
              </w:rPr>
              <w:t>11</w:t>
            </w:r>
            <w:r>
              <w:rPr>
                <w:noProof/>
                <w:webHidden/>
              </w:rPr>
              <w:fldChar w:fldCharType="end"/>
            </w:r>
          </w:hyperlink>
        </w:p>
        <w:p w14:paraId="1E98DE63" w14:textId="3743B1AB" w:rsidR="00D578B8" w:rsidRDefault="00D578B8">
          <w:pPr>
            <w:pStyle w:val="TOC3"/>
            <w:tabs>
              <w:tab w:val="right" w:leader="dot" w:pos="9350"/>
            </w:tabs>
            <w:rPr>
              <w:rFonts w:eastAsiaTheme="minorEastAsia"/>
              <w:noProof/>
              <w:lang w:eastAsia="en-GB"/>
            </w:rPr>
          </w:pPr>
          <w:hyperlink w:anchor="_Toc125737770" w:history="1">
            <w:r w:rsidRPr="00C46CA1">
              <w:rPr>
                <w:rStyle w:val="Hyperlink"/>
                <w:noProof/>
              </w:rPr>
              <w:t>Social Value</w:t>
            </w:r>
            <w:r>
              <w:rPr>
                <w:noProof/>
                <w:webHidden/>
              </w:rPr>
              <w:tab/>
            </w:r>
            <w:r>
              <w:rPr>
                <w:noProof/>
                <w:webHidden/>
              </w:rPr>
              <w:fldChar w:fldCharType="begin"/>
            </w:r>
            <w:r>
              <w:rPr>
                <w:noProof/>
                <w:webHidden/>
              </w:rPr>
              <w:instrText xml:space="preserve"> PAGEREF _Toc125737770 \h </w:instrText>
            </w:r>
            <w:r>
              <w:rPr>
                <w:noProof/>
                <w:webHidden/>
              </w:rPr>
            </w:r>
            <w:r>
              <w:rPr>
                <w:noProof/>
                <w:webHidden/>
              </w:rPr>
              <w:fldChar w:fldCharType="separate"/>
            </w:r>
            <w:r>
              <w:rPr>
                <w:noProof/>
                <w:webHidden/>
              </w:rPr>
              <w:t>12</w:t>
            </w:r>
            <w:r>
              <w:rPr>
                <w:noProof/>
                <w:webHidden/>
              </w:rPr>
              <w:fldChar w:fldCharType="end"/>
            </w:r>
          </w:hyperlink>
        </w:p>
        <w:p w14:paraId="69983B5A" w14:textId="1E935215" w:rsidR="00D578B8" w:rsidRDefault="00D578B8">
          <w:pPr>
            <w:pStyle w:val="TOC3"/>
            <w:tabs>
              <w:tab w:val="right" w:leader="dot" w:pos="9350"/>
            </w:tabs>
            <w:rPr>
              <w:rFonts w:eastAsiaTheme="minorEastAsia"/>
              <w:noProof/>
              <w:lang w:eastAsia="en-GB"/>
            </w:rPr>
          </w:pPr>
          <w:hyperlink w:anchor="_Toc125737771" w:history="1">
            <w:r w:rsidRPr="00C46CA1">
              <w:rPr>
                <w:rStyle w:val="Hyperlink"/>
                <w:noProof/>
              </w:rPr>
              <w:t>Industry</w:t>
            </w:r>
            <w:r>
              <w:rPr>
                <w:noProof/>
                <w:webHidden/>
              </w:rPr>
              <w:tab/>
            </w:r>
            <w:r>
              <w:rPr>
                <w:noProof/>
                <w:webHidden/>
              </w:rPr>
              <w:fldChar w:fldCharType="begin"/>
            </w:r>
            <w:r>
              <w:rPr>
                <w:noProof/>
                <w:webHidden/>
              </w:rPr>
              <w:instrText xml:space="preserve"> PAGEREF _Toc125737771 \h </w:instrText>
            </w:r>
            <w:r>
              <w:rPr>
                <w:noProof/>
                <w:webHidden/>
              </w:rPr>
            </w:r>
            <w:r>
              <w:rPr>
                <w:noProof/>
                <w:webHidden/>
              </w:rPr>
              <w:fldChar w:fldCharType="separate"/>
            </w:r>
            <w:r>
              <w:rPr>
                <w:noProof/>
                <w:webHidden/>
              </w:rPr>
              <w:t>12</w:t>
            </w:r>
            <w:r>
              <w:rPr>
                <w:noProof/>
                <w:webHidden/>
              </w:rPr>
              <w:fldChar w:fldCharType="end"/>
            </w:r>
          </w:hyperlink>
        </w:p>
        <w:p w14:paraId="1029DF2A" w14:textId="0B5BB2F6" w:rsidR="00D578B8" w:rsidRDefault="00D578B8">
          <w:pPr>
            <w:pStyle w:val="TOC3"/>
            <w:tabs>
              <w:tab w:val="right" w:leader="dot" w:pos="9350"/>
            </w:tabs>
            <w:rPr>
              <w:rFonts w:eastAsiaTheme="minorEastAsia"/>
              <w:noProof/>
              <w:lang w:eastAsia="en-GB"/>
            </w:rPr>
          </w:pPr>
          <w:hyperlink w:anchor="_Toc125737772" w:history="1">
            <w:r w:rsidRPr="00C46CA1">
              <w:rPr>
                <w:rStyle w:val="Hyperlink"/>
                <w:noProof/>
              </w:rPr>
              <w:t>Brand Recognition</w:t>
            </w:r>
            <w:r>
              <w:rPr>
                <w:noProof/>
                <w:webHidden/>
              </w:rPr>
              <w:tab/>
            </w:r>
            <w:r>
              <w:rPr>
                <w:noProof/>
                <w:webHidden/>
              </w:rPr>
              <w:fldChar w:fldCharType="begin"/>
            </w:r>
            <w:r>
              <w:rPr>
                <w:noProof/>
                <w:webHidden/>
              </w:rPr>
              <w:instrText xml:space="preserve"> PAGEREF _Toc125737772 \h </w:instrText>
            </w:r>
            <w:r>
              <w:rPr>
                <w:noProof/>
                <w:webHidden/>
              </w:rPr>
            </w:r>
            <w:r>
              <w:rPr>
                <w:noProof/>
                <w:webHidden/>
              </w:rPr>
              <w:fldChar w:fldCharType="separate"/>
            </w:r>
            <w:r>
              <w:rPr>
                <w:noProof/>
                <w:webHidden/>
              </w:rPr>
              <w:t>12</w:t>
            </w:r>
            <w:r>
              <w:rPr>
                <w:noProof/>
                <w:webHidden/>
              </w:rPr>
              <w:fldChar w:fldCharType="end"/>
            </w:r>
          </w:hyperlink>
        </w:p>
        <w:p w14:paraId="3162FE37" w14:textId="1324289E" w:rsidR="00D578B8" w:rsidRDefault="00D578B8">
          <w:pPr>
            <w:pStyle w:val="TOC3"/>
            <w:tabs>
              <w:tab w:val="right" w:leader="dot" w:pos="9350"/>
            </w:tabs>
            <w:rPr>
              <w:rFonts w:eastAsiaTheme="minorEastAsia"/>
              <w:noProof/>
              <w:lang w:eastAsia="en-GB"/>
            </w:rPr>
          </w:pPr>
          <w:hyperlink w:anchor="_Toc125737773" w:history="1">
            <w:r w:rsidRPr="00C46CA1">
              <w:rPr>
                <w:rStyle w:val="Hyperlink"/>
                <w:noProof/>
              </w:rPr>
              <w:t>2022 and beyond; Targets and outlook</w:t>
            </w:r>
            <w:r>
              <w:rPr>
                <w:noProof/>
                <w:webHidden/>
              </w:rPr>
              <w:tab/>
            </w:r>
            <w:r>
              <w:rPr>
                <w:noProof/>
                <w:webHidden/>
              </w:rPr>
              <w:fldChar w:fldCharType="begin"/>
            </w:r>
            <w:r>
              <w:rPr>
                <w:noProof/>
                <w:webHidden/>
              </w:rPr>
              <w:instrText xml:space="preserve"> PAGEREF _Toc125737773 \h </w:instrText>
            </w:r>
            <w:r>
              <w:rPr>
                <w:noProof/>
                <w:webHidden/>
              </w:rPr>
            </w:r>
            <w:r>
              <w:rPr>
                <w:noProof/>
                <w:webHidden/>
              </w:rPr>
              <w:fldChar w:fldCharType="separate"/>
            </w:r>
            <w:r>
              <w:rPr>
                <w:noProof/>
                <w:webHidden/>
              </w:rPr>
              <w:t>12</w:t>
            </w:r>
            <w:r>
              <w:rPr>
                <w:noProof/>
                <w:webHidden/>
              </w:rPr>
              <w:fldChar w:fldCharType="end"/>
            </w:r>
          </w:hyperlink>
        </w:p>
        <w:p w14:paraId="3DBF410C" w14:textId="79280433" w:rsidR="00D578B8" w:rsidRDefault="00D578B8">
          <w:pPr>
            <w:pStyle w:val="TOC1"/>
            <w:tabs>
              <w:tab w:val="right" w:leader="dot" w:pos="9350"/>
            </w:tabs>
            <w:rPr>
              <w:rFonts w:eastAsiaTheme="minorEastAsia"/>
              <w:noProof/>
              <w:lang w:eastAsia="en-GB"/>
            </w:rPr>
          </w:pPr>
          <w:hyperlink w:anchor="_Toc125737774" w:history="1">
            <w:r w:rsidRPr="00C46CA1">
              <w:rPr>
                <w:rStyle w:val="Hyperlink"/>
                <w:noProof/>
              </w:rPr>
              <w:t>Recommendations</w:t>
            </w:r>
            <w:r>
              <w:rPr>
                <w:noProof/>
                <w:webHidden/>
              </w:rPr>
              <w:tab/>
            </w:r>
            <w:r>
              <w:rPr>
                <w:noProof/>
                <w:webHidden/>
              </w:rPr>
              <w:fldChar w:fldCharType="begin"/>
            </w:r>
            <w:r>
              <w:rPr>
                <w:noProof/>
                <w:webHidden/>
              </w:rPr>
              <w:instrText xml:space="preserve"> PAGEREF _Toc125737774 \h </w:instrText>
            </w:r>
            <w:r>
              <w:rPr>
                <w:noProof/>
                <w:webHidden/>
              </w:rPr>
            </w:r>
            <w:r>
              <w:rPr>
                <w:noProof/>
                <w:webHidden/>
              </w:rPr>
              <w:fldChar w:fldCharType="separate"/>
            </w:r>
            <w:r>
              <w:rPr>
                <w:noProof/>
                <w:webHidden/>
              </w:rPr>
              <w:t>12</w:t>
            </w:r>
            <w:r>
              <w:rPr>
                <w:noProof/>
                <w:webHidden/>
              </w:rPr>
              <w:fldChar w:fldCharType="end"/>
            </w:r>
          </w:hyperlink>
        </w:p>
        <w:p w14:paraId="6D2F449F" w14:textId="752F1FD9" w:rsidR="00D578B8" w:rsidRDefault="00D578B8">
          <w:pPr>
            <w:pStyle w:val="TOC1"/>
            <w:tabs>
              <w:tab w:val="right" w:leader="dot" w:pos="9350"/>
            </w:tabs>
            <w:rPr>
              <w:rFonts w:eastAsiaTheme="minorEastAsia"/>
              <w:noProof/>
              <w:lang w:eastAsia="en-GB"/>
            </w:rPr>
          </w:pPr>
          <w:hyperlink w:anchor="_Toc125737775" w:history="1">
            <w:r w:rsidRPr="00C46CA1">
              <w:rPr>
                <w:rStyle w:val="Hyperlink"/>
                <w:noProof/>
              </w:rPr>
              <w:t>Bibliography</w:t>
            </w:r>
            <w:r>
              <w:rPr>
                <w:noProof/>
                <w:webHidden/>
              </w:rPr>
              <w:tab/>
            </w:r>
            <w:r>
              <w:rPr>
                <w:noProof/>
                <w:webHidden/>
              </w:rPr>
              <w:fldChar w:fldCharType="begin"/>
            </w:r>
            <w:r>
              <w:rPr>
                <w:noProof/>
                <w:webHidden/>
              </w:rPr>
              <w:instrText xml:space="preserve"> PAGEREF _Toc125737775 \h </w:instrText>
            </w:r>
            <w:r>
              <w:rPr>
                <w:noProof/>
                <w:webHidden/>
              </w:rPr>
            </w:r>
            <w:r>
              <w:rPr>
                <w:noProof/>
                <w:webHidden/>
              </w:rPr>
              <w:fldChar w:fldCharType="separate"/>
            </w:r>
            <w:r>
              <w:rPr>
                <w:noProof/>
                <w:webHidden/>
              </w:rPr>
              <w:t>14</w:t>
            </w:r>
            <w:r>
              <w:rPr>
                <w:noProof/>
                <w:webHidden/>
              </w:rPr>
              <w:fldChar w:fldCharType="end"/>
            </w:r>
          </w:hyperlink>
        </w:p>
        <w:p w14:paraId="49686ABE" w14:textId="126CC1AD" w:rsidR="00D578B8" w:rsidRDefault="00D578B8">
          <w:pPr>
            <w:pStyle w:val="TOC1"/>
            <w:tabs>
              <w:tab w:val="right" w:leader="dot" w:pos="9350"/>
            </w:tabs>
            <w:rPr>
              <w:rFonts w:eastAsiaTheme="minorEastAsia"/>
              <w:noProof/>
              <w:lang w:eastAsia="en-GB"/>
            </w:rPr>
          </w:pPr>
          <w:hyperlink w:anchor="_Toc125737776" w:history="1">
            <w:r w:rsidRPr="00C46CA1">
              <w:rPr>
                <w:rStyle w:val="Hyperlink"/>
                <w:noProof/>
              </w:rPr>
              <w:t>Table of figures</w:t>
            </w:r>
            <w:r>
              <w:rPr>
                <w:noProof/>
                <w:webHidden/>
              </w:rPr>
              <w:tab/>
            </w:r>
            <w:r>
              <w:rPr>
                <w:noProof/>
                <w:webHidden/>
              </w:rPr>
              <w:fldChar w:fldCharType="begin"/>
            </w:r>
            <w:r>
              <w:rPr>
                <w:noProof/>
                <w:webHidden/>
              </w:rPr>
              <w:instrText xml:space="preserve"> PAGEREF _Toc125737776 \h </w:instrText>
            </w:r>
            <w:r>
              <w:rPr>
                <w:noProof/>
                <w:webHidden/>
              </w:rPr>
            </w:r>
            <w:r>
              <w:rPr>
                <w:noProof/>
                <w:webHidden/>
              </w:rPr>
              <w:fldChar w:fldCharType="separate"/>
            </w:r>
            <w:r>
              <w:rPr>
                <w:noProof/>
                <w:webHidden/>
              </w:rPr>
              <w:t>17</w:t>
            </w:r>
            <w:r>
              <w:rPr>
                <w:noProof/>
                <w:webHidden/>
              </w:rPr>
              <w:fldChar w:fldCharType="end"/>
            </w:r>
          </w:hyperlink>
        </w:p>
        <w:p w14:paraId="45D3D2EA" w14:textId="01D08673" w:rsidR="00D578B8" w:rsidRDefault="00D578B8">
          <w:pPr>
            <w:pStyle w:val="TOC1"/>
            <w:tabs>
              <w:tab w:val="right" w:leader="dot" w:pos="9350"/>
            </w:tabs>
            <w:rPr>
              <w:rFonts w:eastAsiaTheme="minorEastAsia"/>
              <w:noProof/>
              <w:lang w:eastAsia="en-GB"/>
            </w:rPr>
          </w:pPr>
          <w:hyperlink w:anchor="_Toc125737777" w:history="1">
            <w:r w:rsidRPr="00C46CA1">
              <w:rPr>
                <w:rStyle w:val="Hyperlink"/>
                <w:noProof/>
              </w:rPr>
              <w:t>Appendices</w:t>
            </w:r>
            <w:r>
              <w:rPr>
                <w:noProof/>
                <w:webHidden/>
              </w:rPr>
              <w:tab/>
            </w:r>
            <w:r>
              <w:rPr>
                <w:noProof/>
                <w:webHidden/>
              </w:rPr>
              <w:fldChar w:fldCharType="begin"/>
            </w:r>
            <w:r>
              <w:rPr>
                <w:noProof/>
                <w:webHidden/>
              </w:rPr>
              <w:instrText xml:space="preserve"> PAGEREF _Toc125737777 \h </w:instrText>
            </w:r>
            <w:r>
              <w:rPr>
                <w:noProof/>
                <w:webHidden/>
              </w:rPr>
            </w:r>
            <w:r>
              <w:rPr>
                <w:noProof/>
                <w:webHidden/>
              </w:rPr>
              <w:fldChar w:fldCharType="separate"/>
            </w:r>
            <w:r>
              <w:rPr>
                <w:noProof/>
                <w:webHidden/>
              </w:rPr>
              <w:t>18</w:t>
            </w:r>
            <w:r>
              <w:rPr>
                <w:noProof/>
                <w:webHidden/>
              </w:rPr>
              <w:fldChar w:fldCharType="end"/>
            </w:r>
          </w:hyperlink>
        </w:p>
        <w:p w14:paraId="6A4F3751" w14:textId="197A81F4" w:rsidR="00D578B8" w:rsidRDefault="00D578B8">
          <w:pPr>
            <w:pStyle w:val="TOC2"/>
            <w:tabs>
              <w:tab w:val="right" w:leader="dot" w:pos="9350"/>
            </w:tabs>
            <w:rPr>
              <w:rFonts w:eastAsiaTheme="minorEastAsia"/>
              <w:noProof/>
              <w:lang w:eastAsia="en-GB"/>
            </w:rPr>
          </w:pPr>
          <w:hyperlink w:anchor="_Toc125737778" w:history="1">
            <w:r w:rsidRPr="00C46CA1">
              <w:rPr>
                <w:rStyle w:val="Hyperlink"/>
                <w:noProof/>
              </w:rPr>
              <w:t>2021 Financial Statements for Aston Martin Lagonda</w:t>
            </w:r>
            <w:r>
              <w:rPr>
                <w:noProof/>
                <w:webHidden/>
              </w:rPr>
              <w:tab/>
            </w:r>
            <w:r>
              <w:rPr>
                <w:noProof/>
                <w:webHidden/>
              </w:rPr>
              <w:fldChar w:fldCharType="begin"/>
            </w:r>
            <w:r>
              <w:rPr>
                <w:noProof/>
                <w:webHidden/>
              </w:rPr>
              <w:instrText xml:space="preserve"> PAGEREF _Toc125737778 \h </w:instrText>
            </w:r>
            <w:r>
              <w:rPr>
                <w:noProof/>
                <w:webHidden/>
              </w:rPr>
            </w:r>
            <w:r>
              <w:rPr>
                <w:noProof/>
                <w:webHidden/>
              </w:rPr>
              <w:fldChar w:fldCharType="separate"/>
            </w:r>
            <w:r>
              <w:rPr>
                <w:noProof/>
                <w:webHidden/>
              </w:rPr>
              <w:t>18</w:t>
            </w:r>
            <w:r>
              <w:rPr>
                <w:noProof/>
                <w:webHidden/>
              </w:rPr>
              <w:fldChar w:fldCharType="end"/>
            </w:r>
          </w:hyperlink>
        </w:p>
        <w:p w14:paraId="7C0A163C" w14:textId="203845D4" w:rsidR="00D578B8" w:rsidRDefault="00D578B8">
          <w:pPr>
            <w:pStyle w:val="TOC3"/>
            <w:tabs>
              <w:tab w:val="right" w:leader="dot" w:pos="9350"/>
            </w:tabs>
            <w:rPr>
              <w:rFonts w:eastAsiaTheme="minorEastAsia"/>
              <w:noProof/>
              <w:lang w:eastAsia="en-GB"/>
            </w:rPr>
          </w:pPr>
          <w:hyperlink w:anchor="_Toc125737779" w:history="1">
            <w:r w:rsidRPr="00C46CA1">
              <w:rPr>
                <w:rStyle w:val="Hyperlink"/>
                <w:noProof/>
              </w:rPr>
              <w:t>Income Statement</w:t>
            </w:r>
            <w:r>
              <w:rPr>
                <w:noProof/>
                <w:webHidden/>
              </w:rPr>
              <w:tab/>
            </w:r>
            <w:r>
              <w:rPr>
                <w:noProof/>
                <w:webHidden/>
              </w:rPr>
              <w:fldChar w:fldCharType="begin"/>
            </w:r>
            <w:r>
              <w:rPr>
                <w:noProof/>
                <w:webHidden/>
              </w:rPr>
              <w:instrText xml:space="preserve"> PAGEREF _Toc125737779 \h </w:instrText>
            </w:r>
            <w:r>
              <w:rPr>
                <w:noProof/>
                <w:webHidden/>
              </w:rPr>
            </w:r>
            <w:r>
              <w:rPr>
                <w:noProof/>
                <w:webHidden/>
              </w:rPr>
              <w:fldChar w:fldCharType="separate"/>
            </w:r>
            <w:r>
              <w:rPr>
                <w:noProof/>
                <w:webHidden/>
              </w:rPr>
              <w:t>18</w:t>
            </w:r>
            <w:r>
              <w:rPr>
                <w:noProof/>
                <w:webHidden/>
              </w:rPr>
              <w:fldChar w:fldCharType="end"/>
            </w:r>
          </w:hyperlink>
        </w:p>
        <w:p w14:paraId="2A03E6A5" w14:textId="0C67EB91" w:rsidR="00D578B8" w:rsidRDefault="00D578B8">
          <w:pPr>
            <w:pStyle w:val="TOC3"/>
            <w:tabs>
              <w:tab w:val="right" w:leader="dot" w:pos="9350"/>
            </w:tabs>
            <w:rPr>
              <w:rFonts w:eastAsiaTheme="minorEastAsia"/>
              <w:noProof/>
              <w:lang w:eastAsia="en-GB"/>
            </w:rPr>
          </w:pPr>
          <w:hyperlink w:anchor="_Toc125737780" w:history="1">
            <w:r w:rsidRPr="00C46CA1">
              <w:rPr>
                <w:rStyle w:val="Hyperlink"/>
                <w:noProof/>
              </w:rPr>
              <w:t>Balance Sheet</w:t>
            </w:r>
            <w:r>
              <w:rPr>
                <w:noProof/>
                <w:webHidden/>
              </w:rPr>
              <w:tab/>
            </w:r>
            <w:r>
              <w:rPr>
                <w:noProof/>
                <w:webHidden/>
              </w:rPr>
              <w:fldChar w:fldCharType="begin"/>
            </w:r>
            <w:r>
              <w:rPr>
                <w:noProof/>
                <w:webHidden/>
              </w:rPr>
              <w:instrText xml:space="preserve"> PAGEREF _Toc125737780 \h </w:instrText>
            </w:r>
            <w:r>
              <w:rPr>
                <w:noProof/>
                <w:webHidden/>
              </w:rPr>
            </w:r>
            <w:r>
              <w:rPr>
                <w:noProof/>
                <w:webHidden/>
              </w:rPr>
              <w:fldChar w:fldCharType="separate"/>
            </w:r>
            <w:r>
              <w:rPr>
                <w:noProof/>
                <w:webHidden/>
              </w:rPr>
              <w:t>19</w:t>
            </w:r>
            <w:r>
              <w:rPr>
                <w:noProof/>
                <w:webHidden/>
              </w:rPr>
              <w:fldChar w:fldCharType="end"/>
            </w:r>
          </w:hyperlink>
        </w:p>
        <w:p w14:paraId="72B422AD" w14:textId="43DEA56A" w:rsidR="00D578B8" w:rsidRDefault="00D578B8">
          <w:pPr>
            <w:pStyle w:val="TOC3"/>
            <w:tabs>
              <w:tab w:val="right" w:leader="dot" w:pos="9350"/>
            </w:tabs>
            <w:rPr>
              <w:rFonts w:eastAsiaTheme="minorEastAsia"/>
              <w:noProof/>
              <w:lang w:eastAsia="en-GB"/>
            </w:rPr>
          </w:pPr>
          <w:hyperlink w:anchor="_Toc125737781" w:history="1">
            <w:r w:rsidRPr="00C46CA1">
              <w:rPr>
                <w:rStyle w:val="Hyperlink"/>
                <w:noProof/>
              </w:rPr>
              <w:t>Cash Flow Statement</w:t>
            </w:r>
            <w:r>
              <w:rPr>
                <w:noProof/>
                <w:webHidden/>
              </w:rPr>
              <w:tab/>
            </w:r>
            <w:r>
              <w:rPr>
                <w:noProof/>
                <w:webHidden/>
              </w:rPr>
              <w:fldChar w:fldCharType="begin"/>
            </w:r>
            <w:r>
              <w:rPr>
                <w:noProof/>
                <w:webHidden/>
              </w:rPr>
              <w:instrText xml:space="preserve"> PAGEREF _Toc125737781 \h </w:instrText>
            </w:r>
            <w:r>
              <w:rPr>
                <w:noProof/>
                <w:webHidden/>
              </w:rPr>
            </w:r>
            <w:r>
              <w:rPr>
                <w:noProof/>
                <w:webHidden/>
              </w:rPr>
              <w:fldChar w:fldCharType="separate"/>
            </w:r>
            <w:r>
              <w:rPr>
                <w:noProof/>
                <w:webHidden/>
              </w:rPr>
              <w:t>20</w:t>
            </w:r>
            <w:r>
              <w:rPr>
                <w:noProof/>
                <w:webHidden/>
              </w:rPr>
              <w:fldChar w:fldCharType="end"/>
            </w:r>
          </w:hyperlink>
        </w:p>
        <w:p w14:paraId="03A345C8" w14:textId="5FD1E56F" w:rsidR="00D578B8" w:rsidRDefault="00D578B8">
          <w:pPr>
            <w:pStyle w:val="TOC1"/>
            <w:tabs>
              <w:tab w:val="right" w:leader="dot" w:pos="9350"/>
            </w:tabs>
            <w:rPr>
              <w:rFonts w:eastAsiaTheme="minorEastAsia"/>
              <w:noProof/>
              <w:lang w:eastAsia="en-GB"/>
            </w:rPr>
          </w:pPr>
          <w:hyperlink w:anchor="_Toc125737782" w:history="1">
            <w:r w:rsidRPr="00C46CA1">
              <w:rPr>
                <w:rStyle w:val="Hyperlink"/>
                <w:noProof/>
              </w:rPr>
              <w:t>Financial Statement Types</w:t>
            </w:r>
            <w:r>
              <w:rPr>
                <w:noProof/>
                <w:webHidden/>
              </w:rPr>
              <w:tab/>
            </w:r>
            <w:r>
              <w:rPr>
                <w:noProof/>
                <w:webHidden/>
              </w:rPr>
              <w:fldChar w:fldCharType="begin"/>
            </w:r>
            <w:r>
              <w:rPr>
                <w:noProof/>
                <w:webHidden/>
              </w:rPr>
              <w:instrText xml:space="preserve"> PAGEREF _Toc125737782 \h </w:instrText>
            </w:r>
            <w:r>
              <w:rPr>
                <w:noProof/>
                <w:webHidden/>
              </w:rPr>
            </w:r>
            <w:r>
              <w:rPr>
                <w:noProof/>
                <w:webHidden/>
              </w:rPr>
              <w:fldChar w:fldCharType="separate"/>
            </w:r>
            <w:r>
              <w:rPr>
                <w:noProof/>
                <w:webHidden/>
              </w:rPr>
              <w:t>20</w:t>
            </w:r>
            <w:r>
              <w:rPr>
                <w:noProof/>
                <w:webHidden/>
              </w:rPr>
              <w:fldChar w:fldCharType="end"/>
            </w:r>
          </w:hyperlink>
        </w:p>
        <w:p w14:paraId="29B8B1BF" w14:textId="25F88C03" w:rsidR="00D578B8" w:rsidRDefault="00D578B8">
          <w:pPr>
            <w:pStyle w:val="TOC2"/>
            <w:tabs>
              <w:tab w:val="right" w:leader="dot" w:pos="9350"/>
            </w:tabs>
            <w:rPr>
              <w:rFonts w:eastAsiaTheme="minorEastAsia"/>
              <w:noProof/>
              <w:lang w:eastAsia="en-GB"/>
            </w:rPr>
          </w:pPr>
          <w:hyperlink w:anchor="_Toc125737783" w:history="1">
            <w:r w:rsidRPr="00C46CA1">
              <w:rPr>
                <w:rStyle w:val="Hyperlink"/>
                <w:noProof/>
              </w:rPr>
              <w:t>Balance Sheet</w:t>
            </w:r>
            <w:r>
              <w:rPr>
                <w:noProof/>
                <w:webHidden/>
              </w:rPr>
              <w:tab/>
            </w:r>
            <w:r>
              <w:rPr>
                <w:noProof/>
                <w:webHidden/>
              </w:rPr>
              <w:fldChar w:fldCharType="begin"/>
            </w:r>
            <w:r>
              <w:rPr>
                <w:noProof/>
                <w:webHidden/>
              </w:rPr>
              <w:instrText xml:space="preserve"> PAGEREF _Toc125737783 \h </w:instrText>
            </w:r>
            <w:r>
              <w:rPr>
                <w:noProof/>
                <w:webHidden/>
              </w:rPr>
            </w:r>
            <w:r>
              <w:rPr>
                <w:noProof/>
                <w:webHidden/>
              </w:rPr>
              <w:fldChar w:fldCharType="separate"/>
            </w:r>
            <w:r>
              <w:rPr>
                <w:noProof/>
                <w:webHidden/>
              </w:rPr>
              <w:t>20</w:t>
            </w:r>
            <w:r>
              <w:rPr>
                <w:noProof/>
                <w:webHidden/>
              </w:rPr>
              <w:fldChar w:fldCharType="end"/>
            </w:r>
          </w:hyperlink>
        </w:p>
        <w:p w14:paraId="2D87A6AF" w14:textId="09DD532F" w:rsidR="00D578B8" w:rsidRDefault="00D578B8">
          <w:pPr>
            <w:pStyle w:val="TOC2"/>
            <w:tabs>
              <w:tab w:val="right" w:leader="dot" w:pos="9350"/>
            </w:tabs>
            <w:rPr>
              <w:rFonts w:eastAsiaTheme="minorEastAsia"/>
              <w:noProof/>
              <w:lang w:eastAsia="en-GB"/>
            </w:rPr>
          </w:pPr>
          <w:hyperlink w:anchor="_Toc125737784" w:history="1">
            <w:r w:rsidRPr="00C46CA1">
              <w:rPr>
                <w:rStyle w:val="Hyperlink"/>
                <w:noProof/>
              </w:rPr>
              <w:t>Profit and Loss Statement (Income Statement)</w:t>
            </w:r>
            <w:r>
              <w:rPr>
                <w:noProof/>
                <w:webHidden/>
              </w:rPr>
              <w:tab/>
            </w:r>
            <w:r>
              <w:rPr>
                <w:noProof/>
                <w:webHidden/>
              </w:rPr>
              <w:fldChar w:fldCharType="begin"/>
            </w:r>
            <w:r>
              <w:rPr>
                <w:noProof/>
                <w:webHidden/>
              </w:rPr>
              <w:instrText xml:space="preserve"> PAGEREF _Toc125737784 \h </w:instrText>
            </w:r>
            <w:r>
              <w:rPr>
                <w:noProof/>
                <w:webHidden/>
              </w:rPr>
            </w:r>
            <w:r>
              <w:rPr>
                <w:noProof/>
                <w:webHidden/>
              </w:rPr>
              <w:fldChar w:fldCharType="separate"/>
            </w:r>
            <w:r>
              <w:rPr>
                <w:noProof/>
                <w:webHidden/>
              </w:rPr>
              <w:t>21</w:t>
            </w:r>
            <w:r>
              <w:rPr>
                <w:noProof/>
                <w:webHidden/>
              </w:rPr>
              <w:fldChar w:fldCharType="end"/>
            </w:r>
          </w:hyperlink>
        </w:p>
        <w:p w14:paraId="48124730" w14:textId="59645A27" w:rsidR="00D578B8" w:rsidRDefault="00D578B8">
          <w:pPr>
            <w:pStyle w:val="TOC2"/>
            <w:tabs>
              <w:tab w:val="right" w:leader="dot" w:pos="9350"/>
            </w:tabs>
            <w:rPr>
              <w:rFonts w:eastAsiaTheme="minorEastAsia"/>
              <w:noProof/>
              <w:lang w:eastAsia="en-GB"/>
            </w:rPr>
          </w:pPr>
          <w:hyperlink w:anchor="_Toc125737785" w:history="1">
            <w:r w:rsidRPr="00C46CA1">
              <w:rPr>
                <w:rStyle w:val="Hyperlink"/>
                <w:noProof/>
              </w:rPr>
              <w:t>Cash Flow Statement</w:t>
            </w:r>
            <w:r>
              <w:rPr>
                <w:noProof/>
                <w:webHidden/>
              </w:rPr>
              <w:tab/>
            </w:r>
            <w:r>
              <w:rPr>
                <w:noProof/>
                <w:webHidden/>
              </w:rPr>
              <w:fldChar w:fldCharType="begin"/>
            </w:r>
            <w:r>
              <w:rPr>
                <w:noProof/>
                <w:webHidden/>
              </w:rPr>
              <w:instrText xml:space="preserve"> PAGEREF _Toc125737785 \h </w:instrText>
            </w:r>
            <w:r>
              <w:rPr>
                <w:noProof/>
                <w:webHidden/>
              </w:rPr>
            </w:r>
            <w:r>
              <w:rPr>
                <w:noProof/>
                <w:webHidden/>
              </w:rPr>
              <w:fldChar w:fldCharType="separate"/>
            </w:r>
            <w:r>
              <w:rPr>
                <w:noProof/>
                <w:webHidden/>
              </w:rPr>
              <w:t>21</w:t>
            </w:r>
            <w:r>
              <w:rPr>
                <w:noProof/>
                <w:webHidden/>
              </w:rPr>
              <w:fldChar w:fldCharType="end"/>
            </w:r>
          </w:hyperlink>
        </w:p>
        <w:p w14:paraId="0041DE73" w14:textId="3375004C" w:rsidR="00D578B8" w:rsidRDefault="00D578B8">
          <w:pPr>
            <w:pStyle w:val="TOC1"/>
            <w:tabs>
              <w:tab w:val="right" w:leader="dot" w:pos="9350"/>
            </w:tabs>
            <w:rPr>
              <w:rFonts w:eastAsiaTheme="minorEastAsia"/>
              <w:noProof/>
              <w:lang w:eastAsia="en-GB"/>
            </w:rPr>
          </w:pPr>
          <w:hyperlink w:anchor="_Toc125737786" w:history="1">
            <w:r w:rsidRPr="00C46CA1">
              <w:rPr>
                <w:rStyle w:val="Hyperlink"/>
                <w:noProof/>
              </w:rPr>
              <w:t>Ratio Calculations</w:t>
            </w:r>
            <w:r>
              <w:rPr>
                <w:noProof/>
                <w:webHidden/>
              </w:rPr>
              <w:tab/>
            </w:r>
            <w:r>
              <w:rPr>
                <w:noProof/>
                <w:webHidden/>
              </w:rPr>
              <w:fldChar w:fldCharType="begin"/>
            </w:r>
            <w:r>
              <w:rPr>
                <w:noProof/>
                <w:webHidden/>
              </w:rPr>
              <w:instrText xml:space="preserve"> PAGEREF _Toc125737786 \h </w:instrText>
            </w:r>
            <w:r>
              <w:rPr>
                <w:noProof/>
                <w:webHidden/>
              </w:rPr>
            </w:r>
            <w:r>
              <w:rPr>
                <w:noProof/>
                <w:webHidden/>
              </w:rPr>
              <w:fldChar w:fldCharType="separate"/>
            </w:r>
            <w:r>
              <w:rPr>
                <w:noProof/>
                <w:webHidden/>
              </w:rPr>
              <w:t>22</w:t>
            </w:r>
            <w:r>
              <w:rPr>
                <w:noProof/>
                <w:webHidden/>
              </w:rPr>
              <w:fldChar w:fldCharType="end"/>
            </w:r>
          </w:hyperlink>
        </w:p>
        <w:p w14:paraId="6F44C182" w14:textId="79FF855D" w:rsidR="006617DF" w:rsidRDefault="006617DF">
          <w:r>
            <w:rPr>
              <w:b/>
              <w:bCs/>
              <w:noProof/>
            </w:rPr>
            <w:fldChar w:fldCharType="end"/>
          </w:r>
        </w:p>
      </w:sdtContent>
    </w:sdt>
    <w:p w14:paraId="40EAC7E4" w14:textId="77777777" w:rsidR="00034034" w:rsidRDefault="00034034" w:rsidP="00034034">
      <w:pPr>
        <w:rPr>
          <w:szCs w:val="24"/>
        </w:rPr>
      </w:pPr>
    </w:p>
    <w:p w14:paraId="43F8EE07" w14:textId="7A7263D3" w:rsidR="00034034" w:rsidRDefault="00034034" w:rsidP="009E4F8E">
      <w:pPr>
        <w:pStyle w:val="Heading1"/>
      </w:pPr>
      <w:r>
        <w:rPr>
          <w:szCs w:val="24"/>
        </w:rPr>
        <w:br w:type="page"/>
      </w:r>
      <w:bookmarkStart w:id="1" w:name="_Toc125737753"/>
      <w:r>
        <w:lastRenderedPageBreak/>
        <w:t>Introduction</w:t>
      </w:r>
      <w:bookmarkEnd w:id="1"/>
    </w:p>
    <w:p w14:paraId="2B219012" w14:textId="11C7E50A" w:rsidR="00034034" w:rsidRDefault="00034034" w:rsidP="00034034">
      <w:r>
        <w:t>It is the intention of this report to carry out a detailed business and financial review of Aston Martin Lagonda</w:t>
      </w:r>
      <w:r w:rsidR="0081634D">
        <w:t xml:space="preserve"> (AML)</w:t>
      </w:r>
      <w:r w:rsidR="006E29F9">
        <w:t xml:space="preserve"> and its financial statements</w:t>
      </w:r>
      <w:r>
        <w:t xml:space="preserve"> to critically assess </w:t>
      </w:r>
      <w:r w:rsidR="0081634D">
        <w:t>its worthiness for consideration in a joint venture with O’Connor Capital into the research and development of electric powered motor vehicles</w:t>
      </w:r>
      <w:r w:rsidR="006E29F9">
        <w:t xml:space="preserve">. </w:t>
      </w:r>
    </w:p>
    <w:p w14:paraId="514E40F4" w14:textId="77777777" w:rsidR="0081634D" w:rsidRDefault="0081634D" w:rsidP="0081634D">
      <w:pPr>
        <w:pStyle w:val="Heading2"/>
      </w:pPr>
      <w:bookmarkStart w:id="2" w:name="_Toc125737754"/>
      <w:r>
        <w:t>Aston Martin Lagonda</w:t>
      </w:r>
      <w:bookmarkEnd w:id="2"/>
    </w:p>
    <w:p w14:paraId="5AE5ECD3" w14:textId="00E0F1E5" w:rsidR="00377F3B" w:rsidRDefault="00F1430D" w:rsidP="0081634D">
      <w:r>
        <w:t>Now considered one of the worlds most luxuries car manufacturers, Aston Martin Lagonda’s began its journey in a far more modest setting thanks to the collaboration of Lionel Martin and Robert Bamford in 1913</w:t>
      </w:r>
      <w:r w:rsidR="00A14D64">
        <w:t xml:space="preserve"> </w:t>
      </w:r>
      <w:sdt>
        <w:sdtPr>
          <w:id w:val="-489712526"/>
          <w:citation/>
        </w:sdtPr>
        <w:sdtEndPr/>
        <w:sdtContent>
          <w:r w:rsidR="00A14D64">
            <w:fldChar w:fldCharType="begin"/>
          </w:r>
          <w:r w:rsidR="00A14D64">
            <w:instrText xml:space="preserve"> CITATION OSV23 \l 2057 </w:instrText>
          </w:r>
          <w:r w:rsidR="00A14D64">
            <w:fldChar w:fldCharType="separate"/>
          </w:r>
          <w:r w:rsidR="002B549D" w:rsidRPr="002B549D">
            <w:rPr>
              <w:noProof/>
            </w:rPr>
            <w:t>(OSV.Ltd, 2023)</w:t>
          </w:r>
          <w:r w:rsidR="00A14D64">
            <w:fldChar w:fldCharType="end"/>
          </w:r>
        </w:sdtContent>
      </w:sdt>
      <w:r>
        <w:t xml:space="preserve">. </w:t>
      </w:r>
    </w:p>
    <w:p w14:paraId="32400799" w14:textId="38F620E6" w:rsidR="00832D9D" w:rsidRDefault="00832D9D" w:rsidP="0081634D">
      <w:r>
        <w:t xml:space="preserve">Despite </w:t>
      </w:r>
      <w:r w:rsidR="0038126B">
        <w:t xml:space="preserve">suffering many </w:t>
      </w:r>
      <w:r>
        <w:t>financial difficulties over its lifetime, it remains a brand that is seen by many as one that optimises luxury and performance.</w:t>
      </w:r>
      <w:r w:rsidR="0038126B">
        <w:t xml:space="preserve"> A 2019 takeover by Lawrence Stroll and a</w:t>
      </w:r>
      <w:r>
        <w:t xml:space="preserve"> 2021 rebranding of the Formula 1 team Racing Point to Aston Martin sees the dawn </w:t>
      </w:r>
      <w:r w:rsidR="00303C2D">
        <w:t>of</w:t>
      </w:r>
      <w:r w:rsidR="007926BF">
        <w:t xml:space="preserve"> a</w:t>
      </w:r>
      <w:r w:rsidR="00303C2D">
        <w:t xml:space="preserve"> new</w:t>
      </w:r>
      <w:r>
        <w:t xml:space="preserve"> era for this </w:t>
      </w:r>
      <w:r w:rsidR="00303C2D">
        <w:t>classic British car manufacturer, one which both its fans and investors will hope can be successful one.</w:t>
      </w:r>
    </w:p>
    <w:p w14:paraId="7CB4F3FD" w14:textId="39D99BB9" w:rsidR="00303C2D" w:rsidRDefault="00303C2D" w:rsidP="00303C2D">
      <w:pPr>
        <w:pStyle w:val="Heading2"/>
      </w:pPr>
      <w:bookmarkStart w:id="3" w:name="_Toc125737755"/>
      <w:r>
        <w:t>Financial Statements</w:t>
      </w:r>
      <w:bookmarkEnd w:id="3"/>
    </w:p>
    <w:p w14:paraId="6C37EDA8" w14:textId="32F91913" w:rsidR="00303C2D" w:rsidRDefault="00303C2D" w:rsidP="00303C2D">
      <w:r>
        <w:t xml:space="preserve">Financial statements are reports that </w:t>
      </w:r>
      <w:r w:rsidR="00084037">
        <w:t xml:space="preserve">indicate </w:t>
      </w:r>
      <w:r>
        <w:t xml:space="preserve">a </w:t>
      </w:r>
      <w:r w:rsidR="00084037">
        <w:t>business’s</w:t>
      </w:r>
      <w:r>
        <w:t xml:space="preserve"> performance and financial activities over a period</w:t>
      </w:r>
      <w:r w:rsidR="00AF6B0B">
        <w:t xml:space="preserve"> in time</w:t>
      </w:r>
      <w:r>
        <w:t xml:space="preserve"> </w:t>
      </w:r>
      <w:sdt>
        <w:sdtPr>
          <w:id w:val="1166436610"/>
          <w:citation/>
        </w:sdtPr>
        <w:sdtEndPr/>
        <w:sdtContent>
          <w:r>
            <w:fldChar w:fldCharType="begin"/>
          </w:r>
          <w:r>
            <w:instrText xml:space="preserve"> CITATION Xer22 \l 2057 </w:instrText>
          </w:r>
          <w:r>
            <w:fldChar w:fldCharType="separate"/>
          </w:r>
          <w:r w:rsidR="002B549D" w:rsidRPr="002B549D">
            <w:rPr>
              <w:noProof/>
            </w:rPr>
            <w:t>(Xero, 2022)</w:t>
          </w:r>
          <w:r>
            <w:fldChar w:fldCharType="end"/>
          </w:r>
        </w:sdtContent>
      </w:sdt>
      <w:r>
        <w:t xml:space="preserve">.  </w:t>
      </w:r>
      <w:r w:rsidR="00084037">
        <w:t xml:space="preserve">They </w:t>
      </w:r>
      <w:r w:rsidR="00FA08D4">
        <w:t>are</w:t>
      </w:r>
      <w:r w:rsidR="00084037">
        <w:t xml:space="preserve"> most frequently prepared at</w:t>
      </w:r>
      <w:r w:rsidR="00FA08D4">
        <w:t xml:space="preserve"> the end of each</w:t>
      </w:r>
      <w:r w:rsidR="00084037">
        <w:t xml:space="preserve"> month, quarter or yearend depending on requirement.</w:t>
      </w:r>
    </w:p>
    <w:p w14:paraId="2DC556FE" w14:textId="72126F13" w:rsidR="00313446" w:rsidRDefault="001217A9" w:rsidP="00083947">
      <w:r>
        <w:t xml:space="preserve">The accuracy and honesty in the reports are vital, particularly to large organisations, </w:t>
      </w:r>
      <w:r w:rsidR="00BC5E6C">
        <w:t xml:space="preserve">due to the effect </w:t>
      </w:r>
      <w:r>
        <w:t>they may have on its shareholders and investors</w:t>
      </w:r>
      <w:r w:rsidR="00BC5E6C">
        <w:t>. T</w:t>
      </w:r>
      <w:r w:rsidR="005120CC">
        <w:t>herefore</w:t>
      </w:r>
      <w:r w:rsidR="00BC5E6C">
        <w:t>,</w:t>
      </w:r>
      <w:r w:rsidR="005120CC">
        <w:t xml:space="preserve"> </w:t>
      </w:r>
      <w:r w:rsidR="00BC5E6C">
        <w:t>t</w:t>
      </w:r>
      <w:r w:rsidR="005120CC">
        <w:t xml:space="preserve">he Companies Act 2006 requires that submitted accounts must give a true and fair reflection of the business performance </w:t>
      </w:r>
      <w:sdt>
        <w:sdtPr>
          <w:id w:val="-432047632"/>
          <w:citation/>
        </w:sdtPr>
        <w:sdtContent>
          <w:r w:rsidR="005120CC">
            <w:fldChar w:fldCharType="begin"/>
          </w:r>
          <w:r w:rsidR="005120CC">
            <w:instrText xml:space="preserve"> CITATION ICA23 \l 2057 </w:instrText>
          </w:r>
          <w:r w:rsidR="005120CC">
            <w:fldChar w:fldCharType="separate"/>
          </w:r>
          <w:r w:rsidR="002B549D" w:rsidRPr="002B549D">
            <w:rPr>
              <w:noProof/>
            </w:rPr>
            <w:t>(ICASEW, 2023)</w:t>
          </w:r>
          <w:r w:rsidR="005120CC">
            <w:fldChar w:fldCharType="end"/>
          </w:r>
        </w:sdtContent>
      </w:sdt>
      <w:r w:rsidR="005120CC">
        <w:t xml:space="preserve"> and be completed by a chartered individual.</w:t>
      </w:r>
    </w:p>
    <w:p w14:paraId="1B6E0311" w14:textId="576BD0B9" w:rsidR="00F03994" w:rsidRDefault="00F03994" w:rsidP="00083947">
      <w:r>
        <w:t xml:space="preserve">At this point it is prudent of the author to highlight some of the limitations of the financial statements </w:t>
      </w:r>
      <w:r w:rsidR="00B827CE">
        <w:t>reviewed in this report</w:t>
      </w:r>
      <w:r>
        <w:t xml:space="preserve">. </w:t>
      </w:r>
      <w:sdt>
        <w:sdtPr>
          <w:id w:val="-336614059"/>
          <w:citation/>
        </w:sdtPr>
        <w:sdtEndPr/>
        <w:sdtContent>
          <w:r>
            <w:fldChar w:fldCharType="begin"/>
          </w:r>
          <w:r>
            <w:instrText xml:space="preserve"> CITATION Sti08 \l 2057 </w:instrText>
          </w:r>
          <w:r>
            <w:fldChar w:fldCharType="separate"/>
          </w:r>
          <w:r w:rsidR="002B549D" w:rsidRPr="002B549D">
            <w:rPr>
              <w:noProof/>
            </w:rPr>
            <w:t>(Stittle &amp; Wearing, 2008)</w:t>
          </w:r>
          <w:r>
            <w:fldChar w:fldCharType="end"/>
          </w:r>
        </w:sdtContent>
      </w:sdt>
      <w:r>
        <w:t xml:space="preserve"> in the book “Financial Accounting” state</w:t>
      </w:r>
      <w:r w:rsidR="00B827CE">
        <w:t>s</w:t>
      </w:r>
      <w:r>
        <w:t xml:space="preserve"> that a limitation of such statements is that at the time of reading</w:t>
      </w:r>
      <w:r w:rsidR="00B827CE">
        <w:t>,</w:t>
      </w:r>
      <w:r>
        <w:t xml:space="preserve"> the detail within will be out of date by nature of it being an historical account of a </w:t>
      </w:r>
      <w:r w:rsidR="00B827CE">
        <w:t>company’s</w:t>
      </w:r>
      <w:r>
        <w:t xml:space="preserve"> finance</w:t>
      </w:r>
      <w:r w:rsidR="00B827CE">
        <w:t>s</w:t>
      </w:r>
      <w:r>
        <w:t xml:space="preserve">. These concerns are built upon further by </w:t>
      </w:r>
      <w:sdt>
        <w:sdtPr>
          <w:id w:val="-80223862"/>
          <w:citation/>
        </w:sdtPr>
        <w:sdtEndPr/>
        <w:sdtContent>
          <w:r>
            <w:fldChar w:fldCharType="begin"/>
          </w:r>
          <w:r>
            <w:instrText xml:space="preserve"> CITATION Sri231 \l 2057 </w:instrText>
          </w:r>
          <w:r>
            <w:fldChar w:fldCharType="separate"/>
          </w:r>
          <w:r w:rsidR="002B549D" w:rsidRPr="002B549D">
            <w:rPr>
              <w:noProof/>
            </w:rPr>
            <w:t>(Srivastav, A K, 2023)</w:t>
          </w:r>
          <w:r>
            <w:fldChar w:fldCharType="end"/>
          </w:r>
        </w:sdtContent>
      </w:sdt>
      <w:r>
        <w:t xml:space="preserve"> who goes on to add further limitations such as:</w:t>
      </w:r>
    </w:p>
    <w:p w14:paraId="27EB8FC3" w14:textId="7596FE0E" w:rsidR="00F03994" w:rsidRDefault="00F03994" w:rsidP="00F03994">
      <w:pPr>
        <w:pStyle w:val="ListParagraph"/>
        <w:numPr>
          <w:ilvl w:val="0"/>
          <w:numId w:val="1"/>
        </w:numPr>
      </w:pPr>
      <w:r>
        <w:t xml:space="preserve">There is often personal judgement involved when </w:t>
      </w:r>
      <w:r w:rsidR="002378A8">
        <w:t>valuing assets, this can differ depending on who it is carrying out valuation.</w:t>
      </w:r>
    </w:p>
    <w:p w14:paraId="2029462F" w14:textId="283F2B3D" w:rsidR="002378A8" w:rsidRDefault="002378A8" w:rsidP="00F03994">
      <w:pPr>
        <w:pStyle w:val="ListParagraph"/>
        <w:numPr>
          <w:ilvl w:val="0"/>
          <w:numId w:val="1"/>
        </w:numPr>
      </w:pPr>
      <w:r>
        <w:t>Despite legislation in place for the production and management of such statements, they are still open to fraudulent practices.</w:t>
      </w:r>
    </w:p>
    <w:p w14:paraId="1A6A94C2" w14:textId="3E20E4BD" w:rsidR="002378A8" w:rsidRDefault="002378A8" w:rsidP="00F03994">
      <w:pPr>
        <w:pStyle w:val="ListParagraph"/>
        <w:numPr>
          <w:ilvl w:val="0"/>
          <w:numId w:val="1"/>
        </w:numPr>
      </w:pPr>
      <w:r>
        <w:t>They do not consider non-financial implications such as social, government or environmental factors that may be affecting current or future business performance.</w:t>
      </w:r>
    </w:p>
    <w:p w14:paraId="315C9D97" w14:textId="03C98F77" w:rsidR="002378A8" w:rsidRDefault="002378A8" w:rsidP="00F03994">
      <w:pPr>
        <w:pStyle w:val="ListParagraph"/>
        <w:numPr>
          <w:ilvl w:val="0"/>
          <w:numId w:val="1"/>
        </w:numPr>
      </w:pPr>
      <w:r>
        <w:t>Assets and liabilities within the statement are not inflation-adjusted, therefore any significant swings in either direction will mean an inaccurate account of costing within the reports.</w:t>
      </w:r>
    </w:p>
    <w:p w14:paraId="70EB40ED" w14:textId="66C28C65" w:rsidR="005A0715" w:rsidRDefault="00FB5E9D" w:rsidP="00083947">
      <w:r>
        <w:t xml:space="preserve">There are three common statements used in accounting, Income Statement, Balance Sheet and Cash Flow Statement. </w:t>
      </w:r>
      <w:r w:rsidR="00191501">
        <w:t xml:space="preserve">Financial ratios are used to analyse the data contained within each statement to show </w:t>
      </w:r>
      <w:r w:rsidR="00191501">
        <w:lastRenderedPageBreak/>
        <w:t xml:space="preserve">the business’s position quickly and easily. Read with previous years (or other companies for that matter) ratios they can be useful in juxtaposing </w:t>
      </w:r>
      <w:r w:rsidR="00624EFC">
        <w:t>data to</w:t>
      </w:r>
      <w:r w:rsidR="00191501">
        <w:t xml:space="preserve"> rationalise decision making processes. </w:t>
      </w:r>
    </w:p>
    <w:p w14:paraId="605551F1" w14:textId="2FE908B0" w:rsidR="00B61A4C" w:rsidRDefault="00FB5E9D" w:rsidP="009E4F8E">
      <w:r>
        <w:t xml:space="preserve">A more detailed explanation of the </w:t>
      </w:r>
      <w:r w:rsidR="00AB009D">
        <w:t>statement</w:t>
      </w:r>
      <w:r>
        <w:t xml:space="preserve"> types</w:t>
      </w:r>
      <w:r w:rsidR="009E4F8E">
        <w:t xml:space="preserve"> can be found in the appendices of this report.</w:t>
      </w:r>
    </w:p>
    <w:p w14:paraId="3A9C3D5C" w14:textId="7C54E800" w:rsidR="0082555F" w:rsidRDefault="0082555F" w:rsidP="0082555F">
      <w:pPr>
        <w:pStyle w:val="Heading1"/>
      </w:pPr>
      <w:bookmarkStart w:id="4" w:name="_Toc125737756"/>
      <w:r>
        <w:t>Aston Martin Lagonda: Ratio Analysis – Two Year Comparison</w:t>
      </w:r>
      <w:bookmarkEnd w:id="4"/>
    </w:p>
    <w:p w14:paraId="2713BD84" w14:textId="41999E29" w:rsidR="0082555F" w:rsidRPr="0082555F" w:rsidRDefault="0082555F" w:rsidP="0082555F">
      <w:pPr>
        <w:pStyle w:val="Heading2"/>
      </w:pPr>
      <w:bookmarkStart w:id="5" w:name="_Toc125737757"/>
      <w:r>
        <w:t>2020-21 Comparison</w:t>
      </w:r>
      <w:bookmarkEnd w:id="5"/>
    </w:p>
    <w:tbl>
      <w:tblPr>
        <w:tblW w:w="8980" w:type="dxa"/>
        <w:tblLook w:val="04A0" w:firstRow="1" w:lastRow="0" w:firstColumn="1" w:lastColumn="0" w:noHBand="0" w:noVBand="1"/>
      </w:tblPr>
      <w:tblGrid>
        <w:gridCol w:w="3520"/>
        <w:gridCol w:w="1820"/>
        <w:gridCol w:w="1820"/>
        <w:gridCol w:w="1820"/>
      </w:tblGrid>
      <w:tr w:rsidR="00095CCF" w:rsidRPr="00095CCF" w14:paraId="0A7D6C89" w14:textId="77777777" w:rsidTr="00095CCF">
        <w:trPr>
          <w:trHeight w:val="276"/>
        </w:trPr>
        <w:tc>
          <w:tcPr>
            <w:tcW w:w="3520" w:type="dxa"/>
            <w:tcBorders>
              <w:top w:val="nil"/>
              <w:left w:val="nil"/>
              <w:bottom w:val="nil"/>
              <w:right w:val="nil"/>
            </w:tcBorders>
            <w:shd w:val="clear" w:color="000000" w:fill="FFFFFF"/>
            <w:noWrap/>
            <w:vAlign w:val="bottom"/>
            <w:hideMark/>
          </w:tcPr>
          <w:p w14:paraId="68BE2CEF"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2CEAC6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2020</w:t>
            </w:r>
          </w:p>
        </w:tc>
        <w:tc>
          <w:tcPr>
            <w:tcW w:w="1820" w:type="dxa"/>
            <w:tcBorders>
              <w:top w:val="single" w:sz="8" w:space="0" w:color="auto"/>
              <w:left w:val="nil"/>
              <w:bottom w:val="single" w:sz="4" w:space="0" w:color="auto"/>
              <w:right w:val="single" w:sz="8" w:space="0" w:color="auto"/>
            </w:tcBorders>
            <w:shd w:val="clear" w:color="auto" w:fill="auto"/>
            <w:noWrap/>
            <w:vAlign w:val="bottom"/>
            <w:hideMark/>
          </w:tcPr>
          <w:p w14:paraId="2DB9EF79"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2021</w:t>
            </w:r>
          </w:p>
        </w:tc>
        <w:tc>
          <w:tcPr>
            <w:tcW w:w="1820" w:type="dxa"/>
            <w:tcBorders>
              <w:top w:val="single" w:sz="8" w:space="0" w:color="auto"/>
              <w:left w:val="nil"/>
              <w:bottom w:val="single" w:sz="4" w:space="0" w:color="auto"/>
              <w:right w:val="single" w:sz="8" w:space="0" w:color="auto"/>
            </w:tcBorders>
            <w:shd w:val="clear" w:color="auto" w:fill="auto"/>
            <w:noWrap/>
            <w:vAlign w:val="bottom"/>
            <w:hideMark/>
          </w:tcPr>
          <w:p w14:paraId="5124C3E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Variance</w:t>
            </w:r>
          </w:p>
        </w:tc>
      </w:tr>
      <w:tr w:rsidR="00095CCF" w:rsidRPr="00095CCF" w14:paraId="49AC23C5" w14:textId="77777777" w:rsidTr="00095CCF">
        <w:trPr>
          <w:trHeight w:val="276"/>
        </w:trPr>
        <w:tc>
          <w:tcPr>
            <w:tcW w:w="3520" w:type="dxa"/>
            <w:tcBorders>
              <w:top w:val="nil"/>
              <w:left w:val="nil"/>
              <w:bottom w:val="nil"/>
              <w:right w:val="nil"/>
            </w:tcBorders>
            <w:shd w:val="clear" w:color="000000" w:fill="AEAAAA"/>
            <w:noWrap/>
            <w:vAlign w:val="bottom"/>
            <w:hideMark/>
          </w:tcPr>
          <w:p w14:paraId="08B98CE7" w14:textId="77777777" w:rsidR="00095CCF" w:rsidRPr="00095CCF" w:rsidRDefault="00095CCF" w:rsidP="00095CCF">
            <w:pPr>
              <w:spacing w:after="0" w:line="240" w:lineRule="auto"/>
              <w:rPr>
                <w:rFonts w:ascii="Arial" w:eastAsia="Times New Roman" w:hAnsi="Arial" w:cs="Arial"/>
                <w:b/>
                <w:bCs/>
                <w:i/>
                <w:iCs/>
                <w:color w:val="000000"/>
                <w:lang w:eastAsia="en-GB"/>
              </w:rPr>
            </w:pPr>
            <w:r w:rsidRPr="00095CCF">
              <w:rPr>
                <w:rFonts w:ascii="Arial" w:eastAsia="Times New Roman" w:hAnsi="Arial" w:cs="Arial"/>
                <w:b/>
                <w:bCs/>
                <w:i/>
                <w:iCs/>
                <w:color w:val="000000"/>
                <w:lang w:eastAsia="en-GB"/>
              </w:rPr>
              <w:t>Profitability Ratios</w:t>
            </w:r>
          </w:p>
        </w:tc>
        <w:tc>
          <w:tcPr>
            <w:tcW w:w="1820" w:type="dxa"/>
            <w:tcBorders>
              <w:top w:val="nil"/>
              <w:left w:val="single" w:sz="8" w:space="0" w:color="auto"/>
              <w:bottom w:val="single" w:sz="4" w:space="0" w:color="auto"/>
              <w:right w:val="single" w:sz="8" w:space="0" w:color="auto"/>
            </w:tcBorders>
            <w:shd w:val="clear" w:color="000000" w:fill="AEAAAA"/>
            <w:noWrap/>
            <w:vAlign w:val="bottom"/>
            <w:hideMark/>
          </w:tcPr>
          <w:p w14:paraId="515F382F"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4CFB3ABD"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5D09526E"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r>
      <w:tr w:rsidR="00095CCF" w:rsidRPr="00095CCF" w14:paraId="7D1E9F9C" w14:textId="77777777" w:rsidTr="00095CCF">
        <w:trPr>
          <w:trHeight w:val="276"/>
        </w:trPr>
        <w:tc>
          <w:tcPr>
            <w:tcW w:w="3520" w:type="dxa"/>
            <w:tcBorders>
              <w:top w:val="nil"/>
              <w:left w:val="nil"/>
              <w:bottom w:val="nil"/>
              <w:right w:val="nil"/>
            </w:tcBorders>
            <w:shd w:val="clear" w:color="000000" w:fill="D9E1F2"/>
            <w:noWrap/>
            <w:vAlign w:val="bottom"/>
            <w:hideMark/>
          </w:tcPr>
          <w:p w14:paraId="6BE5264A"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xml:space="preserve">Gross profit Margin </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50FACA09"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18%</w:t>
            </w:r>
          </w:p>
        </w:tc>
        <w:tc>
          <w:tcPr>
            <w:tcW w:w="1820" w:type="dxa"/>
            <w:tcBorders>
              <w:top w:val="nil"/>
              <w:left w:val="nil"/>
              <w:bottom w:val="single" w:sz="4" w:space="0" w:color="auto"/>
              <w:right w:val="single" w:sz="8" w:space="0" w:color="auto"/>
            </w:tcBorders>
            <w:shd w:val="clear" w:color="auto" w:fill="auto"/>
            <w:noWrap/>
            <w:vAlign w:val="bottom"/>
            <w:hideMark/>
          </w:tcPr>
          <w:p w14:paraId="40259D8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31%</w:t>
            </w:r>
          </w:p>
        </w:tc>
        <w:tc>
          <w:tcPr>
            <w:tcW w:w="1820" w:type="dxa"/>
            <w:tcBorders>
              <w:top w:val="nil"/>
              <w:left w:val="nil"/>
              <w:bottom w:val="single" w:sz="4" w:space="0" w:color="auto"/>
              <w:right w:val="single" w:sz="8" w:space="0" w:color="auto"/>
            </w:tcBorders>
            <w:shd w:val="clear" w:color="000000" w:fill="E2EFDA"/>
            <w:noWrap/>
            <w:vAlign w:val="center"/>
            <w:hideMark/>
          </w:tcPr>
          <w:p w14:paraId="7E18165B"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13%</w:t>
            </w:r>
          </w:p>
        </w:tc>
      </w:tr>
      <w:tr w:rsidR="00095CCF" w:rsidRPr="00095CCF" w14:paraId="20D1DBAA" w14:textId="77777777" w:rsidTr="00095CCF">
        <w:trPr>
          <w:trHeight w:val="276"/>
        </w:trPr>
        <w:tc>
          <w:tcPr>
            <w:tcW w:w="3520" w:type="dxa"/>
            <w:tcBorders>
              <w:top w:val="nil"/>
              <w:left w:val="nil"/>
              <w:bottom w:val="nil"/>
              <w:right w:val="nil"/>
            </w:tcBorders>
            <w:shd w:val="clear" w:color="000000" w:fill="D9E1F2"/>
            <w:noWrap/>
            <w:vAlign w:val="bottom"/>
            <w:hideMark/>
          </w:tcPr>
          <w:p w14:paraId="1ADE1BEF"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xml:space="preserve">Operating Profit Margin </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55E267D4"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-53%</w:t>
            </w:r>
          </w:p>
        </w:tc>
        <w:tc>
          <w:tcPr>
            <w:tcW w:w="1820" w:type="dxa"/>
            <w:tcBorders>
              <w:top w:val="nil"/>
              <w:left w:val="nil"/>
              <w:bottom w:val="single" w:sz="4" w:space="0" w:color="auto"/>
              <w:right w:val="single" w:sz="8" w:space="0" w:color="auto"/>
            </w:tcBorders>
            <w:shd w:val="clear" w:color="auto" w:fill="auto"/>
            <w:noWrap/>
            <w:vAlign w:val="bottom"/>
            <w:hideMark/>
          </w:tcPr>
          <w:p w14:paraId="69B61F3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-7%</w:t>
            </w:r>
          </w:p>
        </w:tc>
        <w:tc>
          <w:tcPr>
            <w:tcW w:w="1820" w:type="dxa"/>
            <w:tcBorders>
              <w:top w:val="nil"/>
              <w:left w:val="nil"/>
              <w:bottom w:val="single" w:sz="4" w:space="0" w:color="auto"/>
              <w:right w:val="single" w:sz="8" w:space="0" w:color="auto"/>
            </w:tcBorders>
            <w:shd w:val="clear" w:color="000000" w:fill="E2EFDA"/>
            <w:noWrap/>
            <w:vAlign w:val="center"/>
            <w:hideMark/>
          </w:tcPr>
          <w:p w14:paraId="0AD8236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46%</w:t>
            </w:r>
          </w:p>
        </w:tc>
      </w:tr>
      <w:tr w:rsidR="00095CCF" w:rsidRPr="00095CCF" w14:paraId="43DD1475" w14:textId="77777777" w:rsidTr="00095CCF">
        <w:trPr>
          <w:trHeight w:val="276"/>
        </w:trPr>
        <w:tc>
          <w:tcPr>
            <w:tcW w:w="3520" w:type="dxa"/>
            <w:tcBorders>
              <w:top w:val="nil"/>
              <w:left w:val="nil"/>
              <w:bottom w:val="nil"/>
              <w:right w:val="nil"/>
            </w:tcBorders>
            <w:shd w:val="clear" w:color="000000" w:fill="D9E1F2"/>
            <w:noWrap/>
            <w:vAlign w:val="bottom"/>
            <w:hideMark/>
          </w:tcPr>
          <w:p w14:paraId="2DE4CEAB" w14:textId="3E99386F"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xml:space="preserve">Net </w:t>
            </w:r>
            <w:r w:rsidR="00B60117" w:rsidRPr="00095CCF">
              <w:rPr>
                <w:rFonts w:ascii="Arial" w:eastAsia="Times New Roman" w:hAnsi="Arial" w:cs="Arial"/>
                <w:color w:val="000000"/>
                <w:lang w:eastAsia="en-GB"/>
              </w:rPr>
              <w:t>profit</w:t>
            </w:r>
            <w:r w:rsidRPr="00095CCF">
              <w:rPr>
                <w:rFonts w:ascii="Arial" w:eastAsia="Times New Roman" w:hAnsi="Arial" w:cs="Arial"/>
                <w:color w:val="000000"/>
                <w:lang w:eastAsia="en-GB"/>
              </w:rPr>
              <w:t xml:space="preserve"> Margin </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3DD93BA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-51%</w:t>
            </w:r>
          </w:p>
        </w:tc>
        <w:tc>
          <w:tcPr>
            <w:tcW w:w="1820" w:type="dxa"/>
            <w:tcBorders>
              <w:top w:val="nil"/>
              <w:left w:val="nil"/>
              <w:bottom w:val="single" w:sz="4" w:space="0" w:color="auto"/>
              <w:right w:val="single" w:sz="8" w:space="0" w:color="auto"/>
            </w:tcBorders>
            <w:shd w:val="clear" w:color="auto" w:fill="auto"/>
            <w:noWrap/>
            <w:vAlign w:val="bottom"/>
            <w:hideMark/>
          </w:tcPr>
          <w:p w14:paraId="51D26516"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-29%</w:t>
            </w:r>
          </w:p>
        </w:tc>
        <w:tc>
          <w:tcPr>
            <w:tcW w:w="1820" w:type="dxa"/>
            <w:tcBorders>
              <w:top w:val="nil"/>
              <w:left w:val="nil"/>
              <w:bottom w:val="single" w:sz="4" w:space="0" w:color="auto"/>
              <w:right w:val="single" w:sz="8" w:space="0" w:color="auto"/>
            </w:tcBorders>
            <w:shd w:val="clear" w:color="000000" w:fill="E2EFDA"/>
            <w:noWrap/>
            <w:vAlign w:val="center"/>
            <w:hideMark/>
          </w:tcPr>
          <w:p w14:paraId="0F7CDAA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22%</w:t>
            </w:r>
          </w:p>
        </w:tc>
      </w:tr>
      <w:tr w:rsidR="00095CCF" w:rsidRPr="00095CCF" w14:paraId="7B5C5AEC" w14:textId="77777777" w:rsidTr="00095CCF">
        <w:trPr>
          <w:trHeight w:val="276"/>
        </w:trPr>
        <w:tc>
          <w:tcPr>
            <w:tcW w:w="3520" w:type="dxa"/>
            <w:tcBorders>
              <w:top w:val="nil"/>
              <w:left w:val="nil"/>
              <w:bottom w:val="nil"/>
              <w:right w:val="nil"/>
            </w:tcBorders>
            <w:shd w:val="clear" w:color="000000" w:fill="D9E1F2"/>
            <w:noWrap/>
            <w:vAlign w:val="bottom"/>
            <w:hideMark/>
          </w:tcPr>
          <w:p w14:paraId="1366938A"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xml:space="preserve">Return on Assets </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6136D01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-15%</w:t>
            </w:r>
          </w:p>
        </w:tc>
        <w:tc>
          <w:tcPr>
            <w:tcW w:w="1820" w:type="dxa"/>
            <w:tcBorders>
              <w:top w:val="nil"/>
              <w:left w:val="nil"/>
              <w:bottom w:val="single" w:sz="4" w:space="0" w:color="auto"/>
              <w:right w:val="single" w:sz="8" w:space="0" w:color="auto"/>
            </w:tcBorders>
            <w:shd w:val="clear" w:color="auto" w:fill="auto"/>
            <w:noWrap/>
            <w:vAlign w:val="bottom"/>
            <w:hideMark/>
          </w:tcPr>
          <w:p w14:paraId="0EDA4D6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-7%</w:t>
            </w:r>
          </w:p>
        </w:tc>
        <w:tc>
          <w:tcPr>
            <w:tcW w:w="1820" w:type="dxa"/>
            <w:tcBorders>
              <w:top w:val="nil"/>
              <w:left w:val="nil"/>
              <w:bottom w:val="single" w:sz="4" w:space="0" w:color="auto"/>
              <w:right w:val="single" w:sz="8" w:space="0" w:color="auto"/>
            </w:tcBorders>
            <w:shd w:val="clear" w:color="000000" w:fill="E2EFDA"/>
            <w:noWrap/>
            <w:vAlign w:val="center"/>
            <w:hideMark/>
          </w:tcPr>
          <w:p w14:paraId="67D8986C"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8%</w:t>
            </w:r>
          </w:p>
        </w:tc>
      </w:tr>
      <w:tr w:rsidR="00095CCF" w:rsidRPr="00095CCF" w14:paraId="7494A284" w14:textId="77777777" w:rsidTr="00095CCF">
        <w:trPr>
          <w:trHeight w:val="276"/>
        </w:trPr>
        <w:tc>
          <w:tcPr>
            <w:tcW w:w="3520" w:type="dxa"/>
            <w:tcBorders>
              <w:top w:val="nil"/>
              <w:left w:val="nil"/>
              <w:bottom w:val="nil"/>
              <w:right w:val="nil"/>
            </w:tcBorders>
            <w:shd w:val="clear" w:color="000000" w:fill="D9E1F2"/>
            <w:noWrap/>
            <w:vAlign w:val="bottom"/>
            <w:hideMark/>
          </w:tcPr>
          <w:p w14:paraId="2118FAF5"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Return on Equity</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5660602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-51%</w:t>
            </w:r>
          </w:p>
        </w:tc>
        <w:tc>
          <w:tcPr>
            <w:tcW w:w="1820" w:type="dxa"/>
            <w:tcBorders>
              <w:top w:val="nil"/>
              <w:left w:val="nil"/>
              <w:bottom w:val="single" w:sz="4" w:space="0" w:color="auto"/>
              <w:right w:val="single" w:sz="8" w:space="0" w:color="auto"/>
            </w:tcBorders>
            <w:shd w:val="clear" w:color="auto" w:fill="auto"/>
            <w:noWrap/>
            <w:vAlign w:val="bottom"/>
            <w:hideMark/>
          </w:tcPr>
          <w:p w14:paraId="4A554ECC"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-29%</w:t>
            </w:r>
          </w:p>
        </w:tc>
        <w:tc>
          <w:tcPr>
            <w:tcW w:w="1820" w:type="dxa"/>
            <w:tcBorders>
              <w:top w:val="nil"/>
              <w:left w:val="nil"/>
              <w:bottom w:val="single" w:sz="4" w:space="0" w:color="auto"/>
              <w:right w:val="single" w:sz="8" w:space="0" w:color="auto"/>
            </w:tcBorders>
            <w:shd w:val="clear" w:color="000000" w:fill="E2EFDA"/>
            <w:noWrap/>
            <w:vAlign w:val="center"/>
            <w:hideMark/>
          </w:tcPr>
          <w:p w14:paraId="45BCBC67"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22%</w:t>
            </w:r>
          </w:p>
        </w:tc>
      </w:tr>
      <w:tr w:rsidR="00095CCF" w:rsidRPr="00095CCF" w14:paraId="2F68ED7E" w14:textId="77777777" w:rsidTr="00095CCF">
        <w:trPr>
          <w:trHeight w:val="276"/>
        </w:trPr>
        <w:tc>
          <w:tcPr>
            <w:tcW w:w="3520" w:type="dxa"/>
            <w:tcBorders>
              <w:top w:val="nil"/>
              <w:left w:val="nil"/>
              <w:bottom w:val="nil"/>
              <w:right w:val="nil"/>
            </w:tcBorders>
            <w:shd w:val="clear" w:color="000000" w:fill="AEAAAA"/>
            <w:noWrap/>
            <w:vAlign w:val="bottom"/>
            <w:hideMark/>
          </w:tcPr>
          <w:p w14:paraId="052B9FC3" w14:textId="77777777" w:rsidR="00095CCF" w:rsidRPr="00095CCF" w:rsidRDefault="00095CCF" w:rsidP="00095CCF">
            <w:pPr>
              <w:spacing w:after="0" w:line="240" w:lineRule="auto"/>
              <w:rPr>
                <w:rFonts w:ascii="Arial" w:eastAsia="Times New Roman" w:hAnsi="Arial" w:cs="Arial"/>
                <w:b/>
                <w:bCs/>
                <w:i/>
                <w:iCs/>
                <w:color w:val="000000"/>
                <w:lang w:eastAsia="en-GB"/>
              </w:rPr>
            </w:pPr>
            <w:r w:rsidRPr="00095CCF">
              <w:rPr>
                <w:rFonts w:ascii="Arial" w:eastAsia="Times New Roman" w:hAnsi="Arial" w:cs="Arial"/>
                <w:b/>
                <w:bCs/>
                <w:i/>
                <w:iCs/>
                <w:color w:val="000000"/>
                <w:lang w:eastAsia="en-GB"/>
              </w:rPr>
              <w:t>Liquidity Ratios</w:t>
            </w:r>
          </w:p>
        </w:tc>
        <w:tc>
          <w:tcPr>
            <w:tcW w:w="1820" w:type="dxa"/>
            <w:tcBorders>
              <w:top w:val="nil"/>
              <w:left w:val="single" w:sz="8" w:space="0" w:color="auto"/>
              <w:bottom w:val="single" w:sz="4" w:space="0" w:color="auto"/>
              <w:right w:val="single" w:sz="8" w:space="0" w:color="auto"/>
            </w:tcBorders>
            <w:shd w:val="clear" w:color="000000" w:fill="AEAAAA"/>
            <w:noWrap/>
            <w:vAlign w:val="bottom"/>
            <w:hideMark/>
          </w:tcPr>
          <w:p w14:paraId="759CAE6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16DC09A7"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126B09F0"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r>
      <w:tr w:rsidR="00095CCF" w:rsidRPr="00095CCF" w14:paraId="2D79191A" w14:textId="77777777" w:rsidTr="00095CCF">
        <w:trPr>
          <w:trHeight w:val="276"/>
        </w:trPr>
        <w:tc>
          <w:tcPr>
            <w:tcW w:w="3520" w:type="dxa"/>
            <w:tcBorders>
              <w:top w:val="nil"/>
              <w:left w:val="nil"/>
              <w:bottom w:val="nil"/>
              <w:right w:val="nil"/>
            </w:tcBorders>
            <w:shd w:val="clear" w:color="000000" w:fill="FCE4D6"/>
            <w:noWrap/>
            <w:vAlign w:val="bottom"/>
            <w:hideMark/>
          </w:tcPr>
          <w:p w14:paraId="676BC22E"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xml:space="preserve">Current ratio </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C053C86"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1.10</w:t>
            </w:r>
          </w:p>
        </w:tc>
        <w:tc>
          <w:tcPr>
            <w:tcW w:w="1820" w:type="dxa"/>
            <w:tcBorders>
              <w:top w:val="nil"/>
              <w:left w:val="nil"/>
              <w:bottom w:val="single" w:sz="4" w:space="0" w:color="auto"/>
              <w:right w:val="single" w:sz="8" w:space="0" w:color="auto"/>
            </w:tcBorders>
            <w:shd w:val="clear" w:color="auto" w:fill="auto"/>
            <w:noWrap/>
            <w:vAlign w:val="bottom"/>
            <w:hideMark/>
          </w:tcPr>
          <w:p w14:paraId="5FEFA40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0.96</w:t>
            </w:r>
          </w:p>
        </w:tc>
        <w:tc>
          <w:tcPr>
            <w:tcW w:w="1820" w:type="dxa"/>
            <w:tcBorders>
              <w:top w:val="nil"/>
              <w:left w:val="nil"/>
              <w:bottom w:val="single" w:sz="4" w:space="0" w:color="auto"/>
              <w:right w:val="single" w:sz="8" w:space="0" w:color="auto"/>
            </w:tcBorders>
            <w:shd w:val="clear" w:color="000000" w:fill="FF0000"/>
            <w:noWrap/>
            <w:vAlign w:val="center"/>
            <w:hideMark/>
          </w:tcPr>
          <w:p w14:paraId="0774F8C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-14%</w:t>
            </w:r>
          </w:p>
        </w:tc>
      </w:tr>
      <w:tr w:rsidR="00095CCF" w:rsidRPr="00095CCF" w14:paraId="4C4AE076" w14:textId="77777777" w:rsidTr="00095CCF">
        <w:trPr>
          <w:trHeight w:val="276"/>
        </w:trPr>
        <w:tc>
          <w:tcPr>
            <w:tcW w:w="3520" w:type="dxa"/>
            <w:tcBorders>
              <w:top w:val="nil"/>
              <w:left w:val="nil"/>
              <w:bottom w:val="nil"/>
              <w:right w:val="nil"/>
            </w:tcBorders>
            <w:shd w:val="clear" w:color="000000" w:fill="FCE4D6"/>
            <w:noWrap/>
            <w:vAlign w:val="bottom"/>
            <w:hideMark/>
          </w:tcPr>
          <w:p w14:paraId="19C4CB5F"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Quick Ratios (or Acid Test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DBAB59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0.84</w:t>
            </w:r>
          </w:p>
        </w:tc>
        <w:tc>
          <w:tcPr>
            <w:tcW w:w="1820" w:type="dxa"/>
            <w:tcBorders>
              <w:top w:val="nil"/>
              <w:left w:val="nil"/>
              <w:bottom w:val="single" w:sz="4" w:space="0" w:color="auto"/>
              <w:right w:val="single" w:sz="8" w:space="0" w:color="auto"/>
            </w:tcBorders>
            <w:shd w:val="clear" w:color="auto" w:fill="auto"/>
            <w:noWrap/>
            <w:vAlign w:val="bottom"/>
            <w:hideMark/>
          </w:tcPr>
          <w:p w14:paraId="6ED4E633"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0.74</w:t>
            </w:r>
          </w:p>
        </w:tc>
        <w:tc>
          <w:tcPr>
            <w:tcW w:w="1820" w:type="dxa"/>
            <w:tcBorders>
              <w:top w:val="nil"/>
              <w:left w:val="nil"/>
              <w:bottom w:val="single" w:sz="4" w:space="0" w:color="auto"/>
              <w:right w:val="single" w:sz="8" w:space="0" w:color="auto"/>
            </w:tcBorders>
            <w:shd w:val="clear" w:color="000000" w:fill="FF0000"/>
            <w:noWrap/>
            <w:vAlign w:val="center"/>
            <w:hideMark/>
          </w:tcPr>
          <w:p w14:paraId="789020E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-10%</w:t>
            </w:r>
          </w:p>
        </w:tc>
      </w:tr>
      <w:tr w:rsidR="00095CCF" w:rsidRPr="00095CCF" w14:paraId="5C036205" w14:textId="77777777" w:rsidTr="00095CCF">
        <w:trPr>
          <w:trHeight w:val="276"/>
        </w:trPr>
        <w:tc>
          <w:tcPr>
            <w:tcW w:w="3520" w:type="dxa"/>
            <w:tcBorders>
              <w:top w:val="nil"/>
              <w:left w:val="nil"/>
              <w:bottom w:val="nil"/>
              <w:right w:val="nil"/>
            </w:tcBorders>
            <w:shd w:val="clear" w:color="000000" w:fill="FCE4D6"/>
            <w:noWrap/>
            <w:vAlign w:val="bottom"/>
            <w:hideMark/>
          </w:tcPr>
          <w:p w14:paraId="6F91DEAA"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Cash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4A180AC1"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0.61</w:t>
            </w:r>
          </w:p>
        </w:tc>
        <w:tc>
          <w:tcPr>
            <w:tcW w:w="1820" w:type="dxa"/>
            <w:tcBorders>
              <w:top w:val="nil"/>
              <w:left w:val="nil"/>
              <w:bottom w:val="single" w:sz="4" w:space="0" w:color="auto"/>
              <w:right w:val="single" w:sz="8" w:space="0" w:color="auto"/>
            </w:tcBorders>
            <w:shd w:val="clear" w:color="auto" w:fill="auto"/>
            <w:noWrap/>
            <w:vAlign w:val="bottom"/>
            <w:hideMark/>
          </w:tcPr>
          <w:p w14:paraId="176176A4"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0.46</w:t>
            </w:r>
          </w:p>
        </w:tc>
        <w:tc>
          <w:tcPr>
            <w:tcW w:w="1820" w:type="dxa"/>
            <w:tcBorders>
              <w:top w:val="nil"/>
              <w:left w:val="nil"/>
              <w:bottom w:val="single" w:sz="4" w:space="0" w:color="auto"/>
              <w:right w:val="single" w:sz="8" w:space="0" w:color="auto"/>
            </w:tcBorders>
            <w:shd w:val="clear" w:color="000000" w:fill="FF0000"/>
            <w:noWrap/>
            <w:vAlign w:val="center"/>
            <w:hideMark/>
          </w:tcPr>
          <w:p w14:paraId="111133F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-14%</w:t>
            </w:r>
          </w:p>
        </w:tc>
      </w:tr>
      <w:tr w:rsidR="00095CCF" w:rsidRPr="00095CCF" w14:paraId="5A026559" w14:textId="77777777" w:rsidTr="00095CCF">
        <w:trPr>
          <w:trHeight w:val="276"/>
        </w:trPr>
        <w:tc>
          <w:tcPr>
            <w:tcW w:w="3520" w:type="dxa"/>
            <w:tcBorders>
              <w:top w:val="nil"/>
              <w:left w:val="nil"/>
              <w:bottom w:val="nil"/>
              <w:right w:val="nil"/>
            </w:tcBorders>
            <w:shd w:val="clear" w:color="000000" w:fill="AEAAAA"/>
            <w:noWrap/>
            <w:vAlign w:val="bottom"/>
            <w:hideMark/>
          </w:tcPr>
          <w:p w14:paraId="08D44B1D" w14:textId="77777777" w:rsidR="00095CCF" w:rsidRPr="00095CCF" w:rsidRDefault="00095CCF" w:rsidP="00095CCF">
            <w:pPr>
              <w:spacing w:after="0" w:line="240" w:lineRule="auto"/>
              <w:rPr>
                <w:rFonts w:ascii="Arial" w:eastAsia="Times New Roman" w:hAnsi="Arial" w:cs="Arial"/>
                <w:b/>
                <w:bCs/>
                <w:i/>
                <w:iCs/>
                <w:color w:val="000000"/>
                <w:lang w:eastAsia="en-GB"/>
              </w:rPr>
            </w:pPr>
            <w:r w:rsidRPr="00095CCF">
              <w:rPr>
                <w:rFonts w:ascii="Arial" w:eastAsia="Times New Roman" w:hAnsi="Arial" w:cs="Arial"/>
                <w:b/>
                <w:bCs/>
                <w:i/>
                <w:iCs/>
                <w:color w:val="000000"/>
                <w:lang w:eastAsia="en-GB"/>
              </w:rPr>
              <w:t>Activity Ratios</w:t>
            </w:r>
          </w:p>
        </w:tc>
        <w:tc>
          <w:tcPr>
            <w:tcW w:w="1820" w:type="dxa"/>
            <w:tcBorders>
              <w:top w:val="nil"/>
              <w:left w:val="single" w:sz="8" w:space="0" w:color="auto"/>
              <w:bottom w:val="single" w:sz="4" w:space="0" w:color="auto"/>
              <w:right w:val="single" w:sz="8" w:space="0" w:color="auto"/>
            </w:tcBorders>
            <w:shd w:val="clear" w:color="000000" w:fill="AEAAAA"/>
            <w:noWrap/>
            <w:vAlign w:val="bottom"/>
            <w:hideMark/>
          </w:tcPr>
          <w:p w14:paraId="53523D39"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15039B9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center"/>
            <w:hideMark/>
          </w:tcPr>
          <w:p w14:paraId="46738D59"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r>
      <w:tr w:rsidR="00095CCF" w:rsidRPr="00095CCF" w14:paraId="325C4E83" w14:textId="77777777" w:rsidTr="00095CCF">
        <w:trPr>
          <w:trHeight w:val="276"/>
        </w:trPr>
        <w:tc>
          <w:tcPr>
            <w:tcW w:w="3520" w:type="dxa"/>
            <w:tcBorders>
              <w:top w:val="nil"/>
              <w:left w:val="nil"/>
              <w:bottom w:val="nil"/>
              <w:right w:val="nil"/>
            </w:tcBorders>
            <w:shd w:val="clear" w:color="000000" w:fill="FFF2CC"/>
            <w:noWrap/>
            <w:vAlign w:val="bottom"/>
            <w:hideMark/>
          </w:tcPr>
          <w:p w14:paraId="28F6F541" w14:textId="460B09B4" w:rsidR="00095CCF" w:rsidRPr="00095CCF" w:rsidRDefault="0098681C"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Day’s</w:t>
            </w:r>
            <w:r w:rsidR="00095CCF" w:rsidRPr="00095CCF">
              <w:rPr>
                <w:rFonts w:ascii="Arial" w:eastAsia="Times New Roman" w:hAnsi="Arial" w:cs="Arial"/>
                <w:color w:val="000000"/>
                <w:lang w:eastAsia="en-GB"/>
              </w:rPr>
              <w:t xml:space="preserve"> sales outstanding</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52B840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106</w:t>
            </w:r>
          </w:p>
        </w:tc>
        <w:tc>
          <w:tcPr>
            <w:tcW w:w="1820" w:type="dxa"/>
            <w:tcBorders>
              <w:top w:val="nil"/>
              <w:left w:val="nil"/>
              <w:bottom w:val="single" w:sz="4" w:space="0" w:color="auto"/>
              <w:right w:val="single" w:sz="8" w:space="0" w:color="auto"/>
            </w:tcBorders>
            <w:shd w:val="clear" w:color="auto" w:fill="auto"/>
            <w:noWrap/>
            <w:vAlign w:val="bottom"/>
            <w:hideMark/>
          </w:tcPr>
          <w:p w14:paraId="1173AF1F"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81</w:t>
            </w:r>
          </w:p>
        </w:tc>
        <w:tc>
          <w:tcPr>
            <w:tcW w:w="1820" w:type="dxa"/>
            <w:tcBorders>
              <w:top w:val="nil"/>
              <w:left w:val="nil"/>
              <w:bottom w:val="single" w:sz="4" w:space="0" w:color="auto"/>
              <w:right w:val="single" w:sz="8" w:space="0" w:color="auto"/>
            </w:tcBorders>
            <w:shd w:val="clear" w:color="000000" w:fill="E2EFDA"/>
            <w:noWrap/>
            <w:vAlign w:val="center"/>
            <w:hideMark/>
          </w:tcPr>
          <w:p w14:paraId="1E11F7C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26%</w:t>
            </w:r>
          </w:p>
        </w:tc>
      </w:tr>
      <w:tr w:rsidR="00095CCF" w:rsidRPr="00095CCF" w14:paraId="285A7692" w14:textId="77777777" w:rsidTr="00095CCF">
        <w:trPr>
          <w:trHeight w:val="276"/>
        </w:trPr>
        <w:tc>
          <w:tcPr>
            <w:tcW w:w="3520" w:type="dxa"/>
            <w:tcBorders>
              <w:top w:val="nil"/>
              <w:left w:val="nil"/>
              <w:bottom w:val="nil"/>
              <w:right w:val="nil"/>
            </w:tcBorders>
            <w:shd w:val="clear" w:color="000000" w:fill="FFF2CC"/>
            <w:noWrap/>
            <w:vAlign w:val="bottom"/>
            <w:hideMark/>
          </w:tcPr>
          <w:p w14:paraId="1A3CC5AB"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Inventory turnover</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877EEF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2.42</w:t>
            </w:r>
          </w:p>
        </w:tc>
        <w:tc>
          <w:tcPr>
            <w:tcW w:w="1820" w:type="dxa"/>
            <w:tcBorders>
              <w:top w:val="nil"/>
              <w:left w:val="nil"/>
              <w:bottom w:val="single" w:sz="4" w:space="0" w:color="auto"/>
              <w:right w:val="single" w:sz="8" w:space="0" w:color="auto"/>
            </w:tcBorders>
            <w:shd w:val="clear" w:color="auto" w:fill="auto"/>
            <w:noWrap/>
            <w:vAlign w:val="bottom"/>
            <w:hideMark/>
          </w:tcPr>
          <w:p w14:paraId="1C164169"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3.82</w:t>
            </w:r>
          </w:p>
        </w:tc>
        <w:tc>
          <w:tcPr>
            <w:tcW w:w="1820" w:type="dxa"/>
            <w:tcBorders>
              <w:top w:val="nil"/>
              <w:left w:val="nil"/>
              <w:bottom w:val="single" w:sz="4" w:space="0" w:color="auto"/>
              <w:right w:val="single" w:sz="8" w:space="0" w:color="auto"/>
            </w:tcBorders>
            <w:shd w:val="clear" w:color="000000" w:fill="E2EFDA"/>
            <w:noWrap/>
            <w:vAlign w:val="center"/>
            <w:hideMark/>
          </w:tcPr>
          <w:p w14:paraId="1CD812EB"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92%</w:t>
            </w:r>
          </w:p>
        </w:tc>
      </w:tr>
      <w:tr w:rsidR="00095CCF" w:rsidRPr="00095CCF" w14:paraId="2C9780C0" w14:textId="77777777" w:rsidTr="00095CCF">
        <w:trPr>
          <w:trHeight w:val="276"/>
        </w:trPr>
        <w:tc>
          <w:tcPr>
            <w:tcW w:w="3520" w:type="dxa"/>
            <w:tcBorders>
              <w:top w:val="nil"/>
              <w:left w:val="nil"/>
              <w:bottom w:val="nil"/>
              <w:right w:val="nil"/>
            </w:tcBorders>
            <w:shd w:val="clear" w:color="000000" w:fill="FFF2CC"/>
            <w:noWrap/>
            <w:vAlign w:val="bottom"/>
            <w:hideMark/>
          </w:tcPr>
          <w:p w14:paraId="31839788"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Days payable outstanding</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05903B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422</w:t>
            </w:r>
          </w:p>
        </w:tc>
        <w:tc>
          <w:tcPr>
            <w:tcW w:w="1820" w:type="dxa"/>
            <w:tcBorders>
              <w:top w:val="nil"/>
              <w:left w:val="nil"/>
              <w:bottom w:val="single" w:sz="4" w:space="0" w:color="auto"/>
              <w:right w:val="single" w:sz="8" w:space="0" w:color="auto"/>
            </w:tcBorders>
            <w:shd w:val="clear" w:color="auto" w:fill="auto"/>
            <w:noWrap/>
            <w:vAlign w:val="bottom"/>
            <w:hideMark/>
          </w:tcPr>
          <w:p w14:paraId="11F14081"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350</w:t>
            </w:r>
          </w:p>
        </w:tc>
        <w:tc>
          <w:tcPr>
            <w:tcW w:w="1820" w:type="dxa"/>
            <w:tcBorders>
              <w:top w:val="nil"/>
              <w:left w:val="nil"/>
              <w:bottom w:val="single" w:sz="4" w:space="0" w:color="auto"/>
              <w:right w:val="single" w:sz="8" w:space="0" w:color="auto"/>
            </w:tcBorders>
            <w:shd w:val="clear" w:color="000000" w:fill="E2EFDA"/>
            <w:noWrap/>
            <w:vAlign w:val="center"/>
            <w:hideMark/>
          </w:tcPr>
          <w:p w14:paraId="6F445C5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17%</w:t>
            </w:r>
          </w:p>
        </w:tc>
      </w:tr>
      <w:tr w:rsidR="00095CCF" w:rsidRPr="00095CCF" w14:paraId="52BFE938" w14:textId="77777777" w:rsidTr="00095CCF">
        <w:trPr>
          <w:trHeight w:val="276"/>
        </w:trPr>
        <w:tc>
          <w:tcPr>
            <w:tcW w:w="3520" w:type="dxa"/>
            <w:tcBorders>
              <w:top w:val="nil"/>
              <w:left w:val="nil"/>
              <w:bottom w:val="nil"/>
              <w:right w:val="nil"/>
            </w:tcBorders>
            <w:shd w:val="clear" w:color="000000" w:fill="AEAAAA"/>
            <w:noWrap/>
            <w:vAlign w:val="bottom"/>
            <w:hideMark/>
          </w:tcPr>
          <w:p w14:paraId="4B330510" w14:textId="77777777" w:rsidR="00095CCF" w:rsidRPr="00095CCF" w:rsidRDefault="00095CCF" w:rsidP="00095CCF">
            <w:pPr>
              <w:spacing w:after="0" w:line="240" w:lineRule="auto"/>
              <w:rPr>
                <w:rFonts w:ascii="Arial" w:eastAsia="Times New Roman" w:hAnsi="Arial" w:cs="Arial"/>
                <w:b/>
                <w:bCs/>
                <w:i/>
                <w:iCs/>
                <w:color w:val="000000"/>
                <w:lang w:eastAsia="en-GB"/>
              </w:rPr>
            </w:pPr>
            <w:r w:rsidRPr="00095CCF">
              <w:rPr>
                <w:rFonts w:ascii="Arial" w:eastAsia="Times New Roman" w:hAnsi="Arial" w:cs="Arial"/>
                <w:b/>
                <w:bCs/>
                <w:i/>
                <w:iCs/>
                <w:color w:val="000000"/>
                <w:lang w:eastAsia="en-GB"/>
              </w:rPr>
              <w:t>Leverage Ratios</w:t>
            </w:r>
          </w:p>
        </w:tc>
        <w:tc>
          <w:tcPr>
            <w:tcW w:w="1820" w:type="dxa"/>
            <w:tcBorders>
              <w:top w:val="nil"/>
              <w:left w:val="single" w:sz="8" w:space="0" w:color="auto"/>
              <w:bottom w:val="single" w:sz="4" w:space="0" w:color="auto"/>
              <w:right w:val="single" w:sz="8" w:space="0" w:color="auto"/>
            </w:tcBorders>
            <w:shd w:val="clear" w:color="000000" w:fill="AEAAAA"/>
            <w:noWrap/>
            <w:vAlign w:val="bottom"/>
            <w:hideMark/>
          </w:tcPr>
          <w:p w14:paraId="7F56234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26956824"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center"/>
            <w:hideMark/>
          </w:tcPr>
          <w:p w14:paraId="4CC8E9D8"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r>
      <w:tr w:rsidR="00095CCF" w:rsidRPr="00095CCF" w14:paraId="51B76944" w14:textId="77777777" w:rsidTr="00095CCF">
        <w:trPr>
          <w:trHeight w:val="276"/>
        </w:trPr>
        <w:tc>
          <w:tcPr>
            <w:tcW w:w="3520" w:type="dxa"/>
            <w:tcBorders>
              <w:top w:val="nil"/>
              <w:left w:val="nil"/>
              <w:bottom w:val="nil"/>
              <w:right w:val="nil"/>
            </w:tcBorders>
            <w:shd w:val="clear" w:color="000000" w:fill="DDEBF7"/>
            <w:noWrap/>
            <w:vAlign w:val="bottom"/>
            <w:hideMark/>
          </w:tcPr>
          <w:p w14:paraId="2762FCCF"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Gearing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1B89678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60%</w:t>
            </w:r>
          </w:p>
        </w:tc>
        <w:tc>
          <w:tcPr>
            <w:tcW w:w="1820" w:type="dxa"/>
            <w:tcBorders>
              <w:top w:val="nil"/>
              <w:left w:val="nil"/>
              <w:bottom w:val="single" w:sz="4" w:space="0" w:color="auto"/>
              <w:right w:val="single" w:sz="8" w:space="0" w:color="auto"/>
            </w:tcBorders>
            <w:shd w:val="clear" w:color="auto" w:fill="auto"/>
            <w:noWrap/>
            <w:vAlign w:val="bottom"/>
            <w:hideMark/>
          </w:tcPr>
          <w:p w14:paraId="01551663"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37%</w:t>
            </w:r>
          </w:p>
        </w:tc>
        <w:tc>
          <w:tcPr>
            <w:tcW w:w="1820" w:type="dxa"/>
            <w:tcBorders>
              <w:top w:val="nil"/>
              <w:left w:val="nil"/>
              <w:bottom w:val="single" w:sz="4" w:space="0" w:color="auto"/>
              <w:right w:val="single" w:sz="8" w:space="0" w:color="auto"/>
            </w:tcBorders>
            <w:shd w:val="clear" w:color="000000" w:fill="E2EFDA"/>
            <w:noWrap/>
            <w:vAlign w:val="center"/>
            <w:hideMark/>
          </w:tcPr>
          <w:p w14:paraId="384888DD"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-23%</w:t>
            </w:r>
          </w:p>
        </w:tc>
      </w:tr>
      <w:tr w:rsidR="00095CCF" w:rsidRPr="00095CCF" w14:paraId="1B540CAD" w14:textId="77777777" w:rsidTr="00095CCF">
        <w:trPr>
          <w:trHeight w:val="276"/>
        </w:trPr>
        <w:tc>
          <w:tcPr>
            <w:tcW w:w="3520" w:type="dxa"/>
            <w:tcBorders>
              <w:top w:val="nil"/>
              <w:left w:val="nil"/>
              <w:bottom w:val="nil"/>
              <w:right w:val="nil"/>
            </w:tcBorders>
            <w:shd w:val="clear" w:color="000000" w:fill="DDEBF7"/>
            <w:noWrap/>
            <w:vAlign w:val="bottom"/>
            <w:hideMark/>
          </w:tcPr>
          <w:p w14:paraId="044E38FD"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Debt/Equity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47ECE8DF"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83%</w:t>
            </w:r>
          </w:p>
        </w:tc>
        <w:tc>
          <w:tcPr>
            <w:tcW w:w="1820" w:type="dxa"/>
            <w:tcBorders>
              <w:top w:val="nil"/>
              <w:left w:val="nil"/>
              <w:bottom w:val="single" w:sz="4" w:space="0" w:color="auto"/>
              <w:right w:val="single" w:sz="8" w:space="0" w:color="auto"/>
            </w:tcBorders>
            <w:shd w:val="clear" w:color="auto" w:fill="auto"/>
            <w:noWrap/>
            <w:vAlign w:val="bottom"/>
            <w:hideMark/>
          </w:tcPr>
          <w:p w14:paraId="66AE9E3B"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61%</w:t>
            </w:r>
          </w:p>
        </w:tc>
        <w:tc>
          <w:tcPr>
            <w:tcW w:w="1820" w:type="dxa"/>
            <w:tcBorders>
              <w:top w:val="nil"/>
              <w:left w:val="nil"/>
              <w:bottom w:val="single" w:sz="4" w:space="0" w:color="auto"/>
              <w:right w:val="single" w:sz="8" w:space="0" w:color="auto"/>
            </w:tcBorders>
            <w:shd w:val="clear" w:color="000000" w:fill="E2EFDA"/>
            <w:noWrap/>
            <w:vAlign w:val="center"/>
            <w:hideMark/>
          </w:tcPr>
          <w:p w14:paraId="53F93ADD"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-21%</w:t>
            </w:r>
          </w:p>
        </w:tc>
      </w:tr>
      <w:tr w:rsidR="00095CCF" w:rsidRPr="00095CCF" w14:paraId="04602FC0" w14:textId="77777777" w:rsidTr="00095CCF">
        <w:trPr>
          <w:trHeight w:val="276"/>
        </w:trPr>
        <w:tc>
          <w:tcPr>
            <w:tcW w:w="3520" w:type="dxa"/>
            <w:tcBorders>
              <w:top w:val="nil"/>
              <w:left w:val="nil"/>
              <w:bottom w:val="nil"/>
              <w:right w:val="nil"/>
            </w:tcBorders>
            <w:shd w:val="clear" w:color="000000" w:fill="DDEBF7"/>
            <w:noWrap/>
            <w:vAlign w:val="bottom"/>
            <w:hideMark/>
          </w:tcPr>
          <w:p w14:paraId="0276FAE7"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Long term debt/equity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984304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121%</w:t>
            </w:r>
          </w:p>
        </w:tc>
        <w:tc>
          <w:tcPr>
            <w:tcW w:w="1820" w:type="dxa"/>
            <w:tcBorders>
              <w:top w:val="nil"/>
              <w:left w:val="nil"/>
              <w:bottom w:val="single" w:sz="4" w:space="0" w:color="auto"/>
              <w:right w:val="single" w:sz="8" w:space="0" w:color="auto"/>
            </w:tcBorders>
            <w:shd w:val="clear" w:color="auto" w:fill="auto"/>
            <w:noWrap/>
            <w:vAlign w:val="bottom"/>
            <w:hideMark/>
          </w:tcPr>
          <w:p w14:paraId="4F3D151F"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163%</w:t>
            </w:r>
          </w:p>
        </w:tc>
        <w:tc>
          <w:tcPr>
            <w:tcW w:w="1820" w:type="dxa"/>
            <w:tcBorders>
              <w:top w:val="nil"/>
              <w:left w:val="nil"/>
              <w:bottom w:val="single" w:sz="4" w:space="0" w:color="auto"/>
              <w:right w:val="single" w:sz="8" w:space="0" w:color="auto"/>
            </w:tcBorders>
            <w:shd w:val="clear" w:color="000000" w:fill="FF0000"/>
            <w:noWrap/>
            <w:vAlign w:val="center"/>
            <w:hideMark/>
          </w:tcPr>
          <w:p w14:paraId="7560245E"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42%</w:t>
            </w:r>
          </w:p>
        </w:tc>
      </w:tr>
      <w:tr w:rsidR="00095CCF" w:rsidRPr="00095CCF" w14:paraId="6C99BEBD" w14:textId="77777777" w:rsidTr="00095CCF">
        <w:trPr>
          <w:trHeight w:val="276"/>
        </w:trPr>
        <w:tc>
          <w:tcPr>
            <w:tcW w:w="3520" w:type="dxa"/>
            <w:tcBorders>
              <w:top w:val="nil"/>
              <w:left w:val="nil"/>
              <w:bottom w:val="nil"/>
              <w:right w:val="nil"/>
            </w:tcBorders>
            <w:shd w:val="clear" w:color="000000" w:fill="DDEBF7"/>
            <w:noWrap/>
            <w:vAlign w:val="bottom"/>
            <w:hideMark/>
          </w:tcPr>
          <w:p w14:paraId="79148721"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Interest Coverage</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2390E78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-394%</w:t>
            </w:r>
          </w:p>
        </w:tc>
        <w:tc>
          <w:tcPr>
            <w:tcW w:w="1820" w:type="dxa"/>
            <w:tcBorders>
              <w:top w:val="nil"/>
              <w:left w:val="nil"/>
              <w:bottom w:val="single" w:sz="4" w:space="0" w:color="auto"/>
              <w:right w:val="single" w:sz="8" w:space="0" w:color="auto"/>
            </w:tcBorders>
            <w:shd w:val="clear" w:color="auto" w:fill="auto"/>
            <w:noWrap/>
            <w:vAlign w:val="bottom"/>
            <w:hideMark/>
          </w:tcPr>
          <w:p w14:paraId="090F580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-42%</w:t>
            </w:r>
          </w:p>
        </w:tc>
        <w:tc>
          <w:tcPr>
            <w:tcW w:w="1820" w:type="dxa"/>
            <w:tcBorders>
              <w:top w:val="nil"/>
              <w:left w:val="nil"/>
              <w:bottom w:val="single" w:sz="4" w:space="0" w:color="auto"/>
              <w:right w:val="single" w:sz="8" w:space="0" w:color="auto"/>
            </w:tcBorders>
            <w:shd w:val="clear" w:color="000000" w:fill="E2EFDA"/>
            <w:noWrap/>
            <w:vAlign w:val="center"/>
            <w:hideMark/>
          </w:tcPr>
          <w:p w14:paraId="2CAFBAB0"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352%</w:t>
            </w:r>
          </w:p>
        </w:tc>
      </w:tr>
      <w:tr w:rsidR="00095CCF" w:rsidRPr="00095CCF" w14:paraId="2C244684" w14:textId="77777777" w:rsidTr="00095CCF">
        <w:trPr>
          <w:trHeight w:val="276"/>
        </w:trPr>
        <w:tc>
          <w:tcPr>
            <w:tcW w:w="3520" w:type="dxa"/>
            <w:tcBorders>
              <w:top w:val="nil"/>
              <w:left w:val="nil"/>
              <w:bottom w:val="nil"/>
              <w:right w:val="nil"/>
            </w:tcBorders>
            <w:shd w:val="clear" w:color="000000" w:fill="AEAAAA"/>
            <w:noWrap/>
            <w:vAlign w:val="bottom"/>
            <w:hideMark/>
          </w:tcPr>
          <w:p w14:paraId="61373977" w14:textId="77777777" w:rsidR="00095CCF" w:rsidRPr="00095CCF" w:rsidRDefault="00095CCF" w:rsidP="00095CCF">
            <w:pPr>
              <w:spacing w:after="0" w:line="240" w:lineRule="auto"/>
              <w:rPr>
                <w:rFonts w:ascii="Arial" w:eastAsia="Times New Roman" w:hAnsi="Arial" w:cs="Arial"/>
                <w:b/>
                <w:bCs/>
                <w:i/>
                <w:iCs/>
                <w:color w:val="000000"/>
                <w:lang w:eastAsia="en-GB"/>
              </w:rPr>
            </w:pPr>
            <w:r w:rsidRPr="00095CCF">
              <w:rPr>
                <w:rFonts w:ascii="Arial" w:eastAsia="Times New Roman" w:hAnsi="Arial" w:cs="Arial"/>
                <w:b/>
                <w:bCs/>
                <w:i/>
                <w:iCs/>
                <w:color w:val="000000"/>
                <w:lang w:eastAsia="en-GB"/>
              </w:rPr>
              <w:t>Investor Ratios</w:t>
            </w:r>
          </w:p>
        </w:tc>
        <w:tc>
          <w:tcPr>
            <w:tcW w:w="1820" w:type="dxa"/>
            <w:tcBorders>
              <w:top w:val="nil"/>
              <w:left w:val="single" w:sz="8" w:space="0" w:color="auto"/>
              <w:bottom w:val="single" w:sz="4" w:space="0" w:color="auto"/>
              <w:right w:val="single" w:sz="8" w:space="0" w:color="auto"/>
            </w:tcBorders>
            <w:shd w:val="clear" w:color="000000" w:fill="AEAAAA"/>
            <w:noWrap/>
            <w:vAlign w:val="bottom"/>
            <w:hideMark/>
          </w:tcPr>
          <w:p w14:paraId="1EA47E26"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bottom"/>
            <w:hideMark/>
          </w:tcPr>
          <w:p w14:paraId="27882B3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 </w:t>
            </w:r>
          </w:p>
        </w:tc>
        <w:tc>
          <w:tcPr>
            <w:tcW w:w="1820" w:type="dxa"/>
            <w:tcBorders>
              <w:top w:val="nil"/>
              <w:left w:val="nil"/>
              <w:bottom w:val="single" w:sz="4" w:space="0" w:color="auto"/>
              <w:right w:val="single" w:sz="8" w:space="0" w:color="auto"/>
            </w:tcBorders>
            <w:shd w:val="clear" w:color="000000" w:fill="AEAAAA"/>
            <w:noWrap/>
            <w:vAlign w:val="center"/>
            <w:hideMark/>
          </w:tcPr>
          <w:p w14:paraId="2DEE5AF5"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 </w:t>
            </w:r>
          </w:p>
        </w:tc>
      </w:tr>
      <w:tr w:rsidR="00095CCF" w:rsidRPr="00095CCF" w14:paraId="7E6A2542" w14:textId="77777777" w:rsidTr="00095CCF">
        <w:trPr>
          <w:trHeight w:val="276"/>
        </w:trPr>
        <w:tc>
          <w:tcPr>
            <w:tcW w:w="3520" w:type="dxa"/>
            <w:tcBorders>
              <w:top w:val="nil"/>
              <w:left w:val="nil"/>
              <w:bottom w:val="nil"/>
              <w:right w:val="nil"/>
            </w:tcBorders>
            <w:shd w:val="clear" w:color="000000" w:fill="E2EFDA"/>
            <w:noWrap/>
            <w:vAlign w:val="bottom"/>
            <w:hideMark/>
          </w:tcPr>
          <w:p w14:paraId="06B203CF" w14:textId="5F830356" w:rsidR="00095CCF" w:rsidRPr="00095CCF" w:rsidRDefault="00B60117"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Earnings</w:t>
            </w:r>
            <w:r w:rsidR="00095CCF" w:rsidRPr="00095CCF">
              <w:rPr>
                <w:rFonts w:ascii="Arial" w:eastAsia="Times New Roman" w:hAnsi="Arial" w:cs="Arial"/>
                <w:color w:val="000000"/>
                <w:lang w:eastAsia="en-GB"/>
              </w:rPr>
              <w:t xml:space="preserve"> per ordinary share</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7648C51B"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-3.57</w:t>
            </w:r>
          </w:p>
        </w:tc>
        <w:tc>
          <w:tcPr>
            <w:tcW w:w="1820" w:type="dxa"/>
            <w:tcBorders>
              <w:top w:val="nil"/>
              <w:left w:val="nil"/>
              <w:bottom w:val="single" w:sz="4" w:space="0" w:color="auto"/>
              <w:right w:val="single" w:sz="8" w:space="0" w:color="auto"/>
            </w:tcBorders>
            <w:shd w:val="clear" w:color="auto" w:fill="auto"/>
            <w:noWrap/>
            <w:vAlign w:val="bottom"/>
            <w:hideMark/>
          </w:tcPr>
          <w:p w14:paraId="60BEA3C1"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-1.63</w:t>
            </w:r>
          </w:p>
        </w:tc>
        <w:tc>
          <w:tcPr>
            <w:tcW w:w="1820" w:type="dxa"/>
            <w:tcBorders>
              <w:top w:val="nil"/>
              <w:left w:val="nil"/>
              <w:bottom w:val="single" w:sz="4" w:space="0" w:color="auto"/>
              <w:right w:val="single" w:sz="8" w:space="0" w:color="auto"/>
            </w:tcBorders>
            <w:shd w:val="clear" w:color="000000" w:fill="E2EFDA"/>
            <w:noWrap/>
            <w:vAlign w:val="center"/>
            <w:hideMark/>
          </w:tcPr>
          <w:p w14:paraId="0C9D0233"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55%</w:t>
            </w:r>
          </w:p>
        </w:tc>
      </w:tr>
      <w:tr w:rsidR="00095CCF" w:rsidRPr="00095CCF" w14:paraId="7A6AD716" w14:textId="77777777" w:rsidTr="00095CCF">
        <w:trPr>
          <w:trHeight w:val="276"/>
        </w:trPr>
        <w:tc>
          <w:tcPr>
            <w:tcW w:w="3520" w:type="dxa"/>
            <w:tcBorders>
              <w:top w:val="nil"/>
              <w:left w:val="nil"/>
              <w:bottom w:val="nil"/>
              <w:right w:val="nil"/>
            </w:tcBorders>
            <w:shd w:val="clear" w:color="000000" w:fill="E2EFDA"/>
            <w:noWrap/>
            <w:vAlign w:val="bottom"/>
            <w:hideMark/>
          </w:tcPr>
          <w:p w14:paraId="492440CC"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Dividend Cover</w:t>
            </w:r>
          </w:p>
        </w:tc>
        <w:tc>
          <w:tcPr>
            <w:tcW w:w="1820" w:type="dxa"/>
            <w:tcBorders>
              <w:top w:val="nil"/>
              <w:left w:val="single" w:sz="8" w:space="0" w:color="auto"/>
              <w:bottom w:val="single" w:sz="4" w:space="0" w:color="auto"/>
              <w:right w:val="single" w:sz="8" w:space="0" w:color="auto"/>
            </w:tcBorders>
            <w:shd w:val="clear" w:color="auto" w:fill="auto"/>
            <w:noWrap/>
            <w:vAlign w:val="center"/>
            <w:hideMark/>
          </w:tcPr>
          <w:p w14:paraId="0ED6BAA3"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c>
          <w:tcPr>
            <w:tcW w:w="1820" w:type="dxa"/>
            <w:tcBorders>
              <w:top w:val="nil"/>
              <w:left w:val="nil"/>
              <w:bottom w:val="single" w:sz="4" w:space="0" w:color="auto"/>
              <w:right w:val="single" w:sz="8" w:space="0" w:color="auto"/>
            </w:tcBorders>
            <w:shd w:val="clear" w:color="auto" w:fill="auto"/>
            <w:noWrap/>
            <w:vAlign w:val="center"/>
            <w:hideMark/>
          </w:tcPr>
          <w:p w14:paraId="5EC2C19A"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c>
          <w:tcPr>
            <w:tcW w:w="1820" w:type="dxa"/>
            <w:tcBorders>
              <w:top w:val="nil"/>
              <w:left w:val="nil"/>
              <w:bottom w:val="single" w:sz="4" w:space="0" w:color="auto"/>
              <w:right w:val="single" w:sz="8" w:space="0" w:color="auto"/>
            </w:tcBorders>
            <w:shd w:val="clear" w:color="auto" w:fill="auto"/>
            <w:noWrap/>
            <w:vAlign w:val="center"/>
            <w:hideMark/>
          </w:tcPr>
          <w:p w14:paraId="708A083C"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r>
      <w:tr w:rsidR="00095CCF" w:rsidRPr="00095CCF" w14:paraId="314F9AB8" w14:textId="77777777" w:rsidTr="00095CCF">
        <w:trPr>
          <w:trHeight w:val="276"/>
        </w:trPr>
        <w:tc>
          <w:tcPr>
            <w:tcW w:w="3520" w:type="dxa"/>
            <w:tcBorders>
              <w:top w:val="nil"/>
              <w:left w:val="nil"/>
              <w:bottom w:val="nil"/>
              <w:right w:val="nil"/>
            </w:tcBorders>
            <w:shd w:val="clear" w:color="000000" w:fill="E2EFDA"/>
            <w:noWrap/>
            <w:vAlign w:val="bottom"/>
            <w:hideMark/>
          </w:tcPr>
          <w:p w14:paraId="6FCA5968"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Price per Earnings ratio</w:t>
            </w:r>
          </w:p>
        </w:tc>
        <w:tc>
          <w:tcPr>
            <w:tcW w:w="1820" w:type="dxa"/>
            <w:tcBorders>
              <w:top w:val="nil"/>
              <w:left w:val="single" w:sz="8" w:space="0" w:color="auto"/>
              <w:bottom w:val="single" w:sz="4" w:space="0" w:color="auto"/>
              <w:right w:val="single" w:sz="8" w:space="0" w:color="auto"/>
            </w:tcBorders>
            <w:shd w:val="clear" w:color="auto" w:fill="auto"/>
            <w:noWrap/>
            <w:vAlign w:val="bottom"/>
            <w:hideMark/>
          </w:tcPr>
          <w:p w14:paraId="40D4D2B5"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-208</w:t>
            </w:r>
          </w:p>
        </w:tc>
        <w:tc>
          <w:tcPr>
            <w:tcW w:w="1820" w:type="dxa"/>
            <w:tcBorders>
              <w:top w:val="nil"/>
              <w:left w:val="nil"/>
              <w:bottom w:val="single" w:sz="4" w:space="0" w:color="auto"/>
              <w:right w:val="single" w:sz="8" w:space="0" w:color="auto"/>
            </w:tcBorders>
            <w:shd w:val="clear" w:color="auto" w:fill="auto"/>
            <w:noWrap/>
            <w:vAlign w:val="bottom"/>
            <w:hideMark/>
          </w:tcPr>
          <w:p w14:paraId="3FA44132"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-307</w:t>
            </w:r>
          </w:p>
        </w:tc>
        <w:tc>
          <w:tcPr>
            <w:tcW w:w="1820" w:type="dxa"/>
            <w:tcBorders>
              <w:top w:val="nil"/>
              <w:left w:val="nil"/>
              <w:bottom w:val="single" w:sz="4" w:space="0" w:color="auto"/>
              <w:right w:val="single" w:sz="8" w:space="0" w:color="auto"/>
            </w:tcBorders>
            <w:shd w:val="clear" w:color="000000" w:fill="FF0000"/>
            <w:noWrap/>
            <w:vAlign w:val="center"/>
            <w:hideMark/>
          </w:tcPr>
          <w:p w14:paraId="1B65F408"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47%</w:t>
            </w:r>
          </w:p>
        </w:tc>
      </w:tr>
      <w:tr w:rsidR="00095CCF" w:rsidRPr="00095CCF" w14:paraId="05500357" w14:textId="77777777" w:rsidTr="00095CCF">
        <w:trPr>
          <w:trHeight w:val="288"/>
        </w:trPr>
        <w:tc>
          <w:tcPr>
            <w:tcW w:w="3520" w:type="dxa"/>
            <w:tcBorders>
              <w:top w:val="nil"/>
              <w:left w:val="nil"/>
              <w:bottom w:val="nil"/>
              <w:right w:val="nil"/>
            </w:tcBorders>
            <w:shd w:val="clear" w:color="000000" w:fill="E2EFDA"/>
            <w:noWrap/>
            <w:vAlign w:val="bottom"/>
            <w:hideMark/>
          </w:tcPr>
          <w:p w14:paraId="55EF4714" w14:textId="77777777" w:rsidR="00095CCF" w:rsidRPr="00095CCF" w:rsidRDefault="00095CCF" w:rsidP="00095CCF">
            <w:pPr>
              <w:spacing w:after="0" w:line="240" w:lineRule="auto"/>
              <w:rPr>
                <w:rFonts w:ascii="Arial" w:eastAsia="Times New Roman" w:hAnsi="Arial" w:cs="Arial"/>
                <w:color w:val="000000"/>
                <w:lang w:eastAsia="en-GB"/>
              </w:rPr>
            </w:pPr>
            <w:r w:rsidRPr="00095CCF">
              <w:rPr>
                <w:rFonts w:ascii="Arial" w:eastAsia="Times New Roman" w:hAnsi="Arial" w:cs="Arial"/>
                <w:color w:val="000000"/>
                <w:lang w:eastAsia="en-GB"/>
              </w:rPr>
              <w:t>Dividend yield ratio</w:t>
            </w:r>
          </w:p>
        </w:tc>
        <w:tc>
          <w:tcPr>
            <w:tcW w:w="1820" w:type="dxa"/>
            <w:tcBorders>
              <w:top w:val="nil"/>
              <w:left w:val="single" w:sz="8" w:space="0" w:color="auto"/>
              <w:bottom w:val="single" w:sz="4" w:space="0" w:color="auto"/>
              <w:right w:val="single" w:sz="8" w:space="0" w:color="auto"/>
            </w:tcBorders>
            <w:shd w:val="clear" w:color="auto" w:fill="auto"/>
            <w:noWrap/>
            <w:vAlign w:val="center"/>
            <w:hideMark/>
          </w:tcPr>
          <w:p w14:paraId="5786B9FC"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c>
          <w:tcPr>
            <w:tcW w:w="1820" w:type="dxa"/>
            <w:tcBorders>
              <w:top w:val="nil"/>
              <w:left w:val="nil"/>
              <w:bottom w:val="single" w:sz="8" w:space="0" w:color="auto"/>
              <w:right w:val="single" w:sz="8" w:space="0" w:color="auto"/>
            </w:tcBorders>
            <w:shd w:val="clear" w:color="000000" w:fill="FFFFFF"/>
            <w:noWrap/>
            <w:vAlign w:val="bottom"/>
            <w:hideMark/>
          </w:tcPr>
          <w:p w14:paraId="6699CBB7"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c>
          <w:tcPr>
            <w:tcW w:w="1820" w:type="dxa"/>
            <w:tcBorders>
              <w:top w:val="nil"/>
              <w:left w:val="nil"/>
              <w:bottom w:val="single" w:sz="8" w:space="0" w:color="auto"/>
              <w:right w:val="single" w:sz="8" w:space="0" w:color="auto"/>
            </w:tcBorders>
            <w:shd w:val="clear" w:color="auto" w:fill="auto"/>
            <w:noWrap/>
            <w:vAlign w:val="center"/>
            <w:hideMark/>
          </w:tcPr>
          <w:p w14:paraId="35291D26" w14:textId="77777777" w:rsidR="00095CCF" w:rsidRPr="00095CCF" w:rsidRDefault="00095CCF" w:rsidP="00095CCF">
            <w:pPr>
              <w:spacing w:after="0" w:line="240" w:lineRule="auto"/>
              <w:jc w:val="center"/>
              <w:rPr>
                <w:rFonts w:ascii="Arial" w:eastAsia="Times New Roman" w:hAnsi="Arial" w:cs="Arial"/>
                <w:color w:val="000000"/>
                <w:lang w:eastAsia="en-GB"/>
              </w:rPr>
            </w:pPr>
            <w:r w:rsidRPr="00095CCF">
              <w:rPr>
                <w:rFonts w:ascii="Arial" w:eastAsia="Times New Roman" w:hAnsi="Arial" w:cs="Arial"/>
                <w:color w:val="000000"/>
                <w:lang w:eastAsia="en-GB"/>
              </w:rPr>
              <w:t>N/A</w:t>
            </w:r>
          </w:p>
        </w:tc>
      </w:tr>
    </w:tbl>
    <w:p w14:paraId="536F9BE0" w14:textId="77777777" w:rsidR="004A1A78" w:rsidRDefault="004A1A78" w:rsidP="004A1A78">
      <w:pPr>
        <w:pStyle w:val="Caption"/>
        <w:jc w:val="center"/>
      </w:pPr>
    </w:p>
    <w:p w14:paraId="7530F3FA" w14:textId="7BBBBFC1" w:rsidR="004A1A78" w:rsidRDefault="004A1A78" w:rsidP="004A1A78">
      <w:pPr>
        <w:pStyle w:val="Caption"/>
        <w:jc w:val="center"/>
      </w:pPr>
      <w:bookmarkStart w:id="6" w:name="_Toc125737699"/>
      <w:r>
        <w:t xml:space="preserve">Figure </w:t>
      </w:r>
      <w:fldSimple w:instr=" SEQ Figure \* ARABIC ">
        <w:r>
          <w:rPr>
            <w:noProof/>
          </w:rPr>
          <w:t>1</w:t>
        </w:r>
      </w:fldSimple>
      <w:r>
        <w:t xml:space="preserve"> - Two-year ratio review of AML, 2020-21</w:t>
      </w:r>
      <w:bookmarkEnd w:id="6"/>
    </w:p>
    <w:p w14:paraId="6CB85814" w14:textId="77777777" w:rsidR="004A1A78" w:rsidRPr="004A1A78" w:rsidRDefault="004A1A78" w:rsidP="004A1A78"/>
    <w:p w14:paraId="469BCBD7" w14:textId="23032816" w:rsidR="005A0715" w:rsidRDefault="005A0715" w:rsidP="005A0715">
      <w:pPr>
        <w:pStyle w:val="Heading2"/>
      </w:pPr>
      <w:bookmarkStart w:id="7" w:name="_Toc125737758"/>
      <w:r>
        <w:t>Financial Ratio</w:t>
      </w:r>
      <w:r w:rsidR="0082555F">
        <w:t xml:space="preserve"> Analysis</w:t>
      </w:r>
      <w:bookmarkEnd w:id="7"/>
    </w:p>
    <w:p w14:paraId="5BD1E260" w14:textId="3F416ED8" w:rsidR="00FD1079" w:rsidRDefault="00FD1079" w:rsidP="00FD1079">
      <w:pPr>
        <w:pStyle w:val="Heading3"/>
      </w:pPr>
      <w:bookmarkStart w:id="8" w:name="_Toc125737759"/>
      <w:r>
        <w:t>Financial Ratio Limitations</w:t>
      </w:r>
      <w:bookmarkEnd w:id="8"/>
    </w:p>
    <w:p w14:paraId="34E9FD5A" w14:textId="2233A2DA" w:rsidR="00FD1079" w:rsidRDefault="00FD1079" w:rsidP="00FD1079">
      <w:r>
        <w:t xml:space="preserve">An analysis by </w:t>
      </w:r>
      <w:sdt>
        <w:sdtPr>
          <w:id w:val="-979380493"/>
          <w:citation/>
        </w:sdtPr>
        <w:sdtEndPr/>
        <w:sdtContent>
          <w:r>
            <w:fldChar w:fldCharType="begin"/>
          </w:r>
          <w:r w:rsidR="0097558A">
            <w:instrText xml:space="preserve">CITATION Gad \l 2057 </w:instrText>
          </w:r>
          <w:r>
            <w:fldChar w:fldCharType="separate"/>
          </w:r>
          <w:r w:rsidR="002B549D" w:rsidRPr="002B549D">
            <w:rPr>
              <w:noProof/>
            </w:rPr>
            <w:t>(Gadoiu, 2013)</w:t>
          </w:r>
          <w:r>
            <w:fldChar w:fldCharType="end"/>
          </w:r>
        </w:sdtContent>
      </w:sdt>
      <w:r w:rsidR="0097558A">
        <w:t xml:space="preserve"> highlights several reasons why </w:t>
      </w:r>
      <w:r w:rsidR="008C501D">
        <w:t xml:space="preserve">financial </w:t>
      </w:r>
      <w:r w:rsidR="0097558A">
        <w:t xml:space="preserve">ratios must </w:t>
      </w:r>
      <w:r w:rsidR="006D44D2">
        <w:t>be scrutinised</w:t>
      </w:r>
      <w:r w:rsidR="0097558A">
        <w:t xml:space="preserve"> carefully with consideration to the wider context of the business and subsequent industry, such as:</w:t>
      </w:r>
    </w:p>
    <w:p w14:paraId="362DB1C5" w14:textId="4CCA6254" w:rsidR="0097558A" w:rsidRDefault="0097558A" w:rsidP="0097558A">
      <w:pPr>
        <w:pStyle w:val="ListParagraph"/>
        <w:numPr>
          <w:ilvl w:val="0"/>
          <w:numId w:val="1"/>
        </w:numPr>
      </w:pPr>
      <w:r>
        <w:t>Inflation may distort reported financial data.</w:t>
      </w:r>
    </w:p>
    <w:p w14:paraId="74FD2E95" w14:textId="53E5105D" w:rsidR="0097558A" w:rsidRDefault="0097558A" w:rsidP="0097558A">
      <w:pPr>
        <w:pStyle w:val="ListParagraph"/>
        <w:numPr>
          <w:ilvl w:val="0"/>
          <w:numId w:val="1"/>
        </w:numPr>
      </w:pPr>
      <w:r>
        <w:lastRenderedPageBreak/>
        <w:t xml:space="preserve">The information is historic in nature </w:t>
      </w:r>
      <w:r w:rsidR="00DF66AF">
        <w:t>that</w:t>
      </w:r>
      <w:r>
        <w:t xml:space="preserve"> it is a review of past financial activity, therefore may not reflect a current or future state.</w:t>
      </w:r>
    </w:p>
    <w:p w14:paraId="7C7B9D59" w14:textId="7AB2C5B8" w:rsidR="0097558A" w:rsidRDefault="0097558A" w:rsidP="0097558A">
      <w:pPr>
        <w:pStyle w:val="ListParagraph"/>
        <w:numPr>
          <w:ilvl w:val="0"/>
          <w:numId w:val="1"/>
        </w:numPr>
      </w:pPr>
      <w:r>
        <w:t>They are subject to manipulation.</w:t>
      </w:r>
    </w:p>
    <w:p w14:paraId="7CC6F488" w14:textId="18E740EF" w:rsidR="0097558A" w:rsidRDefault="0097558A" w:rsidP="0097558A">
      <w:pPr>
        <w:pStyle w:val="ListParagraph"/>
        <w:numPr>
          <w:ilvl w:val="0"/>
          <w:numId w:val="1"/>
        </w:numPr>
      </w:pPr>
      <w:r>
        <w:t>They can contain data that is often subjective in nature and may differ depending on who is utilising them and for what purpose.</w:t>
      </w:r>
    </w:p>
    <w:p w14:paraId="47CD7874" w14:textId="0B2B0CD5" w:rsidR="0097558A" w:rsidRDefault="0097558A" w:rsidP="0097558A">
      <w:pPr>
        <w:pStyle w:val="ListParagraph"/>
        <w:numPr>
          <w:ilvl w:val="0"/>
          <w:numId w:val="1"/>
        </w:numPr>
      </w:pPr>
      <w:r>
        <w:t>There may be different standards on what “good” and “bad” look like across companies and industries, therefore a high ratio for one may be positive indicator and a negative indicator for another.</w:t>
      </w:r>
    </w:p>
    <w:p w14:paraId="0D25B809" w14:textId="03829BBD" w:rsidR="0097558A" w:rsidRDefault="0097558A" w:rsidP="0097558A">
      <w:pPr>
        <w:pStyle w:val="ListParagraph"/>
        <w:numPr>
          <w:ilvl w:val="0"/>
          <w:numId w:val="1"/>
        </w:numPr>
      </w:pPr>
      <w:r>
        <w:t>They cannot account for intangible assets such as brand strength or intellectual properties.</w:t>
      </w:r>
    </w:p>
    <w:p w14:paraId="449D506A" w14:textId="08DA31D8" w:rsidR="0097558A" w:rsidRPr="00FD1079" w:rsidRDefault="0097558A" w:rsidP="0097558A">
      <w:r>
        <w:t>Nevertheless, they can be used as a powerful tool when combined with wider knowledge and understanding of a business and the industry in which it operates.</w:t>
      </w:r>
    </w:p>
    <w:p w14:paraId="2E953F87" w14:textId="36F32014" w:rsidR="00FD1079" w:rsidRDefault="00191501" w:rsidP="00083947">
      <w:bookmarkStart w:id="9" w:name="_Toc125737760"/>
      <w:r w:rsidRPr="005A0715">
        <w:rPr>
          <w:rStyle w:val="Heading3Char"/>
        </w:rPr>
        <w:t>Profitability Ratios</w:t>
      </w:r>
      <w:bookmarkEnd w:id="9"/>
    </w:p>
    <w:p w14:paraId="7F372594" w14:textId="6B1DE6A6" w:rsidR="00191501" w:rsidRDefault="00FD1079" w:rsidP="00083947">
      <w:r>
        <w:t xml:space="preserve"> </w:t>
      </w:r>
      <w:r w:rsidR="00654AC1">
        <w:t xml:space="preserve">Described by </w:t>
      </w:r>
      <w:sdt>
        <w:sdtPr>
          <w:id w:val="-722288061"/>
          <w:citation/>
        </w:sdtPr>
        <w:sdtEndPr/>
        <w:sdtContent>
          <w:r w:rsidR="00654AC1">
            <w:fldChar w:fldCharType="begin"/>
          </w:r>
          <w:r w:rsidR="00654AC1">
            <w:instrText xml:space="preserve">CITATION Atr95 \l 2057 </w:instrText>
          </w:r>
          <w:r w:rsidR="00654AC1">
            <w:fldChar w:fldCharType="separate"/>
          </w:r>
          <w:r w:rsidR="002B549D" w:rsidRPr="002B549D">
            <w:rPr>
              <w:noProof/>
            </w:rPr>
            <w:t>(Atrill &amp; McLaney, 2017)</w:t>
          </w:r>
          <w:r w:rsidR="00654AC1">
            <w:fldChar w:fldCharType="end"/>
          </w:r>
        </w:sdtContent>
      </w:sdt>
      <w:r w:rsidR="00654AC1">
        <w:t xml:space="preserve"> as a good tool to give an indication of a company’s ability to create wealth for its owners/investors, they are m</w:t>
      </w:r>
      <w:r w:rsidR="0078526E">
        <w:t>ade up of two types of ratio, “margin” and return”,</w:t>
      </w:r>
      <w:r w:rsidR="00654AC1">
        <w:t xml:space="preserve"> and </w:t>
      </w:r>
      <w:r w:rsidR="0078526E">
        <w:t xml:space="preserve">are used to show whether a company is effective at converting sales into profitability whilst displaying its </w:t>
      </w:r>
      <w:r w:rsidR="00F01890">
        <w:t xml:space="preserve">value to its </w:t>
      </w:r>
      <w:r w:rsidR="0078526E">
        <w:t>shareholder</w:t>
      </w:r>
      <w:r w:rsidR="00F01890">
        <w:t>s</w:t>
      </w:r>
      <w:r w:rsidR="0078526E">
        <w:t>, respectively.</w:t>
      </w:r>
      <w:r w:rsidR="00F01890">
        <w:t xml:space="preserve"> AML s</w:t>
      </w:r>
      <w:r w:rsidR="001204A0">
        <w:t>aw</w:t>
      </w:r>
      <w:r w:rsidR="00F01890">
        <w:t xml:space="preserve"> strong 2021 results across all metrics in comparison with 2020, with each ratio showing a positive variance increase. </w:t>
      </w:r>
    </w:p>
    <w:p w14:paraId="29AF2C9A" w14:textId="6E8B0619" w:rsidR="00CF1045" w:rsidRDefault="008F6A6E" w:rsidP="00083947">
      <w:r>
        <w:t xml:space="preserve">The increased gross profit margin of 13%, as per the annual report can be somewhat attributed to the increased efficiencies in operational activities that led to a </w:t>
      </w:r>
      <w:r w:rsidR="00CF1045">
        <w:t>c.20% reduction in manufacturing costs</w:t>
      </w:r>
      <w:r w:rsidR="00937760">
        <w:t xml:space="preserve"> through Project Horizon</w:t>
      </w:r>
      <w:r w:rsidR="0009678E">
        <w:t>. This coupled with improved sales revenue from £600m to £1.1b that w</w:t>
      </w:r>
      <w:r w:rsidR="00645E73">
        <w:t>as</w:t>
      </w:r>
      <w:r w:rsidR="0009678E">
        <w:t xml:space="preserve"> driven by an 82% increase in wholesales from 2020 following the return to normal operations from Covid -19 (12% growth on pre-covid sales in 2019)</w:t>
      </w:r>
      <w:r w:rsidR="00937760">
        <w:t xml:space="preserve"> and increased core ASP of £150,000 (£136k 2020, £133k 2019)</w:t>
      </w:r>
      <w:r w:rsidR="00CF1045">
        <w:t xml:space="preserve"> </w:t>
      </w:r>
      <w:sdt>
        <w:sdtPr>
          <w:id w:val="-1404139329"/>
          <w:citation/>
        </w:sdtPr>
        <w:sdtEndPr/>
        <w:sdtContent>
          <w:r w:rsidR="00CF1045">
            <w:fldChar w:fldCharType="begin"/>
          </w:r>
          <w:r w:rsidR="00CF1045">
            <w:instrText xml:space="preserve"> CITATION Ast21 \l 2057 </w:instrText>
          </w:r>
          <w:r w:rsidR="00CF1045">
            <w:fldChar w:fldCharType="separate"/>
          </w:r>
          <w:r w:rsidR="002B549D" w:rsidRPr="002B549D">
            <w:rPr>
              <w:noProof/>
            </w:rPr>
            <w:t>(Aston Martin Lagonda, 2021)</w:t>
          </w:r>
          <w:r w:rsidR="00CF1045">
            <w:fldChar w:fldCharType="end"/>
          </w:r>
        </w:sdtContent>
      </w:sdt>
      <w:r w:rsidR="0009678E">
        <w:t xml:space="preserve">. </w:t>
      </w:r>
    </w:p>
    <w:p w14:paraId="1344CC84" w14:textId="0E251AB1" w:rsidR="008F6A6E" w:rsidRDefault="001D5564" w:rsidP="00083947">
      <w:r>
        <w:t>A n</w:t>
      </w:r>
      <w:r w:rsidR="00CF1045">
        <w:t xml:space="preserve">et profit margin increase of 22% is an excellent indicator of the company’s </w:t>
      </w:r>
      <w:r>
        <w:t>annual</w:t>
      </w:r>
      <w:r w:rsidR="00CF1045">
        <w:t xml:space="preserve"> performance as it </w:t>
      </w:r>
      <w:r w:rsidR="00FE7C0B">
        <w:t>considers</w:t>
      </w:r>
      <w:r w:rsidR="00CF1045">
        <w:t xml:space="preserve"> all income and expenses associated with the business </w:t>
      </w:r>
      <w:sdt>
        <w:sdtPr>
          <w:id w:val="-756364319"/>
          <w:citation/>
        </w:sdtPr>
        <w:sdtEndPr/>
        <w:sdtContent>
          <w:r w:rsidR="00CF1045">
            <w:fldChar w:fldCharType="begin"/>
          </w:r>
          <w:r w:rsidR="00CF1045">
            <w:instrText xml:space="preserve"> CITATION Tre22 \l 2057 </w:instrText>
          </w:r>
          <w:r w:rsidR="00CF1045">
            <w:fldChar w:fldCharType="separate"/>
          </w:r>
          <w:r w:rsidR="002B549D" w:rsidRPr="002B549D">
            <w:rPr>
              <w:noProof/>
            </w:rPr>
            <w:t>(Treece, D, 2022)</w:t>
          </w:r>
          <w:r w:rsidR="00CF1045">
            <w:fldChar w:fldCharType="end"/>
          </w:r>
        </w:sdtContent>
      </w:sdt>
      <w:r w:rsidR="00CF1045">
        <w:t xml:space="preserve">. However, </w:t>
      </w:r>
      <w:r w:rsidR="007206F6">
        <w:t>as this metric encompasses associated costs</w:t>
      </w:r>
      <w:r w:rsidR="00B61A4C">
        <w:t>,</w:t>
      </w:r>
      <w:r w:rsidR="007206F6">
        <w:t xml:space="preserve"> that means it </w:t>
      </w:r>
      <w:r w:rsidR="00A521B9">
        <w:t>considers</w:t>
      </w:r>
      <w:r w:rsidR="007206F6">
        <w:t xml:space="preserve"> one-time occurrences, for example the £14m </w:t>
      </w:r>
      <w:r w:rsidR="00FE7C0B">
        <w:t xml:space="preserve">benefit from exchange rate movements in 2021, that are not necessarily reflective of the company’s performance </w:t>
      </w:r>
      <w:sdt>
        <w:sdtPr>
          <w:id w:val="-1439131721"/>
          <w:citation/>
        </w:sdtPr>
        <w:sdtEndPr/>
        <w:sdtContent>
          <w:r w:rsidR="00FE7C0B">
            <w:fldChar w:fldCharType="begin"/>
          </w:r>
          <w:r w:rsidR="00FE7C0B">
            <w:instrText xml:space="preserve"> CITATION Ast21 \l 2057 </w:instrText>
          </w:r>
          <w:r w:rsidR="00FE7C0B">
            <w:fldChar w:fldCharType="separate"/>
          </w:r>
          <w:r w:rsidR="002B549D" w:rsidRPr="002B549D">
            <w:rPr>
              <w:noProof/>
            </w:rPr>
            <w:t>(Aston Martin Lagonda, 2021)</w:t>
          </w:r>
          <w:r w:rsidR="00FE7C0B">
            <w:fldChar w:fldCharType="end"/>
          </w:r>
        </w:sdtContent>
      </w:sdt>
      <w:r w:rsidR="00FE7C0B">
        <w:t>.</w:t>
      </w:r>
    </w:p>
    <w:p w14:paraId="4020A407" w14:textId="77777777" w:rsidR="00ED7402" w:rsidRDefault="00191501" w:rsidP="00687589">
      <w:pPr>
        <w:rPr>
          <w:rStyle w:val="Heading3Char"/>
        </w:rPr>
      </w:pPr>
      <w:bookmarkStart w:id="10" w:name="_Toc125737761"/>
      <w:r w:rsidRPr="005A0715">
        <w:rPr>
          <w:rStyle w:val="Heading3Char"/>
        </w:rPr>
        <w:t>Liquidity Ratios</w:t>
      </w:r>
      <w:bookmarkEnd w:id="10"/>
    </w:p>
    <w:p w14:paraId="3B18FF86" w14:textId="0F05910C" w:rsidR="00687589" w:rsidRDefault="00FD1079" w:rsidP="00687589">
      <w:r>
        <w:t xml:space="preserve"> </w:t>
      </w:r>
      <w:r w:rsidR="009E4F8E">
        <w:t xml:space="preserve">These ratios are used as an indicator for a </w:t>
      </w:r>
      <w:r w:rsidR="00551148">
        <w:t>business’s</w:t>
      </w:r>
      <w:r w:rsidR="009E4F8E">
        <w:t xml:space="preserve"> ability</w:t>
      </w:r>
      <w:r w:rsidR="005120CC">
        <w:t xml:space="preserve"> </w:t>
      </w:r>
      <w:r w:rsidR="009E4F8E">
        <w:t xml:space="preserve">to be able to pay off short term debt </w:t>
      </w:r>
      <w:sdt>
        <w:sdtPr>
          <w:id w:val="1272432917"/>
          <w:citation/>
        </w:sdtPr>
        <w:sdtEndPr/>
        <w:sdtContent>
          <w:r w:rsidR="009E4F8E">
            <w:fldChar w:fldCharType="begin"/>
          </w:r>
          <w:r w:rsidR="009E4F8E">
            <w:instrText xml:space="preserve"> CITATION Nov23 \l 2057 </w:instrText>
          </w:r>
          <w:r w:rsidR="009E4F8E">
            <w:fldChar w:fldCharType="separate"/>
          </w:r>
          <w:r w:rsidR="002B549D" w:rsidRPr="002B549D">
            <w:rPr>
              <w:noProof/>
            </w:rPr>
            <w:t>(Novuna, 2023)</w:t>
          </w:r>
          <w:r w:rsidR="009E4F8E">
            <w:fldChar w:fldCharType="end"/>
          </w:r>
        </w:sdtContent>
      </w:sdt>
      <w:r w:rsidR="009E4F8E">
        <w:t xml:space="preserve">. They show a balance between a </w:t>
      </w:r>
      <w:r w:rsidR="00551148">
        <w:t>company’s</w:t>
      </w:r>
      <w:r w:rsidR="009E4F8E">
        <w:t xml:space="preserve"> assets and liabilities and are derived from the information contained with</w:t>
      </w:r>
      <w:r w:rsidR="00551148">
        <w:t>in the</w:t>
      </w:r>
      <w:r w:rsidR="009E4F8E">
        <w:t xml:space="preserve"> </w:t>
      </w:r>
      <w:r w:rsidR="00551148">
        <w:t>balance sheet. There are several different liquidity ratios that can be used during analysis, for this report however we will focus on Current Ratio, Quick (or Acid Test Ratio) and Cash ratio. Eac</w:t>
      </w:r>
      <w:r w:rsidR="00B6425A">
        <w:t>h</w:t>
      </w:r>
      <w:r w:rsidR="00551148">
        <w:t xml:space="preserve"> can be considered a more conservative representation than its predecessor, and this is due to the information they each consider. For example, Current ratio looks at all current assets and liabilities, even those that may be difficult or slow to turn into cash if needed to pay off debtors. A typical good score for a current ratio is 1.3-1.4. Quick or Acid test ratio consider all assets less </w:t>
      </w:r>
      <w:r w:rsidR="00551148">
        <w:lastRenderedPageBreak/>
        <w:t>stock, as</w:t>
      </w:r>
      <w:r w:rsidR="00B6425A">
        <w:t xml:space="preserve"> it is reasonable to say that stock is not an asset until it is sold. A good score would typically lower, between 0.8 and 0.9. Finally, the Cash Ratio is the more stringent of the three as it purely considered the availability of cash or cash equivalents to cover current liabilities. A good Cash Ratio score could range between 0.5 and 0.8. There are benefits and limitations to each, for example Current Ratios consider assets that may be difficult to liquidate whilst Cash ratios may neglect most of the companies’ current assets. The type of analysis required is very much subjective to those carrying out the analysis and for what reasons.</w:t>
      </w:r>
      <w:r w:rsidR="00937760">
        <w:t xml:space="preserve"> </w:t>
      </w:r>
    </w:p>
    <w:p w14:paraId="056E8CCA" w14:textId="7666ED57" w:rsidR="00937760" w:rsidRDefault="00937760" w:rsidP="00687589">
      <w:r>
        <w:t xml:space="preserve">The 14% decrease in the Current Ratio to 0.96 is a result of </w:t>
      </w:r>
      <w:r w:rsidR="00D211F9">
        <w:t>reduced inventories and cash/cash equivalents and an increase of trade and other payables.</w:t>
      </w:r>
    </w:p>
    <w:p w14:paraId="65AC1AF0" w14:textId="2B25372C" w:rsidR="00D211F9" w:rsidRDefault="00D211F9" w:rsidP="00687589">
      <w:r>
        <w:rPr>
          <w:noProof/>
        </w:rPr>
        <w:drawing>
          <wp:inline distT="0" distB="0" distL="0" distR="0" wp14:anchorId="5FAD296C" wp14:editId="3EBB1BC5">
            <wp:extent cx="5943600" cy="12217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221740"/>
                    </a:xfrm>
                    <a:prstGeom prst="rect">
                      <a:avLst/>
                    </a:prstGeom>
                  </pic:spPr>
                </pic:pic>
              </a:graphicData>
            </a:graphic>
          </wp:inline>
        </w:drawing>
      </w:r>
    </w:p>
    <w:p w14:paraId="4DC26E52" w14:textId="357D8AB1" w:rsidR="00D211F9" w:rsidRDefault="00D211F9" w:rsidP="00D211F9">
      <w:pPr>
        <w:pStyle w:val="Caption"/>
        <w:jc w:val="center"/>
      </w:pPr>
      <w:bookmarkStart w:id="11" w:name="_Toc125667750"/>
      <w:bookmarkStart w:id="12" w:name="_Toc125737700"/>
      <w:r>
        <w:t xml:space="preserve">Figure </w:t>
      </w:r>
      <w:fldSimple w:instr=" SEQ Figure \* ARABIC ">
        <w:r w:rsidR="004A1A78">
          <w:rPr>
            <w:noProof/>
          </w:rPr>
          <w:t>2</w:t>
        </w:r>
      </w:fldSimple>
      <w:r>
        <w:t xml:space="preserve"> - Composite of trade and Other Payables </w:t>
      </w:r>
      <w:sdt>
        <w:sdtPr>
          <w:id w:val="1629590031"/>
          <w:citation/>
        </w:sdtPr>
        <w:sdtEndPr/>
        <w:sdtContent>
          <w:r>
            <w:fldChar w:fldCharType="begin"/>
          </w:r>
          <w:r>
            <w:instrText xml:space="preserve"> CITATION Ast211 \l 2057 </w:instrText>
          </w:r>
          <w:r>
            <w:fldChar w:fldCharType="separate"/>
          </w:r>
          <w:r w:rsidR="002B549D" w:rsidRPr="002B549D">
            <w:rPr>
              <w:noProof/>
            </w:rPr>
            <w:t>(Aston Martin Lagonda, 2021)</w:t>
          </w:r>
          <w:r>
            <w:fldChar w:fldCharType="end"/>
          </w:r>
        </w:sdtContent>
      </w:sdt>
      <w:bookmarkEnd w:id="11"/>
      <w:bookmarkEnd w:id="12"/>
    </w:p>
    <w:p w14:paraId="74A2DA3A" w14:textId="77777777" w:rsidR="00FD1079" w:rsidRDefault="00191501" w:rsidP="00687589">
      <w:bookmarkStart w:id="13" w:name="_Toc125737762"/>
      <w:r w:rsidRPr="005A0715">
        <w:rPr>
          <w:rStyle w:val="Heading3Char"/>
        </w:rPr>
        <w:t>Activity Ratios</w:t>
      </w:r>
      <w:bookmarkEnd w:id="13"/>
      <w:r>
        <w:t xml:space="preserve"> </w:t>
      </w:r>
    </w:p>
    <w:p w14:paraId="43C03041" w14:textId="386963D9" w:rsidR="00687589" w:rsidRDefault="005E1BEE" w:rsidP="00687589">
      <w:r>
        <w:t xml:space="preserve"> </w:t>
      </w:r>
      <w:r w:rsidR="00167431">
        <w:t xml:space="preserve">These ratios are used to help evaluate the rate at which a company is turning over its assets and liabilities, to essentially showcase its ability to generate revenue through its current assets over </w:t>
      </w:r>
      <w:r w:rsidR="00DF66AF">
        <w:t>a period</w:t>
      </w:r>
      <w:r w:rsidR="00167431">
        <w:t xml:space="preserve"> </w:t>
      </w:r>
      <w:sdt>
        <w:sdtPr>
          <w:id w:val="-478384906"/>
          <w:citation/>
        </w:sdtPr>
        <w:sdtEndPr/>
        <w:sdtContent>
          <w:r w:rsidR="00167431">
            <w:fldChar w:fldCharType="begin"/>
          </w:r>
          <w:r w:rsidR="00167431">
            <w:instrText xml:space="preserve"> CITATION Bra23 \l 2057 </w:instrText>
          </w:r>
          <w:r w:rsidR="00167431">
            <w:fldChar w:fldCharType="separate"/>
          </w:r>
          <w:r w:rsidR="002B549D" w:rsidRPr="002B549D">
            <w:rPr>
              <w:noProof/>
            </w:rPr>
            <w:t>(Brashear, 2023)</w:t>
          </w:r>
          <w:r w:rsidR="00167431">
            <w:fldChar w:fldCharType="end"/>
          </w:r>
        </w:sdtContent>
      </w:sdt>
      <w:r w:rsidR="00167431">
        <w:t>.</w:t>
      </w:r>
    </w:p>
    <w:p w14:paraId="577F06C3" w14:textId="30EECF2E" w:rsidR="00937760" w:rsidRDefault="00B61A4C" w:rsidP="00191501">
      <w:r>
        <w:t>The percentage increase in the DSO, Inventory turnover and DPO by 2</w:t>
      </w:r>
      <w:r w:rsidR="004D2810">
        <w:t>6</w:t>
      </w:r>
      <w:r>
        <w:t xml:space="preserve">%, </w:t>
      </w:r>
      <w:r w:rsidR="004D2810">
        <w:t>92</w:t>
      </w:r>
      <w:r w:rsidR="00787644">
        <w:t>%</w:t>
      </w:r>
      <w:r>
        <w:t xml:space="preserve"> and 17% </w:t>
      </w:r>
      <w:r w:rsidR="003103B7">
        <w:t xml:space="preserve">respectively, </w:t>
      </w:r>
      <w:r>
        <w:t xml:space="preserve">tells us that not only </w:t>
      </w:r>
      <w:r w:rsidR="003103B7">
        <w:t xml:space="preserve">is the business collecting its cash from sales more quickly, but it is also paying its debt in a prompter fashion. </w:t>
      </w:r>
      <w:sdt>
        <w:sdtPr>
          <w:id w:val="-516073181"/>
          <w:citation/>
        </w:sdtPr>
        <w:sdtEndPr/>
        <w:sdtContent>
          <w:r w:rsidR="00787644">
            <w:fldChar w:fldCharType="begin"/>
          </w:r>
          <w:r w:rsidR="00787644">
            <w:instrText xml:space="preserve"> CITATION Dwy18 \l 2057 </w:instrText>
          </w:r>
          <w:r w:rsidR="00787644">
            <w:fldChar w:fldCharType="separate"/>
          </w:r>
          <w:r w:rsidR="002B549D" w:rsidRPr="002B549D">
            <w:rPr>
              <w:noProof/>
            </w:rPr>
            <w:t>(Dwyer, G, 2018)</w:t>
          </w:r>
          <w:r w:rsidR="00787644">
            <w:fldChar w:fldCharType="end"/>
          </w:r>
        </w:sdtContent>
      </w:sdt>
      <w:r w:rsidR="00787644">
        <w:t xml:space="preserve"> </w:t>
      </w:r>
      <w:r w:rsidR="007339DB">
        <w:t>would suggest an improvement in these results (DSO 81 days, DPO 350 days) indicate a good level of cash flow</w:t>
      </w:r>
      <w:r w:rsidR="003103B7">
        <w:t>, which could be a result contributed to by the increased inventory turnover rate</w:t>
      </w:r>
      <w:r w:rsidR="00371909">
        <w:t xml:space="preserve"> (81 days)</w:t>
      </w:r>
      <w:r w:rsidR="003103B7">
        <w:t xml:space="preserve">. </w:t>
      </w:r>
      <w:r w:rsidR="003103B7" w:rsidRPr="0099569A">
        <w:t>It is worth noting however that</w:t>
      </w:r>
      <w:r w:rsidR="00654AC1" w:rsidRPr="0099569A">
        <w:t xml:space="preserve"> </w:t>
      </w:r>
      <w:r w:rsidR="00787644" w:rsidRPr="0099569A">
        <w:t>with</w:t>
      </w:r>
      <w:r w:rsidR="00654AC1" w:rsidRPr="0099569A">
        <w:t xml:space="preserve"> reference to inventory turnover, it is likely there would be a significant increase in this figure compared to 2020 when you </w:t>
      </w:r>
      <w:r w:rsidR="00787644" w:rsidRPr="0099569A">
        <w:t>consider</w:t>
      </w:r>
      <w:r w:rsidR="00654AC1" w:rsidRPr="0099569A">
        <w:t xml:space="preserve"> the effect of Covid</w:t>
      </w:r>
      <w:r w:rsidR="00787644" w:rsidRPr="0099569A">
        <w:t>-19</w:t>
      </w:r>
      <w:r w:rsidR="00654AC1" w:rsidRPr="0099569A">
        <w:t xml:space="preserve"> on sales and distribution.</w:t>
      </w:r>
    </w:p>
    <w:p w14:paraId="3D9DDD16" w14:textId="77777777" w:rsidR="00FD1079" w:rsidRDefault="00624EFC" w:rsidP="00687589">
      <w:bookmarkStart w:id="14" w:name="_Toc125737763"/>
      <w:r w:rsidRPr="005A0715">
        <w:rPr>
          <w:rStyle w:val="Heading3Char"/>
        </w:rPr>
        <w:t>Leverage Ratios</w:t>
      </w:r>
      <w:bookmarkEnd w:id="14"/>
      <w:r>
        <w:t xml:space="preserve"> </w:t>
      </w:r>
    </w:p>
    <w:p w14:paraId="744B6CA5" w14:textId="15FEF2A6" w:rsidR="00687589" w:rsidRDefault="005E1BEE" w:rsidP="00687589">
      <w:r>
        <w:t xml:space="preserve"> </w:t>
      </w:r>
      <w:r w:rsidR="002105D1">
        <w:t xml:space="preserve">When reviewing a business’ financial health, it is important to understand its ability to manage, cover and leverage debt. </w:t>
      </w:r>
      <w:r w:rsidR="00E74A49">
        <w:t xml:space="preserve">Debt in many cases is considered </w:t>
      </w:r>
      <w:r w:rsidR="000A0219">
        <w:t xml:space="preserve">a </w:t>
      </w:r>
      <w:r w:rsidR="00E74A49">
        <w:t>positive strategy for generating funds to use</w:t>
      </w:r>
      <w:r w:rsidR="004C73DF">
        <w:t xml:space="preserve"> for</w:t>
      </w:r>
      <w:r w:rsidR="00E74A49">
        <w:t xml:space="preserve"> </w:t>
      </w:r>
      <w:r w:rsidR="004C73DF">
        <w:t xml:space="preserve">its operations and </w:t>
      </w:r>
      <w:r w:rsidR="00E74A49">
        <w:t xml:space="preserve">for business investment and expansion through capital. There are two important considerations a company must make however before taking on debt as discussed by </w:t>
      </w:r>
      <w:sdt>
        <w:sdtPr>
          <w:id w:val="-412084748"/>
          <w:citation/>
        </w:sdtPr>
        <w:sdtEndPr/>
        <w:sdtContent>
          <w:r w:rsidR="00E74A49">
            <w:fldChar w:fldCharType="begin"/>
          </w:r>
          <w:r w:rsidR="00E0150F">
            <w:instrText xml:space="preserve">CITATION Fie162 \l 2057 </w:instrText>
          </w:r>
          <w:r w:rsidR="00E74A49">
            <w:fldChar w:fldCharType="separate"/>
          </w:r>
          <w:r w:rsidR="002B549D" w:rsidRPr="002B549D">
            <w:rPr>
              <w:noProof/>
            </w:rPr>
            <w:t>(Fields, 2016)</w:t>
          </w:r>
          <w:r w:rsidR="00E74A49">
            <w:fldChar w:fldCharType="end"/>
          </w:r>
        </w:sdtContent>
      </w:sdt>
      <w:r w:rsidR="00E74A49">
        <w:t>, it is able to cover the interest payments and that it starts generating cash flow from the investment before the repayment is due. That is why a debt repayment term is equally as important as the interest rate payable.</w:t>
      </w:r>
      <w:r w:rsidR="00225114">
        <w:t xml:space="preserve"> </w:t>
      </w:r>
      <w:r w:rsidR="000A0219">
        <w:t>Failure to consider these points can lead to financial hardships if for example, revenue falls, or the asset purchased by capital depreciates significantly in value.</w:t>
      </w:r>
    </w:p>
    <w:p w14:paraId="7C727AB4" w14:textId="70E1CAF4" w:rsidR="00225114" w:rsidRDefault="00225114" w:rsidP="00687589">
      <w:r>
        <w:lastRenderedPageBreak/>
        <w:t>Gearing ratios use several financial metrics to assess a compan</w:t>
      </w:r>
      <w:r w:rsidR="000A0219">
        <w:t>y’</w:t>
      </w:r>
      <w:r>
        <w:t xml:space="preserve">s leveraging and financial stability by looking at its shareholder equity vs </w:t>
      </w:r>
      <w:r w:rsidR="004C73DF">
        <w:t xml:space="preserve">its debt. </w:t>
      </w:r>
      <w:r w:rsidR="000A0219">
        <w:t xml:space="preserve">High gearing (&gt;50% typically) indicates a high degree of borrowing within a company whilst anything lower than &lt;25% indicates a low reliance on borrowing. Gearing </w:t>
      </w:r>
      <w:r w:rsidR="004C73DF">
        <w:t xml:space="preserve">can be used to compare the performance of companies compared to industry competitors but are far less effective when comparing companies across industries. </w:t>
      </w:r>
    </w:p>
    <w:p w14:paraId="5B8CF1DE" w14:textId="130BD367" w:rsidR="000C32DC" w:rsidRDefault="00932F6D" w:rsidP="000C32DC">
      <w:r>
        <w:t>Analysis of the Aston Martin leverage ratios shows an improvement in gearing, debt/</w:t>
      </w:r>
      <w:r w:rsidR="00602306">
        <w:t>equity,</w:t>
      </w:r>
      <w:r>
        <w:t xml:space="preserve"> and interest coverage in comparison to 2020 by -23% (down to 37%), -37% (down to 74%) and +352% (up to -42%) respectively. For the same period long term debt/equity increased by 4</w:t>
      </w:r>
      <w:r w:rsidR="00602306">
        <w:t>2</w:t>
      </w:r>
      <w:r>
        <w:t>% (up to 1</w:t>
      </w:r>
      <w:r w:rsidR="00602306">
        <w:t>63</w:t>
      </w:r>
      <w:r>
        <w:t xml:space="preserve">%). These </w:t>
      </w:r>
      <w:r w:rsidR="00667FF9">
        <w:t>results were driven by Aston Martins increase in equity, of which is a contribution of improved revenue and reduced operational costs, and a reduction in non-current liabilities.</w:t>
      </w:r>
      <w:r w:rsidR="00602306">
        <w:t xml:space="preserve"> The </w:t>
      </w:r>
      <w:r w:rsidR="006732CF">
        <w:t>long-term</w:t>
      </w:r>
      <w:r w:rsidR="00602306">
        <w:t xml:space="preserve"> debt/equity rise is a result of an increased interested bearing debt of £100m for the financial period and a £140m reduction in shareholders equity.</w:t>
      </w:r>
      <w:r w:rsidR="005F6D49">
        <w:t xml:space="preserve"> The increased debt may sound alarm bells to those considering Aston Martin as an investment option/partner.</w:t>
      </w:r>
    </w:p>
    <w:p w14:paraId="3BCE3FFA" w14:textId="77777777" w:rsidR="00FD1079" w:rsidRDefault="00624EFC" w:rsidP="00687589">
      <w:bookmarkStart w:id="15" w:name="_Toc125737764"/>
      <w:r w:rsidRPr="005A0715">
        <w:rPr>
          <w:rStyle w:val="Heading3Char"/>
        </w:rPr>
        <w:t>Investor Ratios</w:t>
      </w:r>
      <w:bookmarkEnd w:id="15"/>
      <w:r>
        <w:t xml:space="preserve"> </w:t>
      </w:r>
    </w:p>
    <w:p w14:paraId="53995C4F" w14:textId="6EA48450" w:rsidR="00687589" w:rsidRDefault="005E1BEE" w:rsidP="00687589">
      <w:r>
        <w:t xml:space="preserve"> </w:t>
      </w:r>
      <w:r w:rsidR="00970523">
        <w:t xml:space="preserve">This group of ratios are used to understand the returns and performance from the position of a shareholder of a business’s shares who are not associated with the management of the business in question </w:t>
      </w:r>
      <w:sdt>
        <w:sdtPr>
          <w:id w:val="237915406"/>
          <w:citation/>
        </w:sdtPr>
        <w:sdtEndPr/>
        <w:sdtContent>
          <w:r w:rsidR="00970523">
            <w:fldChar w:fldCharType="begin"/>
          </w:r>
          <w:r w:rsidR="00970523">
            <w:instrText xml:space="preserve"> CITATION Atr17 \l 2057 </w:instrText>
          </w:r>
          <w:r w:rsidR="00970523">
            <w:fldChar w:fldCharType="separate"/>
          </w:r>
          <w:r w:rsidR="002B549D" w:rsidRPr="002B549D">
            <w:rPr>
              <w:noProof/>
            </w:rPr>
            <w:t>(Atrill &amp; McLaney, 2017)</w:t>
          </w:r>
          <w:r w:rsidR="00970523">
            <w:fldChar w:fldCharType="end"/>
          </w:r>
        </w:sdtContent>
      </w:sdt>
      <w:r w:rsidR="00970523">
        <w:t>.</w:t>
      </w:r>
    </w:p>
    <w:p w14:paraId="59C3B456" w14:textId="2A6A9112" w:rsidR="00970523" w:rsidRDefault="00970523" w:rsidP="00687589">
      <w:r>
        <w:t>Earning per ordinary share give a quick representation on what an investor could expect to</w:t>
      </w:r>
      <w:r w:rsidR="00412854">
        <w:t xml:space="preserve"> earn/lose if they were to decide to invest in a business. Typically, a positive return would naturally indicate a good result on their investment. In th</w:t>
      </w:r>
      <w:r w:rsidR="00424AFB">
        <w:t xml:space="preserve">e context of </w:t>
      </w:r>
      <w:r w:rsidR="00CF125D">
        <w:t>Aston Martin,</w:t>
      </w:r>
      <w:r w:rsidR="00424AFB">
        <w:t xml:space="preserve"> a </w:t>
      </w:r>
      <w:r w:rsidR="004D2810">
        <w:t>55</w:t>
      </w:r>
      <w:r w:rsidR="00424AFB">
        <w:t>% change in the EPS from -</w:t>
      </w:r>
      <w:r w:rsidR="00D95AC1">
        <w:t>£</w:t>
      </w:r>
      <w:r w:rsidR="00424AFB">
        <w:t>3.57p to -</w:t>
      </w:r>
      <w:r w:rsidR="00D95AC1">
        <w:t>£</w:t>
      </w:r>
      <w:r w:rsidR="00424AFB">
        <w:t xml:space="preserve">1.63, although remains negative is a significant improvement on the 2020 result and would indicate that the company is trending in the right direction. The dramatic increase can be attributed to the drastic improvement in the </w:t>
      </w:r>
      <w:r w:rsidR="00C169CD">
        <w:t>year-on-year</w:t>
      </w:r>
      <w:r w:rsidR="00424AFB">
        <w:t xml:space="preserve"> net loss which has climbed from -£411m to -£189m, supported by the increased revenue and reduced operational costs. Caution should be considered when using this metric as a </w:t>
      </w:r>
      <w:r w:rsidR="00C169CD">
        <w:t>stand-alone</w:t>
      </w:r>
      <w:r w:rsidR="00424AFB">
        <w:t xml:space="preserve"> assessment tool as the impact of Covid-19 would have obviously skewed the year performance when you consider lack of demand and distribution challenges.</w:t>
      </w:r>
      <w:r w:rsidR="00C169CD">
        <w:t xml:space="preserve"> In comparison to 2019 results the EPS decreased from -</w:t>
      </w:r>
      <w:r w:rsidR="00D95AC1">
        <w:t>£</w:t>
      </w:r>
      <w:r w:rsidR="00C169CD">
        <w:t>0.5</w:t>
      </w:r>
      <w:r w:rsidR="00D95AC1">
        <w:t>0</w:t>
      </w:r>
      <w:r w:rsidR="00C169CD">
        <w:t>p per share to -</w:t>
      </w:r>
      <w:r w:rsidR="00D95AC1">
        <w:t>£</w:t>
      </w:r>
      <w:r w:rsidR="00C169CD">
        <w:t>1.6</w:t>
      </w:r>
      <w:r w:rsidR="00D95AC1">
        <w:t>0</w:t>
      </w:r>
      <w:r w:rsidR="00C169CD">
        <w:t xml:space="preserve">p per share, </w:t>
      </w:r>
      <w:r w:rsidR="00EF365F">
        <w:t>mainly down to an almost 50% reduction in shareholding from 228m in 2019 to 116m in 2021.</w:t>
      </w:r>
    </w:p>
    <w:p w14:paraId="48E07254" w14:textId="587BA7AA" w:rsidR="00CF125D" w:rsidRDefault="00CF125D" w:rsidP="00687589">
      <w:r>
        <w:t>A decrease in market value per share</w:t>
      </w:r>
      <w:r w:rsidR="00D95AC1">
        <w:t xml:space="preserve"> to £501 (£744, 2020) seen a </w:t>
      </w:r>
      <w:r w:rsidR="004D2810">
        <w:t>47</w:t>
      </w:r>
      <w:r w:rsidR="00D95AC1">
        <w:t>% reduction in the Price per Earnings Ratio, despite an improved EPS result</w:t>
      </w:r>
      <w:r w:rsidR="00964EB7">
        <w:t>, from -208 to -307. This ratio gives investors an indication on how much common stock would pay per £1 of earnings. Typically, in reporting, if its value is negative it is displayed as N/A. A negative PE ratio does not always mean a business should not be invested in, as they can also be</w:t>
      </w:r>
      <w:r w:rsidR="001D5564">
        <w:t xml:space="preserve"> negative as</w:t>
      </w:r>
      <w:r w:rsidR="00964EB7">
        <w:t xml:space="preserve"> a result of; a company has just started, it has changed its accounting methods or there have been significant changes in depreciation or amortisation </w:t>
      </w:r>
      <w:sdt>
        <w:sdtPr>
          <w:id w:val="-557323975"/>
          <w:citation/>
        </w:sdtPr>
        <w:sdtEndPr/>
        <w:sdtContent>
          <w:r w:rsidR="00964EB7">
            <w:fldChar w:fldCharType="begin"/>
          </w:r>
          <w:r w:rsidR="00964EB7">
            <w:instrText xml:space="preserve"> CITATION Pub23 \l 2057 </w:instrText>
          </w:r>
          <w:r w:rsidR="00964EB7">
            <w:fldChar w:fldCharType="separate"/>
          </w:r>
          <w:r w:rsidR="002B549D" w:rsidRPr="002B549D">
            <w:rPr>
              <w:noProof/>
            </w:rPr>
            <w:t>(Public, 2023)</w:t>
          </w:r>
          <w:r w:rsidR="00964EB7">
            <w:fldChar w:fldCharType="end"/>
          </w:r>
        </w:sdtContent>
      </w:sdt>
      <w:r w:rsidR="00964EB7">
        <w:t xml:space="preserve">. </w:t>
      </w:r>
      <w:r w:rsidR="00964EB7" w:rsidRPr="00907E06">
        <w:t>The ratio should be used as indicator for an investor to dig deeper into the company’s position and weigh up the risk rather than exclude it completely from possible investment.</w:t>
      </w:r>
    </w:p>
    <w:p w14:paraId="4545B5DC" w14:textId="516CDC00" w:rsidR="00537D5B" w:rsidRDefault="00537D5B" w:rsidP="00687589">
      <w:r>
        <w:t xml:space="preserve">Both the dividend cover and divided yield ratios are recorded as N/A as no dividends were paid out by Aston Martin in 2020 or 2021. </w:t>
      </w:r>
      <w:r w:rsidR="00DF66AF">
        <w:t>Immediately</w:t>
      </w:r>
      <w:r>
        <w:t xml:space="preserve"> this may deter some investors, however once again the </w:t>
      </w:r>
      <w:r>
        <w:lastRenderedPageBreak/>
        <w:t xml:space="preserve">author would </w:t>
      </w:r>
      <w:r w:rsidR="00E5505F">
        <w:t xml:space="preserve">implore that context must be given when analysing these ratios. For example, a reason a company may not pay out dividends is because it is reinvesting the money in the business instead </w:t>
      </w:r>
      <w:sdt>
        <w:sdtPr>
          <w:id w:val="838045036"/>
          <w:citation/>
        </w:sdtPr>
        <w:sdtEndPr/>
        <w:sdtContent>
          <w:r w:rsidR="00E5505F">
            <w:fldChar w:fldCharType="begin"/>
          </w:r>
          <w:r w:rsidR="00E5505F">
            <w:instrText xml:space="preserve"> CITATION CFI222 \l 2057 </w:instrText>
          </w:r>
          <w:r w:rsidR="00E5505F">
            <w:fldChar w:fldCharType="separate"/>
          </w:r>
          <w:r w:rsidR="002B549D" w:rsidRPr="002B549D">
            <w:rPr>
              <w:noProof/>
            </w:rPr>
            <w:t>(CFI Team, 2022)</w:t>
          </w:r>
          <w:r w:rsidR="00E5505F">
            <w:fldChar w:fldCharType="end"/>
          </w:r>
        </w:sdtContent>
      </w:sdt>
      <w:r w:rsidR="00E5505F">
        <w:t xml:space="preserve">. </w:t>
      </w:r>
    </w:p>
    <w:p w14:paraId="25A157E9" w14:textId="7E7073B9" w:rsidR="00970523" w:rsidRPr="00970523" w:rsidRDefault="00E5505F" w:rsidP="00687589">
      <w:r>
        <w:t>This statement is supported by the information in the 2021</w:t>
      </w:r>
      <w:r w:rsidR="001D5564">
        <w:t xml:space="preserve"> annual report</w:t>
      </w:r>
      <w:r>
        <w:t xml:space="preserve"> where the company indicates a significant investment of £191m in Research and Design and a £14.1m </w:t>
      </w:r>
      <w:r w:rsidR="00DF66AF">
        <w:t>Capex</w:t>
      </w:r>
      <w:r>
        <w:t xml:space="preserve"> commitment, for example </w:t>
      </w:r>
      <w:sdt>
        <w:sdtPr>
          <w:id w:val="1396712033"/>
          <w:citation/>
        </w:sdtPr>
        <w:sdtEndPr/>
        <w:sdtContent>
          <w:r>
            <w:fldChar w:fldCharType="begin"/>
          </w:r>
          <w:r>
            <w:instrText xml:space="preserve"> CITATION Ast211 \l 2057 </w:instrText>
          </w:r>
          <w:r>
            <w:fldChar w:fldCharType="separate"/>
          </w:r>
          <w:r w:rsidR="002B549D" w:rsidRPr="002B549D">
            <w:rPr>
              <w:noProof/>
            </w:rPr>
            <w:t>(Aston Martin Lagonda, 2021)</w:t>
          </w:r>
          <w:r>
            <w:fldChar w:fldCharType="end"/>
          </w:r>
        </w:sdtContent>
      </w:sdt>
      <w:r>
        <w:t>.</w:t>
      </w:r>
    </w:p>
    <w:p w14:paraId="1816F9EE" w14:textId="0A291265" w:rsidR="00411FA2" w:rsidRDefault="00411FA2" w:rsidP="005E3660">
      <w:pPr>
        <w:pStyle w:val="Heading3"/>
      </w:pPr>
      <w:bookmarkStart w:id="16" w:name="_Toc125737765"/>
      <w:r w:rsidRPr="005E3660">
        <w:rPr>
          <w:rStyle w:val="Heading2Char"/>
          <w:color w:val="243F60" w:themeColor="accent1" w:themeShade="7F"/>
          <w:sz w:val="24"/>
          <w:szCs w:val="24"/>
        </w:rPr>
        <w:t>Other ratios that can be used</w:t>
      </w:r>
      <w:r w:rsidRPr="005E3660">
        <w:t>:</w:t>
      </w:r>
      <w:bookmarkEnd w:id="16"/>
    </w:p>
    <w:p w14:paraId="39528A7B" w14:textId="30A10AF6" w:rsidR="00411FA2" w:rsidRPr="00014525" w:rsidRDefault="00014525">
      <w:pPr>
        <w:rPr>
          <w:u w:val="single"/>
        </w:rPr>
      </w:pPr>
      <w:r>
        <w:t xml:space="preserve">There are </w:t>
      </w:r>
      <w:r w:rsidR="003506E7">
        <w:t>several</w:t>
      </w:r>
      <w:r>
        <w:t xml:space="preserve"> other ratios that could have been used either instead of or alongside the ones that have been analysed in this report, such as expense ratios, Return on Investment and Solvency Ratios. However, the author feels that those used here, supported by wider reading and information, are sufficient to make </w:t>
      </w:r>
      <w:r w:rsidR="005566F3">
        <w:t>sensible recommendations regarding the JV between the company and O’Connor Capital.</w:t>
      </w:r>
    </w:p>
    <w:p w14:paraId="782E8B83" w14:textId="77777777" w:rsidR="00E64E81" w:rsidRDefault="00295B55">
      <w:pPr>
        <w:rPr>
          <w:b/>
          <w:bCs/>
          <w:color w:val="FF0000"/>
        </w:rPr>
      </w:pPr>
      <w:bookmarkStart w:id="17" w:name="_Toc125737766"/>
      <w:r w:rsidRPr="003C2565">
        <w:rPr>
          <w:rStyle w:val="Heading1Char"/>
        </w:rPr>
        <w:t>Conclusion</w:t>
      </w:r>
      <w:bookmarkEnd w:id="17"/>
      <w:r>
        <w:rPr>
          <w:b/>
          <w:bCs/>
          <w:color w:val="FF0000"/>
        </w:rPr>
        <w:t xml:space="preserve"> </w:t>
      </w:r>
    </w:p>
    <w:p w14:paraId="38B04226" w14:textId="17C1FDDF" w:rsidR="003506E7" w:rsidRDefault="003506E7" w:rsidP="003506E7">
      <w:pPr>
        <w:pStyle w:val="Heading2"/>
      </w:pPr>
      <w:bookmarkStart w:id="18" w:name="_Toc125737767"/>
      <w:r>
        <w:t>Conclusion on Financial Analysis</w:t>
      </w:r>
      <w:bookmarkEnd w:id="18"/>
    </w:p>
    <w:p w14:paraId="1E9EC16D" w14:textId="1FB73DF5" w:rsidR="00D511DB" w:rsidRDefault="00A54740" w:rsidP="00A54740">
      <w:r>
        <w:t xml:space="preserve">A strong year performance in relation to the profitability ratio metrics indicates that 2021 was a good year for the business, driven by improved sale volumes and increased average ASP, both contributing </w:t>
      </w:r>
      <w:r w:rsidR="001D5564">
        <w:t>t</w:t>
      </w:r>
      <w:r>
        <w:t xml:space="preserve">o a significant year on year increase in revenue. Revenue increase </w:t>
      </w:r>
      <w:r w:rsidR="00907E06">
        <w:t>h</w:t>
      </w:r>
      <w:r>
        <w:t xml:space="preserve">as also improved as a ratio to cost of sales by 12%, indicating a reduction in manufacturing and operating costs </w:t>
      </w:r>
      <w:r w:rsidR="008602D0">
        <w:t>in line</w:t>
      </w:r>
      <w:r>
        <w:t xml:space="preserve"> with Project Horizon.</w:t>
      </w:r>
      <w:r w:rsidR="008602D0">
        <w:t xml:space="preserve"> The 46% increase in operating profit, </w:t>
      </w:r>
      <w:r w:rsidR="008602D0" w:rsidRPr="008B43D1">
        <w:t xml:space="preserve">although still negative, </w:t>
      </w:r>
      <w:r w:rsidR="001D5564">
        <w:t xml:space="preserve">suggests to </w:t>
      </w:r>
      <w:r w:rsidR="008602D0" w:rsidRPr="008B43D1">
        <w:t>investors the company is</w:t>
      </w:r>
      <w:r w:rsidR="001D5564">
        <w:t xml:space="preserve"> trending </w:t>
      </w:r>
      <w:r w:rsidR="008602D0" w:rsidRPr="008B43D1">
        <w:t>well</w:t>
      </w:r>
      <w:r w:rsidR="001D5564">
        <w:t xml:space="preserve"> to be</w:t>
      </w:r>
      <w:r w:rsidR="008602D0" w:rsidRPr="008B43D1">
        <w:t xml:space="preserve"> positioned to cover any fixed cost</w:t>
      </w:r>
      <w:r w:rsidR="001D5564">
        <w:t>s</w:t>
      </w:r>
      <w:r w:rsidR="008602D0" w:rsidRPr="008B43D1">
        <w:t xml:space="preserve"> and interest obligations. This allows AML to be more agile when pricing their product which can be advantageous in aggressive markets emerging from a post Covid-19 environment. This increase came despite an increase in depreciation and amortisation, which shows a two-fold benefit that the company is experiencing strong revenue whilst also paying off its debts more quickly.</w:t>
      </w:r>
    </w:p>
    <w:p w14:paraId="7046FC4D" w14:textId="42CA74CB" w:rsidR="008B43D1" w:rsidRDefault="008B43D1" w:rsidP="00A54740">
      <w:r>
        <w:t>The liquidity ratio scores of 0.9 (Current), 0.74 (Quick) and 0.46 (Cash) have seen a decline when compared to 2020 data. The decline no</w:t>
      </w:r>
      <w:r w:rsidR="00AF33B9">
        <w:t>w</w:t>
      </w:r>
      <w:r>
        <w:t xml:space="preserve"> means that the results have fallen out of the “acceptable” ratio limits</w:t>
      </w:r>
      <w:r w:rsidR="00AF33B9">
        <w:t xml:space="preserve">, </w:t>
      </w:r>
      <w:sdt>
        <w:sdtPr>
          <w:id w:val="-1487074504"/>
          <w:citation/>
        </w:sdtPr>
        <w:sdtContent>
          <w:r w:rsidR="00AF33B9">
            <w:fldChar w:fldCharType="begin"/>
          </w:r>
          <w:r w:rsidR="00AF33B9">
            <w:instrText xml:space="preserve"> CITATION Wal23 \l 2057 </w:instrText>
          </w:r>
          <w:r w:rsidR="00AF33B9">
            <w:fldChar w:fldCharType="separate"/>
          </w:r>
          <w:r w:rsidR="002B549D" w:rsidRPr="002B549D">
            <w:rPr>
              <w:noProof/>
            </w:rPr>
            <w:t>(Walls Street Prep, 2023)</w:t>
          </w:r>
          <w:r w:rsidR="00AF33B9">
            <w:fldChar w:fldCharType="end"/>
          </w:r>
        </w:sdtContent>
      </w:sdt>
      <w:r w:rsidR="00AF33B9">
        <w:t xml:space="preserve"> , </w:t>
      </w:r>
      <w:r>
        <w:t>and typically</w:t>
      </w:r>
      <w:r w:rsidR="00AF33B9">
        <w:t xml:space="preserve"> indicate that the company has insufficient assets to cover its short-term debt. Therefore, it usually</w:t>
      </w:r>
      <w:r>
        <w:t xml:space="preserve"> would require further analysis to understand how much of an issue they represent for the company. A significant increase in borrowings (&gt;£140m) is cause for concern, meaning extra financial commitments for the business, but it could be argued that with increased revenue and order these concerns are somewhat dampened, risk dependent of course. </w:t>
      </w:r>
      <w:r w:rsidR="009D5AB5">
        <w:t xml:space="preserve">A reduction in inventories is a positive story from the review of these ratios as it supports the companies claim of increased sales and </w:t>
      </w:r>
      <w:r w:rsidR="0006471E">
        <w:t>efficiencies</w:t>
      </w:r>
      <w:r w:rsidR="009D5AB5">
        <w:t>.</w:t>
      </w:r>
      <w:r w:rsidR="00AF33B9">
        <w:t xml:space="preserve"> </w:t>
      </w:r>
    </w:p>
    <w:p w14:paraId="62C198B4" w14:textId="0B2A8C5C" w:rsidR="0006471E" w:rsidRDefault="0006471E" w:rsidP="00A54740">
      <w:r>
        <w:t xml:space="preserve">Activity ratio analysis indicates an </w:t>
      </w:r>
      <w:r w:rsidR="004D2810">
        <w:t>all-round</w:t>
      </w:r>
      <w:r>
        <w:t xml:space="preserve"> improvement of supplier and customer commitments and improved sales through a 92% increase in inventory turnover. The impact of Covid-19 on sales and distribution must be considered when looking at this metric, although when compared with 2019 data there is still an improvement of </w:t>
      </w:r>
      <w:r w:rsidR="00DC531A">
        <w:t xml:space="preserve">39%. This suggests that the business is trending in the right direction in </w:t>
      </w:r>
      <w:r w:rsidR="00DC531A">
        <w:lastRenderedPageBreak/>
        <w:t xml:space="preserve">terms of being able to collect money from its customers whilst maintaining reasonable breathing space before it </w:t>
      </w:r>
      <w:r w:rsidR="00AF33B9">
        <w:t>must</w:t>
      </w:r>
      <w:r w:rsidR="00DC531A">
        <w:t xml:space="preserve"> pay its debt commitments.</w:t>
      </w:r>
    </w:p>
    <w:p w14:paraId="7A576E06" w14:textId="4D390655" w:rsidR="0099569A" w:rsidRDefault="0099569A" w:rsidP="00A54740">
      <w:r>
        <w:t xml:space="preserve">The positive leverage ratio metrics indicate that the business has more debt than equity supporting it. This holds up further the conclusions made around the activity ratio information. It must be said however that high gearing within a company does not necessarily mean there’s a problem. </w:t>
      </w:r>
      <w:r w:rsidRPr="0099569A">
        <w:t xml:space="preserve">This is because some industries are far more capital intensive than others to produce a product, for example a steel company in comparison with an online marketing business. </w:t>
      </w:r>
      <w:sdt>
        <w:sdtPr>
          <w:id w:val="-189075404"/>
          <w:citation/>
        </w:sdtPr>
        <w:sdtContent>
          <w:r w:rsidRPr="0099569A">
            <w:fldChar w:fldCharType="begin"/>
          </w:r>
          <w:r w:rsidRPr="0099569A">
            <w:instrText xml:space="preserve"> CITATION Cat22 \l 2057 </w:instrText>
          </w:r>
          <w:r w:rsidRPr="0099569A">
            <w:fldChar w:fldCharType="separate"/>
          </w:r>
          <w:r w:rsidR="002B549D" w:rsidRPr="002B549D">
            <w:rPr>
              <w:noProof/>
            </w:rPr>
            <w:t>(Cattlin, R, 2022)</w:t>
          </w:r>
          <w:r w:rsidRPr="0099569A">
            <w:fldChar w:fldCharType="end"/>
          </w:r>
        </w:sdtContent>
      </w:sdt>
      <w:r w:rsidRPr="0099569A">
        <w:t xml:space="preserve">. When compared to other industry competitors, if a company had a significantly higher gearing ratio than the other then it would be reasonable to suggest that it could be under threat of failure and insolvency. However, a 2014 article in the Business Systems Research Journal by </w:t>
      </w:r>
      <w:sdt>
        <w:sdtPr>
          <w:id w:val="-1843459798"/>
          <w:citation/>
        </w:sdtPr>
        <w:sdtContent>
          <w:r w:rsidRPr="0099569A">
            <w:fldChar w:fldCharType="begin"/>
          </w:r>
          <w:r w:rsidRPr="0099569A">
            <w:instrText xml:space="preserve"> CITATION Sit14 \l 2057 </w:instrText>
          </w:r>
          <w:r w:rsidRPr="0099569A">
            <w:fldChar w:fldCharType="separate"/>
          </w:r>
          <w:r w:rsidR="002B549D" w:rsidRPr="002B549D">
            <w:rPr>
              <w:noProof/>
            </w:rPr>
            <w:t>(Situm, 2014)</w:t>
          </w:r>
          <w:r w:rsidRPr="0099569A">
            <w:fldChar w:fldCharType="end"/>
          </w:r>
        </w:sdtContent>
      </w:sdt>
      <w:r w:rsidRPr="0099569A">
        <w:t xml:space="preserve"> suggests that gearing ratios do not consider enough information to be used as an indicator for business failure, and that debt/equity ratio were a better metric for this assessment purpose. The conclusion from these conflicting hypothesises support the reports early suggestion that whilst financial statements and the ratios used to analyse them are useful, it is essential to consider wider information and reasoning when assessing a company’s financial strength.</w:t>
      </w:r>
    </w:p>
    <w:p w14:paraId="0EC585B3" w14:textId="5E806A20" w:rsidR="0099569A" w:rsidRPr="00A54740" w:rsidRDefault="00907E06" w:rsidP="00A54740">
      <w:r>
        <w:t>Since no dividends have been paid out by the company for the past several years, the data provided by the investor ratios was somewhat limited. On the contrary, the fact that no dividend was paid is information in itself and directed the author down the road of understanding why. It</w:t>
      </w:r>
      <w:r w:rsidR="00B0067F">
        <w:t>’s</w:t>
      </w:r>
      <w:r>
        <w:t xml:space="preserve"> reasonable to suggest that, particularly since the 2019 take over by Lawrence Stroll there has been significant reinvestment into the business, which may be a contributory indicator as to why no dividends have been paid. A 55% increase in EPS suggests the company is trending upwards. This considered in addition with the point made in the report about negative PE not necessarily meaning a bad investment when you consider how low the share price is currently, it may suggest that now is an excellent time to invest/collaborate with Aston Martin as the price/value is </w:t>
      </w:r>
      <w:r w:rsidR="00ED7402">
        <w:t>low,</w:t>
      </w:r>
      <w:r>
        <w:t xml:space="preserve"> yet the outlook and forecasts suggested by both the financial and non-financial indicators is very promising.</w:t>
      </w:r>
    </w:p>
    <w:p w14:paraId="6B29FF0C" w14:textId="77777777" w:rsidR="003506E7" w:rsidRDefault="003506E7" w:rsidP="003506E7">
      <w:pPr>
        <w:pStyle w:val="Heading2"/>
      </w:pPr>
      <w:bookmarkStart w:id="19" w:name="_Toc125737768"/>
      <w:r>
        <w:t>Non-financial Supporting Information</w:t>
      </w:r>
      <w:bookmarkEnd w:id="19"/>
    </w:p>
    <w:p w14:paraId="452A4F91" w14:textId="77777777" w:rsidR="003506E7" w:rsidRDefault="003506E7" w:rsidP="003506E7">
      <w:pPr>
        <w:pStyle w:val="Heading3"/>
      </w:pPr>
      <w:bookmarkStart w:id="20" w:name="_Toc125737769"/>
      <w:r>
        <w:t>Sustainability</w:t>
      </w:r>
      <w:bookmarkEnd w:id="20"/>
    </w:p>
    <w:p w14:paraId="033B5036" w14:textId="3C672FC9" w:rsidR="003506E7" w:rsidRDefault="003506E7" w:rsidP="003506E7">
      <w:r>
        <w:t xml:space="preserve"> Aston Martin are showing clear ambition to drive sustainability throughout their organisation and product range. As per the Annual Report, Tobias Moaers, AML CEO, outlines some ambitious targets such </w:t>
      </w:r>
      <w:r w:rsidR="00C05863">
        <w:t>as</w:t>
      </w:r>
      <w:r>
        <w:t xml:space="preserve"> net zero manufacturing emissions by 2023, a 30% reduction in supply chain emissions by 2030, zero waste for landfill by 2022 (delivered) and a 15% reduction in water consumption </w:t>
      </w:r>
      <w:sdt>
        <w:sdtPr>
          <w:id w:val="1045018541"/>
          <w:citation/>
        </w:sdtPr>
        <w:sdtContent>
          <w:r>
            <w:fldChar w:fldCharType="begin"/>
          </w:r>
          <w:r>
            <w:instrText xml:space="preserve"> CITATION Ast211 \l 2057 </w:instrText>
          </w:r>
          <w:r>
            <w:fldChar w:fldCharType="separate"/>
          </w:r>
          <w:r w:rsidR="002B549D" w:rsidRPr="002B549D">
            <w:rPr>
              <w:noProof/>
            </w:rPr>
            <w:t>(Aston Martin Lagonda, 2021)</w:t>
          </w:r>
          <w:r>
            <w:fldChar w:fldCharType="end"/>
          </w:r>
        </w:sdtContent>
      </w:sdt>
      <w:r>
        <w:t xml:space="preserve">. The operational goals are supported with targets to release a PHEV by 2023 and a full electrical vehicle by 2024/25. </w:t>
      </w:r>
    </w:p>
    <w:p w14:paraId="1580D5A0" w14:textId="0EDC6D86" w:rsidR="003506E7" w:rsidRDefault="003506E7" w:rsidP="003506E7">
      <w:r>
        <w:t xml:space="preserve"> </w:t>
      </w:r>
      <w:sdt>
        <w:sdtPr>
          <w:id w:val="-555468554"/>
          <w:citation/>
        </w:sdtPr>
        <w:sdtContent>
          <w:r>
            <w:fldChar w:fldCharType="begin"/>
          </w:r>
          <w:r>
            <w:instrText xml:space="preserve"> CITATION Amb22 \l 2057 </w:instrText>
          </w:r>
          <w:r>
            <w:fldChar w:fldCharType="separate"/>
          </w:r>
          <w:r w:rsidR="002B549D" w:rsidRPr="002B549D">
            <w:rPr>
              <w:noProof/>
            </w:rPr>
            <w:t>(Ambaka, P, 2022)</w:t>
          </w:r>
          <w:r>
            <w:fldChar w:fldCharType="end"/>
          </w:r>
        </w:sdtContent>
      </w:sdt>
      <w:r>
        <w:t xml:space="preserve"> raises a very valid point around the pace in which Aston Martin has entered the renewable engine market, and that it is already significantly behind competitors such as Porsche and Rolls-Royce who already have cars on the road.</w:t>
      </w:r>
    </w:p>
    <w:p w14:paraId="0A9022D6" w14:textId="77777777" w:rsidR="003506E7" w:rsidRDefault="003506E7" w:rsidP="003506E7">
      <w:pPr>
        <w:pStyle w:val="Heading3"/>
      </w:pPr>
      <w:bookmarkStart w:id="21" w:name="_Toc125737770"/>
      <w:r>
        <w:lastRenderedPageBreak/>
        <w:t>Social Value</w:t>
      </w:r>
      <w:bookmarkEnd w:id="21"/>
    </w:p>
    <w:p w14:paraId="56952FB3" w14:textId="77777777" w:rsidR="003506E7" w:rsidRDefault="003506E7" w:rsidP="003506E7">
      <w:r>
        <w:t xml:space="preserve">Social Value appears to remain a core focus of the Aston Martin brand, as for the third year in a row they have attained the Sword of Honour health and safety award whilst maintain a 1% accident rate amongst staff. There is work to do around diversity and inclusion however, which the company recognises itself, having zero to date female representation at board level and only a 19% representation at senior leadership levels. </w:t>
      </w:r>
    </w:p>
    <w:p w14:paraId="3453DC91" w14:textId="77777777" w:rsidR="003506E7" w:rsidRPr="00E64E81" w:rsidRDefault="003506E7" w:rsidP="003506E7">
      <w:pPr>
        <w:pStyle w:val="Heading3"/>
      </w:pPr>
      <w:bookmarkStart w:id="22" w:name="_Toc125737771"/>
      <w:r>
        <w:t>Industry</w:t>
      </w:r>
      <w:bookmarkEnd w:id="22"/>
    </w:p>
    <w:p w14:paraId="104167CB" w14:textId="6EF045FE" w:rsidR="003506E7" w:rsidRDefault="003506E7" w:rsidP="003506E7">
      <w:r>
        <w:t>Brexit, Covid-19 and now the Russia-Ukraine war present significant challenges to operations, distribution, and customer networks</w:t>
      </w:r>
      <w:r w:rsidR="00340D39">
        <w:t xml:space="preserve"> globally</w:t>
      </w:r>
      <w:r>
        <w:t xml:space="preserve">. In spite of the current challenges, a McKinsey report by </w:t>
      </w:r>
      <w:sdt>
        <w:sdtPr>
          <w:id w:val="-866051248"/>
          <w:citation/>
        </w:sdtPr>
        <w:sdtContent>
          <w:r>
            <w:fldChar w:fldCharType="begin"/>
          </w:r>
          <w:r w:rsidR="00340D39">
            <w:instrText xml:space="preserve">CITATION Placeholder1 \l 2057 </w:instrText>
          </w:r>
          <w:r>
            <w:fldChar w:fldCharType="separate"/>
          </w:r>
          <w:r w:rsidR="002B549D" w:rsidRPr="002B549D">
            <w:rPr>
              <w:noProof/>
            </w:rPr>
            <w:t>(Guan, M; et al, 2022)</w:t>
          </w:r>
          <w:r>
            <w:fldChar w:fldCharType="end"/>
          </w:r>
        </w:sdtContent>
      </w:sdt>
      <w:r>
        <w:t xml:space="preserve"> in July 2022 suggests that the luxury car market is significantly outstripping the mainstream market, with forecasted growth of between 8 and 14% annually up to 2031, when compared to an expectation of little to no growth for the standard market.</w:t>
      </w:r>
    </w:p>
    <w:p w14:paraId="3837844E" w14:textId="77777777" w:rsidR="003506E7" w:rsidRDefault="003506E7" w:rsidP="003506E7">
      <w:r>
        <w:t>Further to this, Aston Martins Strategic Cooperation Agreement with Mercedes-Benz further strengthens is product with the integration of Mercedes technologies.</w:t>
      </w:r>
    </w:p>
    <w:p w14:paraId="44DB6898" w14:textId="77777777" w:rsidR="003506E7" w:rsidRDefault="003506E7" w:rsidP="003506E7">
      <w:pPr>
        <w:pStyle w:val="Heading3"/>
      </w:pPr>
      <w:bookmarkStart w:id="23" w:name="_Toc125737772"/>
      <w:r>
        <w:t>Brand Recognition</w:t>
      </w:r>
      <w:bookmarkEnd w:id="23"/>
    </w:p>
    <w:p w14:paraId="30487B44" w14:textId="4617C61F" w:rsidR="003506E7" w:rsidRPr="008C727B" w:rsidRDefault="003506E7" w:rsidP="003506E7">
      <w:r>
        <w:t xml:space="preserve">The introduction of the Aston Martin F1 team, appearance of several models in the recent James Bond movie and music video by pop culture icons such as Stormzy has seen a surge in online traffic directed towards the brand over the year, supported by c70,000,000 average global TV viewers during F1 race weekends </w:t>
      </w:r>
      <w:sdt>
        <w:sdtPr>
          <w:id w:val="542174527"/>
          <w:citation/>
        </w:sdtPr>
        <w:sdtContent>
          <w:r>
            <w:fldChar w:fldCharType="begin"/>
          </w:r>
          <w:r>
            <w:instrText xml:space="preserve"> CITATION Ast211 \l 2057 </w:instrText>
          </w:r>
          <w:r>
            <w:fldChar w:fldCharType="separate"/>
          </w:r>
          <w:r w:rsidR="002B549D" w:rsidRPr="002B549D">
            <w:rPr>
              <w:noProof/>
            </w:rPr>
            <w:t>(Aston Martin Lagonda, 2021)</w:t>
          </w:r>
          <w:r>
            <w:fldChar w:fldCharType="end"/>
          </w:r>
        </w:sdtContent>
      </w:sdt>
      <w:r>
        <w:t xml:space="preserve">. </w:t>
      </w:r>
    </w:p>
    <w:p w14:paraId="36EEDBB9" w14:textId="411A3B12" w:rsidR="003506E7" w:rsidRDefault="003506E7" w:rsidP="00CC7D70">
      <w:pPr>
        <w:pStyle w:val="Heading3"/>
      </w:pPr>
      <w:bookmarkStart w:id="24" w:name="_Toc125737773"/>
      <w:r w:rsidRPr="003506E7">
        <w:t>2022 and beyond; Targets</w:t>
      </w:r>
      <w:r w:rsidR="00CC7D70">
        <w:t xml:space="preserve"> and outlook</w:t>
      </w:r>
      <w:bookmarkEnd w:id="24"/>
    </w:p>
    <w:p w14:paraId="574A6720" w14:textId="340484E7" w:rsidR="00CC7D70" w:rsidRDefault="00CC7D70" w:rsidP="00CC7D70">
      <w:r>
        <w:t xml:space="preserve"> A brief outline of some promising future targets and outlook outlining the companies ambitions and future position </w:t>
      </w:r>
      <w:sdt>
        <w:sdtPr>
          <w:id w:val="963394373"/>
          <w:citation/>
        </w:sdtPr>
        <w:sdtContent>
          <w:r>
            <w:fldChar w:fldCharType="begin"/>
          </w:r>
          <w:r>
            <w:instrText xml:space="preserve"> CITATION Ast211 \l 2057 </w:instrText>
          </w:r>
          <w:r>
            <w:fldChar w:fldCharType="separate"/>
          </w:r>
          <w:r w:rsidR="002B549D" w:rsidRPr="002B549D">
            <w:rPr>
              <w:noProof/>
            </w:rPr>
            <w:t>(Aston Martin Lagonda, 2021)</w:t>
          </w:r>
          <w:r>
            <w:fldChar w:fldCharType="end"/>
          </w:r>
        </w:sdtContent>
      </w:sdt>
      <w:r>
        <w:t>:</w:t>
      </w:r>
    </w:p>
    <w:p w14:paraId="1F76A7DF" w14:textId="78F240D3" w:rsidR="00CC7D70" w:rsidRDefault="00CC7D70" w:rsidP="00CC7D70">
      <w:pPr>
        <w:pStyle w:val="ListParagraph"/>
        <w:numPr>
          <w:ilvl w:val="0"/>
          <w:numId w:val="1"/>
        </w:numPr>
      </w:pPr>
      <w:r>
        <w:t>Wholesales growth to 6,600 units (6,178 2021)</w:t>
      </w:r>
    </w:p>
    <w:p w14:paraId="00ADD112" w14:textId="2F160408" w:rsidR="00CC7D70" w:rsidRDefault="00ED7402" w:rsidP="00CC7D70">
      <w:pPr>
        <w:pStyle w:val="ListParagraph"/>
        <w:numPr>
          <w:ilvl w:val="0"/>
          <w:numId w:val="1"/>
        </w:numPr>
      </w:pPr>
      <w:r>
        <w:t>Capex</w:t>
      </w:r>
      <w:r w:rsidR="00CC7D70">
        <w:t xml:space="preserve"> and R&amp;D increase to £300m (£119m 2021)</w:t>
      </w:r>
    </w:p>
    <w:p w14:paraId="111FAE50" w14:textId="5B8D451A" w:rsidR="00CC7D70" w:rsidRDefault="00CC7D70" w:rsidP="00CC7D70">
      <w:pPr>
        <w:pStyle w:val="ListParagraph"/>
        <w:numPr>
          <w:ilvl w:val="0"/>
          <w:numId w:val="1"/>
        </w:numPr>
      </w:pPr>
      <w:r>
        <w:t>Depreciation and amortisation increase to c£315-£330m (£212, 2021)</w:t>
      </w:r>
    </w:p>
    <w:p w14:paraId="55A0D634" w14:textId="27B8BC24" w:rsidR="00CC7D70" w:rsidRPr="00CC7D70" w:rsidRDefault="00CC7D70" w:rsidP="00CC7D70">
      <w:pPr>
        <w:pStyle w:val="ListParagraph"/>
        <w:numPr>
          <w:ilvl w:val="0"/>
          <w:numId w:val="1"/>
        </w:numPr>
      </w:pPr>
      <w:r>
        <w:t>10,000 wholesale, £2bn revenue and £500m EBITDA target 2024/25</w:t>
      </w:r>
    </w:p>
    <w:p w14:paraId="61A42D3D" w14:textId="14EBCE6F" w:rsidR="00D511DB" w:rsidRDefault="00295B55">
      <w:pPr>
        <w:rPr>
          <w:b/>
          <w:bCs/>
          <w:color w:val="FF0000"/>
        </w:rPr>
      </w:pPr>
      <w:bookmarkStart w:id="25" w:name="_Toc125737774"/>
      <w:r w:rsidRPr="003C2565">
        <w:rPr>
          <w:rStyle w:val="Heading1Char"/>
        </w:rPr>
        <w:t>Recommendations</w:t>
      </w:r>
      <w:bookmarkEnd w:id="25"/>
      <w:r>
        <w:rPr>
          <w:b/>
          <w:bCs/>
          <w:color w:val="FF0000"/>
        </w:rPr>
        <w:t xml:space="preserve"> </w:t>
      </w:r>
    </w:p>
    <w:p w14:paraId="0A1FD0B7" w14:textId="77777777" w:rsidR="00446A02" w:rsidRDefault="00D511DB">
      <w:r>
        <w:t xml:space="preserve">Based on the information gathered in relation to the financial statements and subsequent ratio analysis, supported by the wider reading and considerations into the business’s future ambitions and targets, it is reasonable to recommend that a joint venture into the electrical vehicle market between Aston Martin Lagonda and O’Connor Capital would be beneficial </w:t>
      </w:r>
      <w:r w:rsidR="00A40CF7">
        <w:t>to O’Connor Capital</w:t>
      </w:r>
      <w:r>
        <w:t xml:space="preserve">. Whilst Aston Martin still have internal and external challenges, their ability to make significant operational and financial improvements since the 2019 takeover and the post Covid-19 environment we currently reside in, suggests they would be a suitable partner to </w:t>
      </w:r>
      <w:r w:rsidR="00DF66AF">
        <w:t>enter</w:t>
      </w:r>
      <w:r>
        <w:t xml:space="preserve"> a joint venture with.</w:t>
      </w:r>
      <w:r w:rsidR="004134C6">
        <w:t xml:space="preserve"> </w:t>
      </w:r>
    </w:p>
    <w:p w14:paraId="2C92D67C" w14:textId="12455D7A" w:rsidR="00D511DB" w:rsidRDefault="00A40CF7">
      <w:r>
        <w:lastRenderedPageBreak/>
        <w:t>As suggested in the conclusion, the fact that the share and business value remain relatively low, it may be an ideal time to collaborate with the company and capitalise on the expected growth that is forecasted not only by the business, but by the wider industrial experts as well.</w:t>
      </w:r>
    </w:p>
    <w:p w14:paraId="3799DDD6" w14:textId="1C854FDC" w:rsidR="00A40CF7" w:rsidRDefault="00A40CF7">
      <w:r>
        <w:t xml:space="preserve">The substantial revenue result powered by increased wholesales and improved operational expenditure indicates a strong foundation for successful company growth. </w:t>
      </w:r>
    </w:p>
    <w:p w14:paraId="41557733" w14:textId="0196A339" w:rsidR="00A40CF7" w:rsidRDefault="00A40CF7">
      <w:r>
        <w:t>Aston Martin introduction to F1, along with its product placement in movies and music would be an excellent opportunity to increase the exposure of O’Connor Capitals and its ideas and ambitions for EV vehicles.</w:t>
      </w:r>
    </w:p>
    <w:p w14:paraId="0B0071AA" w14:textId="5FF9BE6A" w:rsidR="00446A02" w:rsidRDefault="00446A02">
      <w:r>
        <w:t>The debt concern is a valid one, however with an increase in depreciation and amortisation forecasted for 2022 it suggests that the company is trending towards reducing its leveraged position somewhat.</w:t>
      </w:r>
    </w:p>
    <w:p w14:paraId="2ADF364F" w14:textId="714057A1" w:rsidR="00A40CF7" w:rsidRDefault="00A40CF7">
      <w:r>
        <w:t>The company’s commitment to a sustainable future is already gaining moment with the 2022 zero waste to landfill being achieved, and although they remain somewhat behind the curve for EV vehicles, it is the authors belief supported by industrial opinion contained within this report that there is still enough of a market share and demand for the product for the collaboration to become a successful one.</w:t>
      </w:r>
    </w:p>
    <w:sdt>
      <w:sdtPr>
        <w:rPr>
          <w:rFonts w:asciiTheme="minorHAnsi" w:eastAsiaTheme="minorHAnsi" w:hAnsiTheme="minorHAnsi" w:cstheme="minorBidi"/>
          <w:color w:val="auto"/>
          <w:sz w:val="22"/>
          <w:szCs w:val="22"/>
        </w:rPr>
        <w:id w:val="-1865969866"/>
        <w:docPartObj>
          <w:docPartGallery w:val="Bibliographies"/>
          <w:docPartUnique/>
        </w:docPartObj>
      </w:sdtPr>
      <w:sdtEndPr/>
      <w:sdtContent>
        <w:p w14:paraId="08584A5E" w14:textId="77777777" w:rsidR="00AC3316" w:rsidRDefault="00AC3316">
          <w:pPr>
            <w:pStyle w:val="Heading1"/>
            <w:rPr>
              <w:rFonts w:asciiTheme="minorHAnsi" w:eastAsiaTheme="minorHAnsi" w:hAnsiTheme="minorHAnsi" w:cstheme="minorBidi"/>
              <w:color w:val="auto"/>
              <w:sz w:val="22"/>
              <w:szCs w:val="22"/>
            </w:rPr>
          </w:pPr>
        </w:p>
        <w:p w14:paraId="6216CEDC" w14:textId="77777777" w:rsidR="00AC3316" w:rsidRDefault="00AC3316">
          <w:r>
            <w:br w:type="page"/>
          </w:r>
        </w:p>
        <w:p w14:paraId="3BF809B4" w14:textId="3E29BBCF" w:rsidR="00176C4E" w:rsidRDefault="00176C4E">
          <w:pPr>
            <w:pStyle w:val="Heading1"/>
          </w:pPr>
          <w:bookmarkStart w:id="26" w:name="_Toc125737775"/>
          <w:r>
            <w:lastRenderedPageBreak/>
            <w:t>Bibliography</w:t>
          </w:r>
          <w:bookmarkEnd w:id="26"/>
        </w:p>
        <w:sdt>
          <w:sdtPr>
            <w:id w:val="111145805"/>
            <w:bibliography/>
          </w:sdtPr>
          <w:sdtEndPr/>
          <w:sdtContent>
            <w:p w14:paraId="5B37B8F1" w14:textId="77777777" w:rsidR="002B549D" w:rsidRDefault="00176C4E" w:rsidP="002B549D">
              <w:pPr>
                <w:pStyle w:val="Bibliography"/>
                <w:rPr>
                  <w:noProof/>
                  <w:sz w:val="24"/>
                  <w:szCs w:val="24"/>
                </w:rPr>
              </w:pPr>
              <w:r>
                <w:fldChar w:fldCharType="begin"/>
              </w:r>
              <w:r>
                <w:instrText xml:space="preserve"> BIBLIOGRAPHY </w:instrText>
              </w:r>
              <w:r>
                <w:fldChar w:fldCharType="separate"/>
              </w:r>
              <w:r w:rsidR="002B549D">
                <w:rPr>
                  <w:noProof/>
                </w:rPr>
                <w:t xml:space="preserve">Ambaka, P, 2022. </w:t>
              </w:r>
              <w:r w:rsidR="002B549D">
                <w:rPr>
                  <w:i/>
                  <w:iCs/>
                  <w:noProof/>
                </w:rPr>
                <w:t xml:space="preserve">Could I double my money if I buy at this Aston Martin share price?. </w:t>
              </w:r>
              <w:r w:rsidR="002B549D">
                <w:rPr>
                  <w:noProof/>
                </w:rPr>
                <w:t xml:space="preserve">[Online] </w:t>
              </w:r>
              <w:r w:rsidR="002B549D">
                <w:rPr>
                  <w:noProof/>
                </w:rPr>
                <w:br/>
                <w:t xml:space="preserve">Available at: </w:t>
              </w:r>
              <w:r w:rsidR="002B549D">
                <w:rPr>
                  <w:noProof/>
                  <w:u w:val="single"/>
                </w:rPr>
                <w:t>https://themoneycog.com/articles/could-i-double-my-money-if-i-buy-at-this-aston-martin-share-price#:~:text=As%20a%20potential%20future%20shareholder,significant%20customer%20and%20media%20excitement.</w:t>
              </w:r>
              <w:r w:rsidR="002B549D">
                <w:rPr>
                  <w:noProof/>
                </w:rPr>
                <w:br/>
                <w:t>[Accessed 27 January 2023].</w:t>
              </w:r>
            </w:p>
            <w:p w14:paraId="03BEE679" w14:textId="77777777" w:rsidR="002B549D" w:rsidRDefault="002B549D" w:rsidP="002B549D">
              <w:pPr>
                <w:pStyle w:val="Bibliography"/>
                <w:rPr>
                  <w:noProof/>
                </w:rPr>
              </w:pPr>
              <w:r>
                <w:rPr>
                  <w:noProof/>
                </w:rPr>
                <w:t xml:space="preserve">Aston Martin Lagonda, 2021. </w:t>
              </w:r>
              <w:r>
                <w:rPr>
                  <w:i/>
                  <w:iCs/>
                  <w:noProof/>
                </w:rPr>
                <w:t xml:space="preserve">Aston Martin Lagonda FY 2021 Results - Press Release , </w:t>
              </w:r>
              <w:r>
                <w:rPr>
                  <w:noProof/>
                </w:rPr>
                <w:t>s.l.: AML.</w:t>
              </w:r>
            </w:p>
            <w:p w14:paraId="4D9C592B" w14:textId="77777777" w:rsidR="002B549D" w:rsidRDefault="002B549D" w:rsidP="002B549D">
              <w:pPr>
                <w:pStyle w:val="Bibliography"/>
                <w:rPr>
                  <w:noProof/>
                </w:rPr>
              </w:pPr>
              <w:r>
                <w:rPr>
                  <w:noProof/>
                </w:rPr>
                <w:t xml:space="preserve">Aston Martin Lagonda, 2021. </w:t>
              </w:r>
              <w:r>
                <w:rPr>
                  <w:i/>
                  <w:iCs/>
                  <w:noProof/>
                </w:rPr>
                <w:t xml:space="preserve">Aston Martin Lagonda Global Holdings plc Annal Report 2021, </w:t>
              </w:r>
              <w:r>
                <w:rPr>
                  <w:noProof/>
                </w:rPr>
                <w:t>s.l.: AML.</w:t>
              </w:r>
            </w:p>
            <w:p w14:paraId="02159CB8" w14:textId="77777777" w:rsidR="002B549D" w:rsidRDefault="002B549D" w:rsidP="002B549D">
              <w:pPr>
                <w:pStyle w:val="Bibliography"/>
                <w:rPr>
                  <w:noProof/>
                </w:rPr>
              </w:pPr>
              <w:r>
                <w:rPr>
                  <w:noProof/>
                </w:rPr>
                <w:t>Atrill, P. &amp; McLaney, E., 2017. Accounting and Finance for Non-specialists. In: London: Pearsons Education Ltd, p. 197.</w:t>
              </w:r>
            </w:p>
            <w:p w14:paraId="1229E702" w14:textId="77777777" w:rsidR="002B549D" w:rsidRDefault="002B549D" w:rsidP="002B549D">
              <w:pPr>
                <w:pStyle w:val="Bibliography"/>
                <w:rPr>
                  <w:noProof/>
                </w:rPr>
              </w:pPr>
              <w:r>
                <w:rPr>
                  <w:noProof/>
                </w:rPr>
                <w:t xml:space="preserve">Atrill, P. &amp; McLaney, E., 2017. </w:t>
              </w:r>
              <w:r>
                <w:rPr>
                  <w:i/>
                  <w:iCs/>
                  <w:noProof/>
                </w:rPr>
                <w:t xml:space="preserve">Accounting and Finance for Non-Specialists. </w:t>
              </w:r>
              <w:r>
                <w:rPr>
                  <w:noProof/>
                </w:rPr>
                <w:t>10th ed. London: Pearson Education Ltd.</w:t>
              </w:r>
            </w:p>
            <w:p w14:paraId="6C8FF8FD" w14:textId="77777777" w:rsidR="002B549D" w:rsidRDefault="002B549D" w:rsidP="002B549D">
              <w:pPr>
                <w:pStyle w:val="Bibliography"/>
                <w:rPr>
                  <w:noProof/>
                </w:rPr>
              </w:pPr>
              <w:r>
                <w:rPr>
                  <w:noProof/>
                </w:rPr>
                <w:t xml:space="preserve">Brashear, J., 2023. </w:t>
              </w:r>
              <w:r>
                <w:rPr>
                  <w:i/>
                  <w:iCs/>
                  <w:noProof/>
                </w:rPr>
                <w:t xml:space="preserve">What Are Activity Ratios?. </w:t>
              </w:r>
              <w:r>
                <w:rPr>
                  <w:noProof/>
                </w:rPr>
                <w:t xml:space="preserve">[Online] </w:t>
              </w:r>
              <w:r>
                <w:rPr>
                  <w:noProof/>
                </w:rPr>
                <w:br/>
                <w:t xml:space="preserve">Available at: </w:t>
              </w:r>
              <w:r>
                <w:rPr>
                  <w:noProof/>
                  <w:u w:val="single"/>
                </w:rPr>
                <w:t>https://www.aaii.com/education/article/17336-what-are-activity-ratios</w:t>
              </w:r>
              <w:r>
                <w:rPr>
                  <w:noProof/>
                </w:rPr>
                <w:br/>
                <w:t>[Accessed 24th January 2023].</w:t>
              </w:r>
            </w:p>
            <w:p w14:paraId="6A4FFAC4" w14:textId="77777777" w:rsidR="002B549D" w:rsidRDefault="002B549D" w:rsidP="002B549D">
              <w:pPr>
                <w:pStyle w:val="Bibliography"/>
                <w:rPr>
                  <w:noProof/>
                </w:rPr>
              </w:pPr>
              <w:r>
                <w:rPr>
                  <w:noProof/>
                </w:rPr>
                <w:t xml:space="preserve">Cattlin, R, 2022. </w:t>
              </w:r>
              <w:r>
                <w:rPr>
                  <w:i/>
                  <w:iCs/>
                  <w:noProof/>
                </w:rPr>
                <w:t xml:space="preserve">A Guide To The Gearing Ratio. </w:t>
              </w:r>
              <w:r>
                <w:rPr>
                  <w:noProof/>
                </w:rPr>
                <w:t xml:space="preserve">[Online] </w:t>
              </w:r>
              <w:r>
                <w:rPr>
                  <w:noProof/>
                </w:rPr>
                <w:br/>
                <w:t xml:space="preserve">Available at: </w:t>
              </w:r>
              <w:r>
                <w:rPr>
                  <w:noProof/>
                  <w:u w:val="single"/>
                </w:rPr>
                <w:t>https://www.cityindex.com/en-uk/news-and-analysis/gearing-ratios-explained/#:~:text=A%20good%20gearing%20ratio%20will,and%20stocks%20in%20other%20sectors.</w:t>
              </w:r>
              <w:r>
                <w:rPr>
                  <w:noProof/>
                </w:rPr>
                <w:br/>
                <w:t>[Accessed 26 January 2023].</w:t>
              </w:r>
            </w:p>
            <w:p w14:paraId="195430F5" w14:textId="77777777" w:rsidR="002B549D" w:rsidRDefault="002B549D" w:rsidP="002B549D">
              <w:pPr>
                <w:pStyle w:val="Bibliography"/>
                <w:rPr>
                  <w:noProof/>
                </w:rPr>
              </w:pPr>
              <w:r>
                <w:rPr>
                  <w:noProof/>
                </w:rPr>
                <w:t xml:space="preserve">CFI Team, 2022. </w:t>
              </w:r>
              <w:r>
                <w:rPr>
                  <w:i/>
                  <w:iCs/>
                  <w:noProof/>
                </w:rPr>
                <w:t xml:space="preserve">Cash Flow Statement. </w:t>
              </w:r>
              <w:r>
                <w:rPr>
                  <w:noProof/>
                </w:rPr>
                <w:t xml:space="preserve">[Online] </w:t>
              </w:r>
              <w:r>
                <w:rPr>
                  <w:noProof/>
                </w:rPr>
                <w:br/>
                <w:t xml:space="preserve">Available at: </w:t>
              </w:r>
              <w:r>
                <w:rPr>
                  <w:noProof/>
                  <w:u w:val="single"/>
                </w:rPr>
                <w:t>https://corporatefinanceinstitute.com/resources/accounting/cash-flow-statement%E2%80%8B/</w:t>
              </w:r>
              <w:r>
                <w:rPr>
                  <w:noProof/>
                </w:rPr>
                <w:br/>
                <w:t>[Accessed 15 January 2023].</w:t>
              </w:r>
            </w:p>
            <w:p w14:paraId="4DE6F53B" w14:textId="77777777" w:rsidR="002B549D" w:rsidRDefault="002B549D" w:rsidP="002B549D">
              <w:pPr>
                <w:pStyle w:val="Bibliography"/>
                <w:rPr>
                  <w:noProof/>
                </w:rPr>
              </w:pPr>
              <w:r>
                <w:rPr>
                  <w:noProof/>
                </w:rPr>
                <w:t xml:space="preserve">CFI Team, 2022. </w:t>
              </w:r>
              <w:r>
                <w:rPr>
                  <w:i/>
                  <w:iCs/>
                  <w:noProof/>
                </w:rPr>
                <w:t xml:space="preserve">Cash Flow Statement. </w:t>
              </w:r>
              <w:r>
                <w:rPr>
                  <w:noProof/>
                </w:rPr>
                <w:t xml:space="preserve">[Online] </w:t>
              </w:r>
              <w:r>
                <w:rPr>
                  <w:noProof/>
                </w:rPr>
                <w:br/>
                <w:t xml:space="preserve">Available at: </w:t>
              </w:r>
              <w:r>
                <w:rPr>
                  <w:noProof/>
                  <w:u w:val="single"/>
                </w:rPr>
                <w:t>https://corporatefinanceinstitute.com/resources/accounting/cash-flow-statement%E2%80%8B/</w:t>
              </w:r>
              <w:r>
                <w:rPr>
                  <w:noProof/>
                </w:rPr>
                <w:br/>
                <w:t>[Accessed 15 January 2023].</w:t>
              </w:r>
            </w:p>
            <w:p w14:paraId="305AA430" w14:textId="77777777" w:rsidR="002B549D" w:rsidRDefault="002B549D" w:rsidP="002B549D">
              <w:pPr>
                <w:pStyle w:val="Bibliography"/>
                <w:rPr>
                  <w:noProof/>
                </w:rPr>
              </w:pPr>
              <w:r>
                <w:rPr>
                  <w:noProof/>
                </w:rPr>
                <w:t xml:space="preserve">CFI Team, 2022. </w:t>
              </w:r>
              <w:r>
                <w:rPr>
                  <w:i/>
                  <w:iCs/>
                  <w:noProof/>
                </w:rPr>
                <w:t xml:space="preserve">Investing in Stocks With Dividends vs Stocks Without Dividends. </w:t>
              </w:r>
              <w:r>
                <w:rPr>
                  <w:noProof/>
                </w:rPr>
                <w:t xml:space="preserve">[Online] </w:t>
              </w:r>
              <w:r>
                <w:rPr>
                  <w:noProof/>
                </w:rPr>
                <w:br/>
                <w:t xml:space="preserve">Available at: </w:t>
              </w:r>
              <w:r>
                <w:rPr>
                  <w:noProof/>
                  <w:u w:val="single"/>
                </w:rPr>
                <w:t>https://corporatefinanceinstitute.com/resources/equities/investing-in-stocks-with-dividends-vs-stocks-without-dividends/</w:t>
              </w:r>
              <w:r>
                <w:rPr>
                  <w:noProof/>
                </w:rPr>
                <w:br/>
                <w:t>[Accessed 26 January 2023].</w:t>
              </w:r>
            </w:p>
            <w:p w14:paraId="2059916B" w14:textId="77777777" w:rsidR="002B549D" w:rsidRDefault="002B549D" w:rsidP="002B549D">
              <w:pPr>
                <w:pStyle w:val="Bibliography"/>
                <w:rPr>
                  <w:noProof/>
                </w:rPr>
              </w:pPr>
              <w:r>
                <w:rPr>
                  <w:noProof/>
                </w:rPr>
                <w:t xml:space="preserve">Dhanashire, R, 2023. </w:t>
              </w:r>
              <w:r>
                <w:rPr>
                  <w:i/>
                  <w:iCs/>
                  <w:noProof/>
                </w:rPr>
                <w:t xml:space="preserve">Balance Sheet Exmaples. </w:t>
              </w:r>
              <w:r>
                <w:rPr>
                  <w:noProof/>
                </w:rPr>
                <w:t xml:space="preserve">[Online] </w:t>
              </w:r>
              <w:r>
                <w:rPr>
                  <w:noProof/>
                </w:rPr>
                <w:br/>
                <w:t xml:space="preserve">Available at: </w:t>
              </w:r>
              <w:r>
                <w:rPr>
                  <w:noProof/>
                  <w:u w:val="single"/>
                </w:rPr>
                <w:t>https://www.wallstreetmojo.com/balance-sheet-examples/</w:t>
              </w:r>
              <w:r>
                <w:rPr>
                  <w:noProof/>
                </w:rPr>
                <w:br/>
                <w:t>[Accessed 15 January 2023].</w:t>
              </w:r>
            </w:p>
            <w:p w14:paraId="272C7064" w14:textId="77777777" w:rsidR="002B549D" w:rsidRDefault="002B549D" w:rsidP="002B549D">
              <w:pPr>
                <w:pStyle w:val="Bibliography"/>
                <w:rPr>
                  <w:noProof/>
                </w:rPr>
              </w:pPr>
              <w:r>
                <w:rPr>
                  <w:noProof/>
                </w:rPr>
                <w:lastRenderedPageBreak/>
                <w:t xml:space="preserve">Dwyer, G, 2018. </w:t>
              </w:r>
              <w:r>
                <w:rPr>
                  <w:i/>
                  <w:iCs/>
                  <w:noProof/>
                </w:rPr>
                <w:t xml:space="preserve">DSO &amp; DPO; What's the difference?. </w:t>
              </w:r>
              <w:r>
                <w:rPr>
                  <w:noProof/>
                </w:rPr>
                <w:t xml:space="preserve">[Online] </w:t>
              </w:r>
              <w:r>
                <w:rPr>
                  <w:noProof/>
                </w:rPr>
                <w:br/>
                <w:t xml:space="preserve">Available at: </w:t>
              </w:r>
              <w:r>
                <w:rPr>
                  <w:noProof/>
                  <w:u w:val="single"/>
                </w:rPr>
                <w:t>https://bstglobal.com/blog/dso-and-dpo-whats-the-difference/</w:t>
              </w:r>
              <w:r>
                <w:rPr>
                  <w:noProof/>
                </w:rPr>
                <w:br/>
                <w:t>[Accessed 24th January 2023].</w:t>
              </w:r>
            </w:p>
            <w:p w14:paraId="6EE080D8" w14:textId="77777777" w:rsidR="002B549D" w:rsidRDefault="002B549D" w:rsidP="002B549D">
              <w:pPr>
                <w:pStyle w:val="Bibliography"/>
                <w:rPr>
                  <w:noProof/>
                </w:rPr>
              </w:pPr>
              <w:r>
                <w:rPr>
                  <w:noProof/>
                </w:rPr>
                <w:t>Fields, E., 2016. The Essentials of Finanance and Accounting for Non-financial Managers. In: 3rd ed. New York: AMA, p. 147.</w:t>
              </w:r>
            </w:p>
            <w:p w14:paraId="35BBDA7A" w14:textId="77777777" w:rsidR="002B549D" w:rsidRDefault="002B549D" w:rsidP="002B549D">
              <w:pPr>
                <w:pStyle w:val="Bibliography"/>
                <w:rPr>
                  <w:noProof/>
                </w:rPr>
              </w:pPr>
              <w:r>
                <w:rPr>
                  <w:noProof/>
                </w:rPr>
                <w:t>Fields, E., 2016. The Essentials of Finance and Accounting for Nonfinancial Managers. In: New York: AMA, p. 321.</w:t>
              </w:r>
            </w:p>
            <w:p w14:paraId="02B9457A" w14:textId="77777777" w:rsidR="002B549D" w:rsidRDefault="002B549D" w:rsidP="002B549D">
              <w:pPr>
                <w:pStyle w:val="Bibliography"/>
                <w:rPr>
                  <w:noProof/>
                </w:rPr>
              </w:pPr>
              <w:r>
                <w:rPr>
                  <w:noProof/>
                </w:rPr>
                <w:t xml:space="preserve">Gadoiu, M., 2013. ADVANTAGES AND LIMITATIONS OF THE FINANCIAL RATIOS USED IN THE FINANCIAL DIAGNOSIS OF THE ENTERPRISE. </w:t>
              </w:r>
              <w:r>
                <w:rPr>
                  <w:i/>
                  <w:iCs/>
                  <w:noProof/>
                </w:rPr>
                <w:t xml:space="preserve">Scientifc Bulletin - Ecomnomic Sciences, </w:t>
              </w:r>
              <w:r>
                <w:rPr>
                  <w:noProof/>
                </w:rPr>
                <w:t>13(2).</w:t>
              </w:r>
            </w:p>
            <w:p w14:paraId="18AB13EB" w14:textId="77777777" w:rsidR="002B549D" w:rsidRDefault="002B549D" w:rsidP="002B549D">
              <w:pPr>
                <w:pStyle w:val="Bibliography"/>
                <w:rPr>
                  <w:noProof/>
                </w:rPr>
              </w:pPr>
              <w:r>
                <w:rPr>
                  <w:noProof/>
                </w:rPr>
                <w:t xml:space="preserve">Guan, M; et al, 2022. </w:t>
              </w:r>
              <w:r>
                <w:rPr>
                  <w:i/>
                  <w:iCs/>
                  <w:noProof/>
                </w:rPr>
                <w:t xml:space="preserve">5 Trends Shaping tomorrow's luxury car market. </w:t>
              </w:r>
              <w:r>
                <w:rPr>
                  <w:noProof/>
                </w:rPr>
                <w:t xml:space="preserve">[Online] </w:t>
              </w:r>
              <w:r>
                <w:rPr>
                  <w:noProof/>
                </w:rPr>
                <w:br/>
                <w:t xml:space="preserve">Available at: </w:t>
              </w:r>
              <w:r>
                <w:rPr>
                  <w:noProof/>
                  <w:u w:val="single"/>
                </w:rPr>
                <w:t>https://www.mckinsey.com/industries/automotive-and-assembly/our-insights/five-trends-shaping-tomorrows-luxury-car-market</w:t>
              </w:r>
              <w:r>
                <w:rPr>
                  <w:noProof/>
                </w:rPr>
                <w:br/>
                <w:t>[Accessed 27 January 2023].</w:t>
              </w:r>
            </w:p>
            <w:p w14:paraId="7627D37F" w14:textId="77777777" w:rsidR="002B549D" w:rsidRDefault="002B549D" w:rsidP="002B549D">
              <w:pPr>
                <w:pStyle w:val="Bibliography"/>
                <w:rPr>
                  <w:noProof/>
                </w:rPr>
              </w:pPr>
              <w:r>
                <w:rPr>
                  <w:noProof/>
                </w:rPr>
                <w:t xml:space="preserve">Guan, M; et al, 2022. </w:t>
              </w:r>
              <w:r>
                <w:rPr>
                  <w:i/>
                  <w:iCs/>
                  <w:noProof/>
                </w:rPr>
                <w:t xml:space="preserve">5 Trends Shaping tomorrow's luxury car market. </w:t>
              </w:r>
              <w:r>
                <w:rPr>
                  <w:noProof/>
                </w:rPr>
                <w:t xml:space="preserve">[Online] </w:t>
              </w:r>
              <w:r>
                <w:rPr>
                  <w:noProof/>
                </w:rPr>
                <w:br/>
                <w:t xml:space="preserve">Available at: </w:t>
              </w:r>
              <w:r>
                <w:rPr>
                  <w:noProof/>
                  <w:u w:val="single"/>
                </w:rPr>
                <w:t>https://www.mckinsey.com/industries/automotive-and-assembly/our-insights/five-trends-shaping-tomorrows-luxury-car-market</w:t>
              </w:r>
              <w:r>
                <w:rPr>
                  <w:noProof/>
                </w:rPr>
                <w:br/>
                <w:t>[Accessed 27 January 2023].</w:t>
              </w:r>
            </w:p>
            <w:p w14:paraId="70E997A9" w14:textId="77777777" w:rsidR="002B549D" w:rsidRDefault="002B549D" w:rsidP="002B549D">
              <w:pPr>
                <w:pStyle w:val="Bibliography"/>
                <w:rPr>
                  <w:noProof/>
                </w:rPr>
              </w:pPr>
              <w:r>
                <w:rPr>
                  <w:noProof/>
                </w:rPr>
                <w:t xml:space="preserve">ICASEW, 2023. </w:t>
              </w:r>
              <w:r>
                <w:rPr>
                  <w:i/>
                  <w:iCs/>
                  <w:noProof/>
                </w:rPr>
                <w:t xml:space="preserve">UK Regulation for Company Accounts - Overview. </w:t>
              </w:r>
              <w:r>
                <w:rPr>
                  <w:noProof/>
                </w:rPr>
                <w:t xml:space="preserve">[Online] </w:t>
              </w:r>
              <w:r>
                <w:rPr>
                  <w:noProof/>
                </w:rPr>
                <w:br/>
                <w:t xml:space="preserve">Available at: </w:t>
              </w:r>
              <w:r>
                <w:rPr>
                  <w:noProof/>
                  <w:u w:val="single"/>
                </w:rPr>
                <w:t>https://www.icaew.com/technical/financial-reporting/uk-regulation-for-company-accounts/overview</w:t>
              </w:r>
              <w:r>
                <w:rPr>
                  <w:noProof/>
                </w:rPr>
                <w:br/>
                <w:t>[Accessed 15 January 2023].</w:t>
              </w:r>
            </w:p>
            <w:p w14:paraId="4C6C1738" w14:textId="77777777" w:rsidR="002B549D" w:rsidRDefault="002B549D" w:rsidP="002B549D">
              <w:pPr>
                <w:pStyle w:val="Bibliography"/>
                <w:rPr>
                  <w:noProof/>
                </w:rPr>
              </w:pPr>
              <w:r>
                <w:rPr>
                  <w:noProof/>
                </w:rPr>
                <w:t xml:space="preserve">Maverick, JB, 2021. </w:t>
              </w:r>
              <w:r>
                <w:rPr>
                  <w:i/>
                  <w:iCs/>
                  <w:noProof/>
                </w:rPr>
                <w:t xml:space="preserve">What Is an example of a Profit and Loss Statement. </w:t>
              </w:r>
              <w:r>
                <w:rPr>
                  <w:noProof/>
                </w:rPr>
                <w:t xml:space="preserve">[Online] </w:t>
              </w:r>
              <w:r>
                <w:rPr>
                  <w:noProof/>
                </w:rPr>
                <w:br/>
                <w:t xml:space="preserve">Available at: </w:t>
              </w:r>
              <w:r>
                <w:rPr>
                  <w:noProof/>
                  <w:u w:val="single"/>
                </w:rPr>
                <w:t>https://www.investopedia.com/ask/answers/122314/whats-example-pl-statement.asp</w:t>
              </w:r>
              <w:r>
                <w:rPr>
                  <w:noProof/>
                </w:rPr>
                <w:br/>
                <w:t>[Accessed 15 January 2023].</w:t>
              </w:r>
            </w:p>
            <w:p w14:paraId="69C39DAD" w14:textId="77777777" w:rsidR="002B549D" w:rsidRDefault="002B549D" w:rsidP="002B549D">
              <w:pPr>
                <w:pStyle w:val="Bibliography"/>
                <w:rPr>
                  <w:noProof/>
                </w:rPr>
              </w:pPr>
              <w:r>
                <w:rPr>
                  <w:noProof/>
                </w:rPr>
                <w:t xml:space="preserve">Novuna, 2023. </w:t>
              </w:r>
              <w:r>
                <w:rPr>
                  <w:i/>
                  <w:iCs/>
                  <w:noProof/>
                </w:rPr>
                <w:t xml:space="preserve">Liquidity Ratio: What is it and how does it work?. </w:t>
              </w:r>
              <w:r>
                <w:rPr>
                  <w:noProof/>
                </w:rPr>
                <w:t xml:space="preserve">[Online] </w:t>
              </w:r>
              <w:r>
                <w:rPr>
                  <w:noProof/>
                </w:rPr>
                <w:br/>
                <w:t xml:space="preserve">Available at: </w:t>
              </w:r>
              <w:r>
                <w:rPr>
                  <w:noProof/>
                  <w:u w:val="single"/>
                </w:rPr>
                <w:t>https://www.novuna.co.uk/business-cash-flow/cash-flow-finance-resource-hub/finance-terms/liquidity-ratio/#:~:text=Liquidity%20ratios%20are%20types%20of,coverage%20of%20short%2Dterm%20debts.</w:t>
              </w:r>
              <w:r>
                <w:rPr>
                  <w:noProof/>
                </w:rPr>
                <w:br/>
                <w:t>[Accessed 24th January 2023].</w:t>
              </w:r>
            </w:p>
            <w:p w14:paraId="1084E9FD" w14:textId="77777777" w:rsidR="002B549D" w:rsidRDefault="002B549D" w:rsidP="002B549D">
              <w:pPr>
                <w:pStyle w:val="Bibliography"/>
                <w:rPr>
                  <w:noProof/>
                </w:rPr>
              </w:pPr>
              <w:r>
                <w:rPr>
                  <w:noProof/>
                </w:rPr>
                <w:t xml:space="preserve">OSV.Ltd, 2023. </w:t>
              </w:r>
              <w:r>
                <w:rPr>
                  <w:i/>
                  <w:iCs/>
                  <w:noProof/>
                </w:rPr>
                <w:t xml:space="preserve">A Briedf History of Aston Martin. </w:t>
              </w:r>
              <w:r>
                <w:rPr>
                  <w:noProof/>
                </w:rPr>
                <w:t xml:space="preserve">[Online] </w:t>
              </w:r>
              <w:r>
                <w:rPr>
                  <w:noProof/>
                </w:rPr>
                <w:br/>
                <w:t xml:space="preserve">Available at: </w:t>
              </w:r>
              <w:r>
                <w:rPr>
                  <w:noProof/>
                  <w:u w:val="single"/>
                </w:rPr>
                <w:t>https://www.osv.ltd.uk/brief-history-of-aston-martin/</w:t>
              </w:r>
              <w:r>
                <w:rPr>
                  <w:noProof/>
                </w:rPr>
                <w:br/>
                <w:t>[Accessed 15 January 2023].</w:t>
              </w:r>
            </w:p>
            <w:p w14:paraId="56115737" w14:textId="77777777" w:rsidR="002B549D" w:rsidRDefault="002B549D" w:rsidP="002B549D">
              <w:pPr>
                <w:pStyle w:val="Bibliography"/>
                <w:rPr>
                  <w:noProof/>
                </w:rPr>
              </w:pPr>
              <w:r>
                <w:rPr>
                  <w:noProof/>
                </w:rPr>
                <w:t xml:space="preserve">Public, 2023. </w:t>
              </w:r>
              <w:r>
                <w:rPr>
                  <w:i/>
                  <w:iCs/>
                  <w:noProof/>
                </w:rPr>
                <w:t xml:space="preserve">What is a negative PE ratio? Are these worth your investment?. </w:t>
              </w:r>
              <w:r>
                <w:rPr>
                  <w:noProof/>
                </w:rPr>
                <w:t xml:space="preserve">[Online] </w:t>
              </w:r>
              <w:r>
                <w:rPr>
                  <w:noProof/>
                </w:rPr>
                <w:br/>
                <w:t xml:space="preserve">Available at: </w:t>
              </w:r>
              <w:r>
                <w:rPr>
                  <w:noProof/>
                  <w:u w:val="single"/>
                </w:rPr>
                <w:t>https://public.com/learn/negative-pe-</w:t>
              </w:r>
              <w:r>
                <w:rPr>
                  <w:noProof/>
                  <w:u w:val="single"/>
                </w:rPr>
                <w:lastRenderedPageBreak/>
                <w:t>ratio#:~:text=What%20does%20negative%20pe%20ratio,over%20the%20last%2012%20months.</w:t>
              </w:r>
              <w:r>
                <w:rPr>
                  <w:noProof/>
                </w:rPr>
                <w:br/>
                <w:t>[Accessed 26 January 2023].</w:t>
              </w:r>
            </w:p>
            <w:p w14:paraId="724BBDAE" w14:textId="77777777" w:rsidR="002B549D" w:rsidRDefault="002B549D" w:rsidP="002B549D">
              <w:pPr>
                <w:pStyle w:val="Bibliography"/>
                <w:rPr>
                  <w:noProof/>
                </w:rPr>
              </w:pPr>
              <w:r>
                <w:rPr>
                  <w:noProof/>
                </w:rPr>
                <w:t xml:space="preserve">Situm, M., 2014. Inability of Gearing-Ratio as Predictor for Early Warning Systems. </w:t>
              </w:r>
              <w:r>
                <w:rPr>
                  <w:i/>
                  <w:iCs/>
                  <w:noProof/>
                </w:rPr>
                <w:t xml:space="preserve">Business Systems Research, </w:t>
              </w:r>
              <w:r>
                <w:rPr>
                  <w:noProof/>
                </w:rPr>
                <w:t>5(2), pp. 23-45.</w:t>
              </w:r>
            </w:p>
            <w:p w14:paraId="5EB8C135" w14:textId="77777777" w:rsidR="002B549D" w:rsidRDefault="002B549D" w:rsidP="002B549D">
              <w:pPr>
                <w:pStyle w:val="Bibliography"/>
                <w:rPr>
                  <w:noProof/>
                </w:rPr>
              </w:pPr>
              <w:r>
                <w:rPr>
                  <w:noProof/>
                </w:rPr>
                <w:t xml:space="preserve">Srivastav, A K, 2023. </w:t>
              </w:r>
              <w:r>
                <w:rPr>
                  <w:i/>
                  <w:iCs/>
                  <w:noProof/>
                </w:rPr>
                <w:t xml:space="preserve">Financial Statement Limitations. </w:t>
              </w:r>
              <w:r>
                <w:rPr>
                  <w:noProof/>
                </w:rPr>
                <w:t xml:space="preserve">[Online] </w:t>
              </w:r>
              <w:r>
                <w:rPr>
                  <w:noProof/>
                </w:rPr>
                <w:br/>
                <w:t xml:space="preserve">Available at: </w:t>
              </w:r>
              <w:r>
                <w:rPr>
                  <w:noProof/>
                  <w:u w:val="single"/>
                </w:rPr>
                <w:t>https://www.wallstreetmojo.com/financial-statement-limitations/</w:t>
              </w:r>
              <w:r>
                <w:rPr>
                  <w:noProof/>
                </w:rPr>
                <w:br/>
                <w:t>[Accessed 22 January 2023].</w:t>
              </w:r>
            </w:p>
            <w:p w14:paraId="70D8F7FA" w14:textId="77777777" w:rsidR="002B549D" w:rsidRDefault="002B549D" w:rsidP="002B549D">
              <w:pPr>
                <w:pStyle w:val="Bibliography"/>
                <w:rPr>
                  <w:noProof/>
                </w:rPr>
              </w:pPr>
              <w:r>
                <w:rPr>
                  <w:noProof/>
                </w:rPr>
                <w:t xml:space="preserve">Srivastav, A K, 2023. </w:t>
              </w:r>
              <w:r>
                <w:rPr>
                  <w:i/>
                  <w:iCs/>
                  <w:noProof/>
                </w:rPr>
                <w:t xml:space="preserve">Profit and Loss Statement Exmaples. </w:t>
              </w:r>
              <w:r>
                <w:rPr>
                  <w:noProof/>
                </w:rPr>
                <w:t xml:space="preserve">[Online] </w:t>
              </w:r>
              <w:r>
                <w:rPr>
                  <w:noProof/>
                </w:rPr>
                <w:br/>
                <w:t xml:space="preserve">Available at: </w:t>
              </w:r>
              <w:r>
                <w:rPr>
                  <w:noProof/>
                  <w:u w:val="single"/>
                </w:rPr>
                <w:t>https://www.wallstreetmojo.com/profit-and-loss-statement-examples/</w:t>
              </w:r>
              <w:r>
                <w:rPr>
                  <w:noProof/>
                </w:rPr>
                <w:br/>
                <w:t>[Accessed 15 January 2023].</w:t>
              </w:r>
            </w:p>
            <w:p w14:paraId="4EAE16F9" w14:textId="77777777" w:rsidR="002B549D" w:rsidRDefault="002B549D" w:rsidP="002B549D">
              <w:pPr>
                <w:pStyle w:val="Bibliography"/>
                <w:rPr>
                  <w:noProof/>
                </w:rPr>
              </w:pPr>
              <w:r>
                <w:rPr>
                  <w:noProof/>
                </w:rPr>
                <w:t xml:space="preserve">Stittle, J. &amp; Wearing, R., 2008. </w:t>
              </w:r>
              <w:r>
                <w:rPr>
                  <w:i/>
                  <w:iCs/>
                  <w:noProof/>
                </w:rPr>
                <w:t xml:space="preserve">Financial Accounting. </w:t>
              </w:r>
              <w:r>
                <w:rPr>
                  <w:noProof/>
                </w:rPr>
                <w:t>LA: SAGE Publications.</w:t>
              </w:r>
            </w:p>
            <w:p w14:paraId="07B430B1" w14:textId="77777777" w:rsidR="002B549D" w:rsidRDefault="002B549D" w:rsidP="002B549D">
              <w:pPr>
                <w:pStyle w:val="Bibliography"/>
                <w:rPr>
                  <w:noProof/>
                </w:rPr>
              </w:pPr>
              <w:r>
                <w:rPr>
                  <w:noProof/>
                </w:rPr>
                <w:t xml:space="preserve">Treece, D, 2022. </w:t>
              </w:r>
              <w:r>
                <w:rPr>
                  <w:i/>
                  <w:iCs/>
                  <w:noProof/>
                </w:rPr>
                <w:t xml:space="preserve">Business News Daily. </w:t>
              </w:r>
              <w:r>
                <w:rPr>
                  <w:noProof/>
                </w:rPr>
                <w:t xml:space="preserve">[Online] </w:t>
              </w:r>
              <w:r>
                <w:rPr>
                  <w:noProof/>
                </w:rPr>
                <w:br/>
                <w:t xml:space="preserve">Available at: </w:t>
              </w:r>
              <w:r>
                <w:rPr>
                  <w:noProof/>
                  <w:u w:val="single"/>
                </w:rPr>
                <w:t>https://www.businessnewsdaily.com/11096-determining-profit-margins.html</w:t>
              </w:r>
              <w:r>
                <w:rPr>
                  <w:noProof/>
                </w:rPr>
                <w:br/>
                <w:t>[Accessed 22 January 2023].</w:t>
              </w:r>
            </w:p>
            <w:p w14:paraId="26BCAECC" w14:textId="77777777" w:rsidR="002B549D" w:rsidRDefault="002B549D" w:rsidP="002B549D">
              <w:pPr>
                <w:pStyle w:val="Bibliography"/>
                <w:rPr>
                  <w:noProof/>
                </w:rPr>
              </w:pPr>
              <w:r>
                <w:rPr>
                  <w:noProof/>
                </w:rPr>
                <w:t xml:space="preserve">Walls Street Prep, 2023. </w:t>
              </w:r>
              <w:r>
                <w:rPr>
                  <w:i/>
                  <w:iCs/>
                  <w:noProof/>
                </w:rPr>
                <w:t xml:space="preserve">What is Liquidity Ratio?. </w:t>
              </w:r>
              <w:r>
                <w:rPr>
                  <w:noProof/>
                </w:rPr>
                <w:t xml:space="preserve">[Online] </w:t>
              </w:r>
              <w:r>
                <w:rPr>
                  <w:noProof/>
                </w:rPr>
                <w:br/>
                <w:t xml:space="preserve">Available at: </w:t>
              </w:r>
              <w:r>
                <w:rPr>
                  <w:noProof/>
                  <w:u w:val="single"/>
                </w:rPr>
                <w:t>https://www.wallstreetprep.com/knowledge/liquidity-ratio/</w:t>
              </w:r>
              <w:r>
                <w:rPr>
                  <w:noProof/>
                </w:rPr>
                <w:br/>
                <w:t>[Accessed 27 Janaury 2023].</w:t>
              </w:r>
            </w:p>
            <w:p w14:paraId="2F8AA04D" w14:textId="77777777" w:rsidR="002B549D" w:rsidRDefault="002B549D" w:rsidP="002B549D">
              <w:pPr>
                <w:pStyle w:val="Bibliography"/>
                <w:rPr>
                  <w:noProof/>
                </w:rPr>
              </w:pPr>
              <w:r>
                <w:rPr>
                  <w:noProof/>
                </w:rPr>
                <w:t xml:space="preserve">Xero, 2022. </w:t>
              </w:r>
              <w:r>
                <w:rPr>
                  <w:i/>
                  <w:iCs/>
                  <w:noProof/>
                </w:rPr>
                <w:t xml:space="preserve">What is a Financial Statement?. </w:t>
              </w:r>
              <w:r>
                <w:rPr>
                  <w:noProof/>
                </w:rPr>
                <w:t xml:space="preserve">[Online] </w:t>
              </w:r>
              <w:r>
                <w:rPr>
                  <w:noProof/>
                </w:rPr>
                <w:br/>
                <w:t xml:space="preserve">Available at: </w:t>
              </w:r>
              <w:r>
                <w:rPr>
                  <w:noProof/>
                  <w:u w:val="single"/>
                </w:rPr>
                <w:t>https://www.xero.com/uk/glossary/financial-statement/</w:t>
              </w:r>
              <w:r>
                <w:rPr>
                  <w:noProof/>
                </w:rPr>
                <w:br/>
                <w:t>[Accessed 15 January 2023].</w:t>
              </w:r>
            </w:p>
            <w:p w14:paraId="35990443" w14:textId="066447DC" w:rsidR="00176C4E" w:rsidRDefault="00176C4E" w:rsidP="002B549D">
              <w:r>
                <w:rPr>
                  <w:b/>
                  <w:bCs/>
                  <w:noProof/>
                </w:rPr>
                <w:fldChar w:fldCharType="end"/>
              </w:r>
            </w:p>
          </w:sdtContent>
        </w:sdt>
      </w:sdtContent>
    </w:sdt>
    <w:p w14:paraId="58564186" w14:textId="77777777" w:rsidR="00AC3316" w:rsidRDefault="00AC3316">
      <w:pPr>
        <w:rPr>
          <w:rFonts w:asciiTheme="majorHAnsi" w:eastAsiaTheme="majorEastAsia" w:hAnsiTheme="majorHAnsi" w:cstheme="majorBidi"/>
          <w:color w:val="365F91" w:themeColor="accent1" w:themeShade="BF"/>
          <w:sz w:val="32"/>
          <w:szCs w:val="32"/>
        </w:rPr>
      </w:pPr>
      <w:r>
        <w:br w:type="page"/>
      </w:r>
    </w:p>
    <w:p w14:paraId="65921D8A" w14:textId="739A0AA2" w:rsidR="002B549D" w:rsidRDefault="002B549D" w:rsidP="002B549D">
      <w:pPr>
        <w:pStyle w:val="Heading1"/>
      </w:pPr>
      <w:bookmarkStart w:id="27" w:name="_Toc125737776"/>
      <w:r>
        <w:lastRenderedPageBreak/>
        <w:t>Table of figures</w:t>
      </w:r>
      <w:bookmarkEnd w:id="27"/>
    </w:p>
    <w:p w14:paraId="0FE2E55C" w14:textId="0D894113" w:rsidR="002B549D" w:rsidRDefault="002B549D">
      <w:pPr>
        <w:pStyle w:val="TableofFigures"/>
        <w:tabs>
          <w:tab w:val="right" w:leader="dot" w:pos="9350"/>
        </w:tabs>
        <w:rPr>
          <w:rFonts w:eastAsiaTheme="minorEastAsia"/>
          <w:noProof/>
          <w:lang w:eastAsia="en-GB"/>
        </w:rPr>
      </w:pPr>
      <w:r>
        <w:fldChar w:fldCharType="begin"/>
      </w:r>
      <w:r>
        <w:instrText xml:space="preserve"> TOC \h \z \c "Figure" </w:instrText>
      </w:r>
      <w:r>
        <w:fldChar w:fldCharType="separate"/>
      </w:r>
      <w:hyperlink w:anchor="_Toc125737699" w:history="1">
        <w:r w:rsidRPr="00E0173F">
          <w:rPr>
            <w:rStyle w:val="Hyperlink"/>
            <w:noProof/>
          </w:rPr>
          <w:t>Figure 1 - Two-year ratio review of AML, 2020-21</w:t>
        </w:r>
        <w:r>
          <w:rPr>
            <w:noProof/>
            <w:webHidden/>
          </w:rPr>
          <w:tab/>
        </w:r>
        <w:r>
          <w:rPr>
            <w:noProof/>
            <w:webHidden/>
          </w:rPr>
          <w:fldChar w:fldCharType="begin"/>
        </w:r>
        <w:r>
          <w:rPr>
            <w:noProof/>
            <w:webHidden/>
          </w:rPr>
          <w:instrText xml:space="preserve"> PAGEREF _Toc125737699 \h </w:instrText>
        </w:r>
        <w:r>
          <w:rPr>
            <w:noProof/>
            <w:webHidden/>
          </w:rPr>
        </w:r>
        <w:r>
          <w:rPr>
            <w:noProof/>
            <w:webHidden/>
          </w:rPr>
          <w:fldChar w:fldCharType="separate"/>
        </w:r>
        <w:r>
          <w:rPr>
            <w:noProof/>
            <w:webHidden/>
          </w:rPr>
          <w:t>6</w:t>
        </w:r>
        <w:r>
          <w:rPr>
            <w:noProof/>
            <w:webHidden/>
          </w:rPr>
          <w:fldChar w:fldCharType="end"/>
        </w:r>
      </w:hyperlink>
    </w:p>
    <w:p w14:paraId="0E85A882" w14:textId="145CAEE7" w:rsidR="002B549D" w:rsidRDefault="002B549D">
      <w:pPr>
        <w:pStyle w:val="TableofFigures"/>
        <w:tabs>
          <w:tab w:val="right" w:leader="dot" w:pos="9350"/>
        </w:tabs>
        <w:rPr>
          <w:rFonts w:eastAsiaTheme="minorEastAsia"/>
          <w:noProof/>
          <w:lang w:eastAsia="en-GB"/>
        </w:rPr>
      </w:pPr>
      <w:hyperlink w:anchor="_Toc125737700" w:history="1">
        <w:r w:rsidRPr="00E0173F">
          <w:rPr>
            <w:rStyle w:val="Hyperlink"/>
            <w:noProof/>
          </w:rPr>
          <w:t>Figure 2 - Composite of trade and Other Payables (Aston Martin Lagonda, 2021)</w:t>
        </w:r>
        <w:r>
          <w:rPr>
            <w:noProof/>
            <w:webHidden/>
          </w:rPr>
          <w:tab/>
        </w:r>
        <w:r>
          <w:rPr>
            <w:noProof/>
            <w:webHidden/>
          </w:rPr>
          <w:fldChar w:fldCharType="begin"/>
        </w:r>
        <w:r>
          <w:rPr>
            <w:noProof/>
            <w:webHidden/>
          </w:rPr>
          <w:instrText xml:space="preserve"> PAGEREF _Toc125737700 \h </w:instrText>
        </w:r>
        <w:r>
          <w:rPr>
            <w:noProof/>
            <w:webHidden/>
          </w:rPr>
        </w:r>
        <w:r>
          <w:rPr>
            <w:noProof/>
            <w:webHidden/>
          </w:rPr>
          <w:fldChar w:fldCharType="separate"/>
        </w:r>
        <w:r>
          <w:rPr>
            <w:noProof/>
            <w:webHidden/>
          </w:rPr>
          <w:t>8</w:t>
        </w:r>
        <w:r>
          <w:rPr>
            <w:noProof/>
            <w:webHidden/>
          </w:rPr>
          <w:fldChar w:fldCharType="end"/>
        </w:r>
      </w:hyperlink>
    </w:p>
    <w:p w14:paraId="389E2B8A" w14:textId="7FEF7769" w:rsidR="002B549D" w:rsidRDefault="002B549D">
      <w:pPr>
        <w:pStyle w:val="TableofFigures"/>
        <w:tabs>
          <w:tab w:val="right" w:leader="dot" w:pos="9350"/>
        </w:tabs>
        <w:rPr>
          <w:rFonts w:eastAsiaTheme="minorEastAsia"/>
          <w:noProof/>
          <w:lang w:eastAsia="en-GB"/>
        </w:rPr>
      </w:pPr>
      <w:hyperlink w:anchor="_Toc125737701" w:history="1">
        <w:r w:rsidRPr="00E0173F">
          <w:rPr>
            <w:rStyle w:val="Hyperlink"/>
            <w:noProof/>
          </w:rPr>
          <w:t>Figure 3 - Balance Sheet Example (Dhanashire, R, 2023)</w:t>
        </w:r>
        <w:r>
          <w:rPr>
            <w:noProof/>
            <w:webHidden/>
          </w:rPr>
          <w:tab/>
        </w:r>
        <w:r>
          <w:rPr>
            <w:noProof/>
            <w:webHidden/>
          </w:rPr>
          <w:fldChar w:fldCharType="begin"/>
        </w:r>
        <w:r>
          <w:rPr>
            <w:noProof/>
            <w:webHidden/>
          </w:rPr>
          <w:instrText xml:space="preserve"> PAGEREF _Toc125737701 \h </w:instrText>
        </w:r>
        <w:r>
          <w:rPr>
            <w:noProof/>
            <w:webHidden/>
          </w:rPr>
        </w:r>
        <w:r>
          <w:rPr>
            <w:noProof/>
            <w:webHidden/>
          </w:rPr>
          <w:fldChar w:fldCharType="separate"/>
        </w:r>
        <w:r>
          <w:rPr>
            <w:noProof/>
            <w:webHidden/>
          </w:rPr>
          <w:t>21</w:t>
        </w:r>
        <w:r>
          <w:rPr>
            <w:noProof/>
            <w:webHidden/>
          </w:rPr>
          <w:fldChar w:fldCharType="end"/>
        </w:r>
      </w:hyperlink>
    </w:p>
    <w:p w14:paraId="26F91C55" w14:textId="3438E7FA" w:rsidR="002B549D" w:rsidRDefault="002B549D">
      <w:pPr>
        <w:pStyle w:val="TableofFigures"/>
        <w:tabs>
          <w:tab w:val="right" w:leader="dot" w:pos="9350"/>
        </w:tabs>
        <w:rPr>
          <w:rFonts w:eastAsiaTheme="minorEastAsia"/>
          <w:noProof/>
          <w:lang w:eastAsia="en-GB"/>
        </w:rPr>
      </w:pPr>
      <w:hyperlink w:anchor="_Toc125737702" w:history="1">
        <w:r w:rsidRPr="00E0173F">
          <w:rPr>
            <w:rStyle w:val="Hyperlink"/>
            <w:noProof/>
          </w:rPr>
          <w:t>Figure 4 - P&amp;L Example (Srivastav, A K, 2023)</w:t>
        </w:r>
        <w:r>
          <w:rPr>
            <w:noProof/>
            <w:webHidden/>
          </w:rPr>
          <w:tab/>
        </w:r>
        <w:r>
          <w:rPr>
            <w:noProof/>
            <w:webHidden/>
          </w:rPr>
          <w:fldChar w:fldCharType="begin"/>
        </w:r>
        <w:r>
          <w:rPr>
            <w:noProof/>
            <w:webHidden/>
          </w:rPr>
          <w:instrText xml:space="preserve"> PAGEREF _Toc125737702 \h </w:instrText>
        </w:r>
        <w:r>
          <w:rPr>
            <w:noProof/>
            <w:webHidden/>
          </w:rPr>
        </w:r>
        <w:r>
          <w:rPr>
            <w:noProof/>
            <w:webHidden/>
          </w:rPr>
          <w:fldChar w:fldCharType="separate"/>
        </w:r>
        <w:r>
          <w:rPr>
            <w:noProof/>
            <w:webHidden/>
          </w:rPr>
          <w:t>21</w:t>
        </w:r>
        <w:r>
          <w:rPr>
            <w:noProof/>
            <w:webHidden/>
          </w:rPr>
          <w:fldChar w:fldCharType="end"/>
        </w:r>
      </w:hyperlink>
    </w:p>
    <w:p w14:paraId="3DC0C27E" w14:textId="17009CBA" w:rsidR="002B549D" w:rsidRDefault="002B549D">
      <w:pPr>
        <w:pStyle w:val="TableofFigures"/>
        <w:tabs>
          <w:tab w:val="right" w:leader="dot" w:pos="9350"/>
        </w:tabs>
        <w:rPr>
          <w:rFonts w:eastAsiaTheme="minorEastAsia"/>
          <w:noProof/>
          <w:lang w:eastAsia="en-GB"/>
        </w:rPr>
      </w:pPr>
      <w:hyperlink w:anchor="_Toc125737703" w:history="1">
        <w:r w:rsidRPr="00E0173F">
          <w:rPr>
            <w:rStyle w:val="Hyperlink"/>
            <w:noProof/>
          </w:rPr>
          <w:t>Figure 5 - Cash Flow Statement Example (CFI Team, 2022)</w:t>
        </w:r>
        <w:r>
          <w:rPr>
            <w:noProof/>
            <w:webHidden/>
          </w:rPr>
          <w:tab/>
        </w:r>
        <w:r>
          <w:rPr>
            <w:noProof/>
            <w:webHidden/>
          </w:rPr>
          <w:fldChar w:fldCharType="begin"/>
        </w:r>
        <w:r>
          <w:rPr>
            <w:noProof/>
            <w:webHidden/>
          </w:rPr>
          <w:instrText xml:space="preserve"> PAGEREF _Toc125737703 \h </w:instrText>
        </w:r>
        <w:r>
          <w:rPr>
            <w:noProof/>
            <w:webHidden/>
          </w:rPr>
        </w:r>
        <w:r>
          <w:rPr>
            <w:noProof/>
            <w:webHidden/>
          </w:rPr>
          <w:fldChar w:fldCharType="separate"/>
        </w:r>
        <w:r>
          <w:rPr>
            <w:noProof/>
            <w:webHidden/>
          </w:rPr>
          <w:t>22</w:t>
        </w:r>
        <w:r>
          <w:rPr>
            <w:noProof/>
            <w:webHidden/>
          </w:rPr>
          <w:fldChar w:fldCharType="end"/>
        </w:r>
      </w:hyperlink>
    </w:p>
    <w:p w14:paraId="2A903CB4" w14:textId="26F23EE8" w:rsidR="00B45490" w:rsidRDefault="002B549D">
      <w:r>
        <w:fldChar w:fldCharType="end"/>
      </w:r>
      <w:r w:rsidR="00B45490">
        <w:br w:type="page"/>
      </w:r>
    </w:p>
    <w:p w14:paraId="4D8A6C64" w14:textId="5BBCB417" w:rsidR="00176C4E" w:rsidRDefault="00B45490" w:rsidP="00B45490">
      <w:pPr>
        <w:pStyle w:val="Heading1"/>
      </w:pPr>
      <w:bookmarkStart w:id="28" w:name="_Toc125737777"/>
      <w:r>
        <w:lastRenderedPageBreak/>
        <w:t>Appendices</w:t>
      </w:r>
      <w:bookmarkEnd w:id="28"/>
    </w:p>
    <w:p w14:paraId="34D6FFC7" w14:textId="001C8408" w:rsidR="00B45490" w:rsidRDefault="00B45490" w:rsidP="00B45490">
      <w:pPr>
        <w:pStyle w:val="Heading2"/>
      </w:pPr>
      <w:bookmarkStart w:id="29" w:name="_Toc125737778"/>
      <w:r>
        <w:t>2021 Financial Statements for Aston Martin Lagonda</w:t>
      </w:r>
      <w:bookmarkEnd w:id="29"/>
    </w:p>
    <w:p w14:paraId="4836F0FF" w14:textId="721BA96F" w:rsidR="00B45490" w:rsidRDefault="001425D8" w:rsidP="001425D8">
      <w:pPr>
        <w:pStyle w:val="Heading3"/>
      </w:pPr>
      <w:bookmarkStart w:id="30" w:name="_Toc125737779"/>
      <w:r>
        <w:t>Income Statement</w:t>
      </w:r>
      <w:bookmarkEnd w:id="30"/>
    </w:p>
    <w:p w14:paraId="32D19D90" w14:textId="183E9B42" w:rsidR="00B45490" w:rsidRDefault="00B45490" w:rsidP="009E4F8E">
      <w:bookmarkStart w:id="31" w:name="_Toc125486397"/>
      <w:r>
        <w:rPr>
          <w:noProof/>
        </w:rPr>
        <w:drawing>
          <wp:inline distT="0" distB="0" distL="0" distR="0" wp14:anchorId="367E1A2E" wp14:editId="6C2CD151">
            <wp:extent cx="5943600" cy="517715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5177155"/>
                    </a:xfrm>
                    <a:prstGeom prst="rect">
                      <a:avLst/>
                    </a:prstGeom>
                  </pic:spPr>
                </pic:pic>
              </a:graphicData>
            </a:graphic>
          </wp:inline>
        </w:drawing>
      </w:r>
      <w:bookmarkEnd w:id="31"/>
    </w:p>
    <w:p w14:paraId="4BB2CB9B" w14:textId="77777777" w:rsidR="00B45490" w:rsidRPr="00B45490" w:rsidRDefault="00B45490" w:rsidP="00B45490"/>
    <w:p w14:paraId="48794CD5" w14:textId="7E2D77FC" w:rsidR="001425D8" w:rsidRDefault="001425D8">
      <w:r>
        <w:br w:type="page"/>
      </w:r>
    </w:p>
    <w:p w14:paraId="31610C2A" w14:textId="2F418DAF" w:rsidR="00B45490" w:rsidRDefault="001425D8" w:rsidP="001425D8">
      <w:pPr>
        <w:pStyle w:val="Heading3"/>
      </w:pPr>
      <w:bookmarkStart w:id="32" w:name="_Toc125737780"/>
      <w:r>
        <w:lastRenderedPageBreak/>
        <w:t>Balance Sheet</w:t>
      </w:r>
      <w:bookmarkEnd w:id="32"/>
    </w:p>
    <w:p w14:paraId="00E54E24" w14:textId="21F8DBEB" w:rsidR="001425D8" w:rsidRDefault="001425D8" w:rsidP="001425D8">
      <w:r>
        <w:rPr>
          <w:noProof/>
        </w:rPr>
        <w:drawing>
          <wp:inline distT="0" distB="0" distL="0" distR="0" wp14:anchorId="38BC8B28" wp14:editId="5FF3AB20">
            <wp:extent cx="5943600" cy="60439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6043930"/>
                    </a:xfrm>
                    <a:prstGeom prst="rect">
                      <a:avLst/>
                    </a:prstGeom>
                  </pic:spPr>
                </pic:pic>
              </a:graphicData>
            </a:graphic>
          </wp:inline>
        </w:drawing>
      </w:r>
    </w:p>
    <w:p w14:paraId="6319926C" w14:textId="45DB08E3" w:rsidR="001425D8" w:rsidRDefault="001425D8">
      <w:r>
        <w:br w:type="page"/>
      </w:r>
    </w:p>
    <w:p w14:paraId="7EF0D836" w14:textId="2756B450" w:rsidR="001425D8" w:rsidRDefault="001425D8" w:rsidP="001425D8">
      <w:pPr>
        <w:pStyle w:val="Heading3"/>
      </w:pPr>
      <w:bookmarkStart w:id="33" w:name="_Toc125737781"/>
      <w:r>
        <w:lastRenderedPageBreak/>
        <w:t>Cash Flow Statement</w:t>
      </w:r>
      <w:bookmarkEnd w:id="33"/>
    </w:p>
    <w:p w14:paraId="44502D6B" w14:textId="5A42ED60" w:rsidR="001425D8" w:rsidRPr="001425D8" w:rsidRDefault="001425D8" w:rsidP="001425D8">
      <w:r>
        <w:rPr>
          <w:noProof/>
        </w:rPr>
        <w:drawing>
          <wp:inline distT="0" distB="0" distL="0" distR="0" wp14:anchorId="54995E1B" wp14:editId="399B084A">
            <wp:extent cx="5943600" cy="53778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5377815"/>
                    </a:xfrm>
                    <a:prstGeom prst="rect">
                      <a:avLst/>
                    </a:prstGeom>
                  </pic:spPr>
                </pic:pic>
              </a:graphicData>
            </a:graphic>
          </wp:inline>
        </w:drawing>
      </w:r>
    </w:p>
    <w:p w14:paraId="1E222CB1" w14:textId="77777777" w:rsidR="00FB5E9D" w:rsidRDefault="00FB5E9D" w:rsidP="00FB5E9D">
      <w:pPr>
        <w:pStyle w:val="Heading1"/>
      </w:pPr>
      <w:bookmarkStart w:id="34" w:name="_Toc125737782"/>
      <w:r>
        <w:t>Financial Statement Types</w:t>
      </w:r>
      <w:bookmarkEnd w:id="34"/>
    </w:p>
    <w:p w14:paraId="201935A1" w14:textId="77777777" w:rsidR="00FB5E9D" w:rsidRDefault="00FB5E9D" w:rsidP="00FB5E9D">
      <w:r>
        <w:t xml:space="preserve">Below are the common financial statements that are used in accounting, each own their own tell a story on the company’s performance and together provide an excellent tool to understand its overall financial health. </w:t>
      </w:r>
    </w:p>
    <w:p w14:paraId="022B253A" w14:textId="77777777" w:rsidR="00FB5E9D" w:rsidRDefault="00FB5E9D" w:rsidP="009E4F8E">
      <w:pPr>
        <w:pStyle w:val="Heading2"/>
      </w:pPr>
      <w:bookmarkStart w:id="35" w:name="_Toc125737783"/>
      <w:r>
        <w:t>Balance Sheet</w:t>
      </w:r>
      <w:bookmarkEnd w:id="35"/>
    </w:p>
    <w:p w14:paraId="4C3FDD57" w14:textId="21086D6F" w:rsidR="00FB5E9D" w:rsidRPr="00321554" w:rsidRDefault="00FB5E9D" w:rsidP="00FB5E9D">
      <w:pPr>
        <w:rPr>
          <w:color w:val="00B050"/>
        </w:rPr>
      </w:pPr>
      <w:r>
        <w:t xml:space="preserve">A balance sheet gives a snapshot of a business’s financial position by comparing its assets (what it owns) against its liabilities (what it owes) and stockholders’ equity at a point in time </w:t>
      </w:r>
      <w:sdt>
        <w:sdtPr>
          <w:id w:val="-1900432221"/>
          <w:citation/>
        </w:sdtPr>
        <w:sdtEndPr/>
        <w:sdtContent>
          <w:r>
            <w:fldChar w:fldCharType="begin"/>
          </w:r>
          <w:r>
            <w:instrText xml:space="preserve"> CITATION Fie161 \l 2057 </w:instrText>
          </w:r>
          <w:r>
            <w:fldChar w:fldCharType="separate"/>
          </w:r>
          <w:r w:rsidR="002B549D" w:rsidRPr="002B549D">
            <w:rPr>
              <w:noProof/>
            </w:rPr>
            <w:t>(Fields, 2016)</w:t>
          </w:r>
          <w:r>
            <w:fldChar w:fldCharType="end"/>
          </w:r>
        </w:sdtContent>
      </w:sdt>
      <w:r>
        <w:t xml:space="preserve">. </w:t>
      </w:r>
    </w:p>
    <w:p w14:paraId="491B2015" w14:textId="77777777" w:rsidR="00FB5E9D" w:rsidRDefault="00FB5E9D" w:rsidP="00AC3316">
      <w:pPr>
        <w:jc w:val="center"/>
      </w:pPr>
      <w:r>
        <w:t>Assets – Liabilities = Equity</w:t>
      </w:r>
    </w:p>
    <w:p w14:paraId="30AAAF6E" w14:textId="77777777" w:rsidR="00FB5E9D" w:rsidRDefault="00FB5E9D" w:rsidP="00FB5E9D">
      <w:pPr>
        <w:jc w:val="center"/>
      </w:pPr>
      <w:r>
        <w:rPr>
          <w:noProof/>
        </w:rPr>
        <w:lastRenderedPageBreak/>
        <w:drawing>
          <wp:inline distT="0" distB="0" distL="0" distR="0" wp14:anchorId="4CCB1396" wp14:editId="25BB2DD9">
            <wp:extent cx="1488559" cy="149915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02472" cy="1513165"/>
                    </a:xfrm>
                    <a:prstGeom prst="rect">
                      <a:avLst/>
                    </a:prstGeom>
                  </pic:spPr>
                </pic:pic>
              </a:graphicData>
            </a:graphic>
          </wp:inline>
        </w:drawing>
      </w:r>
    </w:p>
    <w:p w14:paraId="1F18D4B9" w14:textId="7470FFD3" w:rsidR="00FB5E9D" w:rsidRDefault="00FB5E9D" w:rsidP="00FB5E9D">
      <w:pPr>
        <w:pStyle w:val="Caption"/>
        <w:jc w:val="center"/>
      </w:pPr>
      <w:bookmarkStart w:id="36" w:name="_Toc125667751"/>
      <w:bookmarkStart w:id="37" w:name="_Toc125737701"/>
      <w:r>
        <w:t xml:space="preserve">Figure </w:t>
      </w:r>
      <w:fldSimple w:instr=" SEQ Figure \* ARABIC ">
        <w:r w:rsidR="004A1A78">
          <w:rPr>
            <w:noProof/>
          </w:rPr>
          <w:t>3</w:t>
        </w:r>
      </w:fldSimple>
      <w:r>
        <w:t xml:space="preserve"> - Balance Sheet Example </w:t>
      </w:r>
      <w:sdt>
        <w:sdtPr>
          <w:id w:val="1198357107"/>
          <w:citation/>
        </w:sdtPr>
        <w:sdtEndPr/>
        <w:sdtContent>
          <w:r>
            <w:fldChar w:fldCharType="begin"/>
          </w:r>
          <w:r>
            <w:instrText xml:space="preserve"> CITATION Dha23 \l 2057 </w:instrText>
          </w:r>
          <w:r>
            <w:fldChar w:fldCharType="separate"/>
          </w:r>
          <w:r w:rsidR="002B549D" w:rsidRPr="002B549D">
            <w:rPr>
              <w:noProof/>
            </w:rPr>
            <w:t>(Dhanashire, R, 2023)</w:t>
          </w:r>
          <w:r>
            <w:fldChar w:fldCharType="end"/>
          </w:r>
        </w:sdtContent>
      </w:sdt>
      <w:bookmarkEnd w:id="36"/>
      <w:bookmarkEnd w:id="37"/>
    </w:p>
    <w:p w14:paraId="16A574CF" w14:textId="77777777" w:rsidR="00FB5E9D" w:rsidRDefault="00FB5E9D" w:rsidP="009E4F8E">
      <w:pPr>
        <w:pStyle w:val="Heading2"/>
      </w:pPr>
      <w:bookmarkStart w:id="38" w:name="_Toc125737784"/>
      <w:r>
        <w:t>Profit and Loss Statement (Income Statement)</w:t>
      </w:r>
      <w:bookmarkEnd w:id="38"/>
    </w:p>
    <w:p w14:paraId="647ED422" w14:textId="7EDF895C" w:rsidR="00FB5E9D" w:rsidRDefault="00FB5E9D" w:rsidP="00FB5E9D">
      <w:r>
        <w:t xml:space="preserve">The Profit and Loss Statement (P&amp;L) is a report that shows the revenue and expenses within a business during a fiscal period. It is a useful tool that can be used by internal financial and nonfinancial people alike that is often reviewed monthly to try and control business spending with the aim of maintaining a positive net income position </w:t>
      </w:r>
      <w:sdt>
        <w:sdtPr>
          <w:id w:val="1519201328"/>
          <w:citation/>
        </w:sdtPr>
        <w:sdtEndPr/>
        <w:sdtContent>
          <w:r>
            <w:fldChar w:fldCharType="begin"/>
          </w:r>
          <w:r>
            <w:instrText xml:space="preserve"> CITATION Mav21 \l 2057 </w:instrText>
          </w:r>
          <w:r>
            <w:fldChar w:fldCharType="separate"/>
          </w:r>
          <w:r w:rsidR="002B549D" w:rsidRPr="002B549D">
            <w:rPr>
              <w:noProof/>
            </w:rPr>
            <w:t>(Maverick, JB, 2021)</w:t>
          </w:r>
          <w:r>
            <w:fldChar w:fldCharType="end"/>
          </w:r>
        </w:sdtContent>
      </w:sdt>
      <w:r>
        <w:t>. They are also helpful to business’s when forecasting performance over a period. A company’s revenue can come from products or services sold, while expenses are often split in to two types, fixed and variable, for example licence fees or consumables respectively.</w:t>
      </w:r>
    </w:p>
    <w:p w14:paraId="709CF943" w14:textId="77777777" w:rsidR="00FB5E9D" w:rsidRDefault="00FB5E9D" w:rsidP="00AC3316">
      <w:pPr>
        <w:jc w:val="center"/>
      </w:pPr>
      <w:r>
        <w:t>Revenue – Expenses = Net Income</w:t>
      </w:r>
    </w:p>
    <w:p w14:paraId="5113622B" w14:textId="77777777" w:rsidR="00FB5E9D" w:rsidRDefault="00FB5E9D" w:rsidP="00FB5E9D">
      <w:pPr>
        <w:jc w:val="center"/>
      </w:pPr>
      <w:r>
        <w:rPr>
          <w:noProof/>
        </w:rPr>
        <w:drawing>
          <wp:inline distT="0" distB="0" distL="0" distR="0" wp14:anchorId="18DA94D5" wp14:editId="148C6F4C">
            <wp:extent cx="1573618" cy="179898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94305" cy="1822637"/>
                    </a:xfrm>
                    <a:prstGeom prst="rect">
                      <a:avLst/>
                    </a:prstGeom>
                  </pic:spPr>
                </pic:pic>
              </a:graphicData>
            </a:graphic>
          </wp:inline>
        </w:drawing>
      </w:r>
    </w:p>
    <w:p w14:paraId="6FA9FBF0" w14:textId="31154C19" w:rsidR="00FB5E9D" w:rsidRDefault="00FB5E9D" w:rsidP="00FB5E9D">
      <w:pPr>
        <w:pStyle w:val="Caption"/>
        <w:jc w:val="center"/>
      </w:pPr>
      <w:bookmarkStart w:id="39" w:name="_Toc125667752"/>
      <w:bookmarkStart w:id="40" w:name="_Toc125737702"/>
      <w:r>
        <w:t xml:space="preserve">Figure </w:t>
      </w:r>
      <w:fldSimple w:instr=" SEQ Figure \* ARABIC ">
        <w:r w:rsidR="004A1A78">
          <w:rPr>
            <w:noProof/>
          </w:rPr>
          <w:t>4</w:t>
        </w:r>
      </w:fldSimple>
      <w:r>
        <w:t xml:space="preserve"> - P&amp;L Example </w:t>
      </w:r>
      <w:sdt>
        <w:sdtPr>
          <w:id w:val="-876552254"/>
          <w:citation/>
        </w:sdtPr>
        <w:sdtEndPr/>
        <w:sdtContent>
          <w:r>
            <w:fldChar w:fldCharType="begin"/>
          </w:r>
          <w:r>
            <w:instrText xml:space="preserve"> CITATION Sri23 \l 2057 </w:instrText>
          </w:r>
          <w:r>
            <w:fldChar w:fldCharType="separate"/>
          </w:r>
          <w:r w:rsidR="002B549D" w:rsidRPr="002B549D">
            <w:rPr>
              <w:noProof/>
            </w:rPr>
            <w:t>(Srivastav, A K, 2023)</w:t>
          </w:r>
          <w:r>
            <w:fldChar w:fldCharType="end"/>
          </w:r>
        </w:sdtContent>
      </w:sdt>
      <w:bookmarkEnd w:id="39"/>
      <w:bookmarkEnd w:id="40"/>
    </w:p>
    <w:p w14:paraId="67330ABD" w14:textId="77777777" w:rsidR="00FB5E9D" w:rsidRPr="001217A9" w:rsidRDefault="00FB5E9D" w:rsidP="009E4F8E">
      <w:pPr>
        <w:pStyle w:val="Heading2"/>
      </w:pPr>
      <w:bookmarkStart w:id="41" w:name="_Toc125737785"/>
      <w:r>
        <w:t>Cash Flow Statement</w:t>
      </w:r>
      <w:bookmarkEnd w:id="41"/>
      <w:r>
        <w:t xml:space="preserve"> </w:t>
      </w:r>
    </w:p>
    <w:p w14:paraId="2C2FEBDF" w14:textId="76342D0A" w:rsidR="00FB5E9D" w:rsidRDefault="00FB5E9D" w:rsidP="00FB5E9D">
      <w:r>
        <w:t xml:space="preserve">A Cash Flow Statement is a tool used to display how much cash is generated and then how it is used over a given period within a business </w:t>
      </w:r>
      <w:sdt>
        <w:sdtPr>
          <w:id w:val="-1098716109"/>
          <w:citation/>
        </w:sdtPr>
        <w:sdtEndPr/>
        <w:sdtContent>
          <w:r>
            <w:fldChar w:fldCharType="begin"/>
          </w:r>
          <w:r>
            <w:instrText xml:space="preserve"> CITATION CFI22 \l 2057 </w:instrText>
          </w:r>
          <w:r>
            <w:fldChar w:fldCharType="separate"/>
          </w:r>
          <w:r w:rsidR="002B549D" w:rsidRPr="002B549D">
            <w:rPr>
              <w:noProof/>
            </w:rPr>
            <w:t>(CFI Team, 2022)</w:t>
          </w:r>
          <w:r>
            <w:fldChar w:fldCharType="end"/>
          </w:r>
        </w:sdtContent>
      </w:sdt>
      <w:r>
        <w:t>. This statement allows management, analysts, and investors to assess how much money it receives from company operations. The cash flow differs from the P&amp;L statement as it only considers cash that has been either received or paid, rather than that which has not yet been collected.</w:t>
      </w:r>
    </w:p>
    <w:p w14:paraId="4578A37A" w14:textId="77777777" w:rsidR="00FB5E9D" w:rsidRDefault="00FB5E9D" w:rsidP="00FB5E9D">
      <w:pPr>
        <w:jc w:val="center"/>
      </w:pPr>
      <w:r>
        <w:rPr>
          <w:noProof/>
        </w:rPr>
        <w:lastRenderedPageBreak/>
        <w:drawing>
          <wp:inline distT="0" distB="0" distL="0" distR="0" wp14:anchorId="6A9667C3" wp14:editId="271783AD">
            <wp:extent cx="3185247" cy="184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4336" cy="1858924"/>
                    </a:xfrm>
                    <a:prstGeom prst="rect">
                      <a:avLst/>
                    </a:prstGeom>
                  </pic:spPr>
                </pic:pic>
              </a:graphicData>
            </a:graphic>
          </wp:inline>
        </w:drawing>
      </w:r>
    </w:p>
    <w:p w14:paraId="40245484" w14:textId="6E22C4A6" w:rsidR="00FB5E9D" w:rsidRDefault="00FB5E9D" w:rsidP="00FB5E9D">
      <w:pPr>
        <w:pStyle w:val="Caption"/>
        <w:jc w:val="center"/>
      </w:pPr>
      <w:bookmarkStart w:id="42" w:name="_Toc125667753"/>
      <w:bookmarkStart w:id="43" w:name="_Toc125737703"/>
      <w:r>
        <w:t xml:space="preserve">Figure </w:t>
      </w:r>
      <w:fldSimple w:instr=" SEQ Figure \* ARABIC ">
        <w:r w:rsidR="004A1A78">
          <w:rPr>
            <w:noProof/>
          </w:rPr>
          <w:t>5</w:t>
        </w:r>
      </w:fldSimple>
      <w:r>
        <w:t xml:space="preserve"> - Cash Flow Statement Example </w:t>
      </w:r>
      <w:sdt>
        <w:sdtPr>
          <w:id w:val="-1091467269"/>
          <w:citation/>
        </w:sdtPr>
        <w:sdtEndPr/>
        <w:sdtContent>
          <w:r>
            <w:fldChar w:fldCharType="begin"/>
          </w:r>
          <w:r>
            <w:instrText xml:space="preserve"> CITATION CFI221 \l 2057 </w:instrText>
          </w:r>
          <w:r>
            <w:fldChar w:fldCharType="separate"/>
          </w:r>
          <w:r w:rsidR="002B549D" w:rsidRPr="002B549D">
            <w:rPr>
              <w:noProof/>
            </w:rPr>
            <w:t>(CFI Team, 2022)</w:t>
          </w:r>
          <w:r>
            <w:fldChar w:fldCharType="end"/>
          </w:r>
        </w:sdtContent>
      </w:sdt>
      <w:bookmarkEnd w:id="42"/>
      <w:bookmarkEnd w:id="43"/>
    </w:p>
    <w:p w14:paraId="3AA3D4FA" w14:textId="255AC048" w:rsidR="00FB5E9D" w:rsidRDefault="005C65A2" w:rsidP="005C65A2">
      <w:pPr>
        <w:pStyle w:val="Heading1"/>
      </w:pPr>
      <w:bookmarkStart w:id="44" w:name="_Toc125737786"/>
      <w:r>
        <w:t>Ratio Calculations</w:t>
      </w:r>
      <w:bookmarkEnd w:id="44"/>
    </w:p>
    <w:p w14:paraId="258F45BA" w14:textId="28A5C262" w:rsidR="005C65A2" w:rsidRDefault="005C65A2" w:rsidP="005C65A2">
      <w:r>
        <w:rPr>
          <w:noProof/>
        </w:rPr>
        <w:drawing>
          <wp:inline distT="0" distB="0" distL="0" distR="0" wp14:anchorId="0842C5C6" wp14:editId="3B0E24C7">
            <wp:extent cx="5943600" cy="18548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854835"/>
                    </a:xfrm>
                    <a:prstGeom prst="rect">
                      <a:avLst/>
                    </a:prstGeom>
                  </pic:spPr>
                </pic:pic>
              </a:graphicData>
            </a:graphic>
          </wp:inline>
        </w:drawing>
      </w:r>
    </w:p>
    <w:p w14:paraId="7A1EE624" w14:textId="7D183708" w:rsidR="005C65A2" w:rsidRDefault="005C65A2" w:rsidP="005C65A2">
      <w:r>
        <w:rPr>
          <w:noProof/>
        </w:rPr>
        <w:drawing>
          <wp:inline distT="0" distB="0" distL="0" distR="0" wp14:anchorId="10F02B7E" wp14:editId="52D2D3E7">
            <wp:extent cx="5943600" cy="13201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320165"/>
                    </a:xfrm>
                    <a:prstGeom prst="rect">
                      <a:avLst/>
                    </a:prstGeom>
                  </pic:spPr>
                </pic:pic>
              </a:graphicData>
            </a:graphic>
          </wp:inline>
        </w:drawing>
      </w:r>
    </w:p>
    <w:p w14:paraId="25042040" w14:textId="7FD6D4DF" w:rsidR="005C65A2" w:rsidRDefault="005C65A2" w:rsidP="005C65A2">
      <w:r>
        <w:rPr>
          <w:noProof/>
        </w:rPr>
        <w:drawing>
          <wp:inline distT="0" distB="0" distL="0" distR="0" wp14:anchorId="44106CB1" wp14:editId="47862218">
            <wp:extent cx="5943600" cy="819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819150"/>
                    </a:xfrm>
                    <a:prstGeom prst="rect">
                      <a:avLst/>
                    </a:prstGeom>
                  </pic:spPr>
                </pic:pic>
              </a:graphicData>
            </a:graphic>
          </wp:inline>
        </w:drawing>
      </w:r>
    </w:p>
    <w:p w14:paraId="6FB16D43" w14:textId="5F3FC56B" w:rsidR="005C65A2" w:rsidRDefault="005C65A2" w:rsidP="005C65A2">
      <w:r>
        <w:rPr>
          <w:noProof/>
        </w:rPr>
        <w:lastRenderedPageBreak/>
        <w:drawing>
          <wp:inline distT="0" distB="0" distL="0" distR="0" wp14:anchorId="3B906A3C" wp14:editId="6A23173F">
            <wp:extent cx="5943600" cy="15519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551940"/>
                    </a:xfrm>
                    <a:prstGeom prst="rect">
                      <a:avLst/>
                    </a:prstGeom>
                  </pic:spPr>
                </pic:pic>
              </a:graphicData>
            </a:graphic>
          </wp:inline>
        </w:drawing>
      </w:r>
    </w:p>
    <w:p w14:paraId="2C858B8A" w14:textId="514741E8" w:rsidR="005C65A2" w:rsidRPr="005C65A2" w:rsidRDefault="005C65A2" w:rsidP="005C65A2">
      <w:r>
        <w:rPr>
          <w:noProof/>
        </w:rPr>
        <w:drawing>
          <wp:inline distT="0" distB="0" distL="0" distR="0" wp14:anchorId="35B82FD8" wp14:editId="026B8C9D">
            <wp:extent cx="5943600" cy="1527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527175"/>
                    </a:xfrm>
                    <a:prstGeom prst="rect">
                      <a:avLst/>
                    </a:prstGeom>
                  </pic:spPr>
                </pic:pic>
              </a:graphicData>
            </a:graphic>
          </wp:inline>
        </w:drawing>
      </w:r>
    </w:p>
    <w:sectPr w:rsidR="005C65A2" w:rsidRPr="005C65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CCADF" w14:textId="77777777" w:rsidR="00083947" w:rsidRDefault="00083947" w:rsidP="000E21AF">
      <w:pPr>
        <w:spacing w:after="0" w:line="240" w:lineRule="auto"/>
      </w:pPr>
      <w:r>
        <w:separator/>
      </w:r>
    </w:p>
  </w:endnote>
  <w:endnote w:type="continuationSeparator" w:id="0">
    <w:p w14:paraId="593A94E6" w14:textId="77777777" w:rsidR="00083947" w:rsidRDefault="00083947" w:rsidP="000E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6C839" w14:textId="77777777" w:rsidR="00083947" w:rsidRDefault="00083947" w:rsidP="000E21AF">
      <w:pPr>
        <w:spacing w:after="0" w:line="240" w:lineRule="auto"/>
      </w:pPr>
      <w:r>
        <w:separator/>
      </w:r>
    </w:p>
  </w:footnote>
  <w:footnote w:type="continuationSeparator" w:id="0">
    <w:p w14:paraId="11267103" w14:textId="77777777" w:rsidR="00083947" w:rsidRDefault="00083947" w:rsidP="000E2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55AE5"/>
    <w:multiLevelType w:val="hybridMultilevel"/>
    <w:tmpl w:val="427CDAF2"/>
    <w:lvl w:ilvl="0" w:tplc="959AD1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47"/>
    <w:rsid w:val="00014525"/>
    <w:rsid w:val="00034034"/>
    <w:rsid w:val="0006471E"/>
    <w:rsid w:val="0007692D"/>
    <w:rsid w:val="00083947"/>
    <w:rsid w:val="00084037"/>
    <w:rsid w:val="00095CCF"/>
    <w:rsid w:val="0009678E"/>
    <w:rsid w:val="000A0219"/>
    <w:rsid w:val="000B0DF0"/>
    <w:rsid w:val="000C32DC"/>
    <w:rsid w:val="000D6E45"/>
    <w:rsid w:val="000E21AF"/>
    <w:rsid w:val="001204A0"/>
    <w:rsid w:val="001217A9"/>
    <w:rsid w:val="00140C06"/>
    <w:rsid w:val="001425D8"/>
    <w:rsid w:val="00167431"/>
    <w:rsid w:val="00170050"/>
    <w:rsid w:val="00176C4E"/>
    <w:rsid w:val="00181124"/>
    <w:rsid w:val="00191501"/>
    <w:rsid w:val="001B56AB"/>
    <w:rsid w:val="001D5564"/>
    <w:rsid w:val="0020244C"/>
    <w:rsid w:val="002105D1"/>
    <w:rsid w:val="00225114"/>
    <w:rsid w:val="002378A8"/>
    <w:rsid w:val="00290CFB"/>
    <w:rsid w:val="00295B55"/>
    <w:rsid w:val="002A1363"/>
    <w:rsid w:val="002B549D"/>
    <w:rsid w:val="002B7B4E"/>
    <w:rsid w:val="002C276F"/>
    <w:rsid w:val="002C5DA6"/>
    <w:rsid w:val="002D7519"/>
    <w:rsid w:val="00303C2D"/>
    <w:rsid w:val="003103B7"/>
    <w:rsid w:val="00313446"/>
    <w:rsid w:val="00321554"/>
    <w:rsid w:val="00324B8C"/>
    <w:rsid w:val="00340D39"/>
    <w:rsid w:val="003506E7"/>
    <w:rsid w:val="00371909"/>
    <w:rsid w:val="00377F3B"/>
    <w:rsid w:val="0038126B"/>
    <w:rsid w:val="003C2565"/>
    <w:rsid w:val="003C5533"/>
    <w:rsid w:val="003D3EB9"/>
    <w:rsid w:val="004109D4"/>
    <w:rsid w:val="00411FA2"/>
    <w:rsid w:val="00412854"/>
    <w:rsid w:val="004134C6"/>
    <w:rsid w:val="00424AFB"/>
    <w:rsid w:val="00446A02"/>
    <w:rsid w:val="004933A9"/>
    <w:rsid w:val="004A1A78"/>
    <w:rsid w:val="004B39B5"/>
    <w:rsid w:val="004C73DF"/>
    <w:rsid w:val="004D12A9"/>
    <w:rsid w:val="004D2810"/>
    <w:rsid w:val="004F08A5"/>
    <w:rsid w:val="005120CC"/>
    <w:rsid w:val="00526615"/>
    <w:rsid w:val="00537D5B"/>
    <w:rsid w:val="00551148"/>
    <w:rsid w:val="005565D1"/>
    <w:rsid w:val="005566F3"/>
    <w:rsid w:val="00571345"/>
    <w:rsid w:val="0057564E"/>
    <w:rsid w:val="00576992"/>
    <w:rsid w:val="0058779B"/>
    <w:rsid w:val="005A04A9"/>
    <w:rsid w:val="005A0715"/>
    <w:rsid w:val="005C65A2"/>
    <w:rsid w:val="005E1BEE"/>
    <w:rsid w:val="005E3660"/>
    <w:rsid w:val="005F6D49"/>
    <w:rsid w:val="00602306"/>
    <w:rsid w:val="00624EFC"/>
    <w:rsid w:val="00645E73"/>
    <w:rsid w:val="00654AC1"/>
    <w:rsid w:val="006617DF"/>
    <w:rsid w:val="0066437F"/>
    <w:rsid w:val="00667FF9"/>
    <w:rsid w:val="006732CF"/>
    <w:rsid w:val="00684B8B"/>
    <w:rsid w:val="00687589"/>
    <w:rsid w:val="006C074F"/>
    <w:rsid w:val="006D44D2"/>
    <w:rsid w:val="006D7BA3"/>
    <w:rsid w:val="006E29F9"/>
    <w:rsid w:val="007206F6"/>
    <w:rsid w:val="007339DB"/>
    <w:rsid w:val="0078526E"/>
    <w:rsid w:val="00787644"/>
    <w:rsid w:val="007926BF"/>
    <w:rsid w:val="00805F06"/>
    <w:rsid w:val="0081634D"/>
    <w:rsid w:val="008219D4"/>
    <w:rsid w:val="0082555F"/>
    <w:rsid w:val="0083147F"/>
    <w:rsid w:val="00832D9D"/>
    <w:rsid w:val="00854A44"/>
    <w:rsid w:val="008602D0"/>
    <w:rsid w:val="00865EC6"/>
    <w:rsid w:val="008B43D1"/>
    <w:rsid w:val="008C501D"/>
    <w:rsid w:val="008C727B"/>
    <w:rsid w:val="008E039C"/>
    <w:rsid w:val="008F0AC4"/>
    <w:rsid w:val="008F6A6E"/>
    <w:rsid w:val="00906B9C"/>
    <w:rsid w:val="00907E06"/>
    <w:rsid w:val="0092296C"/>
    <w:rsid w:val="00932F6D"/>
    <w:rsid w:val="00937760"/>
    <w:rsid w:val="00962D19"/>
    <w:rsid w:val="00964EB7"/>
    <w:rsid w:val="00970523"/>
    <w:rsid w:val="0097558A"/>
    <w:rsid w:val="0098681C"/>
    <w:rsid w:val="0099569A"/>
    <w:rsid w:val="009A136F"/>
    <w:rsid w:val="009D5AB5"/>
    <w:rsid w:val="009E4F8E"/>
    <w:rsid w:val="009F5D4F"/>
    <w:rsid w:val="00A14D64"/>
    <w:rsid w:val="00A40CF7"/>
    <w:rsid w:val="00A521B9"/>
    <w:rsid w:val="00A54740"/>
    <w:rsid w:val="00A64A63"/>
    <w:rsid w:val="00AA04E7"/>
    <w:rsid w:val="00AB009D"/>
    <w:rsid w:val="00AB34FA"/>
    <w:rsid w:val="00AB4DCF"/>
    <w:rsid w:val="00AB7DB2"/>
    <w:rsid w:val="00AC3316"/>
    <w:rsid w:val="00AC625E"/>
    <w:rsid w:val="00AF33B9"/>
    <w:rsid w:val="00AF6B0B"/>
    <w:rsid w:val="00B0067F"/>
    <w:rsid w:val="00B45490"/>
    <w:rsid w:val="00B60117"/>
    <w:rsid w:val="00B61A4C"/>
    <w:rsid w:val="00B6425A"/>
    <w:rsid w:val="00B827CE"/>
    <w:rsid w:val="00BC5E6C"/>
    <w:rsid w:val="00BF2EAA"/>
    <w:rsid w:val="00BF6170"/>
    <w:rsid w:val="00C05863"/>
    <w:rsid w:val="00C169CD"/>
    <w:rsid w:val="00C33DE2"/>
    <w:rsid w:val="00C57AA2"/>
    <w:rsid w:val="00C7316D"/>
    <w:rsid w:val="00C7535F"/>
    <w:rsid w:val="00CA1053"/>
    <w:rsid w:val="00CC42E1"/>
    <w:rsid w:val="00CC7D70"/>
    <w:rsid w:val="00CF1045"/>
    <w:rsid w:val="00CF125D"/>
    <w:rsid w:val="00D0628A"/>
    <w:rsid w:val="00D211F9"/>
    <w:rsid w:val="00D511DB"/>
    <w:rsid w:val="00D578B8"/>
    <w:rsid w:val="00D95AC1"/>
    <w:rsid w:val="00DB68D4"/>
    <w:rsid w:val="00DC531A"/>
    <w:rsid w:val="00DE6A09"/>
    <w:rsid w:val="00DF66AF"/>
    <w:rsid w:val="00E0150F"/>
    <w:rsid w:val="00E5505F"/>
    <w:rsid w:val="00E64E81"/>
    <w:rsid w:val="00E73A0B"/>
    <w:rsid w:val="00E74A49"/>
    <w:rsid w:val="00E86816"/>
    <w:rsid w:val="00ED7402"/>
    <w:rsid w:val="00EE4BB4"/>
    <w:rsid w:val="00EF365F"/>
    <w:rsid w:val="00F01890"/>
    <w:rsid w:val="00F02D1C"/>
    <w:rsid w:val="00F03994"/>
    <w:rsid w:val="00F1430D"/>
    <w:rsid w:val="00F5475B"/>
    <w:rsid w:val="00FA08D4"/>
    <w:rsid w:val="00FB379F"/>
    <w:rsid w:val="00FB5E9D"/>
    <w:rsid w:val="00FD1079"/>
    <w:rsid w:val="00FD43F4"/>
    <w:rsid w:val="00FE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6F13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947"/>
    <w:rPr>
      <w:rFonts w:asciiTheme="minorHAnsi" w:hAnsiTheme="minorHAnsi" w:cstheme="minorBidi"/>
      <w:szCs w:val="22"/>
      <w:lang w:eastAsia="en-US"/>
    </w:rPr>
  </w:style>
  <w:style w:type="paragraph" w:styleId="Heading1">
    <w:name w:val="heading 1"/>
    <w:basedOn w:val="Normal"/>
    <w:next w:val="Normal"/>
    <w:link w:val="Heading1Char"/>
    <w:uiPriority w:val="9"/>
    <w:qFormat/>
    <w:rsid w:val="000340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1634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217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2378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1AF"/>
    <w:pPr>
      <w:tabs>
        <w:tab w:val="center" w:pos="4680"/>
        <w:tab w:val="right" w:pos="9360"/>
      </w:tabs>
      <w:spacing w:after="0" w:line="240" w:lineRule="auto"/>
    </w:pPr>
    <w:rPr>
      <w:rFonts w:ascii="Arial" w:hAnsi="Arial" w:cs="Arial"/>
      <w:szCs w:val="24"/>
      <w:lang w:eastAsia="en-GB"/>
    </w:rPr>
  </w:style>
  <w:style w:type="character" w:customStyle="1" w:styleId="HeaderChar">
    <w:name w:val="Header Char"/>
    <w:basedOn w:val="DefaultParagraphFont"/>
    <w:link w:val="Header"/>
    <w:uiPriority w:val="99"/>
    <w:rsid w:val="000E21AF"/>
  </w:style>
  <w:style w:type="paragraph" w:styleId="Footer">
    <w:name w:val="footer"/>
    <w:basedOn w:val="Normal"/>
    <w:link w:val="FooterChar"/>
    <w:uiPriority w:val="99"/>
    <w:unhideWhenUsed/>
    <w:rsid w:val="000E21AF"/>
    <w:pPr>
      <w:tabs>
        <w:tab w:val="center" w:pos="4680"/>
        <w:tab w:val="right" w:pos="9360"/>
      </w:tabs>
      <w:spacing w:after="0" w:line="240" w:lineRule="auto"/>
    </w:pPr>
    <w:rPr>
      <w:rFonts w:ascii="Arial" w:hAnsi="Arial" w:cs="Arial"/>
      <w:szCs w:val="24"/>
      <w:lang w:eastAsia="en-GB"/>
    </w:rPr>
  </w:style>
  <w:style w:type="character" w:customStyle="1" w:styleId="FooterChar">
    <w:name w:val="Footer Char"/>
    <w:basedOn w:val="DefaultParagraphFont"/>
    <w:link w:val="Footer"/>
    <w:uiPriority w:val="99"/>
    <w:rsid w:val="000E21AF"/>
  </w:style>
  <w:style w:type="character" w:styleId="Hyperlink">
    <w:name w:val="Hyperlink"/>
    <w:uiPriority w:val="99"/>
    <w:unhideWhenUsed/>
    <w:rsid w:val="00083947"/>
    <w:rPr>
      <w:color w:val="0000FF"/>
      <w:u w:val="single"/>
    </w:rPr>
  </w:style>
  <w:style w:type="paragraph" w:styleId="ListParagraph">
    <w:name w:val="List Paragraph"/>
    <w:basedOn w:val="Normal"/>
    <w:uiPriority w:val="34"/>
    <w:qFormat/>
    <w:rsid w:val="00313446"/>
    <w:pPr>
      <w:ind w:left="720"/>
      <w:contextualSpacing/>
    </w:pPr>
  </w:style>
  <w:style w:type="character" w:customStyle="1" w:styleId="Heading1Char">
    <w:name w:val="Heading 1 Char"/>
    <w:basedOn w:val="DefaultParagraphFont"/>
    <w:link w:val="Heading1"/>
    <w:uiPriority w:val="9"/>
    <w:rsid w:val="00034034"/>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uiPriority w:val="9"/>
    <w:rsid w:val="0081634D"/>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1217A9"/>
    <w:rPr>
      <w:rFonts w:asciiTheme="majorHAnsi" w:eastAsiaTheme="majorEastAsia" w:hAnsiTheme="majorHAnsi" w:cstheme="majorBidi"/>
      <w:color w:val="243F60" w:themeColor="accent1" w:themeShade="7F"/>
      <w:sz w:val="24"/>
      <w:lang w:eastAsia="en-US"/>
    </w:rPr>
  </w:style>
  <w:style w:type="paragraph" w:styleId="Caption">
    <w:name w:val="caption"/>
    <w:basedOn w:val="Normal"/>
    <w:next w:val="Normal"/>
    <w:uiPriority w:val="35"/>
    <w:unhideWhenUsed/>
    <w:qFormat/>
    <w:rsid w:val="006C074F"/>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6617DF"/>
    <w:pPr>
      <w:spacing w:line="259" w:lineRule="auto"/>
      <w:outlineLvl w:val="9"/>
    </w:pPr>
    <w:rPr>
      <w:lang w:val="en-US"/>
    </w:rPr>
  </w:style>
  <w:style w:type="paragraph" w:styleId="TOC1">
    <w:name w:val="toc 1"/>
    <w:basedOn w:val="Normal"/>
    <w:next w:val="Normal"/>
    <w:autoRedefine/>
    <w:uiPriority w:val="39"/>
    <w:unhideWhenUsed/>
    <w:rsid w:val="006617DF"/>
    <w:pPr>
      <w:spacing w:after="100"/>
    </w:pPr>
  </w:style>
  <w:style w:type="paragraph" w:styleId="TOC2">
    <w:name w:val="toc 2"/>
    <w:basedOn w:val="Normal"/>
    <w:next w:val="Normal"/>
    <w:autoRedefine/>
    <w:uiPriority w:val="39"/>
    <w:unhideWhenUsed/>
    <w:rsid w:val="006617DF"/>
    <w:pPr>
      <w:spacing w:after="100"/>
      <w:ind w:left="220"/>
    </w:pPr>
  </w:style>
  <w:style w:type="paragraph" w:styleId="TOC3">
    <w:name w:val="toc 3"/>
    <w:basedOn w:val="Normal"/>
    <w:next w:val="Normal"/>
    <w:autoRedefine/>
    <w:uiPriority w:val="39"/>
    <w:unhideWhenUsed/>
    <w:rsid w:val="006617DF"/>
    <w:pPr>
      <w:spacing w:after="100"/>
      <w:ind w:left="440"/>
    </w:pPr>
  </w:style>
  <w:style w:type="character" w:customStyle="1" w:styleId="Heading4Char">
    <w:name w:val="Heading 4 Char"/>
    <w:basedOn w:val="DefaultParagraphFont"/>
    <w:link w:val="Heading4"/>
    <w:uiPriority w:val="9"/>
    <w:rsid w:val="002378A8"/>
    <w:rPr>
      <w:rFonts w:asciiTheme="majorHAnsi" w:eastAsiaTheme="majorEastAsia" w:hAnsiTheme="majorHAnsi" w:cstheme="majorBidi"/>
      <w:i/>
      <w:iCs/>
      <w:color w:val="365F91" w:themeColor="accent1" w:themeShade="BF"/>
      <w:szCs w:val="22"/>
      <w:lang w:eastAsia="en-US"/>
    </w:rPr>
  </w:style>
  <w:style w:type="paragraph" w:styleId="Bibliography">
    <w:name w:val="Bibliography"/>
    <w:basedOn w:val="Normal"/>
    <w:next w:val="Normal"/>
    <w:uiPriority w:val="37"/>
    <w:unhideWhenUsed/>
    <w:rsid w:val="00176C4E"/>
  </w:style>
  <w:style w:type="paragraph" w:styleId="TableofFigures">
    <w:name w:val="table of figures"/>
    <w:basedOn w:val="Normal"/>
    <w:next w:val="Normal"/>
    <w:uiPriority w:val="99"/>
    <w:unhideWhenUsed/>
    <w:rsid w:val="005E36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876">
      <w:bodyDiv w:val="1"/>
      <w:marLeft w:val="0"/>
      <w:marRight w:val="0"/>
      <w:marTop w:val="0"/>
      <w:marBottom w:val="0"/>
      <w:divBdr>
        <w:top w:val="none" w:sz="0" w:space="0" w:color="auto"/>
        <w:left w:val="none" w:sz="0" w:space="0" w:color="auto"/>
        <w:bottom w:val="none" w:sz="0" w:space="0" w:color="auto"/>
        <w:right w:val="none" w:sz="0" w:space="0" w:color="auto"/>
      </w:divBdr>
    </w:div>
    <w:div w:id="19355344">
      <w:bodyDiv w:val="1"/>
      <w:marLeft w:val="0"/>
      <w:marRight w:val="0"/>
      <w:marTop w:val="0"/>
      <w:marBottom w:val="0"/>
      <w:divBdr>
        <w:top w:val="none" w:sz="0" w:space="0" w:color="auto"/>
        <w:left w:val="none" w:sz="0" w:space="0" w:color="auto"/>
        <w:bottom w:val="none" w:sz="0" w:space="0" w:color="auto"/>
        <w:right w:val="none" w:sz="0" w:space="0" w:color="auto"/>
      </w:divBdr>
    </w:div>
    <w:div w:id="32773010">
      <w:bodyDiv w:val="1"/>
      <w:marLeft w:val="0"/>
      <w:marRight w:val="0"/>
      <w:marTop w:val="0"/>
      <w:marBottom w:val="0"/>
      <w:divBdr>
        <w:top w:val="none" w:sz="0" w:space="0" w:color="auto"/>
        <w:left w:val="none" w:sz="0" w:space="0" w:color="auto"/>
        <w:bottom w:val="none" w:sz="0" w:space="0" w:color="auto"/>
        <w:right w:val="none" w:sz="0" w:space="0" w:color="auto"/>
      </w:divBdr>
    </w:div>
    <w:div w:id="35933181">
      <w:bodyDiv w:val="1"/>
      <w:marLeft w:val="0"/>
      <w:marRight w:val="0"/>
      <w:marTop w:val="0"/>
      <w:marBottom w:val="0"/>
      <w:divBdr>
        <w:top w:val="none" w:sz="0" w:space="0" w:color="auto"/>
        <w:left w:val="none" w:sz="0" w:space="0" w:color="auto"/>
        <w:bottom w:val="none" w:sz="0" w:space="0" w:color="auto"/>
        <w:right w:val="none" w:sz="0" w:space="0" w:color="auto"/>
      </w:divBdr>
    </w:div>
    <w:div w:id="74935435">
      <w:bodyDiv w:val="1"/>
      <w:marLeft w:val="0"/>
      <w:marRight w:val="0"/>
      <w:marTop w:val="0"/>
      <w:marBottom w:val="0"/>
      <w:divBdr>
        <w:top w:val="none" w:sz="0" w:space="0" w:color="auto"/>
        <w:left w:val="none" w:sz="0" w:space="0" w:color="auto"/>
        <w:bottom w:val="none" w:sz="0" w:space="0" w:color="auto"/>
        <w:right w:val="none" w:sz="0" w:space="0" w:color="auto"/>
      </w:divBdr>
    </w:div>
    <w:div w:id="80570038">
      <w:bodyDiv w:val="1"/>
      <w:marLeft w:val="0"/>
      <w:marRight w:val="0"/>
      <w:marTop w:val="0"/>
      <w:marBottom w:val="0"/>
      <w:divBdr>
        <w:top w:val="none" w:sz="0" w:space="0" w:color="auto"/>
        <w:left w:val="none" w:sz="0" w:space="0" w:color="auto"/>
        <w:bottom w:val="none" w:sz="0" w:space="0" w:color="auto"/>
        <w:right w:val="none" w:sz="0" w:space="0" w:color="auto"/>
      </w:divBdr>
    </w:div>
    <w:div w:id="84157787">
      <w:bodyDiv w:val="1"/>
      <w:marLeft w:val="0"/>
      <w:marRight w:val="0"/>
      <w:marTop w:val="0"/>
      <w:marBottom w:val="0"/>
      <w:divBdr>
        <w:top w:val="none" w:sz="0" w:space="0" w:color="auto"/>
        <w:left w:val="none" w:sz="0" w:space="0" w:color="auto"/>
        <w:bottom w:val="none" w:sz="0" w:space="0" w:color="auto"/>
        <w:right w:val="none" w:sz="0" w:space="0" w:color="auto"/>
      </w:divBdr>
    </w:div>
    <w:div w:id="88739848">
      <w:bodyDiv w:val="1"/>
      <w:marLeft w:val="0"/>
      <w:marRight w:val="0"/>
      <w:marTop w:val="0"/>
      <w:marBottom w:val="0"/>
      <w:divBdr>
        <w:top w:val="none" w:sz="0" w:space="0" w:color="auto"/>
        <w:left w:val="none" w:sz="0" w:space="0" w:color="auto"/>
        <w:bottom w:val="none" w:sz="0" w:space="0" w:color="auto"/>
        <w:right w:val="none" w:sz="0" w:space="0" w:color="auto"/>
      </w:divBdr>
    </w:div>
    <w:div w:id="100148480">
      <w:bodyDiv w:val="1"/>
      <w:marLeft w:val="0"/>
      <w:marRight w:val="0"/>
      <w:marTop w:val="0"/>
      <w:marBottom w:val="0"/>
      <w:divBdr>
        <w:top w:val="none" w:sz="0" w:space="0" w:color="auto"/>
        <w:left w:val="none" w:sz="0" w:space="0" w:color="auto"/>
        <w:bottom w:val="none" w:sz="0" w:space="0" w:color="auto"/>
        <w:right w:val="none" w:sz="0" w:space="0" w:color="auto"/>
      </w:divBdr>
    </w:div>
    <w:div w:id="101581731">
      <w:bodyDiv w:val="1"/>
      <w:marLeft w:val="0"/>
      <w:marRight w:val="0"/>
      <w:marTop w:val="0"/>
      <w:marBottom w:val="0"/>
      <w:divBdr>
        <w:top w:val="none" w:sz="0" w:space="0" w:color="auto"/>
        <w:left w:val="none" w:sz="0" w:space="0" w:color="auto"/>
        <w:bottom w:val="none" w:sz="0" w:space="0" w:color="auto"/>
        <w:right w:val="none" w:sz="0" w:space="0" w:color="auto"/>
      </w:divBdr>
    </w:div>
    <w:div w:id="105276802">
      <w:bodyDiv w:val="1"/>
      <w:marLeft w:val="0"/>
      <w:marRight w:val="0"/>
      <w:marTop w:val="0"/>
      <w:marBottom w:val="0"/>
      <w:divBdr>
        <w:top w:val="none" w:sz="0" w:space="0" w:color="auto"/>
        <w:left w:val="none" w:sz="0" w:space="0" w:color="auto"/>
        <w:bottom w:val="none" w:sz="0" w:space="0" w:color="auto"/>
        <w:right w:val="none" w:sz="0" w:space="0" w:color="auto"/>
      </w:divBdr>
    </w:div>
    <w:div w:id="112217362">
      <w:bodyDiv w:val="1"/>
      <w:marLeft w:val="0"/>
      <w:marRight w:val="0"/>
      <w:marTop w:val="0"/>
      <w:marBottom w:val="0"/>
      <w:divBdr>
        <w:top w:val="none" w:sz="0" w:space="0" w:color="auto"/>
        <w:left w:val="none" w:sz="0" w:space="0" w:color="auto"/>
        <w:bottom w:val="none" w:sz="0" w:space="0" w:color="auto"/>
        <w:right w:val="none" w:sz="0" w:space="0" w:color="auto"/>
      </w:divBdr>
    </w:div>
    <w:div w:id="113642742">
      <w:bodyDiv w:val="1"/>
      <w:marLeft w:val="0"/>
      <w:marRight w:val="0"/>
      <w:marTop w:val="0"/>
      <w:marBottom w:val="0"/>
      <w:divBdr>
        <w:top w:val="none" w:sz="0" w:space="0" w:color="auto"/>
        <w:left w:val="none" w:sz="0" w:space="0" w:color="auto"/>
        <w:bottom w:val="none" w:sz="0" w:space="0" w:color="auto"/>
        <w:right w:val="none" w:sz="0" w:space="0" w:color="auto"/>
      </w:divBdr>
    </w:div>
    <w:div w:id="12100295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143474789">
      <w:bodyDiv w:val="1"/>
      <w:marLeft w:val="0"/>
      <w:marRight w:val="0"/>
      <w:marTop w:val="0"/>
      <w:marBottom w:val="0"/>
      <w:divBdr>
        <w:top w:val="none" w:sz="0" w:space="0" w:color="auto"/>
        <w:left w:val="none" w:sz="0" w:space="0" w:color="auto"/>
        <w:bottom w:val="none" w:sz="0" w:space="0" w:color="auto"/>
        <w:right w:val="none" w:sz="0" w:space="0" w:color="auto"/>
      </w:divBdr>
    </w:div>
    <w:div w:id="147946475">
      <w:bodyDiv w:val="1"/>
      <w:marLeft w:val="0"/>
      <w:marRight w:val="0"/>
      <w:marTop w:val="0"/>
      <w:marBottom w:val="0"/>
      <w:divBdr>
        <w:top w:val="none" w:sz="0" w:space="0" w:color="auto"/>
        <w:left w:val="none" w:sz="0" w:space="0" w:color="auto"/>
        <w:bottom w:val="none" w:sz="0" w:space="0" w:color="auto"/>
        <w:right w:val="none" w:sz="0" w:space="0" w:color="auto"/>
      </w:divBdr>
    </w:div>
    <w:div w:id="153839607">
      <w:bodyDiv w:val="1"/>
      <w:marLeft w:val="0"/>
      <w:marRight w:val="0"/>
      <w:marTop w:val="0"/>
      <w:marBottom w:val="0"/>
      <w:divBdr>
        <w:top w:val="none" w:sz="0" w:space="0" w:color="auto"/>
        <w:left w:val="none" w:sz="0" w:space="0" w:color="auto"/>
        <w:bottom w:val="none" w:sz="0" w:space="0" w:color="auto"/>
        <w:right w:val="none" w:sz="0" w:space="0" w:color="auto"/>
      </w:divBdr>
    </w:div>
    <w:div w:id="154493168">
      <w:bodyDiv w:val="1"/>
      <w:marLeft w:val="0"/>
      <w:marRight w:val="0"/>
      <w:marTop w:val="0"/>
      <w:marBottom w:val="0"/>
      <w:divBdr>
        <w:top w:val="none" w:sz="0" w:space="0" w:color="auto"/>
        <w:left w:val="none" w:sz="0" w:space="0" w:color="auto"/>
        <w:bottom w:val="none" w:sz="0" w:space="0" w:color="auto"/>
        <w:right w:val="none" w:sz="0" w:space="0" w:color="auto"/>
      </w:divBdr>
    </w:div>
    <w:div w:id="155802808">
      <w:bodyDiv w:val="1"/>
      <w:marLeft w:val="0"/>
      <w:marRight w:val="0"/>
      <w:marTop w:val="0"/>
      <w:marBottom w:val="0"/>
      <w:divBdr>
        <w:top w:val="none" w:sz="0" w:space="0" w:color="auto"/>
        <w:left w:val="none" w:sz="0" w:space="0" w:color="auto"/>
        <w:bottom w:val="none" w:sz="0" w:space="0" w:color="auto"/>
        <w:right w:val="none" w:sz="0" w:space="0" w:color="auto"/>
      </w:divBdr>
    </w:div>
    <w:div w:id="163786192">
      <w:bodyDiv w:val="1"/>
      <w:marLeft w:val="0"/>
      <w:marRight w:val="0"/>
      <w:marTop w:val="0"/>
      <w:marBottom w:val="0"/>
      <w:divBdr>
        <w:top w:val="none" w:sz="0" w:space="0" w:color="auto"/>
        <w:left w:val="none" w:sz="0" w:space="0" w:color="auto"/>
        <w:bottom w:val="none" w:sz="0" w:space="0" w:color="auto"/>
        <w:right w:val="none" w:sz="0" w:space="0" w:color="auto"/>
      </w:divBdr>
    </w:div>
    <w:div w:id="166680942">
      <w:bodyDiv w:val="1"/>
      <w:marLeft w:val="0"/>
      <w:marRight w:val="0"/>
      <w:marTop w:val="0"/>
      <w:marBottom w:val="0"/>
      <w:divBdr>
        <w:top w:val="none" w:sz="0" w:space="0" w:color="auto"/>
        <w:left w:val="none" w:sz="0" w:space="0" w:color="auto"/>
        <w:bottom w:val="none" w:sz="0" w:space="0" w:color="auto"/>
        <w:right w:val="none" w:sz="0" w:space="0" w:color="auto"/>
      </w:divBdr>
    </w:div>
    <w:div w:id="167410639">
      <w:bodyDiv w:val="1"/>
      <w:marLeft w:val="0"/>
      <w:marRight w:val="0"/>
      <w:marTop w:val="0"/>
      <w:marBottom w:val="0"/>
      <w:divBdr>
        <w:top w:val="none" w:sz="0" w:space="0" w:color="auto"/>
        <w:left w:val="none" w:sz="0" w:space="0" w:color="auto"/>
        <w:bottom w:val="none" w:sz="0" w:space="0" w:color="auto"/>
        <w:right w:val="none" w:sz="0" w:space="0" w:color="auto"/>
      </w:divBdr>
    </w:div>
    <w:div w:id="167866026">
      <w:bodyDiv w:val="1"/>
      <w:marLeft w:val="0"/>
      <w:marRight w:val="0"/>
      <w:marTop w:val="0"/>
      <w:marBottom w:val="0"/>
      <w:divBdr>
        <w:top w:val="none" w:sz="0" w:space="0" w:color="auto"/>
        <w:left w:val="none" w:sz="0" w:space="0" w:color="auto"/>
        <w:bottom w:val="none" w:sz="0" w:space="0" w:color="auto"/>
        <w:right w:val="none" w:sz="0" w:space="0" w:color="auto"/>
      </w:divBdr>
    </w:div>
    <w:div w:id="173882766">
      <w:bodyDiv w:val="1"/>
      <w:marLeft w:val="0"/>
      <w:marRight w:val="0"/>
      <w:marTop w:val="0"/>
      <w:marBottom w:val="0"/>
      <w:divBdr>
        <w:top w:val="none" w:sz="0" w:space="0" w:color="auto"/>
        <w:left w:val="none" w:sz="0" w:space="0" w:color="auto"/>
        <w:bottom w:val="none" w:sz="0" w:space="0" w:color="auto"/>
        <w:right w:val="none" w:sz="0" w:space="0" w:color="auto"/>
      </w:divBdr>
    </w:div>
    <w:div w:id="183788376">
      <w:bodyDiv w:val="1"/>
      <w:marLeft w:val="0"/>
      <w:marRight w:val="0"/>
      <w:marTop w:val="0"/>
      <w:marBottom w:val="0"/>
      <w:divBdr>
        <w:top w:val="none" w:sz="0" w:space="0" w:color="auto"/>
        <w:left w:val="none" w:sz="0" w:space="0" w:color="auto"/>
        <w:bottom w:val="none" w:sz="0" w:space="0" w:color="auto"/>
        <w:right w:val="none" w:sz="0" w:space="0" w:color="auto"/>
      </w:divBdr>
    </w:div>
    <w:div w:id="213152986">
      <w:bodyDiv w:val="1"/>
      <w:marLeft w:val="0"/>
      <w:marRight w:val="0"/>
      <w:marTop w:val="0"/>
      <w:marBottom w:val="0"/>
      <w:divBdr>
        <w:top w:val="none" w:sz="0" w:space="0" w:color="auto"/>
        <w:left w:val="none" w:sz="0" w:space="0" w:color="auto"/>
        <w:bottom w:val="none" w:sz="0" w:space="0" w:color="auto"/>
        <w:right w:val="none" w:sz="0" w:space="0" w:color="auto"/>
      </w:divBdr>
    </w:div>
    <w:div w:id="219249766">
      <w:bodyDiv w:val="1"/>
      <w:marLeft w:val="0"/>
      <w:marRight w:val="0"/>
      <w:marTop w:val="0"/>
      <w:marBottom w:val="0"/>
      <w:divBdr>
        <w:top w:val="none" w:sz="0" w:space="0" w:color="auto"/>
        <w:left w:val="none" w:sz="0" w:space="0" w:color="auto"/>
        <w:bottom w:val="none" w:sz="0" w:space="0" w:color="auto"/>
        <w:right w:val="none" w:sz="0" w:space="0" w:color="auto"/>
      </w:divBdr>
    </w:div>
    <w:div w:id="220295211">
      <w:bodyDiv w:val="1"/>
      <w:marLeft w:val="0"/>
      <w:marRight w:val="0"/>
      <w:marTop w:val="0"/>
      <w:marBottom w:val="0"/>
      <w:divBdr>
        <w:top w:val="none" w:sz="0" w:space="0" w:color="auto"/>
        <w:left w:val="none" w:sz="0" w:space="0" w:color="auto"/>
        <w:bottom w:val="none" w:sz="0" w:space="0" w:color="auto"/>
        <w:right w:val="none" w:sz="0" w:space="0" w:color="auto"/>
      </w:divBdr>
    </w:div>
    <w:div w:id="236941424">
      <w:bodyDiv w:val="1"/>
      <w:marLeft w:val="0"/>
      <w:marRight w:val="0"/>
      <w:marTop w:val="0"/>
      <w:marBottom w:val="0"/>
      <w:divBdr>
        <w:top w:val="none" w:sz="0" w:space="0" w:color="auto"/>
        <w:left w:val="none" w:sz="0" w:space="0" w:color="auto"/>
        <w:bottom w:val="none" w:sz="0" w:space="0" w:color="auto"/>
        <w:right w:val="none" w:sz="0" w:space="0" w:color="auto"/>
      </w:divBdr>
    </w:div>
    <w:div w:id="244652727">
      <w:bodyDiv w:val="1"/>
      <w:marLeft w:val="0"/>
      <w:marRight w:val="0"/>
      <w:marTop w:val="0"/>
      <w:marBottom w:val="0"/>
      <w:divBdr>
        <w:top w:val="none" w:sz="0" w:space="0" w:color="auto"/>
        <w:left w:val="none" w:sz="0" w:space="0" w:color="auto"/>
        <w:bottom w:val="none" w:sz="0" w:space="0" w:color="auto"/>
        <w:right w:val="none" w:sz="0" w:space="0" w:color="auto"/>
      </w:divBdr>
    </w:div>
    <w:div w:id="250939269">
      <w:bodyDiv w:val="1"/>
      <w:marLeft w:val="0"/>
      <w:marRight w:val="0"/>
      <w:marTop w:val="0"/>
      <w:marBottom w:val="0"/>
      <w:divBdr>
        <w:top w:val="none" w:sz="0" w:space="0" w:color="auto"/>
        <w:left w:val="none" w:sz="0" w:space="0" w:color="auto"/>
        <w:bottom w:val="none" w:sz="0" w:space="0" w:color="auto"/>
        <w:right w:val="none" w:sz="0" w:space="0" w:color="auto"/>
      </w:divBdr>
    </w:div>
    <w:div w:id="252129075">
      <w:bodyDiv w:val="1"/>
      <w:marLeft w:val="0"/>
      <w:marRight w:val="0"/>
      <w:marTop w:val="0"/>
      <w:marBottom w:val="0"/>
      <w:divBdr>
        <w:top w:val="none" w:sz="0" w:space="0" w:color="auto"/>
        <w:left w:val="none" w:sz="0" w:space="0" w:color="auto"/>
        <w:bottom w:val="none" w:sz="0" w:space="0" w:color="auto"/>
        <w:right w:val="none" w:sz="0" w:space="0" w:color="auto"/>
      </w:divBdr>
    </w:div>
    <w:div w:id="252978170">
      <w:bodyDiv w:val="1"/>
      <w:marLeft w:val="0"/>
      <w:marRight w:val="0"/>
      <w:marTop w:val="0"/>
      <w:marBottom w:val="0"/>
      <w:divBdr>
        <w:top w:val="none" w:sz="0" w:space="0" w:color="auto"/>
        <w:left w:val="none" w:sz="0" w:space="0" w:color="auto"/>
        <w:bottom w:val="none" w:sz="0" w:space="0" w:color="auto"/>
        <w:right w:val="none" w:sz="0" w:space="0" w:color="auto"/>
      </w:divBdr>
    </w:div>
    <w:div w:id="253906709">
      <w:bodyDiv w:val="1"/>
      <w:marLeft w:val="0"/>
      <w:marRight w:val="0"/>
      <w:marTop w:val="0"/>
      <w:marBottom w:val="0"/>
      <w:divBdr>
        <w:top w:val="none" w:sz="0" w:space="0" w:color="auto"/>
        <w:left w:val="none" w:sz="0" w:space="0" w:color="auto"/>
        <w:bottom w:val="none" w:sz="0" w:space="0" w:color="auto"/>
        <w:right w:val="none" w:sz="0" w:space="0" w:color="auto"/>
      </w:divBdr>
    </w:div>
    <w:div w:id="275068660">
      <w:bodyDiv w:val="1"/>
      <w:marLeft w:val="0"/>
      <w:marRight w:val="0"/>
      <w:marTop w:val="0"/>
      <w:marBottom w:val="0"/>
      <w:divBdr>
        <w:top w:val="none" w:sz="0" w:space="0" w:color="auto"/>
        <w:left w:val="none" w:sz="0" w:space="0" w:color="auto"/>
        <w:bottom w:val="none" w:sz="0" w:space="0" w:color="auto"/>
        <w:right w:val="none" w:sz="0" w:space="0" w:color="auto"/>
      </w:divBdr>
    </w:div>
    <w:div w:id="301354335">
      <w:bodyDiv w:val="1"/>
      <w:marLeft w:val="0"/>
      <w:marRight w:val="0"/>
      <w:marTop w:val="0"/>
      <w:marBottom w:val="0"/>
      <w:divBdr>
        <w:top w:val="none" w:sz="0" w:space="0" w:color="auto"/>
        <w:left w:val="none" w:sz="0" w:space="0" w:color="auto"/>
        <w:bottom w:val="none" w:sz="0" w:space="0" w:color="auto"/>
        <w:right w:val="none" w:sz="0" w:space="0" w:color="auto"/>
      </w:divBdr>
    </w:div>
    <w:div w:id="322003240">
      <w:bodyDiv w:val="1"/>
      <w:marLeft w:val="0"/>
      <w:marRight w:val="0"/>
      <w:marTop w:val="0"/>
      <w:marBottom w:val="0"/>
      <w:divBdr>
        <w:top w:val="none" w:sz="0" w:space="0" w:color="auto"/>
        <w:left w:val="none" w:sz="0" w:space="0" w:color="auto"/>
        <w:bottom w:val="none" w:sz="0" w:space="0" w:color="auto"/>
        <w:right w:val="none" w:sz="0" w:space="0" w:color="auto"/>
      </w:divBdr>
    </w:div>
    <w:div w:id="328945898">
      <w:bodyDiv w:val="1"/>
      <w:marLeft w:val="0"/>
      <w:marRight w:val="0"/>
      <w:marTop w:val="0"/>
      <w:marBottom w:val="0"/>
      <w:divBdr>
        <w:top w:val="none" w:sz="0" w:space="0" w:color="auto"/>
        <w:left w:val="none" w:sz="0" w:space="0" w:color="auto"/>
        <w:bottom w:val="none" w:sz="0" w:space="0" w:color="auto"/>
        <w:right w:val="none" w:sz="0" w:space="0" w:color="auto"/>
      </w:divBdr>
    </w:div>
    <w:div w:id="334528473">
      <w:bodyDiv w:val="1"/>
      <w:marLeft w:val="0"/>
      <w:marRight w:val="0"/>
      <w:marTop w:val="0"/>
      <w:marBottom w:val="0"/>
      <w:divBdr>
        <w:top w:val="none" w:sz="0" w:space="0" w:color="auto"/>
        <w:left w:val="none" w:sz="0" w:space="0" w:color="auto"/>
        <w:bottom w:val="none" w:sz="0" w:space="0" w:color="auto"/>
        <w:right w:val="none" w:sz="0" w:space="0" w:color="auto"/>
      </w:divBdr>
    </w:div>
    <w:div w:id="334916306">
      <w:bodyDiv w:val="1"/>
      <w:marLeft w:val="0"/>
      <w:marRight w:val="0"/>
      <w:marTop w:val="0"/>
      <w:marBottom w:val="0"/>
      <w:divBdr>
        <w:top w:val="none" w:sz="0" w:space="0" w:color="auto"/>
        <w:left w:val="none" w:sz="0" w:space="0" w:color="auto"/>
        <w:bottom w:val="none" w:sz="0" w:space="0" w:color="auto"/>
        <w:right w:val="none" w:sz="0" w:space="0" w:color="auto"/>
      </w:divBdr>
    </w:div>
    <w:div w:id="337580709">
      <w:bodyDiv w:val="1"/>
      <w:marLeft w:val="0"/>
      <w:marRight w:val="0"/>
      <w:marTop w:val="0"/>
      <w:marBottom w:val="0"/>
      <w:divBdr>
        <w:top w:val="none" w:sz="0" w:space="0" w:color="auto"/>
        <w:left w:val="none" w:sz="0" w:space="0" w:color="auto"/>
        <w:bottom w:val="none" w:sz="0" w:space="0" w:color="auto"/>
        <w:right w:val="none" w:sz="0" w:space="0" w:color="auto"/>
      </w:divBdr>
    </w:div>
    <w:div w:id="352341092">
      <w:bodyDiv w:val="1"/>
      <w:marLeft w:val="0"/>
      <w:marRight w:val="0"/>
      <w:marTop w:val="0"/>
      <w:marBottom w:val="0"/>
      <w:divBdr>
        <w:top w:val="none" w:sz="0" w:space="0" w:color="auto"/>
        <w:left w:val="none" w:sz="0" w:space="0" w:color="auto"/>
        <w:bottom w:val="none" w:sz="0" w:space="0" w:color="auto"/>
        <w:right w:val="none" w:sz="0" w:space="0" w:color="auto"/>
      </w:divBdr>
    </w:div>
    <w:div w:id="354841772">
      <w:bodyDiv w:val="1"/>
      <w:marLeft w:val="0"/>
      <w:marRight w:val="0"/>
      <w:marTop w:val="0"/>
      <w:marBottom w:val="0"/>
      <w:divBdr>
        <w:top w:val="none" w:sz="0" w:space="0" w:color="auto"/>
        <w:left w:val="none" w:sz="0" w:space="0" w:color="auto"/>
        <w:bottom w:val="none" w:sz="0" w:space="0" w:color="auto"/>
        <w:right w:val="none" w:sz="0" w:space="0" w:color="auto"/>
      </w:divBdr>
    </w:div>
    <w:div w:id="354969127">
      <w:bodyDiv w:val="1"/>
      <w:marLeft w:val="0"/>
      <w:marRight w:val="0"/>
      <w:marTop w:val="0"/>
      <w:marBottom w:val="0"/>
      <w:divBdr>
        <w:top w:val="none" w:sz="0" w:space="0" w:color="auto"/>
        <w:left w:val="none" w:sz="0" w:space="0" w:color="auto"/>
        <w:bottom w:val="none" w:sz="0" w:space="0" w:color="auto"/>
        <w:right w:val="none" w:sz="0" w:space="0" w:color="auto"/>
      </w:divBdr>
    </w:div>
    <w:div w:id="362482859">
      <w:bodyDiv w:val="1"/>
      <w:marLeft w:val="0"/>
      <w:marRight w:val="0"/>
      <w:marTop w:val="0"/>
      <w:marBottom w:val="0"/>
      <w:divBdr>
        <w:top w:val="none" w:sz="0" w:space="0" w:color="auto"/>
        <w:left w:val="none" w:sz="0" w:space="0" w:color="auto"/>
        <w:bottom w:val="none" w:sz="0" w:space="0" w:color="auto"/>
        <w:right w:val="none" w:sz="0" w:space="0" w:color="auto"/>
      </w:divBdr>
    </w:div>
    <w:div w:id="370619341">
      <w:bodyDiv w:val="1"/>
      <w:marLeft w:val="0"/>
      <w:marRight w:val="0"/>
      <w:marTop w:val="0"/>
      <w:marBottom w:val="0"/>
      <w:divBdr>
        <w:top w:val="none" w:sz="0" w:space="0" w:color="auto"/>
        <w:left w:val="none" w:sz="0" w:space="0" w:color="auto"/>
        <w:bottom w:val="none" w:sz="0" w:space="0" w:color="auto"/>
        <w:right w:val="none" w:sz="0" w:space="0" w:color="auto"/>
      </w:divBdr>
    </w:div>
    <w:div w:id="376707200">
      <w:bodyDiv w:val="1"/>
      <w:marLeft w:val="0"/>
      <w:marRight w:val="0"/>
      <w:marTop w:val="0"/>
      <w:marBottom w:val="0"/>
      <w:divBdr>
        <w:top w:val="none" w:sz="0" w:space="0" w:color="auto"/>
        <w:left w:val="none" w:sz="0" w:space="0" w:color="auto"/>
        <w:bottom w:val="none" w:sz="0" w:space="0" w:color="auto"/>
        <w:right w:val="none" w:sz="0" w:space="0" w:color="auto"/>
      </w:divBdr>
    </w:div>
    <w:div w:id="397436195">
      <w:bodyDiv w:val="1"/>
      <w:marLeft w:val="0"/>
      <w:marRight w:val="0"/>
      <w:marTop w:val="0"/>
      <w:marBottom w:val="0"/>
      <w:divBdr>
        <w:top w:val="none" w:sz="0" w:space="0" w:color="auto"/>
        <w:left w:val="none" w:sz="0" w:space="0" w:color="auto"/>
        <w:bottom w:val="none" w:sz="0" w:space="0" w:color="auto"/>
        <w:right w:val="none" w:sz="0" w:space="0" w:color="auto"/>
      </w:divBdr>
    </w:div>
    <w:div w:id="400520886">
      <w:bodyDiv w:val="1"/>
      <w:marLeft w:val="0"/>
      <w:marRight w:val="0"/>
      <w:marTop w:val="0"/>
      <w:marBottom w:val="0"/>
      <w:divBdr>
        <w:top w:val="none" w:sz="0" w:space="0" w:color="auto"/>
        <w:left w:val="none" w:sz="0" w:space="0" w:color="auto"/>
        <w:bottom w:val="none" w:sz="0" w:space="0" w:color="auto"/>
        <w:right w:val="none" w:sz="0" w:space="0" w:color="auto"/>
      </w:divBdr>
    </w:div>
    <w:div w:id="400837259">
      <w:bodyDiv w:val="1"/>
      <w:marLeft w:val="0"/>
      <w:marRight w:val="0"/>
      <w:marTop w:val="0"/>
      <w:marBottom w:val="0"/>
      <w:divBdr>
        <w:top w:val="none" w:sz="0" w:space="0" w:color="auto"/>
        <w:left w:val="none" w:sz="0" w:space="0" w:color="auto"/>
        <w:bottom w:val="none" w:sz="0" w:space="0" w:color="auto"/>
        <w:right w:val="none" w:sz="0" w:space="0" w:color="auto"/>
      </w:divBdr>
    </w:div>
    <w:div w:id="407965443">
      <w:bodyDiv w:val="1"/>
      <w:marLeft w:val="0"/>
      <w:marRight w:val="0"/>
      <w:marTop w:val="0"/>
      <w:marBottom w:val="0"/>
      <w:divBdr>
        <w:top w:val="none" w:sz="0" w:space="0" w:color="auto"/>
        <w:left w:val="none" w:sz="0" w:space="0" w:color="auto"/>
        <w:bottom w:val="none" w:sz="0" w:space="0" w:color="auto"/>
        <w:right w:val="none" w:sz="0" w:space="0" w:color="auto"/>
      </w:divBdr>
    </w:div>
    <w:div w:id="415594492">
      <w:bodyDiv w:val="1"/>
      <w:marLeft w:val="0"/>
      <w:marRight w:val="0"/>
      <w:marTop w:val="0"/>
      <w:marBottom w:val="0"/>
      <w:divBdr>
        <w:top w:val="none" w:sz="0" w:space="0" w:color="auto"/>
        <w:left w:val="none" w:sz="0" w:space="0" w:color="auto"/>
        <w:bottom w:val="none" w:sz="0" w:space="0" w:color="auto"/>
        <w:right w:val="none" w:sz="0" w:space="0" w:color="auto"/>
      </w:divBdr>
    </w:div>
    <w:div w:id="415977120">
      <w:bodyDiv w:val="1"/>
      <w:marLeft w:val="0"/>
      <w:marRight w:val="0"/>
      <w:marTop w:val="0"/>
      <w:marBottom w:val="0"/>
      <w:divBdr>
        <w:top w:val="none" w:sz="0" w:space="0" w:color="auto"/>
        <w:left w:val="none" w:sz="0" w:space="0" w:color="auto"/>
        <w:bottom w:val="none" w:sz="0" w:space="0" w:color="auto"/>
        <w:right w:val="none" w:sz="0" w:space="0" w:color="auto"/>
      </w:divBdr>
    </w:div>
    <w:div w:id="418212831">
      <w:bodyDiv w:val="1"/>
      <w:marLeft w:val="0"/>
      <w:marRight w:val="0"/>
      <w:marTop w:val="0"/>
      <w:marBottom w:val="0"/>
      <w:divBdr>
        <w:top w:val="none" w:sz="0" w:space="0" w:color="auto"/>
        <w:left w:val="none" w:sz="0" w:space="0" w:color="auto"/>
        <w:bottom w:val="none" w:sz="0" w:space="0" w:color="auto"/>
        <w:right w:val="none" w:sz="0" w:space="0" w:color="auto"/>
      </w:divBdr>
    </w:div>
    <w:div w:id="430048968">
      <w:bodyDiv w:val="1"/>
      <w:marLeft w:val="0"/>
      <w:marRight w:val="0"/>
      <w:marTop w:val="0"/>
      <w:marBottom w:val="0"/>
      <w:divBdr>
        <w:top w:val="none" w:sz="0" w:space="0" w:color="auto"/>
        <w:left w:val="none" w:sz="0" w:space="0" w:color="auto"/>
        <w:bottom w:val="none" w:sz="0" w:space="0" w:color="auto"/>
        <w:right w:val="none" w:sz="0" w:space="0" w:color="auto"/>
      </w:divBdr>
    </w:div>
    <w:div w:id="434832916">
      <w:bodyDiv w:val="1"/>
      <w:marLeft w:val="0"/>
      <w:marRight w:val="0"/>
      <w:marTop w:val="0"/>
      <w:marBottom w:val="0"/>
      <w:divBdr>
        <w:top w:val="none" w:sz="0" w:space="0" w:color="auto"/>
        <w:left w:val="none" w:sz="0" w:space="0" w:color="auto"/>
        <w:bottom w:val="none" w:sz="0" w:space="0" w:color="auto"/>
        <w:right w:val="none" w:sz="0" w:space="0" w:color="auto"/>
      </w:divBdr>
    </w:div>
    <w:div w:id="453330956">
      <w:bodyDiv w:val="1"/>
      <w:marLeft w:val="0"/>
      <w:marRight w:val="0"/>
      <w:marTop w:val="0"/>
      <w:marBottom w:val="0"/>
      <w:divBdr>
        <w:top w:val="none" w:sz="0" w:space="0" w:color="auto"/>
        <w:left w:val="none" w:sz="0" w:space="0" w:color="auto"/>
        <w:bottom w:val="none" w:sz="0" w:space="0" w:color="auto"/>
        <w:right w:val="none" w:sz="0" w:space="0" w:color="auto"/>
      </w:divBdr>
    </w:div>
    <w:div w:id="478574202">
      <w:bodyDiv w:val="1"/>
      <w:marLeft w:val="0"/>
      <w:marRight w:val="0"/>
      <w:marTop w:val="0"/>
      <w:marBottom w:val="0"/>
      <w:divBdr>
        <w:top w:val="none" w:sz="0" w:space="0" w:color="auto"/>
        <w:left w:val="none" w:sz="0" w:space="0" w:color="auto"/>
        <w:bottom w:val="none" w:sz="0" w:space="0" w:color="auto"/>
        <w:right w:val="none" w:sz="0" w:space="0" w:color="auto"/>
      </w:divBdr>
    </w:div>
    <w:div w:id="491333808">
      <w:bodyDiv w:val="1"/>
      <w:marLeft w:val="0"/>
      <w:marRight w:val="0"/>
      <w:marTop w:val="0"/>
      <w:marBottom w:val="0"/>
      <w:divBdr>
        <w:top w:val="none" w:sz="0" w:space="0" w:color="auto"/>
        <w:left w:val="none" w:sz="0" w:space="0" w:color="auto"/>
        <w:bottom w:val="none" w:sz="0" w:space="0" w:color="auto"/>
        <w:right w:val="none" w:sz="0" w:space="0" w:color="auto"/>
      </w:divBdr>
    </w:div>
    <w:div w:id="492768382">
      <w:bodyDiv w:val="1"/>
      <w:marLeft w:val="0"/>
      <w:marRight w:val="0"/>
      <w:marTop w:val="0"/>
      <w:marBottom w:val="0"/>
      <w:divBdr>
        <w:top w:val="none" w:sz="0" w:space="0" w:color="auto"/>
        <w:left w:val="none" w:sz="0" w:space="0" w:color="auto"/>
        <w:bottom w:val="none" w:sz="0" w:space="0" w:color="auto"/>
        <w:right w:val="none" w:sz="0" w:space="0" w:color="auto"/>
      </w:divBdr>
    </w:div>
    <w:div w:id="503207799">
      <w:bodyDiv w:val="1"/>
      <w:marLeft w:val="0"/>
      <w:marRight w:val="0"/>
      <w:marTop w:val="0"/>
      <w:marBottom w:val="0"/>
      <w:divBdr>
        <w:top w:val="none" w:sz="0" w:space="0" w:color="auto"/>
        <w:left w:val="none" w:sz="0" w:space="0" w:color="auto"/>
        <w:bottom w:val="none" w:sz="0" w:space="0" w:color="auto"/>
        <w:right w:val="none" w:sz="0" w:space="0" w:color="auto"/>
      </w:divBdr>
    </w:div>
    <w:div w:id="528186017">
      <w:bodyDiv w:val="1"/>
      <w:marLeft w:val="0"/>
      <w:marRight w:val="0"/>
      <w:marTop w:val="0"/>
      <w:marBottom w:val="0"/>
      <w:divBdr>
        <w:top w:val="none" w:sz="0" w:space="0" w:color="auto"/>
        <w:left w:val="none" w:sz="0" w:space="0" w:color="auto"/>
        <w:bottom w:val="none" w:sz="0" w:space="0" w:color="auto"/>
        <w:right w:val="none" w:sz="0" w:space="0" w:color="auto"/>
      </w:divBdr>
    </w:div>
    <w:div w:id="545718789">
      <w:bodyDiv w:val="1"/>
      <w:marLeft w:val="0"/>
      <w:marRight w:val="0"/>
      <w:marTop w:val="0"/>
      <w:marBottom w:val="0"/>
      <w:divBdr>
        <w:top w:val="none" w:sz="0" w:space="0" w:color="auto"/>
        <w:left w:val="none" w:sz="0" w:space="0" w:color="auto"/>
        <w:bottom w:val="none" w:sz="0" w:space="0" w:color="auto"/>
        <w:right w:val="none" w:sz="0" w:space="0" w:color="auto"/>
      </w:divBdr>
    </w:div>
    <w:div w:id="555161021">
      <w:bodyDiv w:val="1"/>
      <w:marLeft w:val="0"/>
      <w:marRight w:val="0"/>
      <w:marTop w:val="0"/>
      <w:marBottom w:val="0"/>
      <w:divBdr>
        <w:top w:val="none" w:sz="0" w:space="0" w:color="auto"/>
        <w:left w:val="none" w:sz="0" w:space="0" w:color="auto"/>
        <w:bottom w:val="none" w:sz="0" w:space="0" w:color="auto"/>
        <w:right w:val="none" w:sz="0" w:space="0" w:color="auto"/>
      </w:divBdr>
    </w:div>
    <w:div w:id="578714651">
      <w:bodyDiv w:val="1"/>
      <w:marLeft w:val="0"/>
      <w:marRight w:val="0"/>
      <w:marTop w:val="0"/>
      <w:marBottom w:val="0"/>
      <w:divBdr>
        <w:top w:val="none" w:sz="0" w:space="0" w:color="auto"/>
        <w:left w:val="none" w:sz="0" w:space="0" w:color="auto"/>
        <w:bottom w:val="none" w:sz="0" w:space="0" w:color="auto"/>
        <w:right w:val="none" w:sz="0" w:space="0" w:color="auto"/>
      </w:divBdr>
    </w:div>
    <w:div w:id="583222234">
      <w:bodyDiv w:val="1"/>
      <w:marLeft w:val="0"/>
      <w:marRight w:val="0"/>
      <w:marTop w:val="0"/>
      <w:marBottom w:val="0"/>
      <w:divBdr>
        <w:top w:val="none" w:sz="0" w:space="0" w:color="auto"/>
        <w:left w:val="none" w:sz="0" w:space="0" w:color="auto"/>
        <w:bottom w:val="none" w:sz="0" w:space="0" w:color="auto"/>
        <w:right w:val="none" w:sz="0" w:space="0" w:color="auto"/>
      </w:divBdr>
    </w:div>
    <w:div w:id="586113072">
      <w:bodyDiv w:val="1"/>
      <w:marLeft w:val="0"/>
      <w:marRight w:val="0"/>
      <w:marTop w:val="0"/>
      <w:marBottom w:val="0"/>
      <w:divBdr>
        <w:top w:val="none" w:sz="0" w:space="0" w:color="auto"/>
        <w:left w:val="none" w:sz="0" w:space="0" w:color="auto"/>
        <w:bottom w:val="none" w:sz="0" w:space="0" w:color="auto"/>
        <w:right w:val="none" w:sz="0" w:space="0" w:color="auto"/>
      </w:divBdr>
    </w:div>
    <w:div w:id="596258074">
      <w:bodyDiv w:val="1"/>
      <w:marLeft w:val="0"/>
      <w:marRight w:val="0"/>
      <w:marTop w:val="0"/>
      <w:marBottom w:val="0"/>
      <w:divBdr>
        <w:top w:val="none" w:sz="0" w:space="0" w:color="auto"/>
        <w:left w:val="none" w:sz="0" w:space="0" w:color="auto"/>
        <w:bottom w:val="none" w:sz="0" w:space="0" w:color="auto"/>
        <w:right w:val="none" w:sz="0" w:space="0" w:color="auto"/>
      </w:divBdr>
    </w:div>
    <w:div w:id="609242377">
      <w:bodyDiv w:val="1"/>
      <w:marLeft w:val="0"/>
      <w:marRight w:val="0"/>
      <w:marTop w:val="0"/>
      <w:marBottom w:val="0"/>
      <w:divBdr>
        <w:top w:val="none" w:sz="0" w:space="0" w:color="auto"/>
        <w:left w:val="none" w:sz="0" w:space="0" w:color="auto"/>
        <w:bottom w:val="none" w:sz="0" w:space="0" w:color="auto"/>
        <w:right w:val="none" w:sz="0" w:space="0" w:color="auto"/>
      </w:divBdr>
    </w:div>
    <w:div w:id="630554445">
      <w:bodyDiv w:val="1"/>
      <w:marLeft w:val="0"/>
      <w:marRight w:val="0"/>
      <w:marTop w:val="0"/>
      <w:marBottom w:val="0"/>
      <w:divBdr>
        <w:top w:val="none" w:sz="0" w:space="0" w:color="auto"/>
        <w:left w:val="none" w:sz="0" w:space="0" w:color="auto"/>
        <w:bottom w:val="none" w:sz="0" w:space="0" w:color="auto"/>
        <w:right w:val="none" w:sz="0" w:space="0" w:color="auto"/>
      </w:divBdr>
    </w:div>
    <w:div w:id="640689916">
      <w:bodyDiv w:val="1"/>
      <w:marLeft w:val="0"/>
      <w:marRight w:val="0"/>
      <w:marTop w:val="0"/>
      <w:marBottom w:val="0"/>
      <w:divBdr>
        <w:top w:val="none" w:sz="0" w:space="0" w:color="auto"/>
        <w:left w:val="none" w:sz="0" w:space="0" w:color="auto"/>
        <w:bottom w:val="none" w:sz="0" w:space="0" w:color="auto"/>
        <w:right w:val="none" w:sz="0" w:space="0" w:color="auto"/>
      </w:divBdr>
    </w:div>
    <w:div w:id="644235011">
      <w:bodyDiv w:val="1"/>
      <w:marLeft w:val="0"/>
      <w:marRight w:val="0"/>
      <w:marTop w:val="0"/>
      <w:marBottom w:val="0"/>
      <w:divBdr>
        <w:top w:val="none" w:sz="0" w:space="0" w:color="auto"/>
        <w:left w:val="none" w:sz="0" w:space="0" w:color="auto"/>
        <w:bottom w:val="none" w:sz="0" w:space="0" w:color="auto"/>
        <w:right w:val="none" w:sz="0" w:space="0" w:color="auto"/>
      </w:divBdr>
    </w:div>
    <w:div w:id="647632461">
      <w:bodyDiv w:val="1"/>
      <w:marLeft w:val="0"/>
      <w:marRight w:val="0"/>
      <w:marTop w:val="0"/>
      <w:marBottom w:val="0"/>
      <w:divBdr>
        <w:top w:val="none" w:sz="0" w:space="0" w:color="auto"/>
        <w:left w:val="none" w:sz="0" w:space="0" w:color="auto"/>
        <w:bottom w:val="none" w:sz="0" w:space="0" w:color="auto"/>
        <w:right w:val="none" w:sz="0" w:space="0" w:color="auto"/>
      </w:divBdr>
    </w:div>
    <w:div w:id="652562499">
      <w:bodyDiv w:val="1"/>
      <w:marLeft w:val="0"/>
      <w:marRight w:val="0"/>
      <w:marTop w:val="0"/>
      <w:marBottom w:val="0"/>
      <w:divBdr>
        <w:top w:val="none" w:sz="0" w:space="0" w:color="auto"/>
        <w:left w:val="none" w:sz="0" w:space="0" w:color="auto"/>
        <w:bottom w:val="none" w:sz="0" w:space="0" w:color="auto"/>
        <w:right w:val="none" w:sz="0" w:space="0" w:color="auto"/>
      </w:divBdr>
    </w:div>
    <w:div w:id="657654531">
      <w:bodyDiv w:val="1"/>
      <w:marLeft w:val="0"/>
      <w:marRight w:val="0"/>
      <w:marTop w:val="0"/>
      <w:marBottom w:val="0"/>
      <w:divBdr>
        <w:top w:val="none" w:sz="0" w:space="0" w:color="auto"/>
        <w:left w:val="none" w:sz="0" w:space="0" w:color="auto"/>
        <w:bottom w:val="none" w:sz="0" w:space="0" w:color="auto"/>
        <w:right w:val="none" w:sz="0" w:space="0" w:color="auto"/>
      </w:divBdr>
    </w:div>
    <w:div w:id="677971584">
      <w:bodyDiv w:val="1"/>
      <w:marLeft w:val="0"/>
      <w:marRight w:val="0"/>
      <w:marTop w:val="0"/>
      <w:marBottom w:val="0"/>
      <w:divBdr>
        <w:top w:val="none" w:sz="0" w:space="0" w:color="auto"/>
        <w:left w:val="none" w:sz="0" w:space="0" w:color="auto"/>
        <w:bottom w:val="none" w:sz="0" w:space="0" w:color="auto"/>
        <w:right w:val="none" w:sz="0" w:space="0" w:color="auto"/>
      </w:divBdr>
    </w:div>
    <w:div w:id="683744511">
      <w:bodyDiv w:val="1"/>
      <w:marLeft w:val="0"/>
      <w:marRight w:val="0"/>
      <w:marTop w:val="0"/>
      <w:marBottom w:val="0"/>
      <w:divBdr>
        <w:top w:val="none" w:sz="0" w:space="0" w:color="auto"/>
        <w:left w:val="none" w:sz="0" w:space="0" w:color="auto"/>
        <w:bottom w:val="none" w:sz="0" w:space="0" w:color="auto"/>
        <w:right w:val="none" w:sz="0" w:space="0" w:color="auto"/>
      </w:divBdr>
    </w:div>
    <w:div w:id="696007712">
      <w:bodyDiv w:val="1"/>
      <w:marLeft w:val="0"/>
      <w:marRight w:val="0"/>
      <w:marTop w:val="0"/>
      <w:marBottom w:val="0"/>
      <w:divBdr>
        <w:top w:val="none" w:sz="0" w:space="0" w:color="auto"/>
        <w:left w:val="none" w:sz="0" w:space="0" w:color="auto"/>
        <w:bottom w:val="none" w:sz="0" w:space="0" w:color="auto"/>
        <w:right w:val="none" w:sz="0" w:space="0" w:color="auto"/>
      </w:divBdr>
    </w:div>
    <w:div w:id="696975682">
      <w:bodyDiv w:val="1"/>
      <w:marLeft w:val="0"/>
      <w:marRight w:val="0"/>
      <w:marTop w:val="0"/>
      <w:marBottom w:val="0"/>
      <w:divBdr>
        <w:top w:val="none" w:sz="0" w:space="0" w:color="auto"/>
        <w:left w:val="none" w:sz="0" w:space="0" w:color="auto"/>
        <w:bottom w:val="none" w:sz="0" w:space="0" w:color="auto"/>
        <w:right w:val="none" w:sz="0" w:space="0" w:color="auto"/>
      </w:divBdr>
    </w:div>
    <w:div w:id="709040530">
      <w:bodyDiv w:val="1"/>
      <w:marLeft w:val="0"/>
      <w:marRight w:val="0"/>
      <w:marTop w:val="0"/>
      <w:marBottom w:val="0"/>
      <w:divBdr>
        <w:top w:val="none" w:sz="0" w:space="0" w:color="auto"/>
        <w:left w:val="none" w:sz="0" w:space="0" w:color="auto"/>
        <w:bottom w:val="none" w:sz="0" w:space="0" w:color="auto"/>
        <w:right w:val="none" w:sz="0" w:space="0" w:color="auto"/>
      </w:divBdr>
    </w:div>
    <w:div w:id="724178475">
      <w:bodyDiv w:val="1"/>
      <w:marLeft w:val="0"/>
      <w:marRight w:val="0"/>
      <w:marTop w:val="0"/>
      <w:marBottom w:val="0"/>
      <w:divBdr>
        <w:top w:val="none" w:sz="0" w:space="0" w:color="auto"/>
        <w:left w:val="none" w:sz="0" w:space="0" w:color="auto"/>
        <w:bottom w:val="none" w:sz="0" w:space="0" w:color="auto"/>
        <w:right w:val="none" w:sz="0" w:space="0" w:color="auto"/>
      </w:divBdr>
    </w:div>
    <w:div w:id="742028812">
      <w:bodyDiv w:val="1"/>
      <w:marLeft w:val="0"/>
      <w:marRight w:val="0"/>
      <w:marTop w:val="0"/>
      <w:marBottom w:val="0"/>
      <w:divBdr>
        <w:top w:val="none" w:sz="0" w:space="0" w:color="auto"/>
        <w:left w:val="none" w:sz="0" w:space="0" w:color="auto"/>
        <w:bottom w:val="none" w:sz="0" w:space="0" w:color="auto"/>
        <w:right w:val="none" w:sz="0" w:space="0" w:color="auto"/>
      </w:divBdr>
    </w:div>
    <w:div w:id="757168012">
      <w:bodyDiv w:val="1"/>
      <w:marLeft w:val="0"/>
      <w:marRight w:val="0"/>
      <w:marTop w:val="0"/>
      <w:marBottom w:val="0"/>
      <w:divBdr>
        <w:top w:val="none" w:sz="0" w:space="0" w:color="auto"/>
        <w:left w:val="none" w:sz="0" w:space="0" w:color="auto"/>
        <w:bottom w:val="none" w:sz="0" w:space="0" w:color="auto"/>
        <w:right w:val="none" w:sz="0" w:space="0" w:color="auto"/>
      </w:divBdr>
    </w:div>
    <w:div w:id="784545445">
      <w:bodyDiv w:val="1"/>
      <w:marLeft w:val="0"/>
      <w:marRight w:val="0"/>
      <w:marTop w:val="0"/>
      <w:marBottom w:val="0"/>
      <w:divBdr>
        <w:top w:val="none" w:sz="0" w:space="0" w:color="auto"/>
        <w:left w:val="none" w:sz="0" w:space="0" w:color="auto"/>
        <w:bottom w:val="none" w:sz="0" w:space="0" w:color="auto"/>
        <w:right w:val="none" w:sz="0" w:space="0" w:color="auto"/>
      </w:divBdr>
    </w:div>
    <w:div w:id="796027150">
      <w:bodyDiv w:val="1"/>
      <w:marLeft w:val="0"/>
      <w:marRight w:val="0"/>
      <w:marTop w:val="0"/>
      <w:marBottom w:val="0"/>
      <w:divBdr>
        <w:top w:val="none" w:sz="0" w:space="0" w:color="auto"/>
        <w:left w:val="none" w:sz="0" w:space="0" w:color="auto"/>
        <w:bottom w:val="none" w:sz="0" w:space="0" w:color="auto"/>
        <w:right w:val="none" w:sz="0" w:space="0" w:color="auto"/>
      </w:divBdr>
    </w:div>
    <w:div w:id="807354888">
      <w:bodyDiv w:val="1"/>
      <w:marLeft w:val="0"/>
      <w:marRight w:val="0"/>
      <w:marTop w:val="0"/>
      <w:marBottom w:val="0"/>
      <w:divBdr>
        <w:top w:val="none" w:sz="0" w:space="0" w:color="auto"/>
        <w:left w:val="none" w:sz="0" w:space="0" w:color="auto"/>
        <w:bottom w:val="none" w:sz="0" w:space="0" w:color="auto"/>
        <w:right w:val="none" w:sz="0" w:space="0" w:color="auto"/>
      </w:divBdr>
    </w:div>
    <w:div w:id="836043927">
      <w:bodyDiv w:val="1"/>
      <w:marLeft w:val="0"/>
      <w:marRight w:val="0"/>
      <w:marTop w:val="0"/>
      <w:marBottom w:val="0"/>
      <w:divBdr>
        <w:top w:val="none" w:sz="0" w:space="0" w:color="auto"/>
        <w:left w:val="none" w:sz="0" w:space="0" w:color="auto"/>
        <w:bottom w:val="none" w:sz="0" w:space="0" w:color="auto"/>
        <w:right w:val="none" w:sz="0" w:space="0" w:color="auto"/>
      </w:divBdr>
    </w:div>
    <w:div w:id="840701830">
      <w:bodyDiv w:val="1"/>
      <w:marLeft w:val="0"/>
      <w:marRight w:val="0"/>
      <w:marTop w:val="0"/>
      <w:marBottom w:val="0"/>
      <w:divBdr>
        <w:top w:val="none" w:sz="0" w:space="0" w:color="auto"/>
        <w:left w:val="none" w:sz="0" w:space="0" w:color="auto"/>
        <w:bottom w:val="none" w:sz="0" w:space="0" w:color="auto"/>
        <w:right w:val="none" w:sz="0" w:space="0" w:color="auto"/>
      </w:divBdr>
    </w:div>
    <w:div w:id="852652211">
      <w:bodyDiv w:val="1"/>
      <w:marLeft w:val="0"/>
      <w:marRight w:val="0"/>
      <w:marTop w:val="0"/>
      <w:marBottom w:val="0"/>
      <w:divBdr>
        <w:top w:val="none" w:sz="0" w:space="0" w:color="auto"/>
        <w:left w:val="none" w:sz="0" w:space="0" w:color="auto"/>
        <w:bottom w:val="none" w:sz="0" w:space="0" w:color="auto"/>
        <w:right w:val="none" w:sz="0" w:space="0" w:color="auto"/>
      </w:divBdr>
    </w:div>
    <w:div w:id="853572516">
      <w:bodyDiv w:val="1"/>
      <w:marLeft w:val="0"/>
      <w:marRight w:val="0"/>
      <w:marTop w:val="0"/>
      <w:marBottom w:val="0"/>
      <w:divBdr>
        <w:top w:val="none" w:sz="0" w:space="0" w:color="auto"/>
        <w:left w:val="none" w:sz="0" w:space="0" w:color="auto"/>
        <w:bottom w:val="none" w:sz="0" w:space="0" w:color="auto"/>
        <w:right w:val="none" w:sz="0" w:space="0" w:color="auto"/>
      </w:divBdr>
    </w:div>
    <w:div w:id="869756918">
      <w:bodyDiv w:val="1"/>
      <w:marLeft w:val="0"/>
      <w:marRight w:val="0"/>
      <w:marTop w:val="0"/>
      <w:marBottom w:val="0"/>
      <w:divBdr>
        <w:top w:val="none" w:sz="0" w:space="0" w:color="auto"/>
        <w:left w:val="none" w:sz="0" w:space="0" w:color="auto"/>
        <w:bottom w:val="none" w:sz="0" w:space="0" w:color="auto"/>
        <w:right w:val="none" w:sz="0" w:space="0" w:color="auto"/>
      </w:divBdr>
    </w:div>
    <w:div w:id="908462371">
      <w:bodyDiv w:val="1"/>
      <w:marLeft w:val="0"/>
      <w:marRight w:val="0"/>
      <w:marTop w:val="0"/>
      <w:marBottom w:val="0"/>
      <w:divBdr>
        <w:top w:val="none" w:sz="0" w:space="0" w:color="auto"/>
        <w:left w:val="none" w:sz="0" w:space="0" w:color="auto"/>
        <w:bottom w:val="none" w:sz="0" w:space="0" w:color="auto"/>
        <w:right w:val="none" w:sz="0" w:space="0" w:color="auto"/>
      </w:divBdr>
    </w:div>
    <w:div w:id="912736050">
      <w:bodyDiv w:val="1"/>
      <w:marLeft w:val="0"/>
      <w:marRight w:val="0"/>
      <w:marTop w:val="0"/>
      <w:marBottom w:val="0"/>
      <w:divBdr>
        <w:top w:val="none" w:sz="0" w:space="0" w:color="auto"/>
        <w:left w:val="none" w:sz="0" w:space="0" w:color="auto"/>
        <w:bottom w:val="none" w:sz="0" w:space="0" w:color="auto"/>
        <w:right w:val="none" w:sz="0" w:space="0" w:color="auto"/>
      </w:divBdr>
    </w:div>
    <w:div w:id="916477473">
      <w:bodyDiv w:val="1"/>
      <w:marLeft w:val="0"/>
      <w:marRight w:val="0"/>
      <w:marTop w:val="0"/>
      <w:marBottom w:val="0"/>
      <w:divBdr>
        <w:top w:val="none" w:sz="0" w:space="0" w:color="auto"/>
        <w:left w:val="none" w:sz="0" w:space="0" w:color="auto"/>
        <w:bottom w:val="none" w:sz="0" w:space="0" w:color="auto"/>
        <w:right w:val="none" w:sz="0" w:space="0" w:color="auto"/>
      </w:divBdr>
    </w:div>
    <w:div w:id="921185111">
      <w:bodyDiv w:val="1"/>
      <w:marLeft w:val="0"/>
      <w:marRight w:val="0"/>
      <w:marTop w:val="0"/>
      <w:marBottom w:val="0"/>
      <w:divBdr>
        <w:top w:val="none" w:sz="0" w:space="0" w:color="auto"/>
        <w:left w:val="none" w:sz="0" w:space="0" w:color="auto"/>
        <w:bottom w:val="none" w:sz="0" w:space="0" w:color="auto"/>
        <w:right w:val="none" w:sz="0" w:space="0" w:color="auto"/>
      </w:divBdr>
    </w:div>
    <w:div w:id="943265747">
      <w:bodyDiv w:val="1"/>
      <w:marLeft w:val="0"/>
      <w:marRight w:val="0"/>
      <w:marTop w:val="0"/>
      <w:marBottom w:val="0"/>
      <w:divBdr>
        <w:top w:val="none" w:sz="0" w:space="0" w:color="auto"/>
        <w:left w:val="none" w:sz="0" w:space="0" w:color="auto"/>
        <w:bottom w:val="none" w:sz="0" w:space="0" w:color="auto"/>
        <w:right w:val="none" w:sz="0" w:space="0" w:color="auto"/>
      </w:divBdr>
    </w:div>
    <w:div w:id="949632312">
      <w:bodyDiv w:val="1"/>
      <w:marLeft w:val="0"/>
      <w:marRight w:val="0"/>
      <w:marTop w:val="0"/>
      <w:marBottom w:val="0"/>
      <w:divBdr>
        <w:top w:val="none" w:sz="0" w:space="0" w:color="auto"/>
        <w:left w:val="none" w:sz="0" w:space="0" w:color="auto"/>
        <w:bottom w:val="none" w:sz="0" w:space="0" w:color="auto"/>
        <w:right w:val="none" w:sz="0" w:space="0" w:color="auto"/>
      </w:divBdr>
    </w:div>
    <w:div w:id="982853371">
      <w:bodyDiv w:val="1"/>
      <w:marLeft w:val="0"/>
      <w:marRight w:val="0"/>
      <w:marTop w:val="0"/>
      <w:marBottom w:val="0"/>
      <w:divBdr>
        <w:top w:val="none" w:sz="0" w:space="0" w:color="auto"/>
        <w:left w:val="none" w:sz="0" w:space="0" w:color="auto"/>
        <w:bottom w:val="none" w:sz="0" w:space="0" w:color="auto"/>
        <w:right w:val="none" w:sz="0" w:space="0" w:color="auto"/>
      </w:divBdr>
    </w:div>
    <w:div w:id="984504187">
      <w:bodyDiv w:val="1"/>
      <w:marLeft w:val="0"/>
      <w:marRight w:val="0"/>
      <w:marTop w:val="0"/>
      <w:marBottom w:val="0"/>
      <w:divBdr>
        <w:top w:val="none" w:sz="0" w:space="0" w:color="auto"/>
        <w:left w:val="none" w:sz="0" w:space="0" w:color="auto"/>
        <w:bottom w:val="none" w:sz="0" w:space="0" w:color="auto"/>
        <w:right w:val="none" w:sz="0" w:space="0" w:color="auto"/>
      </w:divBdr>
    </w:div>
    <w:div w:id="986973808">
      <w:bodyDiv w:val="1"/>
      <w:marLeft w:val="0"/>
      <w:marRight w:val="0"/>
      <w:marTop w:val="0"/>
      <w:marBottom w:val="0"/>
      <w:divBdr>
        <w:top w:val="none" w:sz="0" w:space="0" w:color="auto"/>
        <w:left w:val="none" w:sz="0" w:space="0" w:color="auto"/>
        <w:bottom w:val="none" w:sz="0" w:space="0" w:color="auto"/>
        <w:right w:val="none" w:sz="0" w:space="0" w:color="auto"/>
      </w:divBdr>
    </w:div>
    <w:div w:id="991836770">
      <w:bodyDiv w:val="1"/>
      <w:marLeft w:val="0"/>
      <w:marRight w:val="0"/>
      <w:marTop w:val="0"/>
      <w:marBottom w:val="0"/>
      <w:divBdr>
        <w:top w:val="none" w:sz="0" w:space="0" w:color="auto"/>
        <w:left w:val="none" w:sz="0" w:space="0" w:color="auto"/>
        <w:bottom w:val="none" w:sz="0" w:space="0" w:color="auto"/>
        <w:right w:val="none" w:sz="0" w:space="0" w:color="auto"/>
      </w:divBdr>
    </w:div>
    <w:div w:id="1012952363">
      <w:bodyDiv w:val="1"/>
      <w:marLeft w:val="0"/>
      <w:marRight w:val="0"/>
      <w:marTop w:val="0"/>
      <w:marBottom w:val="0"/>
      <w:divBdr>
        <w:top w:val="none" w:sz="0" w:space="0" w:color="auto"/>
        <w:left w:val="none" w:sz="0" w:space="0" w:color="auto"/>
        <w:bottom w:val="none" w:sz="0" w:space="0" w:color="auto"/>
        <w:right w:val="none" w:sz="0" w:space="0" w:color="auto"/>
      </w:divBdr>
    </w:div>
    <w:div w:id="1043404322">
      <w:bodyDiv w:val="1"/>
      <w:marLeft w:val="0"/>
      <w:marRight w:val="0"/>
      <w:marTop w:val="0"/>
      <w:marBottom w:val="0"/>
      <w:divBdr>
        <w:top w:val="none" w:sz="0" w:space="0" w:color="auto"/>
        <w:left w:val="none" w:sz="0" w:space="0" w:color="auto"/>
        <w:bottom w:val="none" w:sz="0" w:space="0" w:color="auto"/>
        <w:right w:val="none" w:sz="0" w:space="0" w:color="auto"/>
      </w:divBdr>
    </w:div>
    <w:div w:id="1044989974">
      <w:bodyDiv w:val="1"/>
      <w:marLeft w:val="0"/>
      <w:marRight w:val="0"/>
      <w:marTop w:val="0"/>
      <w:marBottom w:val="0"/>
      <w:divBdr>
        <w:top w:val="none" w:sz="0" w:space="0" w:color="auto"/>
        <w:left w:val="none" w:sz="0" w:space="0" w:color="auto"/>
        <w:bottom w:val="none" w:sz="0" w:space="0" w:color="auto"/>
        <w:right w:val="none" w:sz="0" w:space="0" w:color="auto"/>
      </w:divBdr>
    </w:div>
    <w:div w:id="1051735246">
      <w:bodyDiv w:val="1"/>
      <w:marLeft w:val="0"/>
      <w:marRight w:val="0"/>
      <w:marTop w:val="0"/>
      <w:marBottom w:val="0"/>
      <w:divBdr>
        <w:top w:val="none" w:sz="0" w:space="0" w:color="auto"/>
        <w:left w:val="none" w:sz="0" w:space="0" w:color="auto"/>
        <w:bottom w:val="none" w:sz="0" w:space="0" w:color="auto"/>
        <w:right w:val="none" w:sz="0" w:space="0" w:color="auto"/>
      </w:divBdr>
    </w:div>
    <w:div w:id="1060715777">
      <w:bodyDiv w:val="1"/>
      <w:marLeft w:val="0"/>
      <w:marRight w:val="0"/>
      <w:marTop w:val="0"/>
      <w:marBottom w:val="0"/>
      <w:divBdr>
        <w:top w:val="none" w:sz="0" w:space="0" w:color="auto"/>
        <w:left w:val="none" w:sz="0" w:space="0" w:color="auto"/>
        <w:bottom w:val="none" w:sz="0" w:space="0" w:color="auto"/>
        <w:right w:val="none" w:sz="0" w:space="0" w:color="auto"/>
      </w:divBdr>
    </w:div>
    <w:div w:id="1062482729">
      <w:bodyDiv w:val="1"/>
      <w:marLeft w:val="0"/>
      <w:marRight w:val="0"/>
      <w:marTop w:val="0"/>
      <w:marBottom w:val="0"/>
      <w:divBdr>
        <w:top w:val="none" w:sz="0" w:space="0" w:color="auto"/>
        <w:left w:val="none" w:sz="0" w:space="0" w:color="auto"/>
        <w:bottom w:val="none" w:sz="0" w:space="0" w:color="auto"/>
        <w:right w:val="none" w:sz="0" w:space="0" w:color="auto"/>
      </w:divBdr>
    </w:div>
    <w:div w:id="1066957559">
      <w:bodyDiv w:val="1"/>
      <w:marLeft w:val="0"/>
      <w:marRight w:val="0"/>
      <w:marTop w:val="0"/>
      <w:marBottom w:val="0"/>
      <w:divBdr>
        <w:top w:val="none" w:sz="0" w:space="0" w:color="auto"/>
        <w:left w:val="none" w:sz="0" w:space="0" w:color="auto"/>
        <w:bottom w:val="none" w:sz="0" w:space="0" w:color="auto"/>
        <w:right w:val="none" w:sz="0" w:space="0" w:color="auto"/>
      </w:divBdr>
    </w:div>
    <w:div w:id="1076780830">
      <w:bodyDiv w:val="1"/>
      <w:marLeft w:val="0"/>
      <w:marRight w:val="0"/>
      <w:marTop w:val="0"/>
      <w:marBottom w:val="0"/>
      <w:divBdr>
        <w:top w:val="none" w:sz="0" w:space="0" w:color="auto"/>
        <w:left w:val="none" w:sz="0" w:space="0" w:color="auto"/>
        <w:bottom w:val="none" w:sz="0" w:space="0" w:color="auto"/>
        <w:right w:val="none" w:sz="0" w:space="0" w:color="auto"/>
      </w:divBdr>
    </w:div>
    <w:div w:id="1094742012">
      <w:bodyDiv w:val="1"/>
      <w:marLeft w:val="0"/>
      <w:marRight w:val="0"/>
      <w:marTop w:val="0"/>
      <w:marBottom w:val="0"/>
      <w:divBdr>
        <w:top w:val="none" w:sz="0" w:space="0" w:color="auto"/>
        <w:left w:val="none" w:sz="0" w:space="0" w:color="auto"/>
        <w:bottom w:val="none" w:sz="0" w:space="0" w:color="auto"/>
        <w:right w:val="none" w:sz="0" w:space="0" w:color="auto"/>
      </w:divBdr>
    </w:div>
    <w:div w:id="1114592555">
      <w:bodyDiv w:val="1"/>
      <w:marLeft w:val="0"/>
      <w:marRight w:val="0"/>
      <w:marTop w:val="0"/>
      <w:marBottom w:val="0"/>
      <w:divBdr>
        <w:top w:val="none" w:sz="0" w:space="0" w:color="auto"/>
        <w:left w:val="none" w:sz="0" w:space="0" w:color="auto"/>
        <w:bottom w:val="none" w:sz="0" w:space="0" w:color="auto"/>
        <w:right w:val="none" w:sz="0" w:space="0" w:color="auto"/>
      </w:divBdr>
    </w:div>
    <w:div w:id="1126775108">
      <w:bodyDiv w:val="1"/>
      <w:marLeft w:val="0"/>
      <w:marRight w:val="0"/>
      <w:marTop w:val="0"/>
      <w:marBottom w:val="0"/>
      <w:divBdr>
        <w:top w:val="none" w:sz="0" w:space="0" w:color="auto"/>
        <w:left w:val="none" w:sz="0" w:space="0" w:color="auto"/>
        <w:bottom w:val="none" w:sz="0" w:space="0" w:color="auto"/>
        <w:right w:val="none" w:sz="0" w:space="0" w:color="auto"/>
      </w:divBdr>
    </w:div>
    <w:div w:id="1141656643">
      <w:bodyDiv w:val="1"/>
      <w:marLeft w:val="0"/>
      <w:marRight w:val="0"/>
      <w:marTop w:val="0"/>
      <w:marBottom w:val="0"/>
      <w:divBdr>
        <w:top w:val="none" w:sz="0" w:space="0" w:color="auto"/>
        <w:left w:val="none" w:sz="0" w:space="0" w:color="auto"/>
        <w:bottom w:val="none" w:sz="0" w:space="0" w:color="auto"/>
        <w:right w:val="none" w:sz="0" w:space="0" w:color="auto"/>
      </w:divBdr>
    </w:div>
    <w:div w:id="1162163916">
      <w:bodyDiv w:val="1"/>
      <w:marLeft w:val="0"/>
      <w:marRight w:val="0"/>
      <w:marTop w:val="0"/>
      <w:marBottom w:val="0"/>
      <w:divBdr>
        <w:top w:val="none" w:sz="0" w:space="0" w:color="auto"/>
        <w:left w:val="none" w:sz="0" w:space="0" w:color="auto"/>
        <w:bottom w:val="none" w:sz="0" w:space="0" w:color="auto"/>
        <w:right w:val="none" w:sz="0" w:space="0" w:color="auto"/>
      </w:divBdr>
    </w:div>
    <w:div w:id="1169561151">
      <w:bodyDiv w:val="1"/>
      <w:marLeft w:val="0"/>
      <w:marRight w:val="0"/>
      <w:marTop w:val="0"/>
      <w:marBottom w:val="0"/>
      <w:divBdr>
        <w:top w:val="none" w:sz="0" w:space="0" w:color="auto"/>
        <w:left w:val="none" w:sz="0" w:space="0" w:color="auto"/>
        <w:bottom w:val="none" w:sz="0" w:space="0" w:color="auto"/>
        <w:right w:val="none" w:sz="0" w:space="0" w:color="auto"/>
      </w:divBdr>
    </w:div>
    <w:div w:id="1178344832">
      <w:bodyDiv w:val="1"/>
      <w:marLeft w:val="0"/>
      <w:marRight w:val="0"/>
      <w:marTop w:val="0"/>
      <w:marBottom w:val="0"/>
      <w:divBdr>
        <w:top w:val="none" w:sz="0" w:space="0" w:color="auto"/>
        <w:left w:val="none" w:sz="0" w:space="0" w:color="auto"/>
        <w:bottom w:val="none" w:sz="0" w:space="0" w:color="auto"/>
        <w:right w:val="none" w:sz="0" w:space="0" w:color="auto"/>
      </w:divBdr>
    </w:div>
    <w:div w:id="1180895432">
      <w:bodyDiv w:val="1"/>
      <w:marLeft w:val="0"/>
      <w:marRight w:val="0"/>
      <w:marTop w:val="0"/>
      <w:marBottom w:val="0"/>
      <w:divBdr>
        <w:top w:val="none" w:sz="0" w:space="0" w:color="auto"/>
        <w:left w:val="none" w:sz="0" w:space="0" w:color="auto"/>
        <w:bottom w:val="none" w:sz="0" w:space="0" w:color="auto"/>
        <w:right w:val="none" w:sz="0" w:space="0" w:color="auto"/>
      </w:divBdr>
    </w:div>
    <w:div w:id="1191725399">
      <w:bodyDiv w:val="1"/>
      <w:marLeft w:val="0"/>
      <w:marRight w:val="0"/>
      <w:marTop w:val="0"/>
      <w:marBottom w:val="0"/>
      <w:divBdr>
        <w:top w:val="none" w:sz="0" w:space="0" w:color="auto"/>
        <w:left w:val="none" w:sz="0" w:space="0" w:color="auto"/>
        <w:bottom w:val="none" w:sz="0" w:space="0" w:color="auto"/>
        <w:right w:val="none" w:sz="0" w:space="0" w:color="auto"/>
      </w:divBdr>
    </w:div>
    <w:div w:id="1214317360">
      <w:bodyDiv w:val="1"/>
      <w:marLeft w:val="0"/>
      <w:marRight w:val="0"/>
      <w:marTop w:val="0"/>
      <w:marBottom w:val="0"/>
      <w:divBdr>
        <w:top w:val="none" w:sz="0" w:space="0" w:color="auto"/>
        <w:left w:val="none" w:sz="0" w:space="0" w:color="auto"/>
        <w:bottom w:val="none" w:sz="0" w:space="0" w:color="auto"/>
        <w:right w:val="none" w:sz="0" w:space="0" w:color="auto"/>
      </w:divBdr>
    </w:div>
    <w:div w:id="1227452377">
      <w:bodyDiv w:val="1"/>
      <w:marLeft w:val="0"/>
      <w:marRight w:val="0"/>
      <w:marTop w:val="0"/>
      <w:marBottom w:val="0"/>
      <w:divBdr>
        <w:top w:val="none" w:sz="0" w:space="0" w:color="auto"/>
        <w:left w:val="none" w:sz="0" w:space="0" w:color="auto"/>
        <w:bottom w:val="none" w:sz="0" w:space="0" w:color="auto"/>
        <w:right w:val="none" w:sz="0" w:space="0" w:color="auto"/>
      </w:divBdr>
    </w:div>
    <w:div w:id="1239630346">
      <w:bodyDiv w:val="1"/>
      <w:marLeft w:val="0"/>
      <w:marRight w:val="0"/>
      <w:marTop w:val="0"/>
      <w:marBottom w:val="0"/>
      <w:divBdr>
        <w:top w:val="none" w:sz="0" w:space="0" w:color="auto"/>
        <w:left w:val="none" w:sz="0" w:space="0" w:color="auto"/>
        <w:bottom w:val="none" w:sz="0" w:space="0" w:color="auto"/>
        <w:right w:val="none" w:sz="0" w:space="0" w:color="auto"/>
      </w:divBdr>
    </w:div>
    <w:div w:id="1244535249">
      <w:bodyDiv w:val="1"/>
      <w:marLeft w:val="0"/>
      <w:marRight w:val="0"/>
      <w:marTop w:val="0"/>
      <w:marBottom w:val="0"/>
      <w:divBdr>
        <w:top w:val="none" w:sz="0" w:space="0" w:color="auto"/>
        <w:left w:val="none" w:sz="0" w:space="0" w:color="auto"/>
        <w:bottom w:val="none" w:sz="0" w:space="0" w:color="auto"/>
        <w:right w:val="none" w:sz="0" w:space="0" w:color="auto"/>
      </w:divBdr>
    </w:div>
    <w:div w:id="1245995173">
      <w:bodyDiv w:val="1"/>
      <w:marLeft w:val="0"/>
      <w:marRight w:val="0"/>
      <w:marTop w:val="0"/>
      <w:marBottom w:val="0"/>
      <w:divBdr>
        <w:top w:val="none" w:sz="0" w:space="0" w:color="auto"/>
        <w:left w:val="none" w:sz="0" w:space="0" w:color="auto"/>
        <w:bottom w:val="none" w:sz="0" w:space="0" w:color="auto"/>
        <w:right w:val="none" w:sz="0" w:space="0" w:color="auto"/>
      </w:divBdr>
    </w:div>
    <w:div w:id="1260144708">
      <w:bodyDiv w:val="1"/>
      <w:marLeft w:val="0"/>
      <w:marRight w:val="0"/>
      <w:marTop w:val="0"/>
      <w:marBottom w:val="0"/>
      <w:divBdr>
        <w:top w:val="none" w:sz="0" w:space="0" w:color="auto"/>
        <w:left w:val="none" w:sz="0" w:space="0" w:color="auto"/>
        <w:bottom w:val="none" w:sz="0" w:space="0" w:color="auto"/>
        <w:right w:val="none" w:sz="0" w:space="0" w:color="auto"/>
      </w:divBdr>
    </w:div>
    <w:div w:id="1293713056">
      <w:bodyDiv w:val="1"/>
      <w:marLeft w:val="0"/>
      <w:marRight w:val="0"/>
      <w:marTop w:val="0"/>
      <w:marBottom w:val="0"/>
      <w:divBdr>
        <w:top w:val="none" w:sz="0" w:space="0" w:color="auto"/>
        <w:left w:val="none" w:sz="0" w:space="0" w:color="auto"/>
        <w:bottom w:val="none" w:sz="0" w:space="0" w:color="auto"/>
        <w:right w:val="none" w:sz="0" w:space="0" w:color="auto"/>
      </w:divBdr>
    </w:div>
    <w:div w:id="1300648683">
      <w:bodyDiv w:val="1"/>
      <w:marLeft w:val="0"/>
      <w:marRight w:val="0"/>
      <w:marTop w:val="0"/>
      <w:marBottom w:val="0"/>
      <w:divBdr>
        <w:top w:val="none" w:sz="0" w:space="0" w:color="auto"/>
        <w:left w:val="none" w:sz="0" w:space="0" w:color="auto"/>
        <w:bottom w:val="none" w:sz="0" w:space="0" w:color="auto"/>
        <w:right w:val="none" w:sz="0" w:space="0" w:color="auto"/>
      </w:divBdr>
    </w:div>
    <w:div w:id="1301955820">
      <w:bodyDiv w:val="1"/>
      <w:marLeft w:val="0"/>
      <w:marRight w:val="0"/>
      <w:marTop w:val="0"/>
      <w:marBottom w:val="0"/>
      <w:divBdr>
        <w:top w:val="none" w:sz="0" w:space="0" w:color="auto"/>
        <w:left w:val="none" w:sz="0" w:space="0" w:color="auto"/>
        <w:bottom w:val="none" w:sz="0" w:space="0" w:color="auto"/>
        <w:right w:val="none" w:sz="0" w:space="0" w:color="auto"/>
      </w:divBdr>
    </w:div>
    <w:div w:id="1310479286">
      <w:bodyDiv w:val="1"/>
      <w:marLeft w:val="0"/>
      <w:marRight w:val="0"/>
      <w:marTop w:val="0"/>
      <w:marBottom w:val="0"/>
      <w:divBdr>
        <w:top w:val="none" w:sz="0" w:space="0" w:color="auto"/>
        <w:left w:val="none" w:sz="0" w:space="0" w:color="auto"/>
        <w:bottom w:val="none" w:sz="0" w:space="0" w:color="auto"/>
        <w:right w:val="none" w:sz="0" w:space="0" w:color="auto"/>
      </w:divBdr>
    </w:div>
    <w:div w:id="1328362022">
      <w:bodyDiv w:val="1"/>
      <w:marLeft w:val="0"/>
      <w:marRight w:val="0"/>
      <w:marTop w:val="0"/>
      <w:marBottom w:val="0"/>
      <w:divBdr>
        <w:top w:val="none" w:sz="0" w:space="0" w:color="auto"/>
        <w:left w:val="none" w:sz="0" w:space="0" w:color="auto"/>
        <w:bottom w:val="none" w:sz="0" w:space="0" w:color="auto"/>
        <w:right w:val="none" w:sz="0" w:space="0" w:color="auto"/>
      </w:divBdr>
    </w:div>
    <w:div w:id="1329481786">
      <w:bodyDiv w:val="1"/>
      <w:marLeft w:val="0"/>
      <w:marRight w:val="0"/>
      <w:marTop w:val="0"/>
      <w:marBottom w:val="0"/>
      <w:divBdr>
        <w:top w:val="none" w:sz="0" w:space="0" w:color="auto"/>
        <w:left w:val="none" w:sz="0" w:space="0" w:color="auto"/>
        <w:bottom w:val="none" w:sz="0" w:space="0" w:color="auto"/>
        <w:right w:val="none" w:sz="0" w:space="0" w:color="auto"/>
      </w:divBdr>
    </w:div>
    <w:div w:id="1336880678">
      <w:bodyDiv w:val="1"/>
      <w:marLeft w:val="0"/>
      <w:marRight w:val="0"/>
      <w:marTop w:val="0"/>
      <w:marBottom w:val="0"/>
      <w:divBdr>
        <w:top w:val="none" w:sz="0" w:space="0" w:color="auto"/>
        <w:left w:val="none" w:sz="0" w:space="0" w:color="auto"/>
        <w:bottom w:val="none" w:sz="0" w:space="0" w:color="auto"/>
        <w:right w:val="none" w:sz="0" w:space="0" w:color="auto"/>
      </w:divBdr>
    </w:div>
    <w:div w:id="1347899498">
      <w:bodyDiv w:val="1"/>
      <w:marLeft w:val="0"/>
      <w:marRight w:val="0"/>
      <w:marTop w:val="0"/>
      <w:marBottom w:val="0"/>
      <w:divBdr>
        <w:top w:val="none" w:sz="0" w:space="0" w:color="auto"/>
        <w:left w:val="none" w:sz="0" w:space="0" w:color="auto"/>
        <w:bottom w:val="none" w:sz="0" w:space="0" w:color="auto"/>
        <w:right w:val="none" w:sz="0" w:space="0" w:color="auto"/>
      </w:divBdr>
    </w:div>
    <w:div w:id="1382513781">
      <w:bodyDiv w:val="1"/>
      <w:marLeft w:val="0"/>
      <w:marRight w:val="0"/>
      <w:marTop w:val="0"/>
      <w:marBottom w:val="0"/>
      <w:divBdr>
        <w:top w:val="none" w:sz="0" w:space="0" w:color="auto"/>
        <w:left w:val="none" w:sz="0" w:space="0" w:color="auto"/>
        <w:bottom w:val="none" w:sz="0" w:space="0" w:color="auto"/>
        <w:right w:val="none" w:sz="0" w:space="0" w:color="auto"/>
      </w:divBdr>
    </w:div>
    <w:div w:id="1398893539">
      <w:bodyDiv w:val="1"/>
      <w:marLeft w:val="0"/>
      <w:marRight w:val="0"/>
      <w:marTop w:val="0"/>
      <w:marBottom w:val="0"/>
      <w:divBdr>
        <w:top w:val="none" w:sz="0" w:space="0" w:color="auto"/>
        <w:left w:val="none" w:sz="0" w:space="0" w:color="auto"/>
        <w:bottom w:val="none" w:sz="0" w:space="0" w:color="auto"/>
        <w:right w:val="none" w:sz="0" w:space="0" w:color="auto"/>
      </w:divBdr>
    </w:div>
    <w:div w:id="1403060632">
      <w:bodyDiv w:val="1"/>
      <w:marLeft w:val="0"/>
      <w:marRight w:val="0"/>
      <w:marTop w:val="0"/>
      <w:marBottom w:val="0"/>
      <w:divBdr>
        <w:top w:val="none" w:sz="0" w:space="0" w:color="auto"/>
        <w:left w:val="none" w:sz="0" w:space="0" w:color="auto"/>
        <w:bottom w:val="none" w:sz="0" w:space="0" w:color="auto"/>
        <w:right w:val="none" w:sz="0" w:space="0" w:color="auto"/>
      </w:divBdr>
    </w:div>
    <w:div w:id="1423724407">
      <w:bodyDiv w:val="1"/>
      <w:marLeft w:val="0"/>
      <w:marRight w:val="0"/>
      <w:marTop w:val="0"/>
      <w:marBottom w:val="0"/>
      <w:divBdr>
        <w:top w:val="none" w:sz="0" w:space="0" w:color="auto"/>
        <w:left w:val="none" w:sz="0" w:space="0" w:color="auto"/>
        <w:bottom w:val="none" w:sz="0" w:space="0" w:color="auto"/>
        <w:right w:val="none" w:sz="0" w:space="0" w:color="auto"/>
      </w:divBdr>
    </w:div>
    <w:div w:id="1439368927">
      <w:bodyDiv w:val="1"/>
      <w:marLeft w:val="0"/>
      <w:marRight w:val="0"/>
      <w:marTop w:val="0"/>
      <w:marBottom w:val="0"/>
      <w:divBdr>
        <w:top w:val="none" w:sz="0" w:space="0" w:color="auto"/>
        <w:left w:val="none" w:sz="0" w:space="0" w:color="auto"/>
        <w:bottom w:val="none" w:sz="0" w:space="0" w:color="auto"/>
        <w:right w:val="none" w:sz="0" w:space="0" w:color="auto"/>
      </w:divBdr>
    </w:div>
    <w:div w:id="1441216467">
      <w:bodyDiv w:val="1"/>
      <w:marLeft w:val="0"/>
      <w:marRight w:val="0"/>
      <w:marTop w:val="0"/>
      <w:marBottom w:val="0"/>
      <w:divBdr>
        <w:top w:val="none" w:sz="0" w:space="0" w:color="auto"/>
        <w:left w:val="none" w:sz="0" w:space="0" w:color="auto"/>
        <w:bottom w:val="none" w:sz="0" w:space="0" w:color="auto"/>
        <w:right w:val="none" w:sz="0" w:space="0" w:color="auto"/>
      </w:divBdr>
    </w:div>
    <w:div w:id="1442335762">
      <w:bodyDiv w:val="1"/>
      <w:marLeft w:val="0"/>
      <w:marRight w:val="0"/>
      <w:marTop w:val="0"/>
      <w:marBottom w:val="0"/>
      <w:divBdr>
        <w:top w:val="none" w:sz="0" w:space="0" w:color="auto"/>
        <w:left w:val="none" w:sz="0" w:space="0" w:color="auto"/>
        <w:bottom w:val="none" w:sz="0" w:space="0" w:color="auto"/>
        <w:right w:val="none" w:sz="0" w:space="0" w:color="auto"/>
      </w:divBdr>
    </w:div>
    <w:div w:id="1445921251">
      <w:bodyDiv w:val="1"/>
      <w:marLeft w:val="0"/>
      <w:marRight w:val="0"/>
      <w:marTop w:val="0"/>
      <w:marBottom w:val="0"/>
      <w:divBdr>
        <w:top w:val="none" w:sz="0" w:space="0" w:color="auto"/>
        <w:left w:val="none" w:sz="0" w:space="0" w:color="auto"/>
        <w:bottom w:val="none" w:sz="0" w:space="0" w:color="auto"/>
        <w:right w:val="none" w:sz="0" w:space="0" w:color="auto"/>
      </w:divBdr>
    </w:div>
    <w:div w:id="1460294166">
      <w:bodyDiv w:val="1"/>
      <w:marLeft w:val="0"/>
      <w:marRight w:val="0"/>
      <w:marTop w:val="0"/>
      <w:marBottom w:val="0"/>
      <w:divBdr>
        <w:top w:val="none" w:sz="0" w:space="0" w:color="auto"/>
        <w:left w:val="none" w:sz="0" w:space="0" w:color="auto"/>
        <w:bottom w:val="none" w:sz="0" w:space="0" w:color="auto"/>
        <w:right w:val="none" w:sz="0" w:space="0" w:color="auto"/>
      </w:divBdr>
    </w:div>
    <w:div w:id="1470122916">
      <w:bodyDiv w:val="1"/>
      <w:marLeft w:val="0"/>
      <w:marRight w:val="0"/>
      <w:marTop w:val="0"/>
      <w:marBottom w:val="0"/>
      <w:divBdr>
        <w:top w:val="none" w:sz="0" w:space="0" w:color="auto"/>
        <w:left w:val="none" w:sz="0" w:space="0" w:color="auto"/>
        <w:bottom w:val="none" w:sz="0" w:space="0" w:color="auto"/>
        <w:right w:val="none" w:sz="0" w:space="0" w:color="auto"/>
      </w:divBdr>
    </w:div>
    <w:div w:id="1480533552">
      <w:bodyDiv w:val="1"/>
      <w:marLeft w:val="0"/>
      <w:marRight w:val="0"/>
      <w:marTop w:val="0"/>
      <w:marBottom w:val="0"/>
      <w:divBdr>
        <w:top w:val="none" w:sz="0" w:space="0" w:color="auto"/>
        <w:left w:val="none" w:sz="0" w:space="0" w:color="auto"/>
        <w:bottom w:val="none" w:sz="0" w:space="0" w:color="auto"/>
        <w:right w:val="none" w:sz="0" w:space="0" w:color="auto"/>
      </w:divBdr>
    </w:div>
    <w:div w:id="1483735691">
      <w:bodyDiv w:val="1"/>
      <w:marLeft w:val="0"/>
      <w:marRight w:val="0"/>
      <w:marTop w:val="0"/>
      <w:marBottom w:val="0"/>
      <w:divBdr>
        <w:top w:val="none" w:sz="0" w:space="0" w:color="auto"/>
        <w:left w:val="none" w:sz="0" w:space="0" w:color="auto"/>
        <w:bottom w:val="none" w:sz="0" w:space="0" w:color="auto"/>
        <w:right w:val="none" w:sz="0" w:space="0" w:color="auto"/>
      </w:divBdr>
    </w:div>
    <w:div w:id="1484538990">
      <w:bodyDiv w:val="1"/>
      <w:marLeft w:val="0"/>
      <w:marRight w:val="0"/>
      <w:marTop w:val="0"/>
      <w:marBottom w:val="0"/>
      <w:divBdr>
        <w:top w:val="none" w:sz="0" w:space="0" w:color="auto"/>
        <w:left w:val="none" w:sz="0" w:space="0" w:color="auto"/>
        <w:bottom w:val="none" w:sz="0" w:space="0" w:color="auto"/>
        <w:right w:val="none" w:sz="0" w:space="0" w:color="auto"/>
      </w:divBdr>
    </w:div>
    <w:div w:id="1489134870">
      <w:bodyDiv w:val="1"/>
      <w:marLeft w:val="0"/>
      <w:marRight w:val="0"/>
      <w:marTop w:val="0"/>
      <w:marBottom w:val="0"/>
      <w:divBdr>
        <w:top w:val="none" w:sz="0" w:space="0" w:color="auto"/>
        <w:left w:val="none" w:sz="0" w:space="0" w:color="auto"/>
        <w:bottom w:val="none" w:sz="0" w:space="0" w:color="auto"/>
        <w:right w:val="none" w:sz="0" w:space="0" w:color="auto"/>
      </w:divBdr>
    </w:div>
    <w:div w:id="1492717457">
      <w:bodyDiv w:val="1"/>
      <w:marLeft w:val="0"/>
      <w:marRight w:val="0"/>
      <w:marTop w:val="0"/>
      <w:marBottom w:val="0"/>
      <w:divBdr>
        <w:top w:val="none" w:sz="0" w:space="0" w:color="auto"/>
        <w:left w:val="none" w:sz="0" w:space="0" w:color="auto"/>
        <w:bottom w:val="none" w:sz="0" w:space="0" w:color="auto"/>
        <w:right w:val="none" w:sz="0" w:space="0" w:color="auto"/>
      </w:divBdr>
    </w:div>
    <w:div w:id="1496721775">
      <w:bodyDiv w:val="1"/>
      <w:marLeft w:val="0"/>
      <w:marRight w:val="0"/>
      <w:marTop w:val="0"/>
      <w:marBottom w:val="0"/>
      <w:divBdr>
        <w:top w:val="none" w:sz="0" w:space="0" w:color="auto"/>
        <w:left w:val="none" w:sz="0" w:space="0" w:color="auto"/>
        <w:bottom w:val="none" w:sz="0" w:space="0" w:color="auto"/>
        <w:right w:val="none" w:sz="0" w:space="0" w:color="auto"/>
      </w:divBdr>
    </w:div>
    <w:div w:id="1511064502">
      <w:bodyDiv w:val="1"/>
      <w:marLeft w:val="0"/>
      <w:marRight w:val="0"/>
      <w:marTop w:val="0"/>
      <w:marBottom w:val="0"/>
      <w:divBdr>
        <w:top w:val="none" w:sz="0" w:space="0" w:color="auto"/>
        <w:left w:val="none" w:sz="0" w:space="0" w:color="auto"/>
        <w:bottom w:val="none" w:sz="0" w:space="0" w:color="auto"/>
        <w:right w:val="none" w:sz="0" w:space="0" w:color="auto"/>
      </w:divBdr>
    </w:div>
    <w:div w:id="1548301207">
      <w:bodyDiv w:val="1"/>
      <w:marLeft w:val="0"/>
      <w:marRight w:val="0"/>
      <w:marTop w:val="0"/>
      <w:marBottom w:val="0"/>
      <w:divBdr>
        <w:top w:val="none" w:sz="0" w:space="0" w:color="auto"/>
        <w:left w:val="none" w:sz="0" w:space="0" w:color="auto"/>
        <w:bottom w:val="none" w:sz="0" w:space="0" w:color="auto"/>
        <w:right w:val="none" w:sz="0" w:space="0" w:color="auto"/>
      </w:divBdr>
    </w:div>
    <w:div w:id="1588348950">
      <w:bodyDiv w:val="1"/>
      <w:marLeft w:val="0"/>
      <w:marRight w:val="0"/>
      <w:marTop w:val="0"/>
      <w:marBottom w:val="0"/>
      <w:divBdr>
        <w:top w:val="none" w:sz="0" w:space="0" w:color="auto"/>
        <w:left w:val="none" w:sz="0" w:space="0" w:color="auto"/>
        <w:bottom w:val="none" w:sz="0" w:space="0" w:color="auto"/>
        <w:right w:val="none" w:sz="0" w:space="0" w:color="auto"/>
      </w:divBdr>
    </w:div>
    <w:div w:id="1590041984">
      <w:bodyDiv w:val="1"/>
      <w:marLeft w:val="0"/>
      <w:marRight w:val="0"/>
      <w:marTop w:val="0"/>
      <w:marBottom w:val="0"/>
      <w:divBdr>
        <w:top w:val="none" w:sz="0" w:space="0" w:color="auto"/>
        <w:left w:val="none" w:sz="0" w:space="0" w:color="auto"/>
        <w:bottom w:val="none" w:sz="0" w:space="0" w:color="auto"/>
        <w:right w:val="none" w:sz="0" w:space="0" w:color="auto"/>
      </w:divBdr>
    </w:div>
    <w:div w:id="1594779424">
      <w:bodyDiv w:val="1"/>
      <w:marLeft w:val="0"/>
      <w:marRight w:val="0"/>
      <w:marTop w:val="0"/>
      <w:marBottom w:val="0"/>
      <w:divBdr>
        <w:top w:val="none" w:sz="0" w:space="0" w:color="auto"/>
        <w:left w:val="none" w:sz="0" w:space="0" w:color="auto"/>
        <w:bottom w:val="none" w:sz="0" w:space="0" w:color="auto"/>
        <w:right w:val="none" w:sz="0" w:space="0" w:color="auto"/>
      </w:divBdr>
    </w:div>
    <w:div w:id="1597440006">
      <w:bodyDiv w:val="1"/>
      <w:marLeft w:val="0"/>
      <w:marRight w:val="0"/>
      <w:marTop w:val="0"/>
      <w:marBottom w:val="0"/>
      <w:divBdr>
        <w:top w:val="none" w:sz="0" w:space="0" w:color="auto"/>
        <w:left w:val="none" w:sz="0" w:space="0" w:color="auto"/>
        <w:bottom w:val="none" w:sz="0" w:space="0" w:color="auto"/>
        <w:right w:val="none" w:sz="0" w:space="0" w:color="auto"/>
      </w:divBdr>
    </w:div>
    <w:div w:id="1599486441">
      <w:bodyDiv w:val="1"/>
      <w:marLeft w:val="0"/>
      <w:marRight w:val="0"/>
      <w:marTop w:val="0"/>
      <w:marBottom w:val="0"/>
      <w:divBdr>
        <w:top w:val="none" w:sz="0" w:space="0" w:color="auto"/>
        <w:left w:val="none" w:sz="0" w:space="0" w:color="auto"/>
        <w:bottom w:val="none" w:sz="0" w:space="0" w:color="auto"/>
        <w:right w:val="none" w:sz="0" w:space="0" w:color="auto"/>
      </w:divBdr>
    </w:div>
    <w:div w:id="1634869540">
      <w:bodyDiv w:val="1"/>
      <w:marLeft w:val="0"/>
      <w:marRight w:val="0"/>
      <w:marTop w:val="0"/>
      <w:marBottom w:val="0"/>
      <w:divBdr>
        <w:top w:val="none" w:sz="0" w:space="0" w:color="auto"/>
        <w:left w:val="none" w:sz="0" w:space="0" w:color="auto"/>
        <w:bottom w:val="none" w:sz="0" w:space="0" w:color="auto"/>
        <w:right w:val="none" w:sz="0" w:space="0" w:color="auto"/>
      </w:divBdr>
    </w:div>
    <w:div w:id="1636178160">
      <w:bodyDiv w:val="1"/>
      <w:marLeft w:val="0"/>
      <w:marRight w:val="0"/>
      <w:marTop w:val="0"/>
      <w:marBottom w:val="0"/>
      <w:divBdr>
        <w:top w:val="none" w:sz="0" w:space="0" w:color="auto"/>
        <w:left w:val="none" w:sz="0" w:space="0" w:color="auto"/>
        <w:bottom w:val="none" w:sz="0" w:space="0" w:color="auto"/>
        <w:right w:val="none" w:sz="0" w:space="0" w:color="auto"/>
      </w:divBdr>
    </w:div>
    <w:div w:id="1653412961">
      <w:bodyDiv w:val="1"/>
      <w:marLeft w:val="0"/>
      <w:marRight w:val="0"/>
      <w:marTop w:val="0"/>
      <w:marBottom w:val="0"/>
      <w:divBdr>
        <w:top w:val="none" w:sz="0" w:space="0" w:color="auto"/>
        <w:left w:val="none" w:sz="0" w:space="0" w:color="auto"/>
        <w:bottom w:val="none" w:sz="0" w:space="0" w:color="auto"/>
        <w:right w:val="none" w:sz="0" w:space="0" w:color="auto"/>
      </w:divBdr>
    </w:div>
    <w:div w:id="1654677139">
      <w:bodyDiv w:val="1"/>
      <w:marLeft w:val="0"/>
      <w:marRight w:val="0"/>
      <w:marTop w:val="0"/>
      <w:marBottom w:val="0"/>
      <w:divBdr>
        <w:top w:val="none" w:sz="0" w:space="0" w:color="auto"/>
        <w:left w:val="none" w:sz="0" w:space="0" w:color="auto"/>
        <w:bottom w:val="none" w:sz="0" w:space="0" w:color="auto"/>
        <w:right w:val="none" w:sz="0" w:space="0" w:color="auto"/>
      </w:divBdr>
    </w:div>
    <w:div w:id="1656303579">
      <w:bodyDiv w:val="1"/>
      <w:marLeft w:val="0"/>
      <w:marRight w:val="0"/>
      <w:marTop w:val="0"/>
      <w:marBottom w:val="0"/>
      <w:divBdr>
        <w:top w:val="none" w:sz="0" w:space="0" w:color="auto"/>
        <w:left w:val="none" w:sz="0" w:space="0" w:color="auto"/>
        <w:bottom w:val="none" w:sz="0" w:space="0" w:color="auto"/>
        <w:right w:val="none" w:sz="0" w:space="0" w:color="auto"/>
      </w:divBdr>
    </w:div>
    <w:div w:id="1672295165">
      <w:bodyDiv w:val="1"/>
      <w:marLeft w:val="0"/>
      <w:marRight w:val="0"/>
      <w:marTop w:val="0"/>
      <w:marBottom w:val="0"/>
      <w:divBdr>
        <w:top w:val="none" w:sz="0" w:space="0" w:color="auto"/>
        <w:left w:val="none" w:sz="0" w:space="0" w:color="auto"/>
        <w:bottom w:val="none" w:sz="0" w:space="0" w:color="auto"/>
        <w:right w:val="none" w:sz="0" w:space="0" w:color="auto"/>
      </w:divBdr>
    </w:div>
    <w:div w:id="1697652101">
      <w:bodyDiv w:val="1"/>
      <w:marLeft w:val="0"/>
      <w:marRight w:val="0"/>
      <w:marTop w:val="0"/>
      <w:marBottom w:val="0"/>
      <w:divBdr>
        <w:top w:val="none" w:sz="0" w:space="0" w:color="auto"/>
        <w:left w:val="none" w:sz="0" w:space="0" w:color="auto"/>
        <w:bottom w:val="none" w:sz="0" w:space="0" w:color="auto"/>
        <w:right w:val="none" w:sz="0" w:space="0" w:color="auto"/>
      </w:divBdr>
    </w:div>
    <w:div w:id="1707018968">
      <w:bodyDiv w:val="1"/>
      <w:marLeft w:val="0"/>
      <w:marRight w:val="0"/>
      <w:marTop w:val="0"/>
      <w:marBottom w:val="0"/>
      <w:divBdr>
        <w:top w:val="none" w:sz="0" w:space="0" w:color="auto"/>
        <w:left w:val="none" w:sz="0" w:space="0" w:color="auto"/>
        <w:bottom w:val="none" w:sz="0" w:space="0" w:color="auto"/>
        <w:right w:val="none" w:sz="0" w:space="0" w:color="auto"/>
      </w:divBdr>
    </w:div>
    <w:div w:id="1707369156">
      <w:bodyDiv w:val="1"/>
      <w:marLeft w:val="0"/>
      <w:marRight w:val="0"/>
      <w:marTop w:val="0"/>
      <w:marBottom w:val="0"/>
      <w:divBdr>
        <w:top w:val="none" w:sz="0" w:space="0" w:color="auto"/>
        <w:left w:val="none" w:sz="0" w:space="0" w:color="auto"/>
        <w:bottom w:val="none" w:sz="0" w:space="0" w:color="auto"/>
        <w:right w:val="none" w:sz="0" w:space="0" w:color="auto"/>
      </w:divBdr>
    </w:div>
    <w:div w:id="1717311846">
      <w:bodyDiv w:val="1"/>
      <w:marLeft w:val="0"/>
      <w:marRight w:val="0"/>
      <w:marTop w:val="0"/>
      <w:marBottom w:val="0"/>
      <w:divBdr>
        <w:top w:val="none" w:sz="0" w:space="0" w:color="auto"/>
        <w:left w:val="none" w:sz="0" w:space="0" w:color="auto"/>
        <w:bottom w:val="none" w:sz="0" w:space="0" w:color="auto"/>
        <w:right w:val="none" w:sz="0" w:space="0" w:color="auto"/>
      </w:divBdr>
    </w:div>
    <w:div w:id="1739863972">
      <w:bodyDiv w:val="1"/>
      <w:marLeft w:val="0"/>
      <w:marRight w:val="0"/>
      <w:marTop w:val="0"/>
      <w:marBottom w:val="0"/>
      <w:divBdr>
        <w:top w:val="none" w:sz="0" w:space="0" w:color="auto"/>
        <w:left w:val="none" w:sz="0" w:space="0" w:color="auto"/>
        <w:bottom w:val="none" w:sz="0" w:space="0" w:color="auto"/>
        <w:right w:val="none" w:sz="0" w:space="0" w:color="auto"/>
      </w:divBdr>
    </w:div>
    <w:div w:id="1750224308">
      <w:bodyDiv w:val="1"/>
      <w:marLeft w:val="0"/>
      <w:marRight w:val="0"/>
      <w:marTop w:val="0"/>
      <w:marBottom w:val="0"/>
      <w:divBdr>
        <w:top w:val="none" w:sz="0" w:space="0" w:color="auto"/>
        <w:left w:val="none" w:sz="0" w:space="0" w:color="auto"/>
        <w:bottom w:val="none" w:sz="0" w:space="0" w:color="auto"/>
        <w:right w:val="none" w:sz="0" w:space="0" w:color="auto"/>
      </w:divBdr>
    </w:div>
    <w:div w:id="1757358906">
      <w:bodyDiv w:val="1"/>
      <w:marLeft w:val="0"/>
      <w:marRight w:val="0"/>
      <w:marTop w:val="0"/>
      <w:marBottom w:val="0"/>
      <w:divBdr>
        <w:top w:val="none" w:sz="0" w:space="0" w:color="auto"/>
        <w:left w:val="none" w:sz="0" w:space="0" w:color="auto"/>
        <w:bottom w:val="none" w:sz="0" w:space="0" w:color="auto"/>
        <w:right w:val="none" w:sz="0" w:space="0" w:color="auto"/>
      </w:divBdr>
    </w:div>
    <w:div w:id="1763453691">
      <w:bodyDiv w:val="1"/>
      <w:marLeft w:val="0"/>
      <w:marRight w:val="0"/>
      <w:marTop w:val="0"/>
      <w:marBottom w:val="0"/>
      <w:divBdr>
        <w:top w:val="none" w:sz="0" w:space="0" w:color="auto"/>
        <w:left w:val="none" w:sz="0" w:space="0" w:color="auto"/>
        <w:bottom w:val="none" w:sz="0" w:space="0" w:color="auto"/>
        <w:right w:val="none" w:sz="0" w:space="0" w:color="auto"/>
      </w:divBdr>
    </w:div>
    <w:div w:id="1777560228">
      <w:bodyDiv w:val="1"/>
      <w:marLeft w:val="0"/>
      <w:marRight w:val="0"/>
      <w:marTop w:val="0"/>
      <w:marBottom w:val="0"/>
      <w:divBdr>
        <w:top w:val="none" w:sz="0" w:space="0" w:color="auto"/>
        <w:left w:val="none" w:sz="0" w:space="0" w:color="auto"/>
        <w:bottom w:val="none" w:sz="0" w:space="0" w:color="auto"/>
        <w:right w:val="none" w:sz="0" w:space="0" w:color="auto"/>
      </w:divBdr>
    </w:div>
    <w:div w:id="1779828961">
      <w:bodyDiv w:val="1"/>
      <w:marLeft w:val="0"/>
      <w:marRight w:val="0"/>
      <w:marTop w:val="0"/>
      <w:marBottom w:val="0"/>
      <w:divBdr>
        <w:top w:val="none" w:sz="0" w:space="0" w:color="auto"/>
        <w:left w:val="none" w:sz="0" w:space="0" w:color="auto"/>
        <w:bottom w:val="none" w:sz="0" w:space="0" w:color="auto"/>
        <w:right w:val="none" w:sz="0" w:space="0" w:color="auto"/>
      </w:divBdr>
    </w:div>
    <w:div w:id="1787846141">
      <w:bodyDiv w:val="1"/>
      <w:marLeft w:val="0"/>
      <w:marRight w:val="0"/>
      <w:marTop w:val="0"/>
      <w:marBottom w:val="0"/>
      <w:divBdr>
        <w:top w:val="none" w:sz="0" w:space="0" w:color="auto"/>
        <w:left w:val="none" w:sz="0" w:space="0" w:color="auto"/>
        <w:bottom w:val="none" w:sz="0" w:space="0" w:color="auto"/>
        <w:right w:val="none" w:sz="0" w:space="0" w:color="auto"/>
      </w:divBdr>
    </w:div>
    <w:div w:id="1809007522">
      <w:bodyDiv w:val="1"/>
      <w:marLeft w:val="0"/>
      <w:marRight w:val="0"/>
      <w:marTop w:val="0"/>
      <w:marBottom w:val="0"/>
      <w:divBdr>
        <w:top w:val="none" w:sz="0" w:space="0" w:color="auto"/>
        <w:left w:val="none" w:sz="0" w:space="0" w:color="auto"/>
        <w:bottom w:val="none" w:sz="0" w:space="0" w:color="auto"/>
        <w:right w:val="none" w:sz="0" w:space="0" w:color="auto"/>
      </w:divBdr>
    </w:div>
    <w:div w:id="1824738795">
      <w:bodyDiv w:val="1"/>
      <w:marLeft w:val="0"/>
      <w:marRight w:val="0"/>
      <w:marTop w:val="0"/>
      <w:marBottom w:val="0"/>
      <w:divBdr>
        <w:top w:val="none" w:sz="0" w:space="0" w:color="auto"/>
        <w:left w:val="none" w:sz="0" w:space="0" w:color="auto"/>
        <w:bottom w:val="none" w:sz="0" w:space="0" w:color="auto"/>
        <w:right w:val="none" w:sz="0" w:space="0" w:color="auto"/>
      </w:divBdr>
    </w:div>
    <w:div w:id="1833255003">
      <w:bodyDiv w:val="1"/>
      <w:marLeft w:val="0"/>
      <w:marRight w:val="0"/>
      <w:marTop w:val="0"/>
      <w:marBottom w:val="0"/>
      <w:divBdr>
        <w:top w:val="none" w:sz="0" w:space="0" w:color="auto"/>
        <w:left w:val="none" w:sz="0" w:space="0" w:color="auto"/>
        <w:bottom w:val="none" w:sz="0" w:space="0" w:color="auto"/>
        <w:right w:val="none" w:sz="0" w:space="0" w:color="auto"/>
      </w:divBdr>
    </w:div>
    <w:div w:id="1842355630">
      <w:bodyDiv w:val="1"/>
      <w:marLeft w:val="0"/>
      <w:marRight w:val="0"/>
      <w:marTop w:val="0"/>
      <w:marBottom w:val="0"/>
      <w:divBdr>
        <w:top w:val="none" w:sz="0" w:space="0" w:color="auto"/>
        <w:left w:val="none" w:sz="0" w:space="0" w:color="auto"/>
        <w:bottom w:val="none" w:sz="0" w:space="0" w:color="auto"/>
        <w:right w:val="none" w:sz="0" w:space="0" w:color="auto"/>
      </w:divBdr>
    </w:div>
    <w:div w:id="1845431370">
      <w:bodyDiv w:val="1"/>
      <w:marLeft w:val="0"/>
      <w:marRight w:val="0"/>
      <w:marTop w:val="0"/>
      <w:marBottom w:val="0"/>
      <w:divBdr>
        <w:top w:val="none" w:sz="0" w:space="0" w:color="auto"/>
        <w:left w:val="none" w:sz="0" w:space="0" w:color="auto"/>
        <w:bottom w:val="none" w:sz="0" w:space="0" w:color="auto"/>
        <w:right w:val="none" w:sz="0" w:space="0" w:color="auto"/>
      </w:divBdr>
    </w:div>
    <w:div w:id="1850564837">
      <w:bodyDiv w:val="1"/>
      <w:marLeft w:val="0"/>
      <w:marRight w:val="0"/>
      <w:marTop w:val="0"/>
      <w:marBottom w:val="0"/>
      <w:divBdr>
        <w:top w:val="none" w:sz="0" w:space="0" w:color="auto"/>
        <w:left w:val="none" w:sz="0" w:space="0" w:color="auto"/>
        <w:bottom w:val="none" w:sz="0" w:space="0" w:color="auto"/>
        <w:right w:val="none" w:sz="0" w:space="0" w:color="auto"/>
      </w:divBdr>
    </w:div>
    <w:div w:id="1878086366">
      <w:bodyDiv w:val="1"/>
      <w:marLeft w:val="0"/>
      <w:marRight w:val="0"/>
      <w:marTop w:val="0"/>
      <w:marBottom w:val="0"/>
      <w:divBdr>
        <w:top w:val="none" w:sz="0" w:space="0" w:color="auto"/>
        <w:left w:val="none" w:sz="0" w:space="0" w:color="auto"/>
        <w:bottom w:val="none" w:sz="0" w:space="0" w:color="auto"/>
        <w:right w:val="none" w:sz="0" w:space="0" w:color="auto"/>
      </w:divBdr>
    </w:div>
    <w:div w:id="1895238658">
      <w:bodyDiv w:val="1"/>
      <w:marLeft w:val="0"/>
      <w:marRight w:val="0"/>
      <w:marTop w:val="0"/>
      <w:marBottom w:val="0"/>
      <w:divBdr>
        <w:top w:val="none" w:sz="0" w:space="0" w:color="auto"/>
        <w:left w:val="none" w:sz="0" w:space="0" w:color="auto"/>
        <w:bottom w:val="none" w:sz="0" w:space="0" w:color="auto"/>
        <w:right w:val="none" w:sz="0" w:space="0" w:color="auto"/>
      </w:divBdr>
    </w:div>
    <w:div w:id="1899627741">
      <w:bodyDiv w:val="1"/>
      <w:marLeft w:val="0"/>
      <w:marRight w:val="0"/>
      <w:marTop w:val="0"/>
      <w:marBottom w:val="0"/>
      <w:divBdr>
        <w:top w:val="none" w:sz="0" w:space="0" w:color="auto"/>
        <w:left w:val="none" w:sz="0" w:space="0" w:color="auto"/>
        <w:bottom w:val="none" w:sz="0" w:space="0" w:color="auto"/>
        <w:right w:val="none" w:sz="0" w:space="0" w:color="auto"/>
      </w:divBdr>
    </w:div>
    <w:div w:id="1900283475">
      <w:bodyDiv w:val="1"/>
      <w:marLeft w:val="0"/>
      <w:marRight w:val="0"/>
      <w:marTop w:val="0"/>
      <w:marBottom w:val="0"/>
      <w:divBdr>
        <w:top w:val="none" w:sz="0" w:space="0" w:color="auto"/>
        <w:left w:val="none" w:sz="0" w:space="0" w:color="auto"/>
        <w:bottom w:val="none" w:sz="0" w:space="0" w:color="auto"/>
        <w:right w:val="none" w:sz="0" w:space="0" w:color="auto"/>
      </w:divBdr>
    </w:div>
    <w:div w:id="1906644657">
      <w:bodyDiv w:val="1"/>
      <w:marLeft w:val="0"/>
      <w:marRight w:val="0"/>
      <w:marTop w:val="0"/>
      <w:marBottom w:val="0"/>
      <w:divBdr>
        <w:top w:val="none" w:sz="0" w:space="0" w:color="auto"/>
        <w:left w:val="none" w:sz="0" w:space="0" w:color="auto"/>
        <w:bottom w:val="none" w:sz="0" w:space="0" w:color="auto"/>
        <w:right w:val="none" w:sz="0" w:space="0" w:color="auto"/>
      </w:divBdr>
    </w:div>
    <w:div w:id="1909924639">
      <w:bodyDiv w:val="1"/>
      <w:marLeft w:val="0"/>
      <w:marRight w:val="0"/>
      <w:marTop w:val="0"/>
      <w:marBottom w:val="0"/>
      <w:divBdr>
        <w:top w:val="none" w:sz="0" w:space="0" w:color="auto"/>
        <w:left w:val="none" w:sz="0" w:space="0" w:color="auto"/>
        <w:bottom w:val="none" w:sz="0" w:space="0" w:color="auto"/>
        <w:right w:val="none" w:sz="0" w:space="0" w:color="auto"/>
      </w:divBdr>
    </w:div>
    <w:div w:id="1936789379">
      <w:bodyDiv w:val="1"/>
      <w:marLeft w:val="0"/>
      <w:marRight w:val="0"/>
      <w:marTop w:val="0"/>
      <w:marBottom w:val="0"/>
      <w:divBdr>
        <w:top w:val="none" w:sz="0" w:space="0" w:color="auto"/>
        <w:left w:val="none" w:sz="0" w:space="0" w:color="auto"/>
        <w:bottom w:val="none" w:sz="0" w:space="0" w:color="auto"/>
        <w:right w:val="none" w:sz="0" w:space="0" w:color="auto"/>
      </w:divBdr>
    </w:div>
    <w:div w:id="1939754683">
      <w:bodyDiv w:val="1"/>
      <w:marLeft w:val="0"/>
      <w:marRight w:val="0"/>
      <w:marTop w:val="0"/>
      <w:marBottom w:val="0"/>
      <w:divBdr>
        <w:top w:val="none" w:sz="0" w:space="0" w:color="auto"/>
        <w:left w:val="none" w:sz="0" w:space="0" w:color="auto"/>
        <w:bottom w:val="none" w:sz="0" w:space="0" w:color="auto"/>
        <w:right w:val="none" w:sz="0" w:space="0" w:color="auto"/>
      </w:divBdr>
    </w:div>
    <w:div w:id="1943803776">
      <w:bodyDiv w:val="1"/>
      <w:marLeft w:val="0"/>
      <w:marRight w:val="0"/>
      <w:marTop w:val="0"/>
      <w:marBottom w:val="0"/>
      <w:divBdr>
        <w:top w:val="none" w:sz="0" w:space="0" w:color="auto"/>
        <w:left w:val="none" w:sz="0" w:space="0" w:color="auto"/>
        <w:bottom w:val="none" w:sz="0" w:space="0" w:color="auto"/>
        <w:right w:val="none" w:sz="0" w:space="0" w:color="auto"/>
      </w:divBdr>
    </w:div>
    <w:div w:id="1956331019">
      <w:bodyDiv w:val="1"/>
      <w:marLeft w:val="0"/>
      <w:marRight w:val="0"/>
      <w:marTop w:val="0"/>
      <w:marBottom w:val="0"/>
      <w:divBdr>
        <w:top w:val="none" w:sz="0" w:space="0" w:color="auto"/>
        <w:left w:val="none" w:sz="0" w:space="0" w:color="auto"/>
        <w:bottom w:val="none" w:sz="0" w:space="0" w:color="auto"/>
        <w:right w:val="none" w:sz="0" w:space="0" w:color="auto"/>
      </w:divBdr>
    </w:div>
    <w:div w:id="2003973171">
      <w:bodyDiv w:val="1"/>
      <w:marLeft w:val="0"/>
      <w:marRight w:val="0"/>
      <w:marTop w:val="0"/>
      <w:marBottom w:val="0"/>
      <w:divBdr>
        <w:top w:val="none" w:sz="0" w:space="0" w:color="auto"/>
        <w:left w:val="none" w:sz="0" w:space="0" w:color="auto"/>
        <w:bottom w:val="none" w:sz="0" w:space="0" w:color="auto"/>
        <w:right w:val="none" w:sz="0" w:space="0" w:color="auto"/>
      </w:divBdr>
    </w:div>
    <w:div w:id="2026905981">
      <w:bodyDiv w:val="1"/>
      <w:marLeft w:val="0"/>
      <w:marRight w:val="0"/>
      <w:marTop w:val="0"/>
      <w:marBottom w:val="0"/>
      <w:divBdr>
        <w:top w:val="none" w:sz="0" w:space="0" w:color="auto"/>
        <w:left w:val="none" w:sz="0" w:space="0" w:color="auto"/>
        <w:bottom w:val="none" w:sz="0" w:space="0" w:color="auto"/>
        <w:right w:val="none" w:sz="0" w:space="0" w:color="auto"/>
      </w:divBdr>
    </w:div>
    <w:div w:id="2040621497">
      <w:bodyDiv w:val="1"/>
      <w:marLeft w:val="0"/>
      <w:marRight w:val="0"/>
      <w:marTop w:val="0"/>
      <w:marBottom w:val="0"/>
      <w:divBdr>
        <w:top w:val="none" w:sz="0" w:space="0" w:color="auto"/>
        <w:left w:val="none" w:sz="0" w:space="0" w:color="auto"/>
        <w:bottom w:val="none" w:sz="0" w:space="0" w:color="auto"/>
        <w:right w:val="none" w:sz="0" w:space="0" w:color="auto"/>
      </w:divBdr>
    </w:div>
    <w:div w:id="2043166794">
      <w:bodyDiv w:val="1"/>
      <w:marLeft w:val="0"/>
      <w:marRight w:val="0"/>
      <w:marTop w:val="0"/>
      <w:marBottom w:val="0"/>
      <w:divBdr>
        <w:top w:val="none" w:sz="0" w:space="0" w:color="auto"/>
        <w:left w:val="none" w:sz="0" w:space="0" w:color="auto"/>
        <w:bottom w:val="none" w:sz="0" w:space="0" w:color="auto"/>
        <w:right w:val="none" w:sz="0" w:space="0" w:color="auto"/>
      </w:divBdr>
    </w:div>
    <w:div w:id="2046101300">
      <w:bodyDiv w:val="1"/>
      <w:marLeft w:val="0"/>
      <w:marRight w:val="0"/>
      <w:marTop w:val="0"/>
      <w:marBottom w:val="0"/>
      <w:divBdr>
        <w:top w:val="none" w:sz="0" w:space="0" w:color="auto"/>
        <w:left w:val="none" w:sz="0" w:space="0" w:color="auto"/>
        <w:bottom w:val="none" w:sz="0" w:space="0" w:color="auto"/>
        <w:right w:val="none" w:sz="0" w:space="0" w:color="auto"/>
      </w:divBdr>
    </w:div>
    <w:div w:id="2050689843">
      <w:bodyDiv w:val="1"/>
      <w:marLeft w:val="0"/>
      <w:marRight w:val="0"/>
      <w:marTop w:val="0"/>
      <w:marBottom w:val="0"/>
      <w:divBdr>
        <w:top w:val="none" w:sz="0" w:space="0" w:color="auto"/>
        <w:left w:val="none" w:sz="0" w:space="0" w:color="auto"/>
        <w:bottom w:val="none" w:sz="0" w:space="0" w:color="auto"/>
        <w:right w:val="none" w:sz="0" w:space="0" w:color="auto"/>
      </w:divBdr>
    </w:div>
    <w:div w:id="2054501609">
      <w:bodyDiv w:val="1"/>
      <w:marLeft w:val="0"/>
      <w:marRight w:val="0"/>
      <w:marTop w:val="0"/>
      <w:marBottom w:val="0"/>
      <w:divBdr>
        <w:top w:val="none" w:sz="0" w:space="0" w:color="auto"/>
        <w:left w:val="none" w:sz="0" w:space="0" w:color="auto"/>
        <w:bottom w:val="none" w:sz="0" w:space="0" w:color="auto"/>
        <w:right w:val="none" w:sz="0" w:space="0" w:color="auto"/>
      </w:divBdr>
    </w:div>
    <w:div w:id="2060202669">
      <w:bodyDiv w:val="1"/>
      <w:marLeft w:val="0"/>
      <w:marRight w:val="0"/>
      <w:marTop w:val="0"/>
      <w:marBottom w:val="0"/>
      <w:divBdr>
        <w:top w:val="none" w:sz="0" w:space="0" w:color="auto"/>
        <w:left w:val="none" w:sz="0" w:space="0" w:color="auto"/>
        <w:bottom w:val="none" w:sz="0" w:space="0" w:color="auto"/>
        <w:right w:val="none" w:sz="0" w:space="0" w:color="auto"/>
      </w:divBdr>
    </w:div>
    <w:div w:id="2070761032">
      <w:bodyDiv w:val="1"/>
      <w:marLeft w:val="0"/>
      <w:marRight w:val="0"/>
      <w:marTop w:val="0"/>
      <w:marBottom w:val="0"/>
      <w:divBdr>
        <w:top w:val="none" w:sz="0" w:space="0" w:color="auto"/>
        <w:left w:val="none" w:sz="0" w:space="0" w:color="auto"/>
        <w:bottom w:val="none" w:sz="0" w:space="0" w:color="auto"/>
        <w:right w:val="none" w:sz="0" w:space="0" w:color="auto"/>
      </w:divBdr>
    </w:div>
    <w:div w:id="2088920712">
      <w:bodyDiv w:val="1"/>
      <w:marLeft w:val="0"/>
      <w:marRight w:val="0"/>
      <w:marTop w:val="0"/>
      <w:marBottom w:val="0"/>
      <w:divBdr>
        <w:top w:val="none" w:sz="0" w:space="0" w:color="auto"/>
        <w:left w:val="none" w:sz="0" w:space="0" w:color="auto"/>
        <w:bottom w:val="none" w:sz="0" w:space="0" w:color="auto"/>
        <w:right w:val="none" w:sz="0" w:space="0" w:color="auto"/>
      </w:divBdr>
    </w:div>
    <w:div w:id="2089576396">
      <w:bodyDiv w:val="1"/>
      <w:marLeft w:val="0"/>
      <w:marRight w:val="0"/>
      <w:marTop w:val="0"/>
      <w:marBottom w:val="0"/>
      <w:divBdr>
        <w:top w:val="none" w:sz="0" w:space="0" w:color="auto"/>
        <w:left w:val="none" w:sz="0" w:space="0" w:color="auto"/>
        <w:bottom w:val="none" w:sz="0" w:space="0" w:color="auto"/>
        <w:right w:val="none" w:sz="0" w:space="0" w:color="auto"/>
      </w:divBdr>
    </w:div>
    <w:div w:id="2094886554">
      <w:bodyDiv w:val="1"/>
      <w:marLeft w:val="0"/>
      <w:marRight w:val="0"/>
      <w:marTop w:val="0"/>
      <w:marBottom w:val="0"/>
      <w:divBdr>
        <w:top w:val="none" w:sz="0" w:space="0" w:color="auto"/>
        <w:left w:val="none" w:sz="0" w:space="0" w:color="auto"/>
        <w:bottom w:val="none" w:sz="0" w:space="0" w:color="auto"/>
        <w:right w:val="none" w:sz="0" w:space="0" w:color="auto"/>
      </w:divBdr>
    </w:div>
    <w:div w:id="2100104134">
      <w:bodyDiv w:val="1"/>
      <w:marLeft w:val="0"/>
      <w:marRight w:val="0"/>
      <w:marTop w:val="0"/>
      <w:marBottom w:val="0"/>
      <w:divBdr>
        <w:top w:val="none" w:sz="0" w:space="0" w:color="auto"/>
        <w:left w:val="none" w:sz="0" w:space="0" w:color="auto"/>
        <w:bottom w:val="none" w:sz="0" w:space="0" w:color="auto"/>
        <w:right w:val="none" w:sz="0" w:space="0" w:color="auto"/>
      </w:divBdr>
    </w:div>
    <w:div w:id="2101215706">
      <w:bodyDiv w:val="1"/>
      <w:marLeft w:val="0"/>
      <w:marRight w:val="0"/>
      <w:marTop w:val="0"/>
      <w:marBottom w:val="0"/>
      <w:divBdr>
        <w:top w:val="none" w:sz="0" w:space="0" w:color="auto"/>
        <w:left w:val="none" w:sz="0" w:space="0" w:color="auto"/>
        <w:bottom w:val="none" w:sz="0" w:space="0" w:color="auto"/>
        <w:right w:val="none" w:sz="0" w:space="0" w:color="auto"/>
      </w:divBdr>
    </w:div>
    <w:div w:id="2102410561">
      <w:bodyDiv w:val="1"/>
      <w:marLeft w:val="0"/>
      <w:marRight w:val="0"/>
      <w:marTop w:val="0"/>
      <w:marBottom w:val="0"/>
      <w:divBdr>
        <w:top w:val="none" w:sz="0" w:space="0" w:color="auto"/>
        <w:left w:val="none" w:sz="0" w:space="0" w:color="auto"/>
        <w:bottom w:val="none" w:sz="0" w:space="0" w:color="auto"/>
        <w:right w:val="none" w:sz="0" w:space="0" w:color="auto"/>
      </w:divBdr>
    </w:div>
    <w:div w:id="2107654577">
      <w:bodyDiv w:val="1"/>
      <w:marLeft w:val="0"/>
      <w:marRight w:val="0"/>
      <w:marTop w:val="0"/>
      <w:marBottom w:val="0"/>
      <w:divBdr>
        <w:top w:val="none" w:sz="0" w:space="0" w:color="auto"/>
        <w:left w:val="none" w:sz="0" w:space="0" w:color="auto"/>
        <w:bottom w:val="none" w:sz="0" w:space="0" w:color="auto"/>
        <w:right w:val="none" w:sz="0" w:space="0" w:color="auto"/>
      </w:divBdr>
    </w:div>
    <w:div w:id="2107994590">
      <w:bodyDiv w:val="1"/>
      <w:marLeft w:val="0"/>
      <w:marRight w:val="0"/>
      <w:marTop w:val="0"/>
      <w:marBottom w:val="0"/>
      <w:divBdr>
        <w:top w:val="none" w:sz="0" w:space="0" w:color="auto"/>
        <w:left w:val="none" w:sz="0" w:space="0" w:color="auto"/>
        <w:bottom w:val="none" w:sz="0" w:space="0" w:color="auto"/>
        <w:right w:val="none" w:sz="0" w:space="0" w:color="auto"/>
      </w:divBdr>
    </w:div>
    <w:div w:id="2124952960">
      <w:bodyDiv w:val="1"/>
      <w:marLeft w:val="0"/>
      <w:marRight w:val="0"/>
      <w:marTop w:val="0"/>
      <w:marBottom w:val="0"/>
      <w:divBdr>
        <w:top w:val="none" w:sz="0" w:space="0" w:color="auto"/>
        <w:left w:val="none" w:sz="0" w:space="0" w:color="auto"/>
        <w:bottom w:val="none" w:sz="0" w:space="0" w:color="auto"/>
        <w:right w:val="none" w:sz="0" w:space="0" w:color="auto"/>
      </w:divBdr>
    </w:div>
    <w:div w:id="2133747404">
      <w:bodyDiv w:val="1"/>
      <w:marLeft w:val="0"/>
      <w:marRight w:val="0"/>
      <w:marTop w:val="0"/>
      <w:marBottom w:val="0"/>
      <w:divBdr>
        <w:top w:val="none" w:sz="0" w:space="0" w:color="auto"/>
        <w:left w:val="none" w:sz="0" w:space="0" w:color="auto"/>
        <w:bottom w:val="none" w:sz="0" w:space="0" w:color="auto"/>
        <w:right w:val="none" w:sz="0" w:space="0" w:color="auto"/>
      </w:divBdr>
    </w:div>
    <w:div w:id="214180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oconnor@hanson.biz"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OSV23</b:Tag>
    <b:SourceType>InternetSite</b:SourceType>
    <b:Guid>{E5D8596F-345C-45CE-A3F3-3B247722E74B}</b:Guid>
    <b:Author>
      <b:Author>
        <b:Corporate>OSV.Ltd</b:Corporate>
      </b:Author>
    </b:Author>
    <b:Title>A Briedf History of Aston Martin</b:Title>
    <b:Year>2023</b:Year>
    <b:YearAccessed>2023</b:YearAccessed>
    <b:MonthAccessed>January</b:MonthAccessed>
    <b:DayAccessed>15</b:DayAccessed>
    <b:URL>https://www.osv.ltd.uk/brief-history-of-aston-martin/</b:URL>
    <b:RefOrder>1</b:RefOrder>
  </b:Source>
  <b:Source>
    <b:Tag>Xer22</b:Tag>
    <b:SourceType>InternetSite</b:SourceType>
    <b:Guid>{BF40AA30-0A6C-4F9F-B508-C592F250A561}</b:Guid>
    <b:Author>
      <b:Author>
        <b:Corporate>Xero</b:Corporate>
      </b:Author>
    </b:Author>
    <b:Title>What is a Financial Statement?</b:Title>
    <b:Year>2022</b:Year>
    <b:YearAccessed>2023</b:YearAccessed>
    <b:MonthAccessed>January</b:MonthAccessed>
    <b:DayAccessed>15</b:DayAccessed>
    <b:URL>https://www.xero.com/uk/glossary/financial-statement/</b:URL>
    <b:RefOrder>2</b:RefOrder>
  </b:Source>
  <b:Source>
    <b:Tag>ICA23</b:Tag>
    <b:SourceType>InternetSite</b:SourceType>
    <b:Guid>{2DEE141E-1CC8-4FC3-846D-3D83E4E01B4F}</b:Guid>
    <b:Author>
      <b:Author>
        <b:Corporate>ICASEW</b:Corporate>
      </b:Author>
    </b:Author>
    <b:Title>UK Regulation for Company Accounts - Overview</b:Title>
    <b:Year>2023</b:Year>
    <b:YearAccessed>2023</b:YearAccessed>
    <b:MonthAccessed>January</b:MonthAccessed>
    <b:DayAccessed>15</b:DayAccessed>
    <b:URL>https://www.icaew.com/technical/financial-reporting/uk-regulation-for-company-accounts/overview</b:URL>
    <b:RefOrder>3</b:RefOrder>
  </b:Source>
  <b:Source>
    <b:Tag>Fie161</b:Tag>
    <b:SourceType>BookSection</b:SourceType>
    <b:Guid>{9395FCE0-49AF-4E42-8A71-B690383DFF25}</b:Guid>
    <b:Title>The Essentials of Finance and Accounting for Nonfinancial Managers</b:Title>
    <b:Year>2016</b:Year>
    <b:Author>
      <b:Author>
        <b:NameList>
          <b:Person>
            <b:Last>Fields</b:Last>
            <b:First>E</b:First>
          </b:Person>
        </b:NameList>
      </b:Author>
    </b:Author>
    <b:Pages>321</b:Pages>
    <b:City>New York</b:City>
    <b:Publisher>AMA</b:Publisher>
    <b:RefOrder>23</b:RefOrder>
  </b:Source>
  <b:Source>
    <b:Tag>Mav21</b:Tag>
    <b:SourceType>InternetSite</b:SourceType>
    <b:Guid>{7D5D00F0-7272-44EA-8256-6A3B4CDFA3F1}</b:Guid>
    <b:Author>
      <b:Author>
        <b:Corporate>Maverick, JB</b:Corporate>
      </b:Author>
    </b:Author>
    <b:Title>What Is an example of a Profit and Loss Statement</b:Title>
    <b:Year>2021</b:Year>
    <b:YearAccessed>2023</b:YearAccessed>
    <b:MonthAccessed>January</b:MonthAccessed>
    <b:DayAccessed>15</b:DayAccessed>
    <b:URL>https://www.investopedia.com/ask/answers/122314/whats-example-pl-statement.asp</b:URL>
    <b:RefOrder>25</b:RefOrder>
  </b:Source>
  <b:Source>
    <b:Tag>CFI22</b:Tag>
    <b:SourceType>InternetSite</b:SourceType>
    <b:Guid>{BCCCC27C-15D9-4DEB-B11C-50F0725C3B93}</b:Guid>
    <b:Author>
      <b:Author>
        <b:Corporate>CFI Team</b:Corporate>
      </b:Author>
    </b:Author>
    <b:Title>Cash Flow Statement</b:Title>
    <b:Year>2022</b:Year>
    <b:YearAccessed>2023</b:YearAccessed>
    <b:MonthAccessed>January</b:MonthAccessed>
    <b:DayAccessed>15</b:DayAccessed>
    <b:URL>https://corporatefinanceinstitute.com/resources/accounting/cash-flow-statement%E2%80%8B/</b:URL>
    <b:RefOrder>27</b:RefOrder>
  </b:Source>
  <b:Source>
    <b:Tag>Dha23</b:Tag>
    <b:SourceType>InternetSite</b:SourceType>
    <b:Guid>{90F628B4-10EB-4AB3-A911-6B35A868C4CA}</b:Guid>
    <b:Author>
      <b:Author>
        <b:Corporate>Dhanashire, R</b:Corporate>
      </b:Author>
    </b:Author>
    <b:Title>Balance Sheet Exmaples</b:Title>
    <b:Year>2023</b:Year>
    <b:YearAccessed>2023</b:YearAccessed>
    <b:MonthAccessed>January</b:MonthAccessed>
    <b:DayAccessed>15</b:DayAccessed>
    <b:URL>https://www.wallstreetmojo.com/balance-sheet-examples/</b:URL>
    <b:RefOrder>24</b:RefOrder>
  </b:Source>
  <b:Source>
    <b:Tag>Sri23</b:Tag>
    <b:SourceType>InternetSite</b:SourceType>
    <b:Guid>{95EA145D-4760-42E1-ADD1-1549E7D4D70B}</b:Guid>
    <b:Author>
      <b:Author>
        <b:Corporate>Srivastav, A K</b:Corporate>
      </b:Author>
    </b:Author>
    <b:Title>Profit and Loss Statement Exmaples</b:Title>
    <b:Year>2023</b:Year>
    <b:YearAccessed>2023</b:YearAccessed>
    <b:MonthAccessed>January</b:MonthAccessed>
    <b:DayAccessed>15</b:DayAccessed>
    <b:URL>https://www.wallstreetmojo.com/profit-and-loss-statement-examples/</b:URL>
    <b:RefOrder>26</b:RefOrder>
  </b:Source>
  <b:Source>
    <b:Tag>CFI221</b:Tag>
    <b:SourceType>InternetSite</b:SourceType>
    <b:Guid>{E51590D3-95DB-4480-B802-46AD2D96A122}</b:Guid>
    <b:Author>
      <b:Author>
        <b:Corporate>CFI Team</b:Corporate>
      </b:Author>
    </b:Author>
    <b:Title>Cash Flow Statement</b:Title>
    <b:Year>2022</b:Year>
    <b:YearAccessed>2023</b:YearAccessed>
    <b:MonthAccessed>January</b:MonthAccessed>
    <b:DayAccessed>15</b:DayAccessed>
    <b:URL>https://corporatefinanceinstitute.com/resources/accounting/cash-flow-statement%E2%80%8B/</b:URL>
    <b:RefOrder>28</b:RefOrder>
  </b:Source>
  <b:Source>
    <b:Tag>Sti08</b:Tag>
    <b:SourceType>Book</b:SourceType>
    <b:Guid>{DA1AFB5A-1303-41EB-A493-A56B2499B860}</b:Guid>
    <b:Title>Financial Accounting</b:Title>
    <b:Year>2008</b:Year>
    <b:Author>
      <b:Author>
        <b:NameList>
          <b:Person>
            <b:Last>Stittle</b:Last>
            <b:First>J</b:First>
          </b:Person>
          <b:Person>
            <b:Last>Wearing</b:Last>
            <b:First>R</b:First>
          </b:Person>
        </b:NameList>
      </b:Author>
    </b:Author>
    <b:City>LA</b:City>
    <b:Publisher>SAGE Publications</b:Publisher>
    <b:RefOrder>4</b:RefOrder>
  </b:Source>
  <b:Source>
    <b:Tag>Sri231</b:Tag>
    <b:SourceType>InternetSite</b:SourceType>
    <b:Guid>{228D41AA-3526-4196-B559-95CB247F4A87}</b:Guid>
    <b:Title>Financial Statement Limitations</b:Title>
    <b:Year>2023</b:Year>
    <b:Author>
      <b:Author>
        <b:Corporate>Srivastav, A K</b:Corporate>
      </b:Author>
    </b:Author>
    <b:YearAccessed>2023</b:YearAccessed>
    <b:MonthAccessed>January</b:MonthAccessed>
    <b:DayAccessed>22</b:DayAccessed>
    <b:URL>https://www.wallstreetmojo.com/financial-statement-limitations/</b:URL>
    <b:RefOrder>5</b:RefOrder>
  </b:Source>
  <b:Source>
    <b:Tag>Ast21</b:Tag>
    <b:SourceType>Report</b:SourceType>
    <b:Guid>{D9262D42-2A33-4C39-B5BB-9378B37E2531}</b:Guid>
    <b:Title>Aston Martin Lagonda FY 2021 Results - Press Release </b:Title>
    <b:Year>2021</b:Year>
    <b:Author>
      <b:Author>
        <b:Corporate>Aston Martin Lagonda</b:Corporate>
      </b:Author>
    </b:Author>
    <b:Publisher>AML</b:Publisher>
    <b:RefOrder>8</b:RefOrder>
  </b:Source>
  <b:Source>
    <b:Tag>Tre22</b:Tag>
    <b:SourceType>InternetSite</b:SourceType>
    <b:Guid>{BC6B1F29-010D-44D1-BF59-ED2D63F174A6}</b:Guid>
    <b:Title>Business News Daily</b:Title>
    <b:Year>2022</b:Year>
    <b:Author>
      <b:Author>
        <b:Corporate>Treece, D</b:Corporate>
      </b:Author>
    </b:Author>
    <b:YearAccessed>2023</b:YearAccessed>
    <b:MonthAccessed>January</b:MonthAccessed>
    <b:DayAccessed>22</b:DayAccessed>
    <b:URL>https://www.businessnewsdaily.com/11096-determining-profit-margins.html</b:URL>
    <b:RefOrder>9</b:RefOrder>
  </b:Source>
  <b:Source>
    <b:Tag>Atr95</b:Tag>
    <b:SourceType>Book</b:SourceType>
    <b:Guid>{3C8DE468-6CAE-44DD-A1C6-822D3463DCAC}</b:Guid>
    <b:Title>Accounting and Finance for Non-Specialists</b:Title>
    <b:Year>2017</b:Year>
    <b:Author>
      <b:Author>
        <b:NameList>
          <b:Person>
            <b:Last>Atrill</b:Last>
            <b:First>P</b:First>
          </b:Person>
          <b:Person>
            <b:Last>McLaney</b:Last>
            <b:First>E</b:First>
          </b:Person>
        </b:NameList>
      </b:Author>
    </b:Author>
    <b:City>London</b:City>
    <b:Publisher>Pearson Education Ltd</b:Publisher>
    <b:Edition>10th</b:Edition>
    <b:RefOrder>7</b:RefOrder>
  </b:Source>
  <b:Source>
    <b:Tag>Dwy18</b:Tag>
    <b:SourceType>InternetSite</b:SourceType>
    <b:Guid>{3BFC76E2-23C9-4E09-960D-D4E278CEB9C3}</b:Guid>
    <b:Title>DSO &amp; DPO; What's the difference?</b:Title>
    <b:Year>2018</b:Year>
    <b:YearAccessed>2023</b:YearAccessed>
    <b:MonthAccessed>January</b:MonthAccessed>
    <b:DayAccessed>24th</b:DayAccessed>
    <b:URL>https://bstglobal.com/blog/dso-and-dpo-whats-the-difference/</b:URL>
    <b:Author>
      <b:Author>
        <b:Corporate>Dwyer, G</b:Corporate>
      </b:Author>
    </b:Author>
    <b:RefOrder>13</b:RefOrder>
  </b:Source>
  <b:Source>
    <b:Tag>Nov23</b:Tag>
    <b:SourceType>InternetSite</b:SourceType>
    <b:Guid>{1354FA90-3C6D-4439-B5EE-2B173632E6BA}</b:Guid>
    <b:Author>
      <b:Author>
        <b:Corporate>Novuna</b:Corporate>
      </b:Author>
    </b:Author>
    <b:Title>Liquidity Ratio: What is it and how does it work?</b:Title>
    <b:Year>2023</b:Year>
    <b:YearAccessed>2023</b:YearAccessed>
    <b:MonthAccessed>January</b:MonthAccessed>
    <b:DayAccessed>24th</b:DayAccessed>
    <b:URL>https://www.novuna.co.uk/business-cash-flow/cash-flow-finance-resource-hub/finance-terms/liquidity-ratio/#:~:text=Liquidity%20ratios%20are%20types%20of,coverage%20of%20short%2Dterm%20debts.</b:URL>
    <b:RefOrder>10</b:RefOrder>
  </b:Source>
  <b:Source>
    <b:Tag>Ast211</b:Tag>
    <b:SourceType>Report</b:SourceType>
    <b:Guid>{CD3AD2FE-A34D-4601-9489-1B9C474254FF}</b:Guid>
    <b:Title>Aston Martin Lagonda Global Holdings plc Annal Report 2021</b:Title>
    <b:Year>2021</b:Year>
    <b:Author>
      <b:Author>
        <b:Corporate>Aston Martin Lagonda</b:Corporate>
      </b:Author>
    </b:Author>
    <b:Publisher>AML</b:Publisher>
    <b:RefOrder>11</b:RefOrder>
  </b:Source>
  <b:Source>
    <b:Tag>Bra23</b:Tag>
    <b:SourceType>InternetSite</b:SourceType>
    <b:Guid>{77E61130-5597-4CE5-847F-B5E537C49906}</b:Guid>
    <b:Author>
      <b:Author>
        <b:NameList>
          <b:Person>
            <b:Last>Brashear</b:Last>
            <b:First>J</b:First>
          </b:Person>
        </b:NameList>
      </b:Author>
    </b:Author>
    <b:Title>What Are Activity Ratios?</b:Title>
    <b:Year>2023</b:Year>
    <b:YearAccessed>2023</b:YearAccessed>
    <b:MonthAccessed>January</b:MonthAccessed>
    <b:DayAccessed>24th</b:DayAccessed>
    <b:URL>https://www.aaii.com/education/article/17336-what-are-activity-ratios</b:URL>
    <b:RefOrder>12</b:RefOrder>
  </b:Source>
  <b:Source>
    <b:Tag>Fie162</b:Tag>
    <b:SourceType>BookSection</b:SourceType>
    <b:Guid>{BD8F448B-DA82-4CB0-ACB9-873B5FDFDA04}</b:Guid>
    <b:Title>The Essentials of Finanance and Accounting for Non-financial Managers</b:Title>
    <b:Year>2016</b:Year>
    <b:Author>
      <b:Author>
        <b:NameList>
          <b:Person>
            <b:Last>Fields</b:Last>
            <b:First>E</b:First>
          </b:Person>
        </b:NameList>
      </b:Author>
    </b:Author>
    <b:City>New York</b:City>
    <b:Publisher>AMA</b:Publisher>
    <b:Edition>3rd</b:Edition>
    <b:Pages>147</b:Pages>
    <b:RefOrder>14</b:RefOrder>
  </b:Source>
  <b:Source>
    <b:Tag>Cat22</b:Tag>
    <b:SourceType>InternetSite</b:SourceType>
    <b:Guid>{8CC2EF03-6E60-4682-8725-1F59EB7E3E60}</b:Guid>
    <b:Title>A Guide To The Gearing Ratio</b:Title>
    <b:Year>2022</b:Year>
    <b:Author>
      <b:Author>
        <b:Corporate>Cattlin, R</b:Corporate>
      </b:Author>
    </b:Author>
    <b:YearAccessed>2023</b:YearAccessed>
    <b:MonthAccessed>January</b:MonthAccessed>
    <b:DayAccessed>26</b:DayAccessed>
    <b:URL>https://www.cityindex.com/en-uk/news-and-analysis/gearing-ratios-explained/#:~:text=A%20good%20gearing%20ratio%20will,and%20stocks%20in%20other%20sectors.</b:URL>
    <b:RefOrder>19</b:RefOrder>
  </b:Source>
  <b:Source>
    <b:Tag>Sit14</b:Tag>
    <b:SourceType>JournalArticle</b:SourceType>
    <b:Guid>{48DB0D04-B9C4-4C34-8E0D-492814D30A63}</b:Guid>
    <b:Title>Inability of Gearing-Ratio as Predictor for Early Warning Systems</b:Title>
    <b:Year>2014</b:Year>
    <b:Author>
      <b:Author>
        <b:NameList>
          <b:Person>
            <b:Last>Situm</b:Last>
            <b:First>M</b:First>
          </b:Person>
        </b:NameList>
      </b:Author>
    </b:Author>
    <b:JournalName>Business Systems Research</b:JournalName>
    <b:Pages>23-45</b:Pages>
    <b:Volume>5</b:Volume>
    <b:Issue>2</b:Issue>
    <b:RefOrder>20</b:RefOrder>
  </b:Source>
  <b:Source>
    <b:Tag>Atr17</b:Tag>
    <b:SourceType>BookSection</b:SourceType>
    <b:Guid>{8C503910-9FC4-422F-A0EC-B817AE618DDF}</b:Guid>
    <b:Title>Accounting and Finance for Non-specialists</b:Title>
    <b:Year>2017</b:Year>
    <b:Pages>197</b:Pages>
    <b:Author>
      <b:Author>
        <b:NameList>
          <b:Person>
            <b:Last>Atrill</b:Last>
            <b:First>P</b:First>
          </b:Person>
          <b:Person>
            <b:Last>McLaney</b:Last>
            <b:First>E</b:First>
          </b:Person>
        </b:NameList>
      </b:Author>
    </b:Author>
    <b:City>London</b:City>
    <b:Publisher>Pearsons Education Ltd</b:Publisher>
    <b:RefOrder>15</b:RefOrder>
  </b:Source>
  <b:Source>
    <b:Tag>Pub23</b:Tag>
    <b:SourceType>InternetSite</b:SourceType>
    <b:Guid>{7F689237-83C1-4F96-BCB7-FEF3B5E72B4E}</b:Guid>
    <b:Title>What is a negative PE ratio? Are these worth your investment?</b:Title>
    <b:Year>2023</b:Year>
    <b:Author>
      <b:Author>
        <b:Corporate>Public</b:Corporate>
      </b:Author>
    </b:Author>
    <b:YearAccessed>2023</b:YearAccessed>
    <b:MonthAccessed>January</b:MonthAccessed>
    <b:DayAccessed>26</b:DayAccessed>
    <b:URL>https://public.com/learn/negative-pe-ratio#:~:text=What%20does%20negative%20pe%20ratio,over%20the%20last%2012%20months.</b:URL>
    <b:RefOrder>16</b:RefOrder>
  </b:Source>
  <b:Source>
    <b:Tag>CFI222</b:Tag>
    <b:SourceType>InternetSite</b:SourceType>
    <b:Guid>{BC917320-F56A-4422-A507-44D2F7A4B0DD}</b:Guid>
    <b:Author>
      <b:Author>
        <b:Corporate>CFI Team</b:Corporate>
      </b:Author>
    </b:Author>
    <b:Title>Investing in Stocks With Dividends vs Stocks Without Dividends</b:Title>
    <b:Year>2022</b:Year>
    <b:YearAccessed>2023</b:YearAccessed>
    <b:MonthAccessed>January</b:MonthAccessed>
    <b:DayAccessed>26</b:DayAccessed>
    <b:URL>https://corporatefinanceinstitute.com/resources/equities/investing-in-stocks-with-dividends-vs-stocks-without-dividends/</b:URL>
    <b:RefOrder>17</b:RefOrder>
  </b:Source>
  <b:Source>
    <b:Tag>Gad</b:Tag>
    <b:SourceType>JournalArticle</b:SourceType>
    <b:Guid>{80F4ABF6-8202-4748-84AF-D3CFDB75B0CF}</b:Guid>
    <b:Title>ADVANTAGES AND LIMITATIONS OF THE FINANCIAL RATIOS USED IN THE FINANCIAL DIAGNOSIS OF THE ENTERPRISE</b:Title>
    <b:Author>
      <b:Author>
        <b:NameList>
          <b:Person>
            <b:Last>Gadoiu</b:Last>
            <b:First>M</b:First>
          </b:Person>
        </b:NameList>
      </b:Author>
    </b:Author>
    <b:JournalName>Scientifc Bulletin - Ecomnomic Sciences</b:JournalName>
    <b:Volume>13</b:Volume>
    <b:Issue>2</b:Issue>
    <b:Year>2013</b:Year>
    <b:RefOrder>6</b:RefOrder>
  </b:Source>
  <b:Source>
    <b:Tag>Gua22</b:Tag>
    <b:SourceType>InternetSite</b:SourceType>
    <b:Guid>{9513ECE0-C202-4FF0-8D2A-0BD5C5B50BFD}</b:Guid>
    <b:Title>5 Trends Shaping tomorrow's luxury car market</b:Title>
    <b:Year>2022</b:Year>
    <b:Author>
      <b:Author>
        <b:Corporate>Guan, M; et al</b:Corporate>
      </b:Author>
    </b:Author>
    <b:YearAccessed>2023</b:YearAccessed>
    <b:MonthAccessed>January</b:MonthAccessed>
    <b:DayAccessed>27</b:DayAccessed>
    <b:URL>https://www.mckinsey.com/industries/automotive-and-assembly/our-insights/five-trends-shaping-tomorrows-luxury-car-market</b:URL>
    <b:RefOrder>29</b:RefOrder>
  </b:Source>
  <b:Source>
    <b:Tag>Amb22</b:Tag>
    <b:SourceType>InternetSite</b:SourceType>
    <b:Guid>{E3E8D59E-B0C4-4A10-9B7D-6CC952E9026D}</b:Guid>
    <b:Author>
      <b:Author>
        <b:Corporate>Ambaka, P</b:Corporate>
      </b:Author>
    </b:Author>
    <b:Title>Could I double my money if I buy at this Aston Martin share price?</b:Title>
    <b:Year>2022</b:Year>
    <b:YearAccessed>2023</b:YearAccessed>
    <b:MonthAccessed>January</b:MonthAccessed>
    <b:DayAccessed>27</b:DayAccessed>
    <b:URL>https://themoneycog.com/articles/could-i-double-my-money-if-i-buy-at-this-aston-martin-share-price#:~:text=As%20a%20potential%20future%20shareholder,significant%20customer%20and%20media%20excitement.</b:URL>
    <b:RefOrder>21</b:RefOrder>
  </b:Source>
  <b:Source>
    <b:Tag>Wal23</b:Tag>
    <b:SourceType>InternetSite</b:SourceType>
    <b:Guid>{08899398-F24B-422B-894F-D6223E450D06}</b:Guid>
    <b:Author>
      <b:Author>
        <b:Corporate>Walls Street Prep</b:Corporate>
      </b:Author>
    </b:Author>
    <b:Title>What is Liquidity Ratio?</b:Title>
    <b:Year>2023</b:Year>
    <b:YearAccessed>2023</b:YearAccessed>
    <b:MonthAccessed>Janaury</b:MonthAccessed>
    <b:DayAccessed>27</b:DayAccessed>
    <b:URL>https://www.wallstreetprep.com/knowledge/liquidity-ratio/</b:URL>
    <b:RefOrder>18</b:RefOrder>
  </b:Source>
  <b:Source>
    <b:Tag>Placeholder1</b:Tag>
    <b:SourceType>InternetSite</b:SourceType>
    <b:Guid>{A819DED2-7E5C-424C-A13A-2240198868AF}</b:Guid>
    <b:Title>5 Trends Shaping tomorrow's luxury car market</b:Title>
    <b:Year>2022</b:Year>
    <b:Author>
      <b:Author>
        <b:Corporate>Guan, M; et al</b:Corporate>
      </b:Author>
    </b:Author>
    <b:YearAccessed>2023</b:YearAccessed>
    <b:MonthAccessed>January</b:MonthAccessed>
    <b:DayAccessed>27</b:DayAccessed>
    <b:URL>https://www.mckinsey.com/industries/automotive-and-assembly/our-insights/five-trends-shaping-tomorrows-luxury-car-market</b:URL>
    <b:RefOrder>22</b:RefOrder>
  </b:Source>
</b:Sources>
</file>

<file path=customXml/itemProps1.xml><?xml version="1.0" encoding="utf-8"?>
<ds:datastoreItem xmlns:ds="http://schemas.openxmlformats.org/officeDocument/2006/customXml" ds:itemID="{57981C30-8827-4421-ACD1-45CF93CE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5649</Words>
  <Characters>32202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2023-01-15T18:40:00Z</dcterms:created>
  <dcterms:modified xsi:type="dcterms:W3CDTF">2023-01-27T18:52:00Z</dcterms:modified>
</cp:coreProperties>
</file>