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000BF8">
      <w:pPr>
        <w:rPr>
          <w:rFonts w:hint="eastAsia"/>
          <w:b/>
          <w:bCs/>
        </w:rPr>
      </w:pPr>
      <w:r>
        <w:rPr>
          <w:rFonts w:hint="eastAsia"/>
          <w:b/>
          <w:bCs/>
        </w:rPr>
        <w:t>Have you identified a sub-question, theme, keyword, or concept to develop through practice?</w:t>
      </w:r>
    </w:p>
    <w:p w14:paraId="046B4609">
      <w:pPr>
        <w:rPr>
          <w:rFonts w:hint="eastAsia"/>
          <w:b/>
          <w:bCs/>
        </w:rPr>
      </w:pPr>
      <w:r>
        <w:rPr>
          <w:rFonts w:hint="eastAsia"/>
          <w:b/>
          <w:bCs/>
        </w:rPr>
        <w:t>您是否确定了一个要通过实践来发展的子问题、主题、关键词或概念？</w:t>
      </w:r>
    </w:p>
    <w:p w14:paraId="437C34A4">
      <w:pPr>
        <w:rPr>
          <w:rFonts w:hint="eastAsia"/>
        </w:rPr>
      </w:pPr>
      <w:r>
        <w:t>This study aims to explore how metal music influences the creative process of painters. The core question encompasses three sub-questions, which are also the keywords of this study: inspiration, imagination, and self-expression.</w:t>
      </w:r>
    </w:p>
    <w:p w14:paraId="668C475D">
      <w:pPr>
        <w:widowControl w:val="0"/>
        <w:ind w:firstLine="420" w:firstLineChars="200"/>
        <w:jc w:val="both"/>
        <w:rPr>
          <w:rFonts w:hint="default"/>
          <w:lang w:val="en-US" w:eastAsia="zh-CN"/>
        </w:rPr>
      </w:pPr>
      <w:r>
        <w:rPr>
          <w:rFonts w:ascii="Calibri" w:hAnsi="Calibri" w:eastAsia="宋体" w:cs="Times New Roman"/>
          <w:kern w:val="2"/>
          <w:sz w:val="21"/>
          <w:szCs w:val="24"/>
          <w:lang w:bidi="ar-SA"/>
        </w:rPr>
        <w:t>本研究旨在探讨金属乐如何影响绘画艺术家的创作过程。核心问题涵盖三个子问题，它们也是本研究的关键词：想象力</w:t>
      </w:r>
      <w:r>
        <w:rPr>
          <w:rFonts w:hint="eastAsia" w:ascii="Calibri" w:hAnsi="Calibri" w:eastAsia="宋体" w:cs="Times New Roman"/>
          <w:kern w:val="2"/>
          <w:sz w:val="21"/>
          <w:szCs w:val="24"/>
          <w:lang w:eastAsia="zh-CN" w:bidi="ar-SA"/>
        </w:rPr>
        <w:t>、</w:t>
      </w:r>
      <w:r>
        <w:rPr>
          <w:rFonts w:ascii="Calibri" w:hAnsi="Calibri" w:eastAsia="宋体" w:cs="Times New Roman"/>
          <w:kern w:val="2"/>
          <w:sz w:val="21"/>
          <w:szCs w:val="24"/>
          <w:lang w:bidi="ar-SA"/>
        </w:rPr>
        <w:t>灵感和自我表达。在首次实验中，我的目标聚焦于探索想象力。</w:t>
      </w:r>
    </w:p>
    <w:p w14:paraId="157968AA">
      <w:pPr>
        <w:rPr>
          <w:rFonts w:hint="eastAsia"/>
          <w:b/>
          <w:bCs/>
        </w:rPr>
      </w:pPr>
    </w:p>
    <w:p w14:paraId="65B86B8C">
      <w:pPr>
        <w:rPr>
          <w:rFonts w:hint="eastAsia"/>
          <w:b/>
          <w:bCs/>
        </w:rPr>
      </w:pPr>
      <w:r>
        <w:rPr>
          <w:rFonts w:hint="eastAsia"/>
          <w:b/>
          <w:bCs/>
        </w:rPr>
        <w:t>Does your practice test variables, how many?</w:t>
      </w:r>
    </w:p>
    <w:p w14:paraId="5229AC49">
      <w:pPr>
        <w:rPr>
          <w:rFonts w:hint="eastAsia"/>
          <w:b/>
          <w:bCs/>
        </w:rPr>
      </w:pPr>
      <w:r>
        <w:rPr>
          <w:rFonts w:hint="eastAsia"/>
          <w:b/>
          <w:bCs/>
        </w:rPr>
        <w:t>你的实践测试变量有多少？</w:t>
      </w:r>
    </w:p>
    <w:p w14:paraId="45208725">
      <w:r>
        <w:t xml:space="preserve">Independent variables: </w:t>
      </w:r>
    </w:p>
    <w:p w14:paraId="0AB490EB">
      <w:pPr>
        <w:ind w:firstLine="420" w:firstLineChars="200"/>
      </w:pPr>
      <w:r>
        <w:t>The independent variables primarily manifest as music genres (lyrical and metal). Given the influence of Chinese and Western cultures and lyrics, this study uses Chinese, English, and instrumental music as control variables. Therefore, the independent variables encompass the following versions: the metal and lyrical versions of the same Chinese song, the metal and lyrical versions of the same English song, and the metal and lyrical versions of the same instrumental piece. There are six pieces of music, each lasting approximately 1.5 minutes. This study aims to explore how metal music influences the creative process of visual artists. The core question encompasses three sub-questions, which are also the keywords of this study: inspiration, imagination, and self-expression.</w:t>
      </w:r>
    </w:p>
    <w:p w14:paraId="258EB5D9">
      <w:pPr>
        <w:rPr>
          <w:rFonts w:hint="eastAsia"/>
          <w:lang w:val="en-US" w:eastAsia="zh-CN"/>
        </w:rPr>
      </w:pPr>
      <w:r>
        <w:rPr>
          <w:rFonts w:hint="eastAsia"/>
          <w:lang w:val="en-US" w:eastAsia="zh-CN"/>
        </w:rPr>
        <w:t>自变量：</w:t>
      </w:r>
    </w:p>
    <w:p w14:paraId="77981B7E">
      <w:pPr>
        <w:widowControl w:val="0"/>
        <w:ind w:firstLine="420" w:firstLineChars="200"/>
        <w:jc w:val="both"/>
        <w:rPr>
          <w:rFonts w:hint="default" w:ascii="Calibri" w:hAnsi="Calibri" w:eastAsia="宋体" w:cs="Times New Roman"/>
          <w:kern w:val="2"/>
          <w:sz w:val="21"/>
          <w:szCs w:val="24"/>
          <w:lang w:val="en-US" w:eastAsia="zh-CN" w:bidi="ar-SA"/>
        </w:rPr>
      </w:pPr>
      <w:r>
        <w:rPr>
          <w:rFonts w:ascii="Calibri" w:hAnsi="Calibri" w:eastAsia="宋体" w:cs="Times New Roman"/>
          <w:kern w:val="2"/>
          <w:sz w:val="21"/>
          <w:szCs w:val="24"/>
          <w:lang w:bidi="ar-SA"/>
        </w:rPr>
        <w:t>自变量主要表现为音乐风格（抒情与金属）。鉴于中西方文化和歌词的影响，本研究将中文、英文以及纯音乐作为控制变量。因此，自变量涵盖以下几种版本：同一首中文歌曲的金属版与抒情版，同一首英文歌曲的金属版与抒情版，以及同一首纯音乐的金属版与抒情版。共有六首音乐，每首音乐的时长约为1.5分钟。</w:t>
      </w:r>
    </w:p>
    <w:p w14:paraId="5E216CE0">
      <w:pPr>
        <w:rPr>
          <w:rFonts w:hint="eastAsia"/>
          <w:lang w:val="en-US" w:eastAsia="zh-CN"/>
        </w:rPr>
      </w:pPr>
    </w:p>
    <w:p w14:paraId="5111DE02">
      <w:r>
        <w:t>Dependent variables:</w:t>
      </w:r>
    </w:p>
    <w:p w14:paraId="6C8DE87F">
      <w:pPr>
        <w:ind w:firstLine="420" w:firstLineChars="200"/>
      </w:pPr>
      <w:r>
        <w:t>The dependent variables primarily concern the imagination of visual artists, including associative content, emotional response, desire to paint, and visual diversity.</w:t>
      </w:r>
    </w:p>
    <w:p w14:paraId="7E4FF08C">
      <w:r>
        <w:t>These are measured through participants' evaluations of their own artwork and questionnaire surveys, and can be assessed from the following dimensions.</w:t>
      </w:r>
    </w:p>
    <w:p w14:paraId="58A85891">
      <w:r>
        <w:t>Imagination: Assess whether the metal music environment elicits rich associative content.</w:t>
      </w:r>
    </w:p>
    <w:p w14:paraId="5634F6FA">
      <w:r>
        <w:t>Emotional response: Assess whether the artwork conveys strong emotions, particularly whether metal music enhances the emotional impact of the artwork.</w:t>
      </w:r>
    </w:p>
    <w:p w14:paraId="063CAD5B">
      <w:r>
        <w:t>Desire to create: Whether metal music has stimulated the desire to create painting works.</w:t>
      </w:r>
    </w:p>
    <w:p w14:paraId="6E766469">
      <w:r>
        <w:t>Visual expressiveness: Whether metal music has prompted bold use of colour, shape, and lines in the works.</w:t>
      </w:r>
    </w:p>
    <w:p w14:paraId="3071EDA9">
      <w:pPr>
        <w:rPr>
          <w:rFonts w:hint="eastAsia"/>
          <w:lang w:val="en-US" w:eastAsia="zh-CN"/>
        </w:rPr>
      </w:pPr>
      <w:r>
        <w:rPr>
          <w:rFonts w:hint="eastAsia"/>
          <w:lang w:val="en-US" w:eastAsia="zh-CN"/>
        </w:rPr>
        <w:t>因变量：</w:t>
      </w:r>
    </w:p>
    <w:p w14:paraId="5EA589B6">
      <w:pPr>
        <w:ind w:firstLine="420" w:firstLineChars="200"/>
        <w:rPr>
          <w:rFonts w:hint="default"/>
          <w:lang w:val="en-US" w:eastAsia="zh-CN"/>
        </w:rPr>
      </w:pPr>
      <w:r>
        <w:rPr>
          <w:rFonts w:ascii="Calibri" w:hAnsi="Calibri" w:eastAsia="宋体" w:cs="Times New Roman"/>
          <w:kern w:val="2"/>
          <w:sz w:val="21"/>
          <w:szCs w:val="24"/>
          <w:lang w:bidi="ar-SA"/>
        </w:rPr>
        <w:t>因变量主要为绘画艺术家的</w:t>
      </w:r>
      <w:r>
        <w:rPr>
          <w:rFonts w:hint="eastAsia" w:ascii="Calibri" w:hAnsi="Calibri" w:eastAsia="宋体" w:cs="Times New Roman"/>
          <w:kern w:val="2"/>
          <w:sz w:val="21"/>
          <w:szCs w:val="24"/>
          <w:lang w:val="en-US" w:eastAsia="zh-CN" w:bidi="ar-SA"/>
        </w:rPr>
        <w:t>想象</w:t>
      </w:r>
      <w:r>
        <w:rPr>
          <w:rFonts w:ascii="Calibri" w:hAnsi="Calibri" w:eastAsia="宋体" w:cs="Times New Roman"/>
          <w:kern w:val="2"/>
          <w:sz w:val="21"/>
          <w:szCs w:val="24"/>
          <w:lang w:bidi="ar-SA"/>
        </w:rPr>
        <w:t>力</w:t>
      </w:r>
      <w:r>
        <w:rPr>
          <w:rFonts w:hint="eastAsia" w:ascii="Calibri" w:hAnsi="Calibri" w:eastAsia="宋体" w:cs="Times New Roman"/>
          <w:kern w:val="2"/>
          <w:sz w:val="21"/>
          <w:szCs w:val="24"/>
          <w:lang w:eastAsia="zh-CN" w:bidi="ar-SA"/>
        </w:rPr>
        <w:t>，</w:t>
      </w:r>
      <w:r>
        <w:rPr>
          <w:rFonts w:hint="eastAsia" w:ascii="Calibri" w:hAnsi="Calibri" w:eastAsia="宋体" w:cs="Times New Roman"/>
          <w:kern w:val="2"/>
          <w:sz w:val="21"/>
          <w:szCs w:val="24"/>
          <w:lang w:val="en-US" w:eastAsia="zh-CN" w:bidi="ar-SA"/>
        </w:rPr>
        <w:t>包括</w:t>
      </w:r>
      <w:r>
        <w:rPr>
          <w:rFonts w:hint="eastAsia"/>
          <w:lang w:val="en-US" w:eastAsia="zh-CN"/>
        </w:rPr>
        <w:t>联想内容、情绪反应、绘画欲望、视觉多样。</w:t>
      </w:r>
    </w:p>
    <w:p w14:paraId="055090C9">
      <w:pPr>
        <w:rPr>
          <w:rFonts w:ascii="Calibri" w:hAnsi="Calibri" w:eastAsia="宋体" w:cs="Times New Roman"/>
          <w:kern w:val="2"/>
          <w:sz w:val="21"/>
          <w:szCs w:val="24"/>
          <w:lang w:bidi="ar-SA"/>
        </w:rPr>
      </w:pPr>
      <w:r>
        <w:rPr>
          <w:rFonts w:ascii="Calibri" w:hAnsi="Calibri" w:eastAsia="宋体" w:cs="Times New Roman"/>
          <w:kern w:val="2"/>
          <w:sz w:val="21"/>
          <w:szCs w:val="24"/>
          <w:lang w:bidi="ar-SA"/>
        </w:rPr>
        <w:t>通过参与者对自己绘画作品的评价和问卷调查来衡量，具体可以从以下几个维度进行评估。</w:t>
      </w:r>
    </w:p>
    <w:p w14:paraId="3603639F">
      <w:pPr>
        <w:widowControl w:val="0"/>
        <w:bidi w:val="0"/>
        <w:jc w:val="both"/>
        <w:rPr>
          <w:rFonts w:ascii="Calibri" w:hAnsi="Calibri" w:eastAsia="宋体" w:cs="Times New Roman"/>
          <w:kern w:val="2"/>
          <w:sz w:val="21"/>
          <w:szCs w:val="24"/>
          <w:lang w:bidi="ar-SA"/>
        </w:rPr>
      </w:pPr>
      <w:r>
        <w:rPr>
          <w:rFonts w:hint="eastAsia"/>
          <w:lang w:val="en-US" w:eastAsia="zh-CN"/>
        </w:rPr>
        <w:t>想象力</w:t>
      </w:r>
      <w:r>
        <w:rPr>
          <w:rFonts w:hint="eastAsia"/>
          <w:lang w:eastAsia="zh-CN"/>
        </w:rPr>
        <w:t>：</w:t>
      </w:r>
      <w:r>
        <w:rPr>
          <w:rFonts w:ascii="Calibri" w:hAnsi="Calibri" w:eastAsia="宋体" w:cs="Times New Roman"/>
          <w:kern w:val="2"/>
          <w:sz w:val="21"/>
          <w:szCs w:val="24"/>
          <w:lang w:bidi="ar-SA"/>
        </w:rPr>
        <w:t>评估金属乐环境下是否展现出丰富的联想内容。</w:t>
      </w:r>
    </w:p>
    <w:p w14:paraId="3B835FA6">
      <w:pPr>
        <w:widowControl w:val="0"/>
        <w:bidi w:val="0"/>
        <w:jc w:val="both"/>
        <w:rPr>
          <w:rFonts w:ascii="Calibri" w:hAnsi="Calibri" w:eastAsia="宋体" w:cs="Times New Roman"/>
          <w:kern w:val="2"/>
          <w:sz w:val="21"/>
          <w:szCs w:val="24"/>
          <w:lang w:bidi="ar-SA"/>
        </w:rPr>
      </w:pPr>
      <w:r>
        <w:rPr>
          <w:rFonts w:hint="eastAsia"/>
          <w:lang w:eastAsia="zh-CN"/>
        </w:rPr>
        <w:t>情绪反应：</w:t>
      </w:r>
      <w:r>
        <w:rPr>
          <w:rFonts w:ascii="Calibri" w:hAnsi="Calibri" w:eastAsia="宋体" w:cs="Times New Roman"/>
          <w:kern w:val="2"/>
          <w:sz w:val="21"/>
          <w:szCs w:val="24"/>
          <w:lang w:bidi="ar-SA"/>
        </w:rPr>
        <w:t>作品是否展现出强烈的情感，尤其是金属乐是否增强了作品的情感冲击力。</w:t>
      </w:r>
    </w:p>
    <w:p w14:paraId="363941F9">
      <w:pPr>
        <w:widowControl w:val="0"/>
        <w:bidi w:val="0"/>
        <w:jc w:val="both"/>
        <w:rPr>
          <w:rFonts w:ascii="Calibri" w:hAnsi="Calibri" w:eastAsia="宋体" w:cs="Times New Roman"/>
          <w:kern w:val="2"/>
          <w:sz w:val="21"/>
          <w:szCs w:val="24"/>
          <w:lang w:bidi="ar-SA"/>
        </w:rPr>
      </w:pPr>
      <w:r>
        <w:rPr>
          <w:rFonts w:hint="eastAsia"/>
          <w:lang w:eastAsia="zh-CN"/>
        </w:rPr>
        <w:t>创作欲望：</w:t>
      </w:r>
      <w:r>
        <w:rPr>
          <w:rFonts w:ascii="Calibri" w:hAnsi="Calibri" w:eastAsia="宋体" w:cs="Times New Roman"/>
          <w:kern w:val="2"/>
          <w:sz w:val="21"/>
          <w:szCs w:val="24"/>
          <w:lang w:bidi="ar-SA"/>
        </w:rPr>
        <w:t>金属乐是否激发了创作绘画作品的欲望。</w:t>
      </w:r>
    </w:p>
    <w:p w14:paraId="68EF0E8B">
      <w:pPr>
        <w:rPr>
          <w:rFonts w:hint="eastAsia" w:eastAsia="宋体"/>
          <w:lang w:eastAsia="zh-CN"/>
        </w:rPr>
      </w:pPr>
      <w:r>
        <w:rPr>
          <w:rFonts w:hint="eastAsia"/>
          <w:lang w:eastAsia="zh-CN"/>
        </w:rPr>
        <w:t>视觉表现力：</w:t>
      </w:r>
      <w:r>
        <w:rPr>
          <w:rFonts w:ascii="Calibri" w:hAnsi="Calibri" w:eastAsia="宋体" w:cs="Times New Roman"/>
          <w:kern w:val="2"/>
          <w:sz w:val="21"/>
          <w:szCs w:val="24"/>
          <w:lang w:bidi="ar-SA"/>
        </w:rPr>
        <w:t>金属乐是否促使作品在颜色、形状、线条等方面的大胆运用</w:t>
      </w:r>
      <w:r>
        <w:rPr>
          <w:rFonts w:hint="eastAsia" w:ascii="Calibri" w:hAnsi="Calibri" w:eastAsia="宋体" w:cs="Times New Roman"/>
          <w:kern w:val="2"/>
          <w:sz w:val="21"/>
          <w:szCs w:val="24"/>
          <w:lang w:eastAsia="zh-CN" w:bidi="ar-SA"/>
        </w:rPr>
        <w:t>。</w:t>
      </w:r>
    </w:p>
    <w:p w14:paraId="3FDCB7D7"/>
    <w:p w14:paraId="0D6C53A9">
      <w:r>
        <w:t>Control variables:</w:t>
      </w:r>
    </w:p>
    <w:p w14:paraId="04130464">
      <w:pPr>
        <w:rPr>
          <w:rFonts w:hint="eastAsia" w:eastAsiaTheme="minorEastAsia"/>
          <w:lang w:eastAsia="zh-CN"/>
        </w:rPr>
      </w:pPr>
      <w:r>
        <w:t>The main target group for this study is experienced painters, but participants may also include people with no background in painting. Therefore, the experiment will be divided into two groups, ‘experienced painters’ and ‘inexperienced painters,’ for independent analysis to ensure that the comparison between the two groups is fair and comparable.</w:t>
      </w:r>
    </w:p>
    <w:p w14:paraId="57435FE8">
      <w:pPr>
        <w:rPr>
          <w:rFonts w:ascii="Calibri" w:hAnsi="Calibri" w:eastAsia="宋体" w:cs="Times New Roman"/>
          <w:kern w:val="2"/>
          <w:sz w:val="21"/>
          <w:szCs w:val="24"/>
          <w:lang w:bidi="ar-SA"/>
        </w:rPr>
      </w:pPr>
      <w:r>
        <w:rPr>
          <w:rFonts w:ascii="Calibri" w:hAnsi="Calibri" w:eastAsia="宋体" w:cs="Times New Roman"/>
          <w:kern w:val="2"/>
          <w:sz w:val="21"/>
          <w:szCs w:val="24"/>
          <w:lang w:bidi="ar-SA"/>
        </w:rPr>
        <w:t>控制变量：</w:t>
      </w:r>
    </w:p>
    <w:p w14:paraId="3EFDF00A">
      <w:pPr>
        <w:widowControl w:val="0"/>
        <w:bidi w:val="0"/>
        <w:jc w:val="both"/>
        <w:rPr>
          <w:rFonts w:ascii="Calibri" w:hAnsi="Calibri" w:eastAsia="宋体" w:cs="Times New Roman"/>
          <w:kern w:val="2"/>
          <w:sz w:val="21"/>
          <w:szCs w:val="24"/>
          <w:lang w:bidi="ar-SA"/>
        </w:rPr>
      </w:pPr>
      <w:r>
        <w:rPr>
          <w:rFonts w:ascii="Calibri" w:hAnsi="Calibri" w:eastAsia="宋体" w:cs="Times New Roman"/>
          <w:kern w:val="2"/>
          <w:sz w:val="21"/>
          <w:szCs w:val="24"/>
          <w:lang w:bidi="ar-SA"/>
        </w:rPr>
        <w:t>本研究的主要目标群体为有经验的绘画艺术家，但参与者也可能包括无绘画基础的人群。因此，实验将分为“有绘画经验”和“无绘画经验”两组进行独立分析，以确保对两类群体的比较是公平且具有可比性的。</w:t>
      </w:r>
    </w:p>
    <w:p w14:paraId="0A130229">
      <w:pPr>
        <w:widowControl w:val="0"/>
        <w:bidi w:val="0"/>
        <w:jc w:val="both"/>
        <w:rPr>
          <w:rFonts w:hint="eastAsia" w:ascii="Calibri" w:hAnsi="Calibri" w:eastAsia="宋体" w:cs="Times New Roman"/>
          <w:kern w:val="2"/>
          <w:sz w:val="21"/>
          <w:szCs w:val="24"/>
          <w:lang w:eastAsia="zh-CN" w:bidi="ar-SA"/>
        </w:rPr>
      </w:pPr>
    </w:p>
    <w:p w14:paraId="21C8B73B">
      <w:pPr>
        <w:rPr>
          <w:rFonts w:hint="eastAsia"/>
        </w:rPr>
      </w:pPr>
    </w:p>
    <w:p w14:paraId="700E314E">
      <w:pPr>
        <w:rPr>
          <w:rFonts w:hint="eastAsia"/>
        </w:rPr>
      </w:pPr>
    </w:p>
    <w:p w14:paraId="3394FD9C">
      <w:pPr>
        <w:rPr>
          <w:rFonts w:hint="eastAsia"/>
          <w:b/>
          <w:bCs/>
        </w:rPr>
      </w:pPr>
      <w:r>
        <w:rPr>
          <w:rFonts w:hint="eastAsia"/>
          <w:b/>
          <w:bCs/>
        </w:rPr>
        <w:t>Can you link a variable to other research, practices, influences, experiences, or something you’ve read?</w:t>
      </w:r>
    </w:p>
    <w:p w14:paraId="3A039628">
      <w:pPr>
        <w:rPr>
          <w:rFonts w:hint="eastAsia"/>
          <w:b/>
          <w:bCs/>
        </w:rPr>
      </w:pPr>
      <w:r>
        <w:rPr>
          <w:rFonts w:hint="eastAsia"/>
          <w:b/>
          <w:bCs/>
        </w:rPr>
        <w:t>您是否可以将一个变量与其他研究、实践、影响、经验或您所阅读的内容联系起来？</w:t>
      </w:r>
    </w:p>
    <w:p w14:paraId="53710535">
      <w:pPr>
        <w:ind w:firstLine="420" w:firstLineChars="200"/>
        <w:rPr>
          <w:rFonts w:hint="eastAsia"/>
        </w:rPr>
      </w:pPr>
      <w:r>
        <w:t>Kant's aesthetic theory provides a suitable philosophical foundation for this experiment, particularly his concept of ‘free play (freies Spiel)’ as outlined in his Critique of Judgment—that is, the aimless, harmonious interaction between sensibility (perception) and reason (understanding) is the root of aesthetic judgment. This concept can be used to explain the stimulating effect of metal music on painting creation at the sensory level. Wittgenstein's linguistic philosophy, ‘the limits of language are the limits of the world,’ also provides theoretical support for this research.</w:t>
      </w:r>
    </w:p>
    <w:p w14:paraId="4C619A8A">
      <w:pPr>
        <w:ind w:firstLine="420" w:firstLineChars="200"/>
        <w:rPr>
          <w:rFonts w:hint="eastAsia"/>
          <w:lang w:eastAsia="zh-CN"/>
        </w:rPr>
      </w:pPr>
      <w:r>
        <w:t>康德的审美理论适合构建这个实验的哲学基础，尤其是他在《判断力批判》中提出的“自由游戏（freies Spiel）”概念——即感性（知觉）与理性（理解）之间的无目的协调互动，是审美判断的根源。这正好可用于解释金属音乐在感官层面对绘画创作的激发作用。维特根斯坦的语言哲学“语言的边界即世界的边界”同样能为研究提供理论支撑</w:t>
      </w:r>
      <w:r>
        <w:rPr>
          <w:rFonts w:hint="eastAsia"/>
          <w:lang w:eastAsia="zh-CN"/>
        </w:rPr>
        <w:t>。</w:t>
      </w:r>
    </w:p>
    <w:p w14:paraId="42F09C7C">
      <w:pPr>
        <w:rPr>
          <w:rFonts w:hint="eastAsia"/>
          <w:lang w:eastAsia="zh-CN"/>
        </w:rPr>
      </w:pPr>
    </w:p>
    <w:p w14:paraId="5A882837">
      <w:pPr>
        <w:rPr>
          <w:rFonts w:hint="eastAsia"/>
        </w:rPr>
      </w:pPr>
    </w:p>
    <w:p w14:paraId="3B50E365">
      <w:pPr>
        <w:rPr>
          <w:rFonts w:hint="eastAsia"/>
          <w:b/>
          <w:bCs/>
        </w:rPr>
      </w:pPr>
      <w:r>
        <w:rPr>
          <w:rFonts w:hint="eastAsia"/>
          <w:b/>
          <w:bCs/>
        </w:rPr>
        <w:t>Have you documented how these influences, experiences, or readings have shaped your thinking and evolved your practice?</w:t>
      </w:r>
    </w:p>
    <w:p w14:paraId="52CAE127">
      <w:pPr>
        <w:rPr>
          <w:rFonts w:hint="eastAsia"/>
          <w:b/>
          <w:bCs/>
        </w:rPr>
      </w:pPr>
      <w:r>
        <w:rPr>
          <w:rFonts w:hint="eastAsia"/>
          <w:b/>
          <w:bCs/>
        </w:rPr>
        <w:t>你是否记录了这些影响、经历或阅读是如何塑造你的思维和发展的实践的？</w:t>
      </w:r>
    </w:p>
    <w:p w14:paraId="141CC9D5">
      <w:pPr>
        <w:widowControl w:val="0"/>
        <w:jc w:val="both"/>
        <w:rPr>
          <w:rFonts w:ascii="Calibri" w:hAnsi="Calibri" w:eastAsia="宋体" w:cs="Times New Roman"/>
          <w:kern w:val="2"/>
          <w:sz w:val="21"/>
          <w:szCs w:val="24"/>
          <w:lang w:bidi="ar-SA"/>
        </w:rPr>
      </w:pPr>
      <w:r>
        <w:rPr>
          <w:rFonts w:ascii="Calibri" w:hAnsi="Calibri" w:eastAsia="宋体" w:cs="Times New Roman"/>
          <w:kern w:val="2"/>
          <w:sz w:val="21"/>
          <w:szCs w:val="24"/>
          <w:lang w:bidi="ar-SA"/>
        </w:rPr>
        <w:t>本研究选取金属乐作为切入点，着重探讨其对强烈、非主流及边缘化审美体验的高度敏感性。它强调感官刺激、情绪解放与结构破坏，通过营造非理性与不可控的感受场域，摒弃传统的习惯与标准，转向追求“极端的真实”或“刺激的想象”。</w:t>
      </w:r>
    </w:p>
    <w:p w14:paraId="2197826D">
      <w:pPr>
        <w:ind w:firstLine="420" w:firstLineChars="200"/>
      </w:pPr>
      <w:bookmarkStart w:id="0" w:name="_GoBack"/>
      <w:bookmarkEnd w:id="0"/>
      <w:r>
        <w:t>This study takes metal music as its starting point, focusing on its high sensitivity to intense, non-mainstream, and marginalised aesthetic experiences. It emphasises sensory stimulation, emotional liberation, and structural destruction, creating an irrational and uncontrollable emotional environment that rejects traditional habits and standards in favour of pursuing ‘extreme reality’ or ‘stimulating imagination.’</w:t>
      </w:r>
    </w:p>
    <w:p w14:paraId="62595846">
      <w:pPr>
        <w:widowControl w:val="0"/>
        <w:jc w:val="both"/>
        <w:rPr>
          <w:rFonts w:hint="eastAsia" w:ascii="Calibri" w:hAnsi="Calibri" w:eastAsia="宋体" w:cs="Times New Roman"/>
          <w:kern w:val="2"/>
          <w:sz w:val="21"/>
          <w:szCs w:val="24"/>
          <w:lang w:eastAsia="zh-CN" w:bidi="ar-SA"/>
        </w:rPr>
      </w:pPr>
    </w:p>
    <w:p w14:paraId="6F161719"/>
    <w:p w14:paraId="4A95014E">
      <w:pPr>
        <w:rPr>
          <w:rFonts w:hint="eastAsia"/>
          <w:b/>
          <w:bCs/>
        </w:rPr>
      </w:pPr>
    </w:p>
    <w:p w14:paraId="0CCA5716">
      <w:pPr>
        <w:rPr>
          <w:rFonts w:hint="eastAsia"/>
          <w:b/>
          <w:bCs/>
        </w:rPr>
      </w:pPr>
    </w:p>
    <w:p w14:paraId="250C8444">
      <w:pPr>
        <w:rPr>
          <w:rFonts w:hint="eastAsia"/>
          <w:b/>
          <w:bCs/>
        </w:rPr>
      </w:pPr>
      <w:r>
        <w:rPr>
          <w:rFonts w:hint="eastAsia"/>
          <w:b/>
          <w:bCs/>
        </w:rPr>
        <w:t>Have you experimented with design, for example, by creating visuals, sounds, or concept art?</w:t>
      </w:r>
    </w:p>
    <w:p w14:paraId="5628BF46">
      <w:pPr>
        <w:rPr>
          <w:rFonts w:hint="eastAsia"/>
          <w:b/>
          <w:bCs/>
        </w:rPr>
      </w:pPr>
      <w:r>
        <w:rPr>
          <w:rFonts w:hint="eastAsia"/>
          <w:b/>
          <w:bCs/>
        </w:rPr>
        <w:t>你是否尝试过设计，例如，通过创造视觉效果、声音或概念艺术？</w:t>
      </w:r>
    </w:p>
    <w:p w14:paraId="66B8D8B2">
      <w:pPr>
        <w:rPr>
          <w:rFonts w:hint="eastAsia"/>
          <w:b/>
          <w:bCs/>
        </w:rPr>
      </w:pPr>
    </w:p>
    <w:p w14:paraId="1FB394A0">
      <w:pPr>
        <w:rPr>
          <w:rFonts w:hint="eastAsia"/>
          <w:b/>
          <w:bCs/>
        </w:rPr>
      </w:pPr>
    </w:p>
    <w:p w14:paraId="5EF1A0EF">
      <w:pPr>
        <w:rPr>
          <w:rFonts w:hint="eastAsia"/>
          <w:b/>
          <w:bCs/>
        </w:rPr>
      </w:pPr>
      <w:r>
        <w:rPr>
          <w:rFonts w:hint="eastAsia"/>
          <w:b/>
          <w:bCs/>
        </w:rPr>
        <w:t>Have you identified what information you are gathering from the audience, how you will gather it, and what you hope to discover?</w:t>
      </w:r>
    </w:p>
    <w:p w14:paraId="08A5A1D0">
      <w:pPr>
        <w:rPr>
          <w:rFonts w:hint="eastAsia"/>
          <w:b/>
          <w:bCs/>
        </w:rPr>
      </w:pPr>
      <w:r>
        <w:rPr>
          <w:rFonts w:hint="eastAsia"/>
          <w:b/>
          <w:bCs/>
        </w:rPr>
        <w:t>您是否确定了您将从受众那里收集哪些信息，如何收集这些信息，以及希望发现什么？</w:t>
      </w:r>
    </w:p>
    <w:p w14:paraId="16A20739">
      <w:pPr>
        <w:rPr>
          <w:b/>
          <w:bCs/>
        </w:rPr>
      </w:pPr>
    </w:p>
    <w:p w14:paraId="02C88597"/>
    <w:p w14:paraId="3888D344">
      <w:pPr>
        <w:rPr>
          <w:rFonts w:hint="eastAsia"/>
        </w:rPr>
      </w:pPr>
    </w:p>
    <w:p w14:paraId="2F2580F0">
      <w:pPr>
        <w:rPr>
          <w:rFonts w:hint="eastAsia"/>
        </w:rPr>
      </w:pPr>
    </w:p>
    <w:p w14:paraId="4B89A0A1">
      <w:pPr>
        <w:rPr>
          <w:rFonts w:hint="eastAsia"/>
        </w:rPr>
      </w:pPr>
    </w:p>
    <w:p w14:paraId="5F878FAD">
      <w:pPr>
        <w:rPr>
          <w:rFonts w:hint="eastAsia"/>
        </w:rPr>
      </w:pPr>
    </w:p>
    <w:p w14:paraId="59D0295C">
      <w:pPr>
        <w:rPr>
          <w:rFonts w:hint="eastAsia"/>
        </w:rPr>
      </w:pPr>
    </w:p>
    <w:p w14:paraId="37369874"/>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Yu Gothic">
    <w:panose1 w:val="020B0400000000000000"/>
    <w:charset w:val="80"/>
    <w:family w:val="auto"/>
    <w:pitch w:val="default"/>
    <w:sig w:usb0="E00002FF" w:usb1="2AC7FDFF" w:usb2="00000016" w:usb3="00000000" w:csb0="2002009F"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1872AC6"/>
    <w:rsid w:val="11872A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Hyperlink"/>
    <w:basedOn w:val="5"/>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16</TotalTime>
  <ScaleCrop>false</ScaleCrop>
  <LinksUpToDate>false</LinksUpToDate>
  <CharactersWithSpaces>0</CharactersWithSpaces>
  <Application>WPS Office_12.1.0.21541_F1E327BC-269C-435d-A152-05C5408002CA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2025-06-16T13:16:00Z</dcterms:created>
  <dc:creator>waishing</dc:creator>
  <cp:lastModifiedBy>waishing</cp:lastModifiedBy>
  <dcterms:modified xsi:type="dcterms:W3CDTF">2025-06-16T14:39:37Z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2052-12.1.0.21541</vt:lpwstr>
  </property>
  <property fmtid="{D5CDD505-2E9C-101B-9397-08002B2CF9AE}" pid="3" name="ICV">
    <vt:lpwstr>9F88E6C733FB4FF7A74FFEC942B3F800_11</vt:lpwstr>
  </property>
  <property fmtid="{D5CDD505-2E9C-101B-9397-08002B2CF9AE}" pid="4" name="KSOTemplateDocerSaveRecord">
    <vt:lpwstr>eyJoZGlkIjoiMDQ4ZGE1Y2M1NzA0Yjk4ODgxOTdmODRjMTE5NzQ1MjIiLCJ1c2VySWQiOiIzMzI3MzkxNzkifQ==</vt:lpwstr>
  </property>
</Properties>
</file>