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529F9" w14:textId="77777777" w:rsidR="00823278" w:rsidRPr="00F8055A" w:rsidRDefault="00823278" w:rsidP="001211E5">
      <w:pPr>
        <w:pStyle w:val="NormalWeb"/>
        <w:spacing w:before="0" w:beforeAutospacing="0" w:after="0" w:afterAutospacing="0" w:line="360" w:lineRule="auto"/>
        <w:jc w:val="both"/>
        <w:rPr>
          <w:rFonts w:ascii="Arial" w:eastAsia="Calibri" w:hAnsi="Arial" w:cs="Arial"/>
        </w:rPr>
      </w:pPr>
      <w:r w:rsidRPr="00F8055A">
        <w:rPr>
          <w:rFonts w:ascii="Arial" w:hAnsi="Arial" w:cs="Arial"/>
          <w:color w:val="000000" w:themeColor="text1"/>
          <w:kern w:val="24"/>
        </w:rPr>
        <w:t xml:space="preserve">Writing Module: Dissertation </w:t>
      </w:r>
      <w:r w:rsidR="009D0DAF" w:rsidRPr="00F8055A">
        <w:rPr>
          <w:rFonts w:ascii="Arial" w:eastAsia="Calibri" w:hAnsi="Arial" w:cs="Arial"/>
        </w:rPr>
        <w:t>Final 2025</w:t>
      </w:r>
    </w:p>
    <w:p w14:paraId="41A80927" w14:textId="77777777" w:rsidR="009D0DAF" w:rsidRPr="00F8055A" w:rsidRDefault="009D0DAF" w:rsidP="001211E5">
      <w:pPr>
        <w:pStyle w:val="NormalWeb"/>
        <w:spacing w:before="0" w:beforeAutospacing="0" w:after="0" w:afterAutospacing="0" w:line="360" w:lineRule="auto"/>
        <w:jc w:val="both"/>
        <w:rPr>
          <w:rFonts w:ascii="Arial" w:hAnsi="Arial" w:cs="Arial"/>
        </w:rPr>
      </w:pPr>
    </w:p>
    <w:p w14:paraId="6673F2E2" w14:textId="77777777" w:rsidR="00823278" w:rsidRPr="00F8055A" w:rsidRDefault="00823278" w:rsidP="001211E5">
      <w:pPr>
        <w:pStyle w:val="NormalWeb"/>
        <w:spacing w:before="0" w:beforeAutospacing="0" w:after="0" w:afterAutospacing="0" w:line="360" w:lineRule="auto"/>
        <w:jc w:val="both"/>
        <w:rPr>
          <w:rFonts w:ascii="Arial" w:hAnsi="Arial" w:cs="Arial"/>
          <w:color w:val="000000" w:themeColor="text1"/>
          <w:kern w:val="24"/>
        </w:rPr>
      </w:pPr>
      <w:r w:rsidRPr="00F8055A">
        <w:rPr>
          <w:rFonts w:ascii="Arial" w:hAnsi="Arial" w:cs="Arial"/>
          <w:color w:val="000000" w:themeColor="text1"/>
          <w:kern w:val="24"/>
        </w:rPr>
        <w:t xml:space="preserve">Student </w:t>
      </w:r>
      <w:r w:rsidRPr="00F8055A">
        <w:rPr>
          <w:rFonts w:ascii="Arial" w:hAnsi="Arial" w:cs="Arial"/>
          <w:color w:val="000000" w:themeColor="text1"/>
          <w:kern w:val="24"/>
          <w:lang w:val="en-GB"/>
        </w:rPr>
        <w:t>N</w:t>
      </w:r>
      <w:r w:rsidRPr="00F8055A">
        <w:rPr>
          <w:rFonts w:ascii="Arial" w:hAnsi="Arial" w:cs="Arial"/>
          <w:color w:val="000000" w:themeColor="text1"/>
          <w:kern w:val="24"/>
        </w:rPr>
        <w:t>ame: Renaldo</w:t>
      </w:r>
      <w:r w:rsidRPr="00F8055A">
        <w:rPr>
          <w:rFonts w:ascii="Arial" w:hAnsi="Arial" w:cs="Arial"/>
          <w:color w:val="000000" w:themeColor="text1"/>
          <w:kern w:val="24"/>
          <w:lang w:val="en-GB"/>
        </w:rPr>
        <w:t xml:space="preserve"> </w:t>
      </w:r>
      <w:r w:rsidRPr="00F8055A">
        <w:rPr>
          <w:rFonts w:ascii="Arial" w:hAnsi="Arial" w:cs="Arial"/>
          <w:color w:val="000000" w:themeColor="text1"/>
          <w:kern w:val="24"/>
        </w:rPr>
        <w:t>Jose Juman</w:t>
      </w:r>
    </w:p>
    <w:p w14:paraId="0939C084" w14:textId="77777777" w:rsidR="00823278" w:rsidRPr="00F8055A" w:rsidRDefault="00823278" w:rsidP="001211E5">
      <w:pPr>
        <w:pStyle w:val="NormalWeb"/>
        <w:spacing w:before="0" w:beforeAutospacing="0" w:after="0" w:afterAutospacing="0" w:line="360" w:lineRule="auto"/>
        <w:jc w:val="both"/>
        <w:rPr>
          <w:rFonts w:ascii="Arial" w:hAnsi="Arial" w:cs="Arial"/>
        </w:rPr>
      </w:pPr>
    </w:p>
    <w:p w14:paraId="079B3776" w14:textId="77777777" w:rsidR="00823278" w:rsidRPr="00F8055A" w:rsidRDefault="00823278" w:rsidP="001211E5">
      <w:pPr>
        <w:pStyle w:val="NormalWeb"/>
        <w:spacing w:before="0" w:beforeAutospacing="0" w:after="0" w:afterAutospacing="0" w:line="360" w:lineRule="auto"/>
        <w:jc w:val="both"/>
        <w:rPr>
          <w:rFonts w:ascii="Arial" w:hAnsi="Arial" w:cs="Arial"/>
          <w:color w:val="000000" w:themeColor="text1"/>
          <w:kern w:val="24"/>
        </w:rPr>
      </w:pPr>
      <w:r w:rsidRPr="00F8055A">
        <w:rPr>
          <w:rFonts w:ascii="Arial" w:hAnsi="Arial" w:cs="Arial"/>
          <w:color w:val="000000" w:themeColor="text1"/>
          <w:kern w:val="24"/>
        </w:rPr>
        <w:t>Student ID: 2114362</w:t>
      </w:r>
    </w:p>
    <w:p w14:paraId="68AB637C" w14:textId="77777777" w:rsidR="00823278" w:rsidRPr="00F8055A" w:rsidRDefault="00823278" w:rsidP="001211E5">
      <w:pPr>
        <w:pStyle w:val="NormalWeb"/>
        <w:spacing w:before="0" w:beforeAutospacing="0" w:after="0" w:afterAutospacing="0" w:line="360" w:lineRule="auto"/>
        <w:jc w:val="both"/>
        <w:rPr>
          <w:rFonts w:ascii="Arial" w:hAnsi="Arial" w:cs="Arial"/>
        </w:rPr>
      </w:pPr>
    </w:p>
    <w:p w14:paraId="1214800A" w14:textId="77777777" w:rsidR="00823278" w:rsidRPr="00F8055A" w:rsidRDefault="00823278" w:rsidP="001211E5">
      <w:pPr>
        <w:pStyle w:val="NormalWeb"/>
        <w:spacing w:before="0" w:beforeAutospacing="0" w:after="0" w:afterAutospacing="0" w:line="360" w:lineRule="auto"/>
        <w:jc w:val="both"/>
        <w:rPr>
          <w:rFonts w:ascii="Arial" w:hAnsi="Arial" w:cs="Arial"/>
          <w:color w:val="000000" w:themeColor="text1"/>
          <w:kern w:val="24"/>
        </w:rPr>
      </w:pPr>
      <w:r w:rsidRPr="00F8055A">
        <w:rPr>
          <w:rFonts w:ascii="Arial" w:hAnsi="Arial" w:cs="Arial"/>
          <w:color w:val="000000" w:themeColor="text1"/>
          <w:kern w:val="24"/>
        </w:rPr>
        <w:t>Module Code: LCBB6000</w:t>
      </w:r>
    </w:p>
    <w:p w14:paraId="3780BA01" w14:textId="77777777" w:rsidR="00823278" w:rsidRPr="00F8055A" w:rsidRDefault="00823278" w:rsidP="001211E5">
      <w:pPr>
        <w:pStyle w:val="NormalWeb"/>
        <w:spacing w:before="0" w:beforeAutospacing="0" w:after="0" w:afterAutospacing="0" w:line="360" w:lineRule="auto"/>
        <w:jc w:val="both"/>
        <w:rPr>
          <w:rFonts w:ascii="Arial" w:hAnsi="Arial" w:cs="Arial"/>
        </w:rPr>
      </w:pPr>
    </w:p>
    <w:p w14:paraId="606C7EF2" w14:textId="77777777" w:rsidR="00823278" w:rsidRPr="00F8055A" w:rsidRDefault="00823278" w:rsidP="001211E5">
      <w:pPr>
        <w:pStyle w:val="NormalWeb"/>
        <w:spacing w:before="0" w:beforeAutospacing="0" w:after="0" w:afterAutospacing="0" w:line="360" w:lineRule="auto"/>
        <w:jc w:val="both"/>
        <w:rPr>
          <w:rFonts w:ascii="Arial" w:hAnsi="Arial" w:cs="Arial"/>
          <w:color w:val="000000" w:themeColor="text1"/>
          <w:kern w:val="24"/>
        </w:rPr>
      </w:pPr>
      <w:r w:rsidRPr="00F8055A">
        <w:rPr>
          <w:rFonts w:ascii="Arial" w:hAnsi="Arial" w:cs="Arial"/>
          <w:color w:val="000000" w:themeColor="text1"/>
          <w:kern w:val="24"/>
        </w:rPr>
        <w:t>Tutor: Dr Seyed Nasirpour</w:t>
      </w:r>
    </w:p>
    <w:p w14:paraId="3D4EE7CD" w14:textId="77777777" w:rsidR="00823278" w:rsidRPr="00F8055A" w:rsidRDefault="00823278" w:rsidP="001211E5">
      <w:pPr>
        <w:pStyle w:val="NormalWeb"/>
        <w:spacing w:before="0" w:beforeAutospacing="0" w:after="0" w:afterAutospacing="0" w:line="360" w:lineRule="auto"/>
        <w:jc w:val="both"/>
        <w:rPr>
          <w:rFonts w:ascii="Arial" w:hAnsi="Arial" w:cs="Arial"/>
          <w:color w:val="000000" w:themeColor="text1"/>
          <w:kern w:val="24"/>
        </w:rPr>
      </w:pPr>
    </w:p>
    <w:p w14:paraId="171F6DCE" w14:textId="77777777" w:rsidR="00823278" w:rsidRPr="00F8055A" w:rsidRDefault="00823278" w:rsidP="001211E5">
      <w:pPr>
        <w:pStyle w:val="NormalWeb"/>
        <w:spacing w:before="0" w:beforeAutospacing="0" w:after="0" w:afterAutospacing="0" w:line="360" w:lineRule="auto"/>
        <w:jc w:val="both"/>
        <w:rPr>
          <w:rStyle w:val="Strong"/>
          <w:rFonts w:ascii="Arial" w:eastAsia="Times New Roman" w:hAnsi="Arial" w:cs="Arial"/>
          <w:color w:val="1D2125"/>
        </w:rPr>
      </w:pPr>
      <w:r w:rsidRPr="00F8055A">
        <w:rPr>
          <w:rFonts w:ascii="Arial" w:hAnsi="Arial" w:cs="Arial"/>
          <w:color w:val="000000" w:themeColor="text1"/>
          <w:kern w:val="24"/>
        </w:rPr>
        <w:t xml:space="preserve">Supervisor: Dr Ejike Robert            </w:t>
      </w:r>
    </w:p>
    <w:p w14:paraId="2BC43282" w14:textId="75B0B022" w:rsidR="00823278" w:rsidRDefault="00823278" w:rsidP="001211E5">
      <w:pPr>
        <w:pStyle w:val="NormalWeb"/>
        <w:spacing w:before="0" w:beforeAutospacing="0" w:after="0" w:afterAutospacing="0" w:line="360" w:lineRule="auto"/>
        <w:jc w:val="both"/>
        <w:rPr>
          <w:rStyle w:val="Strong"/>
          <w:rFonts w:ascii="Arial" w:eastAsia="Times New Roman" w:hAnsi="Arial" w:cs="Arial"/>
          <w:color w:val="1D2125"/>
          <w:sz w:val="22"/>
          <w:szCs w:val="22"/>
        </w:rPr>
      </w:pPr>
    </w:p>
    <w:p w14:paraId="0EB24354" w14:textId="3C46E0FD" w:rsidR="000A0DBB" w:rsidRPr="00E16F04" w:rsidRDefault="00E16F04" w:rsidP="001211E5">
      <w:pPr>
        <w:spacing w:line="360" w:lineRule="auto"/>
        <w:jc w:val="both"/>
        <w:rPr>
          <w:rFonts w:ascii="Arial" w:eastAsia="Times New Roman" w:hAnsi="Arial" w:cs="Arial"/>
          <w:color w:val="000000" w:themeColor="text1"/>
        </w:rPr>
      </w:pPr>
      <w:r w:rsidRPr="00E65E97">
        <w:rPr>
          <w:rFonts w:ascii="Arial" w:eastAsia="Arial" w:hAnsi="Arial" w:cs="Arial"/>
          <w:color w:val="000000" w:themeColor="text1"/>
        </w:rPr>
        <w:t>Assignment Title:</w:t>
      </w:r>
      <w:r>
        <w:rPr>
          <w:rFonts w:ascii="Arial" w:eastAsia="Arial" w:hAnsi="Arial" w:cs="Arial"/>
          <w:color w:val="000000" w:themeColor="text1"/>
        </w:rPr>
        <w:t xml:space="preserve"> </w:t>
      </w:r>
      <w:r w:rsidRPr="00F8055A">
        <w:rPr>
          <w:rFonts w:ascii="Arial" w:eastAsia="Times New Roman" w:hAnsi="Arial" w:cs="Arial"/>
        </w:rPr>
        <w:t xml:space="preserve">How AI </w:t>
      </w:r>
      <w:r w:rsidRPr="00F8055A">
        <w:rPr>
          <w:rFonts w:ascii="Arial" w:eastAsia="Times New Roman" w:hAnsi="Arial" w:cs="Arial"/>
          <w:color w:val="000000" w:themeColor="text1"/>
        </w:rPr>
        <w:t>Benefits the Retail Sector Around the World: A Comparative Analysis of North America, South America, and Asia</w:t>
      </w:r>
      <w:r>
        <w:rPr>
          <w:rFonts w:ascii="Arial" w:eastAsia="Times New Roman" w:hAnsi="Arial" w:cs="Arial"/>
          <w:color w:val="000000" w:themeColor="text1"/>
        </w:rPr>
        <w:t>.</w:t>
      </w:r>
    </w:p>
    <w:p w14:paraId="67CDAD47" w14:textId="77777777" w:rsidR="000A0DBB" w:rsidRPr="000A0DBB" w:rsidRDefault="000A0DBB" w:rsidP="001211E5">
      <w:pPr>
        <w:spacing w:line="360" w:lineRule="auto"/>
        <w:contextualSpacing/>
        <w:jc w:val="both"/>
        <w:rPr>
          <w:rFonts w:ascii="Arial" w:hAnsi="Arial" w:cs="Arial"/>
          <w:color w:val="000000" w:themeColor="text1"/>
          <w:sz w:val="22"/>
          <w:szCs w:val="22"/>
        </w:rPr>
      </w:pPr>
    </w:p>
    <w:p w14:paraId="587D6CBC"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179E5ABB"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214F0859"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4CEBB5D5"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12D334D5"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1AC9E056"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75DA5D02"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0977A813"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5DA0B21B"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68E4ED91"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4D844E6A"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746577F3"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66ECB616"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31FA9177"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6C0C3AD0"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29D86767"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1B5E653C"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34069C6E"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6AB48AD6" w14:textId="77777777" w:rsidR="000A0DBB" w:rsidRDefault="000A0DBB" w:rsidP="001211E5">
      <w:pPr>
        <w:spacing w:line="360" w:lineRule="auto"/>
        <w:contextualSpacing/>
        <w:jc w:val="both"/>
        <w:rPr>
          <w:rFonts w:ascii="Arial" w:eastAsia="Calibri" w:hAnsi="Arial" w:cs="Arial"/>
          <w:b/>
          <w:bCs/>
          <w:color w:val="000000" w:themeColor="text1"/>
          <w:sz w:val="22"/>
          <w:szCs w:val="22"/>
        </w:rPr>
      </w:pPr>
    </w:p>
    <w:p w14:paraId="4BC357BC" w14:textId="77777777" w:rsidR="00E16F04" w:rsidRDefault="00E16F04" w:rsidP="001211E5">
      <w:pPr>
        <w:spacing w:line="360" w:lineRule="auto"/>
        <w:jc w:val="both"/>
        <w:rPr>
          <w:rFonts w:ascii="Arial" w:eastAsia="Calibri" w:hAnsi="Arial" w:cs="Arial"/>
          <w:b/>
          <w:bCs/>
          <w:color w:val="000000" w:themeColor="text1"/>
          <w:sz w:val="22"/>
          <w:szCs w:val="22"/>
        </w:rPr>
      </w:pPr>
    </w:p>
    <w:p w14:paraId="393531D1" w14:textId="20099680" w:rsidR="000A0DBB" w:rsidRPr="00F8055A" w:rsidRDefault="000A0DBB" w:rsidP="001211E5">
      <w:pPr>
        <w:spacing w:line="360" w:lineRule="auto"/>
        <w:jc w:val="both"/>
        <w:rPr>
          <w:rFonts w:ascii="Arial" w:eastAsia="Times New Roman" w:hAnsi="Arial" w:cs="Arial"/>
          <w:color w:val="000000" w:themeColor="text1"/>
        </w:rPr>
      </w:pPr>
      <w:r w:rsidRPr="00F8055A">
        <w:rPr>
          <w:rFonts w:ascii="Arial" w:eastAsia="Times New Roman" w:hAnsi="Arial" w:cs="Arial"/>
        </w:rPr>
        <w:lastRenderedPageBreak/>
        <w:t xml:space="preserve">How AI </w:t>
      </w:r>
      <w:r w:rsidRPr="00F8055A">
        <w:rPr>
          <w:rFonts w:ascii="Arial" w:eastAsia="Times New Roman" w:hAnsi="Arial" w:cs="Arial"/>
          <w:color w:val="000000" w:themeColor="text1"/>
        </w:rPr>
        <w:t>Benefits the Retail Sector Around the World: A Comparative Analysis of North America, South America, and Asia</w:t>
      </w:r>
      <w:r w:rsidR="0055048C" w:rsidRPr="00F8055A">
        <w:rPr>
          <w:rFonts w:ascii="Arial" w:eastAsia="Times New Roman" w:hAnsi="Arial" w:cs="Arial"/>
          <w:color w:val="000000" w:themeColor="text1"/>
        </w:rPr>
        <w:t>.</w:t>
      </w:r>
    </w:p>
    <w:p w14:paraId="339FBD8F" w14:textId="77777777" w:rsidR="0055048C" w:rsidRPr="000A0DBB" w:rsidRDefault="0055048C" w:rsidP="001211E5">
      <w:pPr>
        <w:spacing w:line="360" w:lineRule="auto"/>
        <w:jc w:val="both"/>
        <w:rPr>
          <w:rFonts w:ascii="Arial" w:eastAsia="Times New Roman" w:hAnsi="Arial" w:cs="Arial"/>
          <w:color w:val="000000" w:themeColor="text1"/>
          <w:sz w:val="22"/>
          <w:szCs w:val="22"/>
        </w:rPr>
      </w:pPr>
    </w:p>
    <w:sdt>
      <w:sdtPr>
        <w:rPr>
          <w:rFonts w:ascii="Arial" w:eastAsiaTheme="minorHAnsi" w:hAnsi="Arial" w:cs="Arial"/>
          <w:b/>
          <w:bCs/>
          <w:color w:val="000000" w:themeColor="text1"/>
          <w:kern w:val="2"/>
          <w:sz w:val="22"/>
          <w:szCs w:val="22"/>
          <w:lang w:val="en-GB"/>
          <w14:ligatures w14:val="standardContextual"/>
        </w:rPr>
        <w:id w:val="-672336767"/>
        <w:docPartObj>
          <w:docPartGallery w:val="Table of Contents"/>
          <w:docPartUnique/>
        </w:docPartObj>
      </w:sdtPr>
      <w:sdtEndPr/>
      <w:sdtContent>
        <w:p w14:paraId="48C4E895" w14:textId="77777777" w:rsidR="000A0DBB" w:rsidRPr="00F8055A" w:rsidRDefault="000A0DBB" w:rsidP="00F8055A">
          <w:pPr>
            <w:pStyle w:val="TOCHeading"/>
            <w:spacing w:before="0" w:line="360" w:lineRule="auto"/>
            <w:contextualSpacing/>
            <w:jc w:val="both"/>
            <w:rPr>
              <w:rStyle w:val="Heading1Char"/>
              <w:rFonts w:ascii="Arial" w:hAnsi="Arial" w:cs="Arial"/>
              <w:sz w:val="22"/>
              <w:szCs w:val="22"/>
            </w:rPr>
          </w:pPr>
          <w:r w:rsidRPr="00F8055A">
            <w:rPr>
              <w:rStyle w:val="Heading1Char"/>
              <w:rFonts w:ascii="Arial" w:hAnsi="Arial" w:cs="Arial"/>
              <w:sz w:val="22"/>
              <w:szCs w:val="22"/>
            </w:rPr>
            <w:t>Table of Contents</w:t>
          </w:r>
        </w:p>
        <w:p w14:paraId="5157129B" w14:textId="3EF1A16E" w:rsidR="00E16F04" w:rsidRDefault="000A0DBB">
          <w:pPr>
            <w:pStyle w:val="TOC1"/>
            <w:rPr>
              <w:rFonts w:eastAsiaTheme="minorEastAsia"/>
              <w:noProof/>
              <w:kern w:val="2"/>
              <w:sz w:val="24"/>
              <w:szCs w:val="24"/>
              <w:lang w:eastAsia="en-GB"/>
              <w14:ligatures w14:val="standardContextual"/>
            </w:rPr>
          </w:pPr>
          <w:r w:rsidRPr="000A0DBB">
            <w:rPr>
              <w:rFonts w:ascii="Arial" w:hAnsi="Arial" w:cs="Arial"/>
              <w:color w:val="000000" w:themeColor="text1"/>
            </w:rPr>
            <w:fldChar w:fldCharType="begin"/>
          </w:r>
          <w:r w:rsidRPr="000A0DBB">
            <w:rPr>
              <w:rFonts w:ascii="Arial" w:hAnsi="Arial" w:cs="Arial"/>
              <w:color w:val="000000" w:themeColor="text1"/>
            </w:rPr>
            <w:instrText xml:space="preserve"> TOC \o "1-3" \h \z \u </w:instrText>
          </w:r>
          <w:r w:rsidRPr="000A0DBB">
            <w:rPr>
              <w:rFonts w:ascii="Arial" w:hAnsi="Arial" w:cs="Arial"/>
              <w:color w:val="000000" w:themeColor="text1"/>
            </w:rPr>
            <w:fldChar w:fldCharType="separate"/>
          </w:r>
          <w:hyperlink w:anchor="_Toc204707776" w:history="1">
            <w:r w:rsidR="00E16F04" w:rsidRPr="00B13853">
              <w:rPr>
                <w:rStyle w:val="Hyperlink"/>
                <w:rFonts w:ascii="Arial" w:hAnsi="Arial" w:cs="Arial"/>
                <w:noProof/>
              </w:rPr>
              <w:t>Table of Figures</w:t>
            </w:r>
            <w:r w:rsidR="00E16F04">
              <w:rPr>
                <w:noProof/>
                <w:webHidden/>
              </w:rPr>
              <w:tab/>
            </w:r>
            <w:r w:rsidR="00E16F04">
              <w:rPr>
                <w:noProof/>
                <w:webHidden/>
              </w:rPr>
              <w:fldChar w:fldCharType="begin"/>
            </w:r>
            <w:r w:rsidR="00E16F04">
              <w:rPr>
                <w:noProof/>
                <w:webHidden/>
              </w:rPr>
              <w:instrText xml:space="preserve"> PAGEREF _Toc204707776 \h </w:instrText>
            </w:r>
            <w:r w:rsidR="00E16F04">
              <w:rPr>
                <w:noProof/>
                <w:webHidden/>
              </w:rPr>
            </w:r>
            <w:r w:rsidR="00E16F04">
              <w:rPr>
                <w:noProof/>
                <w:webHidden/>
              </w:rPr>
              <w:fldChar w:fldCharType="separate"/>
            </w:r>
            <w:r w:rsidR="00E16F04">
              <w:rPr>
                <w:noProof/>
                <w:webHidden/>
              </w:rPr>
              <w:t>4</w:t>
            </w:r>
            <w:r w:rsidR="00E16F04">
              <w:rPr>
                <w:noProof/>
                <w:webHidden/>
              </w:rPr>
              <w:fldChar w:fldCharType="end"/>
            </w:r>
          </w:hyperlink>
        </w:p>
        <w:p w14:paraId="1471A259" w14:textId="3ED1EAF6" w:rsidR="00E16F04" w:rsidRDefault="00E16F04">
          <w:pPr>
            <w:pStyle w:val="TOC1"/>
            <w:rPr>
              <w:rFonts w:eastAsiaTheme="minorEastAsia"/>
              <w:noProof/>
              <w:kern w:val="2"/>
              <w:sz w:val="24"/>
              <w:szCs w:val="24"/>
              <w:lang w:eastAsia="en-GB"/>
              <w14:ligatures w14:val="standardContextual"/>
            </w:rPr>
          </w:pPr>
          <w:hyperlink w:anchor="_Toc204707777" w:history="1">
            <w:r w:rsidRPr="00B13853">
              <w:rPr>
                <w:rStyle w:val="Hyperlink"/>
                <w:rFonts w:ascii="Arial" w:hAnsi="Arial" w:cs="Arial"/>
                <w:noProof/>
              </w:rPr>
              <w:t>Table of Tables</w:t>
            </w:r>
            <w:r>
              <w:rPr>
                <w:noProof/>
                <w:webHidden/>
              </w:rPr>
              <w:tab/>
            </w:r>
            <w:r>
              <w:rPr>
                <w:noProof/>
                <w:webHidden/>
              </w:rPr>
              <w:fldChar w:fldCharType="begin"/>
            </w:r>
            <w:r>
              <w:rPr>
                <w:noProof/>
                <w:webHidden/>
              </w:rPr>
              <w:instrText xml:space="preserve"> PAGEREF _Toc204707777 \h </w:instrText>
            </w:r>
            <w:r>
              <w:rPr>
                <w:noProof/>
                <w:webHidden/>
              </w:rPr>
            </w:r>
            <w:r>
              <w:rPr>
                <w:noProof/>
                <w:webHidden/>
              </w:rPr>
              <w:fldChar w:fldCharType="separate"/>
            </w:r>
            <w:r>
              <w:rPr>
                <w:noProof/>
                <w:webHidden/>
              </w:rPr>
              <w:t>5</w:t>
            </w:r>
            <w:r>
              <w:rPr>
                <w:noProof/>
                <w:webHidden/>
              </w:rPr>
              <w:fldChar w:fldCharType="end"/>
            </w:r>
          </w:hyperlink>
        </w:p>
        <w:p w14:paraId="666DE23B" w14:textId="41F4C000" w:rsidR="00E16F04" w:rsidRDefault="00E16F04">
          <w:pPr>
            <w:pStyle w:val="TOC1"/>
            <w:rPr>
              <w:rFonts w:eastAsiaTheme="minorEastAsia"/>
              <w:noProof/>
              <w:kern w:val="2"/>
              <w:sz w:val="24"/>
              <w:szCs w:val="24"/>
              <w:lang w:eastAsia="en-GB"/>
              <w14:ligatures w14:val="standardContextual"/>
            </w:rPr>
          </w:pPr>
          <w:hyperlink w:anchor="_Toc204707778" w:history="1">
            <w:r w:rsidRPr="00B13853">
              <w:rPr>
                <w:rStyle w:val="Hyperlink"/>
                <w:rFonts w:ascii="Arial" w:hAnsi="Arial" w:cs="Arial"/>
                <w:noProof/>
              </w:rPr>
              <w:t>Table of Abbreviations</w:t>
            </w:r>
            <w:r>
              <w:rPr>
                <w:noProof/>
                <w:webHidden/>
              </w:rPr>
              <w:tab/>
            </w:r>
            <w:r>
              <w:rPr>
                <w:noProof/>
                <w:webHidden/>
              </w:rPr>
              <w:fldChar w:fldCharType="begin"/>
            </w:r>
            <w:r>
              <w:rPr>
                <w:noProof/>
                <w:webHidden/>
              </w:rPr>
              <w:instrText xml:space="preserve"> PAGEREF _Toc204707778 \h </w:instrText>
            </w:r>
            <w:r>
              <w:rPr>
                <w:noProof/>
                <w:webHidden/>
              </w:rPr>
            </w:r>
            <w:r>
              <w:rPr>
                <w:noProof/>
                <w:webHidden/>
              </w:rPr>
              <w:fldChar w:fldCharType="separate"/>
            </w:r>
            <w:r>
              <w:rPr>
                <w:noProof/>
                <w:webHidden/>
              </w:rPr>
              <w:t>6</w:t>
            </w:r>
            <w:r>
              <w:rPr>
                <w:noProof/>
                <w:webHidden/>
              </w:rPr>
              <w:fldChar w:fldCharType="end"/>
            </w:r>
          </w:hyperlink>
        </w:p>
        <w:p w14:paraId="208CF097" w14:textId="12A23726" w:rsidR="00E16F04" w:rsidRDefault="00E16F04">
          <w:pPr>
            <w:pStyle w:val="TOC1"/>
            <w:rPr>
              <w:rFonts w:eastAsiaTheme="minorEastAsia"/>
              <w:noProof/>
              <w:kern w:val="2"/>
              <w:sz w:val="24"/>
              <w:szCs w:val="24"/>
              <w:lang w:eastAsia="en-GB"/>
              <w14:ligatures w14:val="standardContextual"/>
            </w:rPr>
          </w:pPr>
          <w:hyperlink w:anchor="_Toc204707779" w:history="1">
            <w:r w:rsidRPr="00B13853">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_Toc204707779 \h </w:instrText>
            </w:r>
            <w:r>
              <w:rPr>
                <w:noProof/>
                <w:webHidden/>
              </w:rPr>
            </w:r>
            <w:r>
              <w:rPr>
                <w:noProof/>
                <w:webHidden/>
              </w:rPr>
              <w:fldChar w:fldCharType="separate"/>
            </w:r>
            <w:r>
              <w:rPr>
                <w:noProof/>
                <w:webHidden/>
              </w:rPr>
              <w:t>7</w:t>
            </w:r>
            <w:r>
              <w:rPr>
                <w:noProof/>
                <w:webHidden/>
              </w:rPr>
              <w:fldChar w:fldCharType="end"/>
            </w:r>
          </w:hyperlink>
        </w:p>
        <w:p w14:paraId="59F68DB2" w14:textId="1C79B0C4"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780" w:history="1">
            <w:r w:rsidRPr="00B13853">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_Toc204707780 \h </w:instrText>
            </w:r>
            <w:r>
              <w:rPr>
                <w:noProof/>
                <w:webHidden/>
              </w:rPr>
            </w:r>
            <w:r>
              <w:rPr>
                <w:noProof/>
                <w:webHidden/>
              </w:rPr>
              <w:fldChar w:fldCharType="separate"/>
            </w:r>
            <w:r>
              <w:rPr>
                <w:noProof/>
                <w:webHidden/>
              </w:rPr>
              <w:t>7</w:t>
            </w:r>
            <w:r>
              <w:rPr>
                <w:noProof/>
                <w:webHidden/>
              </w:rPr>
              <w:fldChar w:fldCharType="end"/>
            </w:r>
          </w:hyperlink>
        </w:p>
        <w:p w14:paraId="62A6D262" w14:textId="3BD89066"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781" w:history="1">
            <w:r w:rsidRPr="00B13853">
              <w:rPr>
                <w:rStyle w:val="Hyperlink"/>
                <w:rFonts w:ascii="Arial" w:hAnsi="Arial" w:cs="Arial"/>
                <w:noProof/>
              </w:rPr>
              <w:t>1.2. Aim</w:t>
            </w:r>
            <w:r>
              <w:rPr>
                <w:noProof/>
                <w:webHidden/>
              </w:rPr>
              <w:tab/>
            </w:r>
            <w:r>
              <w:rPr>
                <w:noProof/>
                <w:webHidden/>
              </w:rPr>
              <w:fldChar w:fldCharType="begin"/>
            </w:r>
            <w:r>
              <w:rPr>
                <w:noProof/>
                <w:webHidden/>
              </w:rPr>
              <w:instrText xml:space="preserve"> PAGEREF _Toc204707781 \h </w:instrText>
            </w:r>
            <w:r>
              <w:rPr>
                <w:noProof/>
                <w:webHidden/>
              </w:rPr>
            </w:r>
            <w:r>
              <w:rPr>
                <w:noProof/>
                <w:webHidden/>
              </w:rPr>
              <w:fldChar w:fldCharType="separate"/>
            </w:r>
            <w:r>
              <w:rPr>
                <w:noProof/>
                <w:webHidden/>
              </w:rPr>
              <w:t>8</w:t>
            </w:r>
            <w:r>
              <w:rPr>
                <w:noProof/>
                <w:webHidden/>
              </w:rPr>
              <w:fldChar w:fldCharType="end"/>
            </w:r>
          </w:hyperlink>
        </w:p>
        <w:p w14:paraId="34E1E8F2" w14:textId="708D4FB5"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782" w:history="1">
            <w:r w:rsidRPr="00B13853">
              <w:rPr>
                <w:rStyle w:val="Hyperlink"/>
                <w:rFonts w:ascii="Arial" w:hAnsi="Arial" w:cs="Arial"/>
                <w:noProof/>
              </w:rPr>
              <w:t>1.3. Objectives</w:t>
            </w:r>
            <w:r>
              <w:rPr>
                <w:noProof/>
                <w:webHidden/>
              </w:rPr>
              <w:tab/>
            </w:r>
            <w:r>
              <w:rPr>
                <w:noProof/>
                <w:webHidden/>
              </w:rPr>
              <w:fldChar w:fldCharType="begin"/>
            </w:r>
            <w:r>
              <w:rPr>
                <w:noProof/>
                <w:webHidden/>
              </w:rPr>
              <w:instrText xml:space="preserve"> PAGEREF _Toc204707782 \h </w:instrText>
            </w:r>
            <w:r>
              <w:rPr>
                <w:noProof/>
                <w:webHidden/>
              </w:rPr>
            </w:r>
            <w:r>
              <w:rPr>
                <w:noProof/>
                <w:webHidden/>
              </w:rPr>
              <w:fldChar w:fldCharType="separate"/>
            </w:r>
            <w:r>
              <w:rPr>
                <w:noProof/>
                <w:webHidden/>
              </w:rPr>
              <w:t>8</w:t>
            </w:r>
            <w:r>
              <w:rPr>
                <w:noProof/>
                <w:webHidden/>
              </w:rPr>
              <w:fldChar w:fldCharType="end"/>
            </w:r>
          </w:hyperlink>
        </w:p>
        <w:p w14:paraId="59B2629B" w14:textId="0CEA7DB1"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783" w:history="1">
            <w:r w:rsidRPr="00B13853">
              <w:rPr>
                <w:rStyle w:val="Hyperlink"/>
                <w:rFonts w:ascii="Arial" w:hAnsi="Arial" w:cs="Arial"/>
                <w:noProof/>
              </w:rPr>
              <w:t>1.4. Research Questions</w:t>
            </w:r>
            <w:r>
              <w:rPr>
                <w:noProof/>
                <w:webHidden/>
              </w:rPr>
              <w:tab/>
            </w:r>
            <w:r>
              <w:rPr>
                <w:noProof/>
                <w:webHidden/>
              </w:rPr>
              <w:fldChar w:fldCharType="begin"/>
            </w:r>
            <w:r>
              <w:rPr>
                <w:noProof/>
                <w:webHidden/>
              </w:rPr>
              <w:instrText xml:space="preserve"> PAGEREF _Toc204707783 \h </w:instrText>
            </w:r>
            <w:r>
              <w:rPr>
                <w:noProof/>
                <w:webHidden/>
              </w:rPr>
            </w:r>
            <w:r>
              <w:rPr>
                <w:noProof/>
                <w:webHidden/>
              </w:rPr>
              <w:fldChar w:fldCharType="separate"/>
            </w:r>
            <w:r>
              <w:rPr>
                <w:noProof/>
                <w:webHidden/>
              </w:rPr>
              <w:t>8</w:t>
            </w:r>
            <w:r>
              <w:rPr>
                <w:noProof/>
                <w:webHidden/>
              </w:rPr>
              <w:fldChar w:fldCharType="end"/>
            </w:r>
          </w:hyperlink>
        </w:p>
        <w:p w14:paraId="2B7DB438" w14:textId="4F5408D4" w:rsidR="00E16F04" w:rsidRDefault="00E16F04">
          <w:pPr>
            <w:pStyle w:val="TOC1"/>
            <w:rPr>
              <w:rFonts w:eastAsiaTheme="minorEastAsia"/>
              <w:noProof/>
              <w:kern w:val="2"/>
              <w:sz w:val="24"/>
              <w:szCs w:val="24"/>
              <w:lang w:eastAsia="en-GB"/>
              <w14:ligatures w14:val="standardContextual"/>
            </w:rPr>
          </w:pPr>
          <w:hyperlink w:anchor="_Toc204707784" w:history="1">
            <w:r w:rsidRPr="00B13853">
              <w:rPr>
                <w:rStyle w:val="Hyperlink"/>
                <w:rFonts w:ascii="Arial" w:hAnsi="Arial" w:cs="Arial"/>
                <w:noProof/>
              </w:rPr>
              <w:t>2.0. Literature Review</w:t>
            </w:r>
            <w:r>
              <w:rPr>
                <w:noProof/>
                <w:webHidden/>
              </w:rPr>
              <w:tab/>
            </w:r>
            <w:r>
              <w:rPr>
                <w:noProof/>
                <w:webHidden/>
              </w:rPr>
              <w:fldChar w:fldCharType="begin"/>
            </w:r>
            <w:r>
              <w:rPr>
                <w:noProof/>
                <w:webHidden/>
              </w:rPr>
              <w:instrText xml:space="preserve"> PAGEREF _Toc204707784 \h </w:instrText>
            </w:r>
            <w:r>
              <w:rPr>
                <w:noProof/>
                <w:webHidden/>
              </w:rPr>
            </w:r>
            <w:r>
              <w:rPr>
                <w:noProof/>
                <w:webHidden/>
              </w:rPr>
              <w:fldChar w:fldCharType="separate"/>
            </w:r>
            <w:r>
              <w:rPr>
                <w:noProof/>
                <w:webHidden/>
              </w:rPr>
              <w:t>9</w:t>
            </w:r>
            <w:r>
              <w:rPr>
                <w:noProof/>
                <w:webHidden/>
              </w:rPr>
              <w:fldChar w:fldCharType="end"/>
            </w:r>
          </w:hyperlink>
        </w:p>
        <w:p w14:paraId="10778F01" w14:textId="64CA9074"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785" w:history="1">
            <w:r w:rsidRPr="00B13853">
              <w:rPr>
                <w:rStyle w:val="Hyperlink"/>
                <w:rFonts w:ascii="Arial" w:hAnsi="Arial" w:cs="Arial"/>
                <w:noProof/>
              </w:rPr>
              <w:t>2.1 AI Adoption in North America</w:t>
            </w:r>
            <w:r>
              <w:rPr>
                <w:noProof/>
                <w:webHidden/>
              </w:rPr>
              <w:tab/>
            </w:r>
            <w:r>
              <w:rPr>
                <w:noProof/>
                <w:webHidden/>
              </w:rPr>
              <w:fldChar w:fldCharType="begin"/>
            </w:r>
            <w:r>
              <w:rPr>
                <w:noProof/>
                <w:webHidden/>
              </w:rPr>
              <w:instrText xml:space="preserve"> PAGEREF _Toc204707785 \h </w:instrText>
            </w:r>
            <w:r>
              <w:rPr>
                <w:noProof/>
                <w:webHidden/>
              </w:rPr>
            </w:r>
            <w:r>
              <w:rPr>
                <w:noProof/>
                <w:webHidden/>
              </w:rPr>
              <w:fldChar w:fldCharType="separate"/>
            </w:r>
            <w:r>
              <w:rPr>
                <w:noProof/>
                <w:webHidden/>
              </w:rPr>
              <w:t>10</w:t>
            </w:r>
            <w:r>
              <w:rPr>
                <w:noProof/>
                <w:webHidden/>
              </w:rPr>
              <w:fldChar w:fldCharType="end"/>
            </w:r>
          </w:hyperlink>
        </w:p>
        <w:p w14:paraId="55B5D7DA" w14:textId="1344D719"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786" w:history="1">
            <w:r w:rsidRPr="00B13853">
              <w:rPr>
                <w:rStyle w:val="Hyperlink"/>
                <w:rFonts w:ascii="Arial" w:eastAsia="Times New Roman" w:hAnsi="Arial" w:cs="Arial"/>
                <w:noProof/>
                <w:lang w:val="en-US"/>
              </w:rPr>
              <w:t>2.1.1 North America—Theory Integration</w:t>
            </w:r>
            <w:r>
              <w:rPr>
                <w:noProof/>
                <w:webHidden/>
              </w:rPr>
              <w:tab/>
            </w:r>
            <w:r>
              <w:rPr>
                <w:noProof/>
                <w:webHidden/>
              </w:rPr>
              <w:fldChar w:fldCharType="begin"/>
            </w:r>
            <w:r>
              <w:rPr>
                <w:noProof/>
                <w:webHidden/>
              </w:rPr>
              <w:instrText xml:space="preserve"> PAGEREF _Toc204707786 \h </w:instrText>
            </w:r>
            <w:r>
              <w:rPr>
                <w:noProof/>
                <w:webHidden/>
              </w:rPr>
            </w:r>
            <w:r>
              <w:rPr>
                <w:noProof/>
                <w:webHidden/>
              </w:rPr>
              <w:fldChar w:fldCharType="separate"/>
            </w:r>
            <w:r>
              <w:rPr>
                <w:noProof/>
                <w:webHidden/>
              </w:rPr>
              <w:t>12</w:t>
            </w:r>
            <w:r>
              <w:rPr>
                <w:noProof/>
                <w:webHidden/>
              </w:rPr>
              <w:fldChar w:fldCharType="end"/>
            </w:r>
          </w:hyperlink>
        </w:p>
        <w:p w14:paraId="3C26B2C4" w14:textId="3E483331" w:rsidR="00E16F04" w:rsidRDefault="00E16F04">
          <w:pPr>
            <w:pStyle w:val="TOC1"/>
            <w:rPr>
              <w:rFonts w:eastAsiaTheme="minorEastAsia"/>
              <w:noProof/>
              <w:kern w:val="2"/>
              <w:sz w:val="24"/>
              <w:szCs w:val="24"/>
              <w:lang w:eastAsia="en-GB"/>
              <w14:ligatures w14:val="standardContextual"/>
            </w:rPr>
          </w:pPr>
          <w:hyperlink w:anchor="_Toc204707787" w:history="1">
            <w:r w:rsidRPr="00B13853">
              <w:rPr>
                <w:rStyle w:val="Hyperlink"/>
                <w:rFonts w:ascii="Arial" w:hAnsi="Arial" w:cs="Arial"/>
                <w:noProof/>
              </w:rPr>
              <w:t>2.2 AI Adoption in South America</w:t>
            </w:r>
            <w:r>
              <w:rPr>
                <w:noProof/>
                <w:webHidden/>
              </w:rPr>
              <w:tab/>
            </w:r>
            <w:r>
              <w:rPr>
                <w:noProof/>
                <w:webHidden/>
              </w:rPr>
              <w:fldChar w:fldCharType="begin"/>
            </w:r>
            <w:r>
              <w:rPr>
                <w:noProof/>
                <w:webHidden/>
              </w:rPr>
              <w:instrText xml:space="preserve"> PAGEREF _Toc204707787 \h </w:instrText>
            </w:r>
            <w:r>
              <w:rPr>
                <w:noProof/>
                <w:webHidden/>
              </w:rPr>
            </w:r>
            <w:r>
              <w:rPr>
                <w:noProof/>
                <w:webHidden/>
              </w:rPr>
              <w:fldChar w:fldCharType="separate"/>
            </w:r>
            <w:r>
              <w:rPr>
                <w:noProof/>
                <w:webHidden/>
              </w:rPr>
              <w:t>13</w:t>
            </w:r>
            <w:r>
              <w:rPr>
                <w:noProof/>
                <w:webHidden/>
              </w:rPr>
              <w:fldChar w:fldCharType="end"/>
            </w:r>
          </w:hyperlink>
        </w:p>
        <w:p w14:paraId="33A4EA9C" w14:textId="2F15DFE9"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788" w:history="1">
            <w:r w:rsidRPr="00B13853">
              <w:rPr>
                <w:rStyle w:val="Hyperlink"/>
                <w:rFonts w:ascii="Arial" w:eastAsia="Times New Roman" w:hAnsi="Arial" w:cs="Arial"/>
                <w:noProof/>
                <w:lang w:val="en-US"/>
              </w:rPr>
              <w:t>2.2.1 South America—Theory Integration</w:t>
            </w:r>
            <w:r>
              <w:rPr>
                <w:noProof/>
                <w:webHidden/>
              </w:rPr>
              <w:tab/>
            </w:r>
            <w:r>
              <w:rPr>
                <w:noProof/>
                <w:webHidden/>
              </w:rPr>
              <w:fldChar w:fldCharType="begin"/>
            </w:r>
            <w:r>
              <w:rPr>
                <w:noProof/>
                <w:webHidden/>
              </w:rPr>
              <w:instrText xml:space="preserve"> PAGEREF _Toc204707788 \h </w:instrText>
            </w:r>
            <w:r>
              <w:rPr>
                <w:noProof/>
                <w:webHidden/>
              </w:rPr>
            </w:r>
            <w:r>
              <w:rPr>
                <w:noProof/>
                <w:webHidden/>
              </w:rPr>
              <w:fldChar w:fldCharType="separate"/>
            </w:r>
            <w:r>
              <w:rPr>
                <w:noProof/>
                <w:webHidden/>
              </w:rPr>
              <w:t>14</w:t>
            </w:r>
            <w:r>
              <w:rPr>
                <w:noProof/>
                <w:webHidden/>
              </w:rPr>
              <w:fldChar w:fldCharType="end"/>
            </w:r>
          </w:hyperlink>
        </w:p>
        <w:p w14:paraId="58C9419B" w14:textId="10190077" w:rsidR="00E16F04" w:rsidRDefault="00E16F04">
          <w:pPr>
            <w:pStyle w:val="TOC1"/>
            <w:rPr>
              <w:rFonts w:eastAsiaTheme="minorEastAsia"/>
              <w:noProof/>
              <w:kern w:val="2"/>
              <w:sz w:val="24"/>
              <w:szCs w:val="24"/>
              <w:lang w:eastAsia="en-GB"/>
              <w14:ligatures w14:val="standardContextual"/>
            </w:rPr>
          </w:pPr>
          <w:hyperlink w:anchor="_Toc204707789" w:history="1">
            <w:r w:rsidRPr="00B13853">
              <w:rPr>
                <w:rStyle w:val="Hyperlink"/>
                <w:rFonts w:ascii="Arial" w:hAnsi="Arial" w:cs="Arial"/>
                <w:noProof/>
              </w:rPr>
              <w:t>2.3 AI Adoption in Asia</w:t>
            </w:r>
            <w:r>
              <w:rPr>
                <w:noProof/>
                <w:webHidden/>
              </w:rPr>
              <w:tab/>
            </w:r>
            <w:r>
              <w:rPr>
                <w:noProof/>
                <w:webHidden/>
              </w:rPr>
              <w:fldChar w:fldCharType="begin"/>
            </w:r>
            <w:r>
              <w:rPr>
                <w:noProof/>
                <w:webHidden/>
              </w:rPr>
              <w:instrText xml:space="preserve"> PAGEREF _Toc204707789 \h </w:instrText>
            </w:r>
            <w:r>
              <w:rPr>
                <w:noProof/>
                <w:webHidden/>
              </w:rPr>
            </w:r>
            <w:r>
              <w:rPr>
                <w:noProof/>
                <w:webHidden/>
              </w:rPr>
              <w:fldChar w:fldCharType="separate"/>
            </w:r>
            <w:r>
              <w:rPr>
                <w:noProof/>
                <w:webHidden/>
              </w:rPr>
              <w:t>15</w:t>
            </w:r>
            <w:r>
              <w:rPr>
                <w:noProof/>
                <w:webHidden/>
              </w:rPr>
              <w:fldChar w:fldCharType="end"/>
            </w:r>
          </w:hyperlink>
        </w:p>
        <w:p w14:paraId="3BE6B678" w14:textId="176949E9"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790" w:history="1">
            <w:r w:rsidRPr="00B13853">
              <w:rPr>
                <w:rStyle w:val="Hyperlink"/>
                <w:rFonts w:ascii="Arial" w:hAnsi="Arial" w:cs="Arial"/>
                <w:noProof/>
              </w:rPr>
              <w:t>2.3.1 Theory Integration (Asia/Pacific)</w:t>
            </w:r>
            <w:r>
              <w:rPr>
                <w:noProof/>
                <w:webHidden/>
              </w:rPr>
              <w:tab/>
            </w:r>
            <w:r>
              <w:rPr>
                <w:noProof/>
                <w:webHidden/>
              </w:rPr>
              <w:fldChar w:fldCharType="begin"/>
            </w:r>
            <w:r>
              <w:rPr>
                <w:noProof/>
                <w:webHidden/>
              </w:rPr>
              <w:instrText xml:space="preserve"> PAGEREF _Toc204707790 \h </w:instrText>
            </w:r>
            <w:r>
              <w:rPr>
                <w:noProof/>
                <w:webHidden/>
              </w:rPr>
            </w:r>
            <w:r>
              <w:rPr>
                <w:noProof/>
                <w:webHidden/>
              </w:rPr>
              <w:fldChar w:fldCharType="separate"/>
            </w:r>
            <w:r>
              <w:rPr>
                <w:noProof/>
                <w:webHidden/>
              </w:rPr>
              <w:t>16</w:t>
            </w:r>
            <w:r>
              <w:rPr>
                <w:noProof/>
                <w:webHidden/>
              </w:rPr>
              <w:fldChar w:fldCharType="end"/>
            </w:r>
          </w:hyperlink>
        </w:p>
        <w:p w14:paraId="1CF2E74C" w14:textId="20F0E778" w:rsidR="00E16F04" w:rsidRDefault="00E16F04">
          <w:pPr>
            <w:pStyle w:val="TOC1"/>
            <w:rPr>
              <w:rFonts w:eastAsiaTheme="minorEastAsia"/>
              <w:noProof/>
              <w:kern w:val="2"/>
              <w:sz w:val="24"/>
              <w:szCs w:val="24"/>
              <w:lang w:eastAsia="en-GB"/>
              <w14:ligatures w14:val="standardContextual"/>
            </w:rPr>
          </w:pPr>
          <w:hyperlink w:anchor="_Toc204707791" w:history="1">
            <w:r w:rsidRPr="00B13853">
              <w:rPr>
                <w:rStyle w:val="Hyperlink"/>
                <w:rFonts w:ascii="Arial" w:hAnsi="Arial" w:cs="Arial"/>
                <w:noProof/>
              </w:rPr>
              <w:t>2.4. Literature Gap and Theoretical Rationale</w:t>
            </w:r>
            <w:r>
              <w:rPr>
                <w:noProof/>
                <w:webHidden/>
              </w:rPr>
              <w:tab/>
            </w:r>
            <w:r>
              <w:rPr>
                <w:noProof/>
                <w:webHidden/>
              </w:rPr>
              <w:fldChar w:fldCharType="begin"/>
            </w:r>
            <w:r>
              <w:rPr>
                <w:noProof/>
                <w:webHidden/>
              </w:rPr>
              <w:instrText xml:space="preserve"> PAGEREF _Toc204707791 \h </w:instrText>
            </w:r>
            <w:r>
              <w:rPr>
                <w:noProof/>
                <w:webHidden/>
              </w:rPr>
            </w:r>
            <w:r>
              <w:rPr>
                <w:noProof/>
                <w:webHidden/>
              </w:rPr>
              <w:fldChar w:fldCharType="separate"/>
            </w:r>
            <w:r>
              <w:rPr>
                <w:noProof/>
                <w:webHidden/>
              </w:rPr>
              <w:t>17</w:t>
            </w:r>
            <w:r>
              <w:rPr>
                <w:noProof/>
                <w:webHidden/>
              </w:rPr>
              <w:fldChar w:fldCharType="end"/>
            </w:r>
          </w:hyperlink>
        </w:p>
        <w:p w14:paraId="2DA00FF3" w14:textId="176BCD59" w:rsidR="00E16F04" w:rsidRDefault="00E16F04">
          <w:pPr>
            <w:pStyle w:val="TOC1"/>
            <w:rPr>
              <w:rFonts w:eastAsiaTheme="minorEastAsia"/>
              <w:noProof/>
              <w:kern w:val="2"/>
              <w:sz w:val="24"/>
              <w:szCs w:val="24"/>
              <w:lang w:eastAsia="en-GB"/>
              <w14:ligatures w14:val="standardContextual"/>
            </w:rPr>
          </w:pPr>
          <w:hyperlink w:anchor="_Toc204707792" w:history="1">
            <w:r w:rsidRPr="00B13853">
              <w:rPr>
                <w:rStyle w:val="Hyperlink"/>
                <w:rFonts w:ascii="Arial" w:hAnsi="Arial" w:cs="Arial"/>
                <w:noProof/>
              </w:rPr>
              <w:t>3.0 Methodology</w:t>
            </w:r>
            <w:r>
              <w:rPr>
                <w:noProof/>
                <w:webHidden/>
              </w:rPr>
              <w:tab/>
            </w:r>
            <w:r>
              <w:rPr>
                <w:noProof/>
                <w:webHidden/>
              </w:rPr>
              <w:fldChar w:fldCharType="begin"/>
            </w:r>
            <w:r>
              <w:rPr>
                <w:noProof/>
                <w:webHidden/>
              </w:rPr>
              <w:instrText xml:space="preserve"> PAGEREF _Toc204707792 \h </w:instrText>
            </w:r>
            <w:r>
              <w:rPr>
                <w:noProof/>
                <w:webHidden/>
              </w:rPr>
            </w:r>
            <w:r>
              <w:rPr>
                <w:noProof/>
                <w:webHidden/>
              </w:rPr>
              <w:fldChar w:fldCharType="separate"/>
            </w:r>
            <w:r>
              <w:rPr>
                <w:noProof/>
                <w:webHidden/>
              </w:rPr>
              <w:t>18</w:t>
            </w:r>
            <w:r>
              <w:rPr>
                <w:noProof/>
                <w:webHidden/>
              </w:rPr>
              <w:fldChar w:fldCharType="end"/>
            </w:r>
          </w:hyperlink>
        </w:p>
        <w:p w14:paraId="70909FBC" w14:textId="3E334E07"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793" w:history="1">
            <w:r w:rsidRPr="00B13853">
              <w:rPr>
                <w:rStyle w:val="Hyperlink"/>
                <w:rFonts w:ascii="Arial" w:hAnsi="Arial" w:cs="Arial"/>
                <w:noProof/>
              </w:rPr>
              <w:t>3.1. Sources and Sampling of Data</w:t>
            </w:r>
            <w:r>
              <w:rPr>
                <w:noProof/>
                <w:webHidden/>
              </w:rPr>
              <w:tab/>
            </w:r>
            <w:r>
              <w:rPr>
                <w:noProof/>
                <w:webHidden/>
              </w:rPr>
              <w:fldChar w:fldCharType="begin"/>
            </w:r>
            <w:r>
              <w:rPr>
                <w:noProof/>
                <w:webHidden/>
              </w:rPr>
              <w:instrText xml:space="preserve"> PAGEREF _Toc204707793 \h </w:instrText>
            </w:r>
            <w:r>
              <w:rPr>
                <w:noProof/>
                <w:webHidden/>
              </w:rPr>
            </w:r>
            <w:r>
              <w:rPr>
                <w:noProof/>
                <w:webHidden/>
              </w:rPr>
              <w:fldChar w:fldCharType="separate"/>
            </w:r>
            <w:r>
              <w:rPr>
                <w:noProof/>
                <w:webHidden/>
              </w:rPr>
              <w:t>18</w:t>
            </w:r>
            <w:r>
              <w:rPr>
                <w:noProof/>
                <w:webHidden/>
              </w:rPr>
              <w:fldChar w:fldCharType="end"/>
            </w:r>
          </w:hyperlink>
        </w:p>
        <w:p w14:paraId="774CF3EB" w14:textId="6602661A"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794" w:history="1">
            <w:r w:rsidRPr="00B13853">
              <w:rPr>
                <w:rStyle w:val="Hyperlink"/>
                <w:rFonts w:ascii="Arial" w:eastAsia="Times New Roman" w:hAnsi="Arial" w:cs="Arial"/>
                <w:noProof/>
              </w:rPr>
              <w:t>3.2. Data Extraction and Preparation</w:t>
            </w:r>
            <w:r>
              <w:rPr>
                <w:noProof/>
                <w:webHidden/>
              </w:rPr>
              <w:tab/>
            </w:r>
            <w:r>
              <w:rPr>
                <w:noProof/>
                <w:webHidden/>
              </w:rPr>
              <w:fldChar w:fldCharType="begin"/>
            </w:r>
            <w:r>
              <w:rPr>
                <w:noProof/>
                <w:webHidden/>
              </w:rPr>
              <w:instrText xml:space="preserve"> PAGEREF _Toc204707794 \h </w:instrText>
            </w:r>
            <w:r>
              <w:rPr>
                <w:noProof/>
                <w:webHidden/>
              </w:rPr>
            </w:r>
            <w:r>
              <w:rPr>
                <w:noProof/>
                <w:webHidden/>
              </w:rPr>
              <w:fldChar w:fldCharType="separate"/>
            </w:r>
            <w:r>
              <w:rPr>
                <w:noProof/>
                <w:webHidden/>
              </w:rPr>
              <w:t>18</w:t>
            </w:r>
            <w:r>
              <w:rPr>
                <w:noProof/>
                <w:webHidden/>
              </w:rPr>
              <w:fldChar w:fldCharType="end"/>
            </w:r>
          </w:hyperlink>
        </w:p>
        <w:p w14:paraId="5E366B8A" w14:textId="673DD295" w:rsidR="00E16F04" w:rsidRDefault="00E16F04">
          <w:pPr>
            <w:pStyle w:val="TOC1"/>
            <w:rPr>
              <w:rFonts w:eastAsiaTheme="minorEastAsia"/>
              <w:noProof/>
              <w:kern w:val="2"/>
              <w:sz w:val="24"/>
              <w:szCs w:val="24"/>
              <w:lang w:eastAsia="en-GB"/>
              <w14:ligatures w14:val="standardContextual"/>
            </w:rPr>
          </w:pPr>
          <w:hyperlink w:anchor="_Toc204707795" w:history="1">
            <w:r w:rsidRPr="00B13853">
              <w:rPr>
                <w:rStyle w:val="Hyperlink"/>
                <w:rFonts w:ascii="Arial" w:hAnsi="Arial" w:cs="Arial"/>
                <w:noProof/>
              </w:rPr>
              <w:t>3.3 Data Analysis</w:t>
            </w:r>
            <w:r>
              <w:rPr>
                <w:noProof/>
                <w:webHidden/>
              </w:rPr>
              <w:tab/>
            </w:r>
            <w:r>
              <w:rPr>
                <w:noProof/>
                <w:webHidden/>
              </w:rPr>
              <w:fldChar w:fldCharType="begin"/>
            </w:r>
            <w:r>
              <w:rPr>
                <w:noProof/>
                <w:webHidden/>
              </w:rPr>
              <w:instrText xml:space="preserve"> PAGEREF _Toc204707795 \h </w:instrText>
            </w:r>
            <w:r>
              <w:rPr>
                <w:noProof/>
                <w:webHidden/>
              </w:rPr>
            </w:r>
            <w:r>
              <w:rPr>
                <w:noProof/>
                <w:webHidden/>
              </w:rPr>
              <w:fldChar w:fldCharType="separate"/>
            </w:r>
            <w:r>
              <w:rPr>
                <w:noProof/>
                <w:webHidden/>
              </w:rPr>
              <w:t>19</w:t>
            </w:r>
            <w:r>
              <w:rPr>
                <w:noProof/>
                <w:webHidden/>
              </w:rPr>
              <w:fldChar w:fldCharType="end"/>
            </w:r>
          </w:hyperlink>
        </w:p>
        <w:p w14:paraId="68C87FFF" w14:textId="12B6A5B3"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796" w:history="1">
            <w:r w:rsidRPr="00B13853">
              <w:rPr>
                <w:rStyle w:val="Hyperlink"/>
                <w:rFonts w:ascii="Arial" w:hAnsi="Arial" w:cs="Arial"/>
                <w:noProof/>
              </w:rPr>
              <w:t>3.3.1 Descriptive Analysis</w:t>
            </w:r>
            <w:r>
              <w:rPr>
                <w:noProof/>
                <w:webHidden/>
              </w:rPr>
              <w:tab/>
            </w:r>
            <w:r>
              <w:rPr>
                <w:noProof/>
                <w:webHidden/>
              </w:rPr>
              <w:fldChar w:fldCharType="begin"/>
            </w:r>
            <w:r>
              <w:rPr>
                <w:noProof/>
                <w:webHidden/>
              </w:rPr>
              <w:instrText xml:space="preserve"> PAGEREF _Toc204707796 \h </w:instrText>
            </w:r>
            <w:r>
              <w:rPr>
                <w:noProof/>
                <w:webHidden/>
              </w:rPr>
            </w:r>
            <w:r>
              <w:rPr>
                <w:noProof/>
                <w:webHidden/>
              </w:rPr>
              <w:fldChar w:fldCharType="separate"/>
            </w:r>
            <w:r>
              <w:rPr>
                <w:noProof/>
                <w:webHidden/>
              </w:rPr>
              <w:t>19</w:t>
            </w:r>
            <w:r>
              <w:rPr>
                <w:noProof/>
                <w:webHidden/>
              </w:rPr>
              <w:fldChar w:fldCharType="end"/>
            </w:r>
          </w:hyperlink>
        </w:p>
        <w:p w14:paraId="6EE344EE" w14:textId="797EAE35"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797" w:history="1">
            <w:r w:rsidRPr="00B13853">
              <w:rPr>
                <w:rStyle w:val="Hyperlink"/>
                <w:rFonts w:ascii="Arial" w:eastAsia="Times New Roman" w:hAnsi="Arial" w:cs="Arial"/>
                <w:noProof/>
                <w:lang w:val="en-US"/>
              </w:rPr>
              <w:t>3.3.2 Predictive Analysis</w:t>
            </w:r>
            <w:r>
              <w:rPr>
                <w:noProof/>
                <w:webHidden/>
              </w:rPr>
              <w:tab/>
            </w:r>
            <w:r>
              <w:rPr>
                <w:noProof/>
                <w:webHidden/>
              </w:rPr>
              <w:fldChar w:fldCharType="begin"/>
            </w:r>
            <w:r>
              <w:rPr>
                <w:noProof/>
                <w:webHidden/>
              </w:rPr>
              <w:instrText xml:space="preserve"> PAGEREF _Toc204707797 \h </w:instrText>
            </w:r>
            <w:r>
              <w:rPr>
                <w:noProof/>
                <w:webHidden/>
              </w:rPr>
            </w:r>
            <w:r>
              <w:rPr>
                <w:noProof/>
                <w:webHidden/>
              </w:rPr>
              <w:fldChar w:fldCharType="separate"/>
            </w:r>
            <w:r>
              <w:rPr>
                <w:noProof/>
                <w:webHidden/>
              </w:rPr>
              <w:t>19</w:t>
            </w:r>
            <w:r>
              <w:rPr>
                <w:noProof/>
                <w:webHidden/>
              </w:rPr>
              <w:fldChar w:fldCharType="end"/>
            </w:r>
          </w:hyperlink>
        </w:p>
        <w:p w14:paraId="1FD862DD" w14:textId="47A3A553" w:rsidR="00E16F04" w:rsidRDefault="00E16F04">
          <w:pPr>
            <w:pStyle w:val="TOC1"/>
            <w:rPr>
              <w:rFonts w:eastAsiaTheme="minorEastAsia"/>
              <w:noProof/>
              <w:kern w:val="2"/>
              <w:sz w:val="24"/>
              <w:szCs w:val="24"/>
              <w:lang w:eastAsia="en-GB"/>
              <w14:ligatures w14:val="standardContextual"/>
            </w:rPr>
          </w:pPr>
          <w:hyperlink w:anchor="_Toc204707798" w:history="1">
            <w:r w:rsidRPr="00B13853">
              <w:rPr>
                <w:rStyle w:val="Hyperlink"/>
                <w:rFonts w:ascii="Arial" w:hAnsi="Arial" w:cs="Arial"/>
                <w:noProof/>
              </w:rPr>
              <w:t>3.4. Conceptual Framework</w:t>
            </w:r>
            <w:r>
              <w:rPr>
                <w:noProof/>
                <w:webHidden/>
              </w:rPr>
              <w:tab/>
            </w:r>
            <w:r>
              <w:rPr>
                <w:noProof/>
                <w:webHidden/>
              </w:rPr>
              <w:fldChar w:fldCharType="begin"/>
            </w:r>
            <w:r>
              <w:rPr>
                <w:noProof/>
                <w:webHidden/>
              </w:rPr>
              <w:instrText xml:space="preserve"> PAGEREF _Toc204707798 \h </w:instrText>
            </w:r>
            <w:r>
              <w:rPr>
                <w:noProof/>
                <w:webHidden/>
              </w:rPr>
            </w:r>
            <w:r>
              <w:rPr>
                <w:noProof/>
                <w:webHidden/>
              </w:rPr>
              <w:fldChar w:fldCharType="separate"/>
            </w:r>
            <w:r>
              <w:rPr>
                <w:noProof/>
                <w:webHidden/>
              </w:rPr>
              <w:t>20</w:t>
            </w:r>
            <w:r>
              <w:rPr>
                <w:noProof/>
                <w:webHidden/>
              </w:rPr>
              <w:fldChar w:fldCharType="end"/>
            </w:r>
          </w:hyperlink>
        </w:p>
        <w:p w14:paraId="4B556A43" w14:textId="5E6F207D" w:rsidR="00E16F04" w:rsidRDefault="00E16F04">
          <w:pPr>
            <w:pStyle w:val="TOC1"/>
            <w:rPr>
              <w:rFonts w:eastAsiaTheme="minorEastAsia"/>
              <w:noProof/>
              <w:kern w:val="2"/>
              <w:sz w:val="24"/>
              <w:szCs w:val="24"/>
              <w:lang w:eastAsia="en-GB"/>
              <w14:ligatures w14:val="standardContextual"/>
            </w:rPr>
          </w:pPr>
          <w:hyperlink w:anchor="_Toc204707799" w:history="1">
            <w:r w:rsidRPr="00B13853">
              <w:rPr>
                <w:rStyle w:val="Hyperlink"/>
                <w:rFonts w:ascii="Arial" w:eastAsia="Times New Roman" w:hAnsi="Arial" w:cs="Arial"/>
                <w:noProof/>
                <w:lang w:val="en-US"/>
              </w:rPr>
              <w:t>3.5. Limitations</w:t>
            </w:r>
            <w:r>
              <w:rPr>
                <w:noProof/>
                <w:webHidden/>
              </w:rPr>
              <w:tab/>
            </w:r>
            <w:r>
              <w:rPr>
                <w:noProof/>
                <w:webHidden/>
              </w:rPr>
              <w:fldChar w:fldCharType="begin"/>
            </w:r>
            <w:r>
              <w:rPr>
                <w:noProof/>
                <w:webHidden/>
              </w:rPr>
              <w:instrText xml:space="preserve"> PAGEREF _Toc204707799 \h </w:instrText>
            </w:r>
            <w:r>
              <w:rPr>
                <w:noProof/>
                <w:webHidden/>
              </w:rPr>
            </w:r>
            <w:r>
              <w:rPr>
                <w:noProof/>
                <w:webHidden/>
              </w:rPr>
              <w:fldChar w:fldCharType="separate"/>
            </w:r>
            <w:r>
              <w:rPr>
                <w:noProof/>
                <w:webHidden/>
              </w:rPr>
              <w:t>22</w:t>
            </w:r>
            <w:r>
              <w:rPr>
                <w:noProof/>
                <w:webHidden/>
              </w:rPr>
              <w:fldChar w:fldCharType="end"/>
            </w:r>
          </w:hyperlink>
        </w:p>
        <w:p w14:paraId="26DA6C1A" w14:textId="37E94EC4" w:rsidR="00E16F04" w:rsidRDefault="00E16F04">
          <w:pPr>
            <w:pStyle w:val="TOC1"/>
            <w:rPr>
              <w:rFonts w:eastAsiaTheme="minorEastAsia"/>
              <w:noProof/>
              <w:kern w:val="2"/>
              <w:sz w:val="24"/>
              <w:szCs w:val="24"/>
              <w:lang w:eastAsia="en-GB"/>
              <w14:ligatures w14:val="standardContextual"/>
            </w:rPr>
          </w:pPr>
          <w:hyperlink w:anchor="_Toc204707800" w:history="1">
            <w:r w:rsidRPr="00B13853">
              <w:rPr>
                <w:rStyle w:val="Hyperlink"/>
                <w:rFonts w:ascii="Arial" w:hAnsi="Arial" w:cs="Arial"/>
                <w:noProof/>
              </w:rPr>
              <w:t>4.0. Findings</w:t>
            </w:r>
            <w:r>
              <w:rPr>
                <w:noProof/>
                <w:webHidden/>
              </w:rPr>
              <w:tab/>
            </w:r>
            <w:r>
              <w:rPr>
                <w:noProof/>
                <w:webHidden/>
              </w:rPr>
              <w:fldChar w:fldCharType="begin"/>
            </w:r>
            <w:r>
              <w:rPr>
                <w:noProof/>
                <w:webHidden/>
              </w:rPr>
              <w:instrText xml:space="preserve"> PAGEREF _Toc204707800 \h </w:instrText>
            </w:r>
            <w:r>
              <w:rPr>
                <w:noProof/>
                <w:webHidden/>
              </w:rPr>
            </w:r>
            <w:r>
              <w:rPr>
                <w:noProof/>
                <w:webHidden/>
              </w:rPr>
              <w:fldChar w:fldCharType="separate"/>
            </w:r>
            <w:r>
              <w:rPr>
                <w:noProof/>
                <w:webHidden/>
              </w:rPr>
              <w:t>23</w:t>
            </w:r>
            <w:r>
              <w:rPr>
                <w:noProof/>
                <w:webHidden/>
              </w:rPr>
              <w:fldChar w:fldCharType="end"/>
            </w:r>
          </w:hyperlink>
        </w:p>
        <w:p w14:paraId="2471DA2B" w14:textId="1158106F"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801" w:history="1">
            <w:r w:rsidRPr="00B13853">
              <w:rPr>
                <w:rStyle w:val="Hyperlink"/>
                <w:rFonts w:ascii="Arial" w:hAnsi="Arial" w:cs="Arial"/>
                <w:noProof/>
              </w:rPr>
              <w:t>4.1. Sample and Metrics Overview</w:t>
            </w:r>
            <w:r>
              <w:rPr>
                <w:noProof/>
                <w:webHidden/>
              </w:rPr>
              <w:tab/>
            </w:r>
            <w:r>
              <w:rPr>
                <w:noProof/>
                <w:webHidden/>
              </w:rPr>
              <w:fldChar w:fldCharType="begin"/>
            </w:r>
            <w:r>
              <w:rPr>
                <w:noProof/>
                <w:webHidden/>
              </w:rPr>
              <w:instrText xml:space="preserve"> PAGEREF _Toc204707801 \h </w:instrText>
            </w:r>
            <w:r>
              <w:rPr>
                <w:noProof/>
                <w:webHidden/>
              </w:rPr>
            </w:r>
            <w:r>
              <w:rPr>
                <w:noProof/>
                <w:webHidden/>
              </w:rPr>
              <w:fldChar w:fldCharType="separate"/>
            </w:r>
            <w:r>
              <w:rPr>
                <w:noProof/>
                <w:webHidden/>
              </w:rPr>
              <w:t>23</w:t>
            </w:r>
            <w:r>
              <w:rPr>
                <w:noProof/>
                <w:webHidden/>
              </w:rPr>
              <w:fldChar w:fldCharType="end"/>
            </w:r>
          </w:hyperlink>
        </w:p>
        <w:p w14:paraId="3ECB6A5B" w14:textId="6371239B"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802" w:history="1">
            <w:r w:rsidRPr="00B13853">
              <w:rPr>
                <w:rStyle w:val="Hyperlink"/>
                <w:rFonts w:ascii="Arial" w:hAnsi="Arial" w:cs="Arial"/>
                <w:noProof/>
              </w:rPr>
              <w:t>4.2. General Pre-AI and Post-AI Changes</w:t>
            </w:r>
            <w:r>
              <w:rPr>
                <w:noProof/>
                <w:webHidden/>
              </w:rPr>
              <w:tab/>
            </w:r>
            <w:r>
              <w:rPr>
                <w:noProof/>
                <w:webHidden/>
              </w:rPr>
              <w:fldChar w:fldCharType="begin"/>
            </w:r>
            <w:r>
              <w:rPr>
                <w:noProof/>
                <w:webHidden/>
              </w:rPr>
              <w:instrText xml:space="preserve"> PAGEREF _Toc204707802 \h </w:instrText>
            </w:r>
            <w:r>
              <w:rPr>
                <w:noProof/>
                <w:webHidden/>
              </w:rPr>
            </w:r>
            <w:r>
              <w:rPr>
                <w:noProof/>
                <w:webHidden/>
              </w:rPr>
              <w:fldChar w:fldCharType="separate"/>
            </w:r>
            <w:r>
              <w:rPr>
                <w:noProof/>
                <w:webHidden/>
              </w:rPr>
              <w:t>24</w:t>
            </w:r>
            <w:r>
              <w:rPr>
                <w:noProof/>
                <w:webHidden/>
              </w:rPr>
              <w:fldChar w:fldCharType="end"/>
            </w:r>
          </w:hyperlink>
        </w:p>
        <w:p w14:paraId="1CBBEA85" w14:textId="0C552583" w:rsidR="00E16F04" w:rsidRDefault="00E16F04">
          <w:pPr>
            <w:pStyle w:val="TOC1"/>
            <w:rPr>
              <w:rFonts w:eastAsiaTheme="minorEastAsia"/>
              <w:noProof/>
              <w:kern w:val="2"/>
              <w:sz w:val="24"/>
              <w:szCs w:val="24"/>
              <w:lang w:eastAsia="en-GB"/>
              <w14:ligatures w14:val="standardContextual"/>
            </w:rPr>
          </w:pPr>
          <w:hyperlink w:anchor="_Toc204707803" w:history="1">
            <w:r w:rsidRPr="00B13853">
              <w:rPr>
                <w:rStyle w:val="Hyperlink"/>
                <w:rFonts w:ascii="Arial" w:hAnsi="Arial" w:cs="Arial"/>
                <w:noProof/>
              </w:rPr>
              <w:t>4.2.1 Predictive Techniques</w:t>
            </w:r>
            <w:r>
              <w:rPr>
                <w:noProof/>
                <w:webHidden/>
              </w:rPr>
              <w:tab/>
            </w:r>
            <w:r>
              <w:rPr>
                <w:noProof/>
                <w:webHidden/>
              </w:rPr>
              <w:fldChar w:fldCharType="begin"/>
            </w:r>
            <w:r>
              <w:rPr>
                <w:noProof/>
                <w:webHidden/>
              </w:rPr>
              <w:instrText xml:space="preserve"> PAGEREF _Toc204707803 \h </w:instrText>
            </w:r>
            <w:r>
              <w:rPr>
                <w:noProof/>
                <w:webHidden/>
              </w:rPr>
            </w:r>
            <w:r>
              <w:rPr>
                <w:noProof/>
                <w:webHidden/>
              </w:rPr>
              <w:fldChar w:fldCharType="separate"/>
            </w:r>
            <w:r>
              <w:rPr>
                <w:noProof/>
                <w:webHidden/>
              </w:rPr>
              <w:t>25</w:t>
            </w:r>
            <w:r>
              <w:rPr>
                <w:noProof/>
                <w:webHidden/>
              </w:rPr>
              <w:fldChar w:fldCharType="end"/>
            </w:r>
          </w:hyperlink>
        </w:p>
        <w:p w14:paraId="7020B267" w14:textId="682A10C3"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804" w:history="1">
            <w:r w:rsidRPr="00B13853">
              <w:rPr>
                <w:rStyle w:val="Hyperlink"/>
                <w:rFonts w:ascii="Arial" w:hAnsi="Arial" w:cs="Arial"/>
                <w:noProof/>
              </w:rPr>
              <w:t>4.2.1.1 Predictive Modelling</w:t>
            </w:r>
            <w:r>
              <w:rPr>
                <w:noProof/>
                <w:webHidden/>
              </w:rPr>
              <w:tab/>
            </w:r>
            <w:r>
              <w:rPr>
                <w:noProof/>
                <w:webHidden/>
              </w:rPr>
              <w:fldChar w:fldCharType="begin"/>
            </w:r>
            <w:r>
              <w:rPr>
                <w:noProof/>
                <w:webHidden/>
              </w:rPr>
              <w:instrText xml:space="preserve"> PAGEREF _Toc204707804 \h </w:instrText>
            </w:r>
            <w:r>
              <w:rPr>
                <w:noProof/>
                <w:webHidden/>
              </w:rPr>
            </w:r>
            <w:r>
              <w:rPr>
                <w:noProof/>
                <w:webHidden/>
              </w:rPr>
              <w:fldChar w:fldCharType="separate"/>
            </w:r>
            <w:r>
              <w:rPr>
                <w:noProof/>
                <w:webHidden/>
              </w:rPr>
              <w:t>25</w:t>
            </w:r>
            <w:r>
              <w:rPr>
                <w:noProof/>
                <w:webHidden/>
              </w:rPr>
              <w:fldChar w:fldCharType="end"/>
            </w:r>
          </w:hyperlink>
        </w:p>
        <w:p w14:paraId="3168FB33" w14:textId="7F597A39"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805" w:history="1">
            <w:r w:rsidRPr="00B13853">
              <w:rPr>
                <w:rStyle w:val="Hyperlink"/>
                <w:rFonts w:ascii="Arial" w:hAnsi="Arial" w:cs="Arial"/>
                <w:noProof/>
              </w:rPr>
              <w:t>4.2.1.2 Strengths of Analytics</w:t>
            </w:r>
            <w:r>
              <w:rPr>
                <w:noProof/>
                <w:webHidden/>
              </w:rPr>
              <w:tab/>
            </w:r>
            <w:r>
              <w:rPr>
                <w:noProof/>
                <w:webHidden/>
              </w:rPr>
              <w:fldChar w:fldCharType="begin"/>
            </w:r>
            <w:r>
              <w:rPr>
                <w:noProof/>
                <w:webHidden/>
              </w:rPr>
              <w:instrText xml:space="preserve"> PAGEREF _Toc204707805 \h </w:instrText>
            </w:r>
            <w:r>
              <w:rPr>
                <w:noProof/>
                <w:webHidden/>
              </w:rPr>
            </w:r>
            <w:r>
              <w:rPr>
                <w:noProof/>
                <w:webHidden/>
              </w:rPr>
              <w:fldChar w:fldCharType="separate"/>
            </w:r>
            <w:r>
              <w:rPr>
                <w:noProof/>
                <w:webHidden/>
              </w:rPr>
              <w:t>25</w:t>
            </w:r>
            <w:r>
              <w:rPr>
                <w:noProof/>
                <w:webHidden/>
              </w:rPr>
              <w:fldChar w:fldCharType="end"/>
            </w:r>
          </w:hyperlink>
        </w:p>
        <w:p w14:paraId="2379AF04" w14:textId="3783E060" w:rsidR="00E16F04" w:rsidRDefault="00E16F04">
          <w:pPr>
            <w:pStyle w:val="TOC1"/>
            <w:rPr>
              <w:rFonts w:eastAsiaTheme="minorEastAsia"/>
              <w:noProof/>
              <w:kern w:val="2"/>
              <w:sz w:val="24"/>
              <w:szCs w:val="24"/>
              <w:lang w:eastAsia="en-GB"/>
              <w14:ligatures w14:val="standardContextual"/>
            </w:rPr>
          </w:pPr>
          <w:hyperlink w:anchor="_Toc204707806" w:history="1">
            <w:r w:rsidRPr="00B13853">
              <w:rPr>
                <w:rStyle w:val="Hyperlink"/>
                <w:rFonts w:ascii="Arial" w:hAnsi="Arial" w:cs="Arial"/>
                <w:noProof/>
              </w:rPr>
              <w:t>4.2.2 Narrative Discussion of Analytical Strengths and Limitations</w:t>
            </w:r>
            <w:r>
              <w:rPr>
                <w:noProof/>
                <w:webHidden/>
              </w:rPr>
              <w:tab/>
            </w:r>
            <w:r>
              <w:rPr>
                <w:noProof/>
                <w:webHidden/>
              </w:rPr>
              <w:fldChar w:fldCharType="begin"/>
            </w:r>
            <w:r>
              <w:rPr>
                <w:noProof/>
                <w:webHidden/>
              </w:rPr>
              <w:instrText xml:space="preserve"> PAGEREF _Toc204707806 \h </w:instrText>
            </w:r>
            <w:r>
              <w:rPr>
                <w:noProof/>
                <w:webHidden/>
              </w:rPr>
            </w:r>
            <w:r>
              <w:rPr>
                <w:noProof/>
                <w:webHidden/>
              </w:rPr>
              <w:fldChar w:fldCharType="separate"/>
            </w:r>
            <w:r>
              <w:rPr>
                <w:noProof/>
                <w:webHidden/>
              </w:rPr>
              <w:t>26</w:t>
            </w:r>
            <w:r>
              <w:rPr>
                <w:noProof/>
                <w:webHidden/>
              </w:rPr>
              <w:fldChar w:fldCharType="end"/>
            </w:r>
          </w:hyperlink>
        </w:p>
        <w:p w14:paraId="0E3BFDFA" w14:textId="0F0E6A9E" w:rsidR="00E16F04" w:rsidRDefault="00E16F04">
          <w:pPr>
            <w:pStyle w:val="TOC1"/>
            <w:rPr>
              <w:rFonts w:eastAsiaTheme="minorEastAsia"/>
              <w:noProof/>
              <w:kern w:val="2"/>
              <w:sz w:val="24"/>
              <w:szCs w:val="24"/>
              <w:lang w:eastAsia="en-GB"/>
              <w14:ligatures w14:val="standardContextual"/>
            </w:rPr>
          </w:pPr>
          <w:hyperlink w:anchor="_Toc204707807" w:history="1">
            <w:r w:rsidRPr="00B13853">
              <w:rPr>
                <w:rStyle w:val="Hyperlink"/>
                <w:rFonts w:ascii="Arial" w:hAnsi="Arial" w:cs="Arial"/>
                <w:noProof/>
              </w:rPr>
              <w:t>4.3. Regional Breakdown</w:t>
            </w:r>
            <w:r>
              <w:rPr>
                <w:noProof/>
                <w:webHidden/>
              </w:rPr>
              <w:tab/>
            </w:r>
            <w:r>
              <w:rPr>
                <w:noProof/>
                <w:webHidden/>
              </w:rPr>
              <w:fldChar w:fldCharType="begin"/>
            </w:r>
            <w:r>
              <w:rPr>
                <w:noProof/>
                <w:webHidden/>
              </w:rPr>
              <w:instrText xml:space="preserve"> PAGEREF _Toc204707807 \h </w:instrText>
            </w:r>
            <w:r>
              <w:rPr>
                <w:noProof/>
                <w:webHidden/>
              </w:rPr>
            </w:r>
            <w:r>
              <w:rPr>
                <w:noProof/>
                <w:webHidden/>
              </w:rPr>
              <w:fldChar w:fldCharType="separate"/>
            </w:r>
            <w:r>
              <w:rPr>
                <w:noProof/>
                <w:webHidden/>
              </w:rPr>
              <w:t>27</w:t>
            </w:r>
            <w:r>
              <w:rPr>
                <w:noProof/>
                <w:webHidden/>
              </w:rPr>
              <w:fldChar w:fldCharType="end"/>
            </w:r>
          </w:hyperlink>
        </w:p>
        <w:p w14:paraId="2E8B2B46" w14:textId="69F0A047"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808" w:history="1">
            <w:r w:rsidRPr="00B13853">
              <w:rPr>
                <w:rStyle w:val="Hyperlink"/>
                <w:rFonts w:ascii="Arial" w:hAnsi="Arial" w:cs="Arial"/>
                <w:noProof/>
              </w:rPr>
              <w:t>4.3.1. Regional Breakdown North America</w:t>
            </w:r>
            <w:r>
              <w:rPr>
                <w:noProof/>
                <w:webHidden/>
              </w:rPr>
              <w:tab/>
            </w:r>
            <w:r>
              <w:rPr>
                <w:noProof/>
                <w:webHidden/>
              </w:rPr>
              <w:fldChar w:fldCharType="begin"/>
            </w:r>
            <w:r>
              <w:rPr>
                <w:noProof/>
                <w:webHidden/>
              </w:rPr>
              <w:instrText xml:space="preserve"> PAGEREF _Toc204707808 \h </w:instrText>
            </w:r>
            <w:r>
              <w:rPr>
                <w:noProof/>
                <w:webHidden/>
              </w:rPr>
            </w:r>
            <w:r>
              <w:rPr>
                <w:noProof/>
                <w:webHidden/>
              </w:rPr>
              <w:fldChar w:fldCharType="separate"/>
            </w:r>
            <w:r>
              <w:rPr>
                <w:noProof/>
                <w:webHidden/>
              </w:rPr>
              <w:t>27</w:t>
            </w:r>
            <w:r>
              <w:rPr>
                <w:noProof/>
                <w:webHidden/>
              </w:rPr>
              <w:fldChar w:fldCharType="end"/>
            </w:r>
          </w:hyperlink>
        </w:p>
        <w:p w14:paraId="2C07F2E6" w14:textId="2728D4E8"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809" w:history="1">
            <w:r w:rsidRPr="00B13853">
              <w:rPr>
                <w:rStyle w:val="Hyperlink"/>
                <w:rFonts w:ascii="Arial" w:hAnsi="Arial" w:cs="Arial"/>
                <w:noProof/>
              </w:rPr>
              <w:t>4.3.2. Regional Breakdown South America</w:t>
            </w:r>
            <w:r>
              <w:rPr>
                <w:noProof/>
                <w:webHidden/>
              </w:rPr>
              <w:tab/>
            </w:r>
            <w:r>
              <w:rPr>
                <w:noProof/>
                <w:webHidden/>
              </w:rPr>
              <w:fldChar w:fldCharType="begin"/>
            </w:r>
            <w:r>
              <w:rPr>
                <w:noProof/>
                <w:webHidden/>
              </w:rPr>
              <w:instrText xml:space="preserve"> PAGEREF _Toc204707809 \h </w:instrText>
            </w:r>
            <w:r>
              <w:rPr>
                <w:noProof/>
                <w:webHidden/>
              </w:rPr>
            </w:r>
            <w:r>
              <w:rPr>
                <w:noProof/>
                <w:webHidden/>
              </w:rPr>
              <w:fldChar w:fldCharType="separate"/>
            </w:r>
            <w:r>
              <w:rPr>
                <w:noProof/>
                <w:webHidden/>
              </w:rPr>
              <w:t>29</w:t>
            </w:r>
            <w:r>
              <w:rPr>
                <w:noProof/>
                <w:webHidden/>
              </w:rPr>
              <w:fldChar w:fldCharType="end"/>
            </w:r>
          </w:hyperlink>
        </w:p>
        <w:p w14:paraId="47FE2C8F" w14:textId="1BF9F5B9" w:rsidR="00E16F04" w:rsidRDefault="00E16F04">
          <w:pPr>
            <w:pStyle w:val="TOC1"/>
            <w:rPr>
              <w:rFonts w:eastAsiaTheme="minorEastAsia"/>
              <w:noProof/>
              <w:kern w:val="2"/>
              <w:sz w:val="24"/>
              <w:szCs w:val="24"/>
              <w:lang w:eastAsia="en-GB"/>
              <w14:ligatures w14:val="standardContextual"/>
            </w:rPr>
          </w:pPr>
          <w:hyperlink w:anchor="_Toc204707810" w:history="1">
            <w:r w:rsidRPr="00B13853">
              <w:rPr>
                <w:rStyle w:val="Hyperlink"/>
                <w:rFonts w:ascii="Arial" w:eastAsia="Times New Roman" w:hAnsi="Arial" w:cs="Arial"/>
                <w:noProof/>
                <w:lang w:val="en-US"/>
              </w:rPr>
              <w:t>4.3.4 Robustness</w:t>
            </w:r>
            <w:r w:rsidRPr="00B13853">
              <w:rPr>
                <w:rStyle w:val="Hyperlink"/>
                <w:rFonts w:ascii="Cambria Math" w:eastAsia="Times New Roman" w:hAnsi="Cambria Math" w:cs="Cambria Math"/>
                <w:noProof/>
                <w:lang w:val="en-US"/>
              </w:rPr>
              <w:t>‐</w:t>
            </w:r>
            <w:r w:rsidRPr="00B13853">
              <w:rPr>
                <w:rStyle w:val="Hyperlink"/>
                <w:rFonts w:ascii="Arial" w:eastAsia="Times New Roman" w:hAnsi="Arial" w:cs="Arial"/>
                <w:noProof/>
                <w:lang w:val="en-US"/>
              </w:rPr>
              <w:t>Check Interpretation</w:t>
            </w:r>
            <w:r>
              <w:rPr>
                <w:noProof/>
                <w:webHidden/>
              </w:rPr>
              <w:tab/>
            </w:r>
            <w:r>
              <w:rPr>
                <w:noProof/>
                <w:webHidden/>
              </w:rPr>
              <w:fldChar w:fldCharType="begin"/>
            </w:r>
            <w:r>
              <w:rPr>
                <w:noProof/>
                <w:webHidden/>
              </w:rPr>
              <w:instrText xml:space="preserve"> PAGEREF _Toc204707810 \h </w:instrText>
            </w:r>
            <w:r>
              <w:rPr>
                <w:noProof/>
                <w:webHidden/>
              </w:rPr>
            </w:r>
            <w:r>
              <w:rPr>
                <w:noProof/>
                <w:webHidden/>
              </w:rPr>
              <w:fldChar w:fldCharType="separate"/>
            </w:r>
            <w:r>
              <w:rPr>
                <w:noProof/>
                <w:webHidden/>
              </w:rPr>
              <w:t>32</w:t>
            </w:r>
            <w:r>
              <w:rPr>
                <w:noProof/>
                <w:webHidden/>
              </w:rPr>
              <w:fldChar w:fldCharType="end"/>
            </w:r>
          </w:hyperlink>
        </w:p>
        <w:p w14:paraId="7D003CF7" w14:textId="44CA06B4" w:rsidR="00E16F04" w:rsidRDefault="00E16F04">
          <w:pPr>
            <w:pStyle w:val="TOC1"/>
            <w:rPr>
              <w:rFonts w:eastAsiaTheme="minorEastAsia"/>
              <w:noProof/>
              <w:kern w:val="2"/>
              <w:sz w:val="24"/>
              <w:szCs w:val="24"/>
              <w:lang w:eastAsia="en-GB"/>
              <w14:ligatures w14:val="standardContextual"/>
            </w:rPr>
          </w:pPr>
          <w:hyperlink w:anchor="_Toc204707811" w:history="1">
            <w:r w:rsidRPr="00B13853">
              <w:rPr>
                <w:rStyle w:val="Hyperlink"/>
                <w:rFonts w:ascii="Arial" w:hAnsi="Arial" w:cs="Arial"/>
                <w:noProof/>
              </w:rPr>
              <w:t>5.0. Discussion</w:t>
            </w:r>
            <w:r>
              <w:rPr>
                <w:noProof/>
                <w:webHidden/>
              </w:rPr>
              <w:tab/>
            </w:r>
            <w:r>
              <w:rPr>
                <w:noProof/>
                <w:webHidden/>
              </w:rPr>
              <w:fldChar w:fldCharType="begin"/>
            </w:r>
            <w:r>
              <w:rPr>
                <w:noProof/>
                <w:webHidden/>
              </w:rPr>
              <w:instrText xml:space="preserve"> PAGEREF _Toc204707811 \h </w:instrText>
            </w:r>
            <w:r>
              <w:rPr>
                <w:noProof/>
                <w:webHidden/>
              </w:rPr>
            </w:r>
            <w:r>
              <w:rPr>
                <w:noProof/>
                <w:webHidden/>
              </w:rPr>
              <w:fldChar w:fldCharType="separate"/>
            </w:r>
            <w:r>
              <w:rPr>
                <w:noProof/>
                <w:webHidden/>
              </w:rPr>
              <w:t>33</w:t>
            </w:r>
            <w:r>
              <w:rPr>
                <w:noProof/>
                <w:webHidden/>
              </w:rPr>
              <w:fldChar w:fldCharType="end"/>
            </w:r>
          </w:hyperlink>
        </w:p>
        <w:p w14:paraId="0D2FD9D4" w14:textId="0517242B"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812" w:history="1">
            <w:r w:rsidRPr="00B13853">
              <w:rPr>
                <w:rStyle w:val="Hyperlink"/>
                <w:rFonts w:ascii="Arial" w:hAnsi="Arial" w:cs="Arial"/>
                <w:noProof/>
              </w:rPr>
              <w:t>5.1. Research Question 1: Regional Factors</w:t>
            </w:r>
            <w:r>
              <w:rPr>
                <w:noProof/>
                <w:webHidden/>
              </w:rPr>
              <w:tab/>
            </w:r>
            <w:r>
              <w:rPr>
                <w:noProof/>
                <w:webHidden/>
              </w:rPr>
              <w:fldChar w:fldCharType="begin"/>
            </w:r>
            <w:r>
              <w:rPr>
                <w:noProof/>
                <w:webHidden/>
              </w:rPr>
              <w:instrText xml:space="preserve"> PAGEREF _Toc204707812 \h </w:instrText>
            </w:r>
            <w:r>
              <w:rPr>
                <w:noProof/>
                <w:webHidden/>
              </w:rPr>
            </w:r>
            <w:r>
              <w:rPr>
                <w:noProof/>
                <w:webHidden/>
              </w:rPr>
              <w:fldChar w:fldCharType="separate"/>
            </w:r>
            <w:r>
              <w:rPr>
                <w:noProof/>
                <w:webHidden/>
              </w:rPr>
              <w:t>33</w:t>
            </w:r>
            <w:r>
              <w:rPr>
                <w:noProof/>
                <w:webHidden/>
              </w:rPr>
              <w:fldChar w:fldCharType="end"/>
            </w:r>
          </w:hyperlink>
        </w:p>
        <w:p w14:paraId="7FC4447F" w14:textId="3B6D0CCB"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813" w:history="1">
            <w:r w:rsidRPr="00B13853">
              <w:rPr>
                <w:rStyle w:val="Hyperlink"/>
                <w:rFonts w:ascii="Arial" w:hAnsi="Arial" w:cs="Arial"/>
                <w:noProof/>
              </w:rPr>
              <w:t>5.2. Research Question 2: Organisational Factors</w:t>
            </w:r>
            <w:r>
              <w:rPr>
                <w:noProof/>
                <w:webHidden/>
              </w:rPr>
              <w:tab/>
            </w:r>
            <w:r>
              <w:rPr>
                <w:noProof/>
                <w:webHidden/>
              </w:rPr>
              <w:fldChar w:fldCharType="begin"/>
            </w:r>
            <w:r>
              <w:rPr>
                <w:noProof/>
                <w:webHidden/>
              </w:rPr>
              <w:instrText xml:space="preserve"> PAGEREF _Toc204707813 \h </w:instrText>
            </w:r>
            <w:r>
              <w:rPr>
                <w:noProof/>
                <w:webHidden/>
              </w:rPr>
            </w:r>
            <w:r>
              <w:rPr>
                <w:noProof/>
                <w:webHidden/>
              </w:rPr>
              <w:fldChar w:fldCharType="separate"/>
            </w:r>
            <w:r>
              <w:rPr>
                <w:noProof/>
                <w:webHidden/>
              </w:rPr>
              <w:t>34</w:t>
            </w:r>
            <w:r>
              <w:rPr>
                <w:noProof/>
                <w:webHidden/>
              </w:rPr>
              <w:fldChar w:fldCharType="end"/>
            </w:r>
          </w:hyperlink>
        </w:p>
        <w:p w14:paraId="2784BBF7" w14:textId="060C583A" w:rsidR="00E16F04" w:rsidRDefault="00E16F04">
          <w:pPr>
            <w:pStyle w:val="TOC1"/>
            <w:rPr>
              <w:rFonts w:eastAsiaTheme="minorEastAsia"/>
              <w:noProof/>
              <w:kern w:val="2"/>
              <w:sz w:val="24"/>
              <w:szCs w:val="24"/>
              <w:lang w:eastAsia="en-GB"/>
              <w14:ligatures w14:val="standardContextual"/>
            </w:rPr>
          </w:pPr>
          <w:hyperlink w:anchor="_Toc204707814" w:history="1">
            <w:r w:rsidRPr="00B13853">
              <w:rPr>
                <w:rStyle w:val="Hyperlink"/>
                <w:rFonts w:ascii="Arial" w:hAnsi="Arial" w:cs="Arial"/>
                <w:noProof/>
              </w:rPr>
              <w:t>6.0. Conclusion and Recommendations</w:t>
            </w:r>
            <w:r>
              <w:rPr>
                <w:noProof/>
                <w:webHidden/>
              </w:rPr>
              <w:tab/>
            </w:r>
            <w:r>
              <w:rPr>
                <w:noProof/>
                <w:webHidden/>
              </w:rPr>
              <w:fldChar w:fldCharType="begin"/>
            </w:r>
            <w:r>
              <w:rPr>
                <w:noProof/>
                <w:webHidden/>
              </w:rPr>
              <w:instrText xml:space="preserve"> PAGEREF _Toc204707814 \h </w:instrText>
            </w:r>
            <w:r>
              <w:rPr>
                <w:noProof/>
                <w:webHidden/>
              </w:rPr>
            </w:r>
            <w:r>
              <w:rPr>
                <w:noProof/>
                <w:webHidden/>
              </w:rPr>
              <w:fldChar w:fldCharType="separate"/>
            </w:r>
            <w:r>
              <w:rPr>
                <w:noProof/>
                <w:webHidden/>
              </w:rPr>
              <w:t>36</w:t>
            </w:r>
            <w:r>
              <w:rPr>
                <w:noProof/>
                <w:webHidden/>
              </w:rPr>
              <w:fldChar w:fldCharType="end"/>
            </w:r>
          </w:hyperlink>
        </w:p>
        <w:p w14:paraId="2A2BC7ED" w14:textId="22EC9E18"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815" w:history="1">
            <w:r w:rsidRPr="00B13853">
              <w:rPr>
                <w:rStyle w:val="Hyperlink"/>
                <w:rFonts w:ascii="Arial" w:hAnsi="Arial" w:cs="Arial"/>
                <w:noProof/>
              </w:rPr>
              <w:t>6.1. Conclusion</w:t>
            </w:r>
            <w:r>
              <w:rPr>
                <w:noProof/>
                <w:webHidden/>
              </w:rPr>
              <w:tab/>
            </w:r>
            <w:r>
              <w:rPr>
                <w:noProof/>
                <w:webHidden/>
              </w:rPr>
              <w:fldChar w:fldCharType="begin"/>
            </w:r>
            <w:r>
              <w:rPr>
                <w:noProof/>
                <w:webHidden/>
              </w:rPr>
              <w:instrText xml:space="preserve"> PAGEREF _Toc204707815 \h </w:instrText>
            </w:r>
            <w:r>
              <w:rPr>
                <w:noProof/>
                <w:webHidden/>
              </w:rPr>
            </w:r>
            <w:r>
              <w:rPr>
                <w:noProof/>
                <w:webHidden/>
              </w:rPr>
              <w:fldChar w:fldCharType="separate"/>
            </w:r>
            <w:r>
              <w:rPr>
                <w:noProof/>
                <w:webHidden/>
              </w:rPr>
              <w:t>36</w:t>
            </w:r>
            <w:r>
              <w:rPr>
                <w:noProof/>
                <w:webHidden/>
              </w:rPr>
              <w:fldChar w:fldCharType="end"/>
            </w:r>
          </w:hyperlink>
        </w:p>
        <w:p w14:paraId="6CA196BA" w14:textId="5D33F19D"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816" w:history="1">
            <w:r w:rsidRPr="00B13853">
              <w:rPr>
                <w:rStyle w:val="Hyperlink"/>
                <w:rFonts w:ascii="Arial" w:hAnsi="Arial" w:cs="Arial"/>
                <w:noProof/>
              </w:rPr>
              <w:t>6.2. Recommendations</w:t>
            </w:r>
            <w:r>
              <w:rPr>
                <w:noProof/>
                <w:webHidden/>
              </w:rPr>
              <w:tab/>
            </w:r>
            <w:r>
              <w:rPr>
                <w:noProof/>
                <w:webHidden/>
              </w:rPr>
              <w:fldChar w:fldCharType="begin"/>
            </w:r>
            <w:r>
              <w:rPr>
                <w:noProof/>
                <w:webHidden/>
              </w:rPr>
              <w:instrText xml:space="preserve"> PAGEREF _Toc204707816 \h </w:instrText>
            </w:r>
            <w:r>
              <w:rPr>
                <w:noProof/>
                <w:webHidden/>
              </w:rPr>
            </w:r>
            <w:r>
              <w:rPr>
                <w:noProof/>
                <w:webHidden/>
              </w:rPr>
              <w:fldChar w:fldCharType="separate"/>
            </w:r>
            <w:r>
              <w:rPr>
                <w:noProof/>
                <w:webHidden/>
              </w:rPr>
              <w:t>37</w:t>
            </w:r>
            <w:r>
              <w:rPr>
                <w:noProof/>
                <w:webHidden/>
              </w:rPr>
              <w:fldChar w:fldCharType="end"/>
            </w:r>
          </w:hyperlink>
        </w:p>
        <w:p w14:paraId="0E20504A" w14:textId="36B035A3" w:rsidR="00E16F04" w:rsidRDefault="00E16F04">
          <w:pPr>
            <w:pStyle w:val="TOC1"/>
            <w:rPr>
              <w:rFonts w:eastAsiaTheme="minorEastAsia"/>
              <w:noProof/>
              <w:kern w:val="2"/>
              <w:sz w:val="24"/>
              <w:szCs w:val="24"/>
              <w:lang w:eastAsia="en-GB"/>
              <w14:ligatures w14:val="standardContextual"/>
            </w:rPr>
          </w:pPr>
          <w:hyperlink w:anchor="_Toc204707817" w:history="1">
            <w:r w:rsidRPr="00B13853">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_Toc204707817 \h </w:instrText>
            </w:r>
            <w:r>
              <w:rPr>
                <w:noProof/>
                <w:webHidden/>
              </w:rPr>
            </w:r>
            <w:r>
              <w:rPr>
                <w:noProof/>
                <w:webHidden/>
              </w:rPr>
              <w:fldChar w:fldCharType="separate"/>
            </w:r>
            <w:r>
              <w:rPr>
                <w:noProof/>
                <w:webHidden/>
              </w:rPr>
              <w:t>40</w:t>
            </w:r>
            <w:r>
              <w:rPr>
                <w:noProof/>
                <w:webHidden/>
              </w:rPr>
              <w:fldChar w:fldCharType="end"/>
            </w:r>
          </w:hyperlink>
        </w:p>
        <w:p w14:paraId="08B4DDF5" w14:textId="1319ED33" w:rsidR="00E16F04" w:rsidRDefault="00E16F04">
          <w:pPr>
            <w:pStyle w:val="TOC1"/>
            <w:rPr>
              <w:rFonts w:eastAsiaTheme="minorEastAsia"/>
              <w:noProof/>
              <w:kern w:val="2"/>
              <w:sz w:val="24"/>
              <w:szCs w:val="24"/>
              <w:lang w:eastAsia="en-GB"/>
              <w14:ligatures w14:val="standardContextual"/>
            </w:rPr>
          </w:pPr>
          <w:hyperlink w:anchor="_Toc204707818" w:history="1">
            <w:r w:rsidRPr="00B13853">
              <w:rPr>
                <w:rStyle w:val="Hyperlink"/>
                <w:rFonts w:ascii="Arial" w:hAnsi="Arial" w:cs="Arial"/>
                <w:noProof/>
              </w:rPr>
              <w:t>Literature Review List</w:t>
            </w:r>
            <w:r>
              <w:rPr>
                <w:noProof/>
                <w:webHidden/>
              </w:rPr>
              <w:tab/>
            </w:r>
            <w:r>
              <w:rPr>
                <w:noProof/>
                <w:webHidden/>
              </w:rPr>
              <w:fldChar w:fldCharType="begin"/>
            </w:r>
            <w:r>
              <w:rPr>
                <w:noProof/>
                <w:webHidden/>
              </w:rPr>
              <w:instrText xml:space="preserve"> PAGEREF _Toc204707818 \h </w:instrText>
            </w:r>
            <w:r>
              <w:rPr>
                <w:noProof/>
                <w:webHidden/>
              </w:rPr>
            </w:r>
            <w:r>
              <w:rPr>
                <w:noProof/>
                <w:webHidden/>
              </w:rPr>
              <w:fldChar w:fldCharType="separate"/>
            </w:r>
            <w:r>
              <w:rPr>
                <w:noProof/>
                <w:webHidden/>
              </w:rPr>
              <w:t>45</w:t>
            </w:r>
            <w:r>
              <w:rPr>
                <w:noProof/>
                <w:webHidden/>
              </w:rPr>
              <w:fldChar w:fldCharType="end"/>
            </w:r>
          </w:hyperlink>
        </w:p>
        <w:p w14:paraId="1DB3C6E3" w14:textId="6EF44C97" w:rsidR="00E16F04" w:rsidRDefault="00E16F04">
          <w:pPr>
            <w:pStyle w:val="TOC1"/>
            <w:rPr>
              <w:rFonts w:eastAsiaTheme="minorEastAsia"/>
              <w:noProof/>
              <w:kern w:val="2"/>
              <w:sz w:val="24"/>
              <w:szCs w:val="24"/>
              <w:lang w:eastAsia="en-GB"/>
              <w14:ligatures w14:val="standardContextual"/>
            </w:rPr>
          </w:pPr>
          <w:hyperlink w:anchor="_Toc204707819" w:history="1">
            <w:r w:rsidRPr="00B13853">
              <w:rPr>
                <w:rStyle w:val="Hyperlink"/>
                <w:rFonts w:ascii="Arial" w:hAnsi="Arial" w:cs="Arial"/>
                <w:noProof/>
              </w:rPr>
              <w:t>Appendix</w:t>
            </w:r>
            <w:r>
              <w:rPr>
                <w:noProof/>
                <w:webHidden/>
              </w:rPr>
              <w:tab/>
            </w:r>
            <w:r>
              <w:rPr>
                <w:noProof/>
                <w:webHidden/>
              </w:rPr>
              <w:fldChar w:fldCharType="begin"/>
            </w:r>
            <w:r>
              <w:rPr>
                <w:noProof/>
                <w:webHidden/>
              </w:rPr>
              <w:instrText xml:space="preserve"> PAGEREF _Toc204707819 \h </w:instrText>
            </w:r>
            <w:r>
              <w:rPr>
                <w:noProof/>
                <w:webHidden/>
              </w:rPr>
            </w:r>
            <w:r>
              <w:rPr>
                <w:noProof/>
                <w:webHidden/>
              </w:rPr>
              <w:fldChar w:fldCharType="separate"/>
            </w:r>
            <w:r>
              <w:rPr>
                <w:noProof/>
                <w:webHidden/>
              </w:rPr>
              <w:t>57</w:t>
            </w:r>
            <w:r>
              <w:rPr>
                <w:noProof/>
                <w:webHidden/>
              </w:rPr>
              <w:fldChar w:fldCharType="end"/>
            </w:r>
          </w:hyperlink>
        </w:p>
        <w:p w14:paraId="14E1C5DD" w14:textId="6D036EF1" w:rsidR="00E16F04" w:rsidRDefault="00E16F04">
          <w:pPr>
            <w:pStyle w:val="TOC2"/>
            <w:tabs>
              <w:tab w:val="right" w:leader="dot" w:pos="9010"/>
            </w:tabs>
            <w:rPr>
              <w:rFonts w:eastAsiaTheme="minorEastAsia"/>
              <w:noProof/>
              <w:kern w:val="2"/>
              <w:sz w:val="24"/>
              <w:szCs w:val="24"/>
              <w:lang w:eastAsia="en-GB"/>
              <w14:ligatures w14:val="standardContextual"/>
            </w:rPr>
          </w:pPr>
          <w:hyperlink w:anchor="_Toc204707820" w:history="1">
            <w:r w:rsidRPr="00B13853">
              <w:rPr>
                <w:rStyle w:val="Hyperlink"/>
                <w:rFonts w:ascii="Arial" w:hAnsi="Arial" w:cs="Arial"/>
                <w:noProof/>
              </w:rPr>
              <w:t>Inventory Changes Before and After AI Implementation</w:t>
            </w:r>
            <w:r>
              <w:rPr>
                <w:noProof/>
                <w:webHidden/>
              </w:rPr>
              <w:tab/>
            </w:r>
            <w:r>
              <w:rPr>
                <w:noProof/>
                <w:webHidden/>
              </w:rPr>
              <w:fldChar w:fldCharType="begin"/>
            </w:r>
            <w:r>
              <w:rPr>
                <w:noProof/>
                <w:webHidden/>
              </w:rPr>
              <w:instrText xml:space="preserve"> PAGEREF _Toc204707820 \h </w:instrText>
            </w:r>
            <w:r>
              <w:rPr>
                <w:noProof/>
                <w:webHidden/>
              </w:rPr>
            </w:r>
            <w:r>
              <w:rPr>
                <w:noProof/>
                <w:webHidden/>
              </w:rPr>
              <w:fldChar w:fldCharType="separate"/>
            </w:r>
            <w:r>
              <w:rPr>
                <w:noProof/>
                <w:webHidden/>
              </w:rPr>
              <w:t>57</w:t>
            </w:r>
            <w:r>
              <w:rPr>
                <w:noProof/>
                <w:webHidden/>
              </w:rPr>
              <w:fldChar w:fldCharType="end"/>
            </w:r>
          </w:hyperlink>
        </w:p>
        <w:p w14:paraId="34706921" w14:textId="7417B43F"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821" w:history="1">
            <w:r w:rsidRPr="00B13853">
              <w:rPr>
                <w:rStyle w:val="Hyperlink"/>
                <w:rFonts w:ascii="Arial" w:hAnsi="Arial" w:cs="Arial"/>
                <w:noProof/>
              </w:rPr>
              <w:t>MAPE, Stockout Rate, Inventory Carrying Cost</w:t>
            </w:r>
            <w:r>
              <w:rPr>
                <w:noProof/>
                <w:webHidden/>
              </w:rPr>
              <w:tab/>
            </w:r>
            <w:r>
              <w:rPr>
                <w:noProof/>
                <w:webHidden/>
              </w:rPr>
              <w:fldChar w:fldCharType="begin"/>
            </w:r>
            <w:r>
              <w:rPr>
                <w:noProof/>
                <w:webHidden/>
              </w:rPr>
              <w:instrText xml:space="preserve"> PAGEREF _Toc204707821 \h </w:instrText>
            </w:r>
            <w:r>
              <w:rPr>
                <w:noProof/>
                <w:webHidden/>
              </w:rPr>
            </w:r>
            <w:r>
              <w:rPr>
                <w:noProof/>
                <w:webHidden/>
              </w:rPr>
              <w:fldChar w:fldCharType="separate"/>
            </w:r>
            <w:r>
              <w:rPr>
                <w:noProof/>
                <w:webHidden/>
              </w:rPr>
              <w:t>61</w:t>
            </w:r>
            <w:r>
              <w:rPr>
                <w:noProof/>
                <w:webHidden/>
              </w:rPr>
              <w:fldChar w:fldCharType="end"/>
            </w:r>
          </w:hyperlink>
        </w:p>
        <w:p w14:paraId="577DF985" w14:textId="361C6BF5" w:rsidR="00E16F04" w:rsidRDefault="00E16F04">
          <w:pPr>
            <w:pStyle w:val="TOC3"/>
            <w:tabs>
              <w:tab w:val="right" w:leader="dot" w:pos="9010"/>
            </w:tabs>
            <w:rPr>
              <w:rFonts w:eastAsiaTheme="minorEastAsia"/>
              <w:noProof/>
              <w:kern w:val="2"/>
              <w:sz w:val="24"/>
              <w:szCs w:val="24"/>
              <w:lang w:eastAsia="en-GB"/>
              <w14:ligatures w14:val="standardContextual"/>
            </w:rPr>
          </w:pPr>
          <w:hyperlink w:anchor="_Toc204707822" w:history="1">
            <w:r w:rsidRPr="00B13853">
              <w:rPr>
                <w:rStyle w:val="Hyperlink"/>
                <w:rFonts w:ascii="Arial" w:hAnsi="Arial" w:cs="Arial"/>
                <w:noProof/>
              </w:rPr>
              <w:t>Company MAPE Stockout</w:t>
            </w:r>
            <w:r>
              <w:rPr>
                <w:noProof/>
                <w:webHidden/>
              </w:rPr>
              <w:tab/>
            </w:r>
            <w:r>
              <w:rPr>
                <w:noProof/>
                <w:webHidden/>
              </w:rPr>
              <w:fldChar w:fldCharType="begin"/>
            </w:r>
            <w:r>
              <w:rPr>
                <w:noProof/>
                <w:webHidden/>
              </w:rPr>
              <w:instrText xml:space="preserve"> PAGEREF _Toc204707822 \h </w:instrText>
            </w:r>
            <w:r>
              <w:rPr>
                <w:noProof/>
                <w:webHidden/>
              </w:rPr>
            </w:r>
            <w:r>
              <w:rPr>
                <w:noProof/>
                <w:webHidden/>
              </w:rPr>
              <w:fldChar w:fldCharType="separate"/>
            </w:r>
            <w:r>
              <w:rPr>
                <w:noProof/>
                <w:webHidden/>
              </w:rPr>
              <w:t>62</w:t>
            </w:r>
            <w:r>
              <w:rPr>
                <w:noProof/>
                <w:webHidden/>
              </w:rPr>
              <w:fldChar w:fldCharType="end"/>
            </w:r>
          </w:hyperlink>
        </w:p>
        <w:p w14:paraId="76D439CD" w14:textId="16DA37B0" w:rsidR="000A0DBB" w:rsidRPr="000A0DBB" w:rsidRDefault="000A0DBB" w:rsidP="001211E5">
          <w:pPr>
            <w:spacing w:line="360" w:lineRule="auto"/>
            <w:contextualSpacing/>
            <w:jc w:val="both"/>
            <w:rPr>
              <w:rFonts w:ascii="Arial" w:hAnsi="Arial" w:cs="Arial"/>
              <w:color w:val="000000" w:themeColor="text1"/>
              <w:sz w:val="22"/>
              <w:szCs w:val="22"/>
            </w:rPr>
          </w:pPr>
          <w:r w:rsidRPr="000A0DBB">
            <w:rPr>
              <w:rFonts w:ascii="Arial" w:hAnsi="Arial" w:cs="Arial"/>
              <w:b/>
              <w:bCs/>
              <w:noProof/>
              <w:color w:val="000000" w:themeColor="text1"/>
              <w:sz w:val="22"/>
              <w:szCs w:val="22"/>
            </w:rPr>
            <w:fldChar w:fldCharType="end"/>
          </w:r>
        </w:p>
      </w:sdtContent>
    </w:sdt>
    <w:p w14:paraId="46BA6C40" w14:textId="77777777" w:rsidR="000A0DBB" w:rsidRPr="000A0DBB" w:rsidRDefault="000A0DBB" w:rsidP="001211E5">
      <w:pPr>
        <w:spacing w:line="360" w:lineRule="auto"/>
        <w:jc w:val="both"/>
        <w:rPr>
          <w:rFonts w:ascii="Arial" w:eastAsia="Times New Roman" w:hAnsi="Arial" w:cs="Arial"/>
          <w:color w:val="000000" w:themeColor="text1"/>
          <w:sz w:val="22"/>
          <w:szCs w:val="22"/>
        </w:rPr>
      </w:pPr>
    </w:p>
    <w:p w14:paraId="78D7B9F9" w14:textId="77777777" w:rsidR="000A0DBB" w:rsidRPr="000A0DBB" w:rsidRDefault="000A0DBB" w:rsidP="001211E5">
      <w:pPr>
        <w:spacing w:line="360" w:lineRule="auto"/>
        <w:jc w:val="both"/>
        <w:rPr>
          <w:rFonts w:ascii="Arial" w:eastAsia="Times New Roman" w:hAnsi="Arial" w:cs="Arial"/>
          <w:b/>
          <w:bCs/>
          <w:color w:val="000000" w:themeColor="text1"/>
          <w:sz w:val="22"/>
          <w:szCs w:val="22"/>
        </w:rPr>
      </w:pPr>
      <w:r w:rsidRPr="000A0DBB">
        <w:rPr>
          <w:rFonts w:ascii="Arial" w:eastAsia="Times New Roman" w:hAnsi="Arial" w:cs="Arial"/>
          <w:b/>
          <w:bCs/>
          <w:color w:val="000000" w:themeColor="text1"/>
          <w:sz w:val="22"/>
          <w:szCs w:val="22"/>
        </w:rPr>
        <w:br w:type="page"/>
      </w:r>
    </w:p>
    <w:p w14:paraId="070686C9" w14:textId="77777777" w:rsidR="000A0DBB" w:rsidRPr="0058057B" w:rsidRDefault="000A0DBB" w:rsidP="001211E5">
      <w:pPr>
        <w:pStyle w:val="Heading1"/>
        <w:spacing w:line="360" w:lineRule="auto"/>
        <w:jc w:val="both"/>
        <w:rPr>
          <w:rFonts w:ascii="Arial" w:hAnsi="Arial" w:cs="Arial"/>
          <w:sz w:val="22"/>
          <w:szCs w:val="22"/>
        </w:rPr>
      </w:pPr>
      <w:bookmarkStart w:id="0" w:name="_Toc204707776"/>
      <w:r w:rsidRPr="0058057B">
        <w:rPr>
          <w:rFonts w:ascii="Arial" w:hAnsi="Arial" w:cs="Arial"/>
          <w:sz w:val="22"/>
          <w:szCs w:val="22"/>
        </w:rPr>
        <w:lastRenderedPageBreak/>
        <w:t>Table of Figures</w:t>
      </w:r>
      <w:bookmarkEnd w:id="0"/>
    </w:p>
    <w:p w14:paraId="6762C817" w14:textId="6DBC8ED8" w:rsidR="00F8055A" w:rsidRPr="002B39C1" w:rsidRDefault="000A0DBB" w:rsidP="00F8055A">
      <w:pPr>
        <w:pStyle w:val="TableofFigures"/>
        <w:tabs>
          <w:tab w:val="right" w:leader="dot" w:pos="9010"/>
        </w:tabs>
        <w:spacing w:line="360" w:lineRule="auto"/>
        <w:rPr>
          <w:rFonts w:ascii="Arial" w:eastAsiaTheme="minorEastAsia" w:hAnsi="Arial" w:cs="Arial"/>
          <w:noProof/>
          <w:sz w:val="22"/>
          <w:szCs w:val="22"/>
          <w:lang w:eastAsia="en-GB"/>
        </w:rPr>
      </w:pPr>
      <w:r w:rsidRPr="000A0DBB">
        <w:rPr>
          <w:rFonts w:ascii="Arial" w:hAnsi="Arial" w:cs="Arial"/>
          <w:sz w:val="22"/>
          <w:szCs w:val="22"/>
        </w:rPr>
        <w:fldChar w:fldCharType="begin"/>
      </w:r>
      <w:r w:rsidRPr="000A0DBB">
        <w:rPr>
          <w:rFonts w:ascii="Arial" w:hAnsi="Arial" w:cs="Arial"/>
          <w:sz w:val="22"/>
          <w:szCs w:val="22"/>
        </w:rPr>
        <w:instrText xml:space="preserve"> TOC \h \z \c "Figure" </w:instrText>
      </w:r>
      <w:r w:rsidRPr="000A0DBB">
        <w:rPr>
          <w:rFonts w:ascii="Arial" w:hAnsi="Arial" w:cs="Arial"/>
          <w:sz w:val="22"/>
          <w:szCs w:val="22"/>
        </w:rPr>
        <w:fldChar w:fldCharType="separate"/>
      </w:r>
      <w:hyperlink w:anchor="_Toc204703575" w:history="1">
        <w:r w:rsidR="00F8055A" w:rsidRPr="002B39C1">
          <w:rPr>
            <w:rStyle w:val="Hyperlink"/>
            <w:rFonts w:ascii="Arial" w:hAnsi="Arial" w:cs="Arial"/>
            <w:noProof/>
            <w:sz w:val="22"/>
            <w:szCs w:val="22"/>
          </w:rPr>
          <w:t>Figure 1: How Netflix Uses AI</w:t>
        </w:r>
        <w:r w:rsidR="00F8055A" w:rsidRPr="002B39C1">
          <w:rPr>
            <w:rFonts w:ascii="Arial" w:hAnsi="Arial" w:cs="Arial"/>
            <w:noProof/>
            <w:webHidden/>
            <w:sz w:val="22"/>
            <w:szCs w:val="22"/>
          </w:rPr>
          <w:tab/>
        </w:r>
        <w:r w:rsidR="00F8055A" w:rsidRPr="002B39C1">
          <w:rPr>
            <w:rFonts w:ascii="Arial" w:hAnsi="Arial" w:cs="Arial"/>
            <w:noProof/>
            <w:webHidden/>
            <w:sz w:val="22"/>
            <w:szCs w:val="22"/>
          </w:rPr>
          <w:fldChar w:fldCharType="begin"/>
        </w:r>
        <w:r w:rsidR="00F8055A" w:rsidRPr="002B39C1">
          <w:rPr>
            <w:rFonts w:ascii="Arial" w:hAnsi="Arial" w:cs="Arial"/>
            <w:noProof/>
            <w:webHidden/>
            <w:sz w:val="22"/>
            <w:szCs w:val="22"/>
          </w:rPr>
          <w:instrText xml:space="preserve"> PAGEREF _Toc204703575 \h </w:instrText>
        </w:r>
        <w:r w:rsidR="00F8055A" w:rsidRPr="002B39C1">
          <w:rPr>
            <w:rFonts w:ascii="Arial" w:hAnsi="Arial" w:cs="Arial"/>
            <w:noProof/>
            <w:webHidden/>
            <w:sz w:val="22"/>
            <w:szCs w:val="22"/>
          </w:rPr>
        </w:r>
        <w:r w:rsidR="00F8055A" w:rsidRPr="002B39C1">
          <w:rPr>
            <w:rFonts w:ascii="Arial" w:hAnsi="Arial" w:cs="Arial"/>
            <w:noProof/>
            <w:webHidden/>
            <w:sz w:val="22"/>
            <w:szCs w:val="22"/>
          </w:rPr>
          <w:fldChar w:fldCharType="separate"/>
        </w:r>
        <w:r w:rsidR="00F8055A" w:rsidRPr="002B39C1">
          <w:rPr>
            <w:rFonts w:ascii="Arial" w:hAnsi="Arial" w:cs="Arial"/>
            <w:noProof/>
            <w:webHidden/>
            <w:sz w:val="22"/>
            <w:szCs w:val="22"/>
          </w:rPr>
          <w:t>12</w:t>
        </w:r>
        <w:r w:rsidR="00F8055A" w:rsidRPr="002B39C1">
          <w:rPr>
            <w:rFonts w:ascii="Arial" w:hAnsi="Arial" w:cs="Arial"/>
            <w:noProof/>
            <w:webHidden/>
            <w:sz w:val="22"/>
            <w:szCs w:val="22"/>
          </w:rPr>
          <w:fldChar w:fldCharType="end"/>
        </w:r>
      </w:hyperlink>
    </w:p>
    <w:p w14:paraId="53A2FFBC" w14:textId="02BFC6F8" w:rsidR="00F8055A" w:rsidRPr="002B39C1" w:rsidRDefault="00F8055A" w:rsidP="00F8055A">
      <w:pPr>
        <w:pStyle w:val="TableofFigures"/>
        <w:tabs>
          <w:tab w:val="right" w:leader="dot" w:pos="9010"/>
        </w:tabs>
        <w:spacing w:line="360" w:lineRule="auto"/>
        <w:rPr>
          <w:rFonts w:ascii="Arial" w:eastAsiaTheme="minorEastAsia" w:hAnsi="Arial" w:cs="Arial"/>
          <w:noProof/>
          <w:sz w:val="22"/>
          <w:szCs w:val="22"/>
          <w:lang w:eastAsia="en-GB"/>
        </w:rPr>
      </w:pPr>
      <w:hyperlink w:anchor="_Toc204703576" w:history="1">
        <w:r w:rsidRPr="002B39C1">
          <w:rPr>
            <w:rStyle w:val="Hyperlink"/>
            <w:rFonts w:ascii="Arial" w:hAnsi="Arial" w:cs="Arial"/>
            <w:noProof/>
            <w:sz w:val="22"/>
            <w:szCs w:val="22"/>
          </w:rPr>
          <w:t>Figure 2 : Uber AI-Based Vouchers</w:t>
        </w:r>
        <w:r w:rsidRPr="002B39C1">
          <w:rPr>
            <w:rFonts w:ascii="Arial" w:hAnsi="Arial" w:cs="Arial"/>
            <w:noProof/>
            <w:webHidden/>
            <w:sz w:val="22"/>
            <w:szCs w:val="22"/>
          </w:rPr>
          <w:tab/>
        </w:r>
        <w:r w:rsidRPr="002B39C1">
          <w:rPr>
            <w:rFonts w:ascii="Arial" w:hAnsi="Arial" w:cs="Arial"/>
            <w:noProof/>
            <w:webHidden/>
            <w:sz w:val="22"/>
            <w:szCs w:val="22"/>
          </w:rPr>
          <w:fldChar w:fldCharType="begin"/>
        </w:r>
        <w:r w:rsidRPr="002B39C1">
          <w:rPr>
            <w:rFonts w:ascii="Arial" w:hAnsi="Arial" w:cs="Arial"/>
            <w:noProof/>
            <w:webHidden/>
            <w:sz w:val="22"/>
            <w:szCs w:val="22"/>
          </w:rPr>
          <w:instrText xml:space="preserve"> PAGEREF _Toc204703576 \h </w:instrText>
        </w:r>
        <w:r w:rsidRPr="002B39C1">
          <w:rPr>
            <w:rFonts w:ascii="Arial" w:hAnsi="Arial" w:cs="Arial"/>
            <w:noProof/>
            <w:webHidden/>
            <w:sz w:val="22"/>
            <w:szCs w:val="22"/>
          </w:rPr>
        </w:r>
        <w:r w:rsidRPr="002B39C1">
          <w:rPr>
            <w:rFonts w:ascii="Arial" w:hAnsi="Arial" w:cs="Arial"/>
            <w:noProof/>
            <w:webHidden/>
            <w:sz w:val="22"/>
            <w:szCs w:val="22"/>
          </w:rPr>
          <w:fldChar w:fldCharType="separate"/>
        </w:r>
        <w:r w:rsidRPr="002B39C1">
          <w:rPr>
            <w:rFonts w:ascii="Arial" w:hAnsi="Arial" w:cs="Arial"/>
            <w:noProof/>
            <w:webHidden/>
            <w:sz w:val="22"/>
            <w:szCs w:val="22"/>
          </w:rPr>
          <w:t>15</w:t>
        </w:r>
        <w:r w:rsidRPr="002B39C1">
          <w:rPr>
            <w:rFonts w:ascii="Arial" w:hAnsi="Arial" w:cs="Arial"/>
            <w:noProof/>
            <w:webHidden/>
            <w:sz w:val="22"/>
            <w:szCs w:val="22"/>
          </w:rPr>
          <w:fldChar w:fldCharType="end"/>
        </w:r>
      </w:hyperlink>
    </w:p>
    <w:p w14:paraId="2F39B6ED" w14:textId="58338FB7" w:rsidR="00F8055A" w:rsidRPr="002B39C1" w:rsidRDefault="00F8055A" w:rsidP="00F8055A">
      <w:pPr>
        <w:pStyle w:val="TableofFigures"/>
        <w:tabs>
          <w:tab w:val="right" w:leader="dot" w:pos="9010"/>
        </w:tabs>
        <w:spacing w:line="360" w:lineRule="auto"/>
        <w:rPr>
          <w:rFonts w:ascii="Arial" w:eastAsiaTheme="minorEastAsia" w:hAnsi="Arial" w:cs="Arial"/>
          <w:noProof/>
          <w:sz w:val="22"/>
          <w:szCs w:val="22"/>
          <w:lang w:eastAsia="en-GB"/>
        </w:rPr>
      </w:pPr>
      <w:hyperlink w:anchor="_Toc204703577" w:history="1">
        <w:r w:rsidRPr="002B39C1">
          <w:rPr>
            <w:rStyle w:val="Hyperlink"/>
            <w:rFonts w:ascii="Arial" w:hAnsi="Arial" w:cs="Arial"/>
            <w:noProof/>
            <w:sz w:val="22"/>
            <w:szCs w:val="22"/>
          </w:rPr>
          <w:t>Figure 3 : Conceptual Framework</w:t>
        </w:r>
        <w:r w:rsidRPr="002B39C1">
          <w:rPr>
            <w:rFonts w:ascii="Arial" w:hAnsi="Arial" w:cs="Arial"/>
            <w:noProof/>
            <w:webHidden/>
            <w:sz w:val="22"/>
            <w:szCs w:val="22"/>
          </w:rPr>
          <w:tab/>
        </w:r>
        <w:r w:rsidRPr="002B39C1">
          <w:rPr>
            <w:rFonts w:ascii="Arial" w:hAnsi="Arial" w:cs="Arial"/>
            <w:noProof/>
            <w:webHidden/>
            <w:sz w:val="22"/>
            <w:szCs w:val="22"/>
          </w:rPr>
          <w:fldChar w:fldCharType="begin"/>
        </w:r>
        <w:r w:rsidRPr="002B39C1">
          <w:rPr>
            <w:rFonts w:ascii="Arial" w:hAnsi="Arial" w:cs="Arial"/>
            <w:noProof/>
            <w:webHidden/>
            <w:sz w:val="22"/>
            <w:szCs w:val="22"/>
          </w:rPr>
          <w:instrText xml:space="preserve"> PAGEREF _Toc204703577 \h </w:instrText>
        </w:r>
        <w:r w:rsidRPr="002B39C1">
          <w:rPr>
            <w:rFonts w:ascii="Arial" w:hAnsi="Arial" w:cs="Arial"/>
            <w:noProof/>
            <w:webHidden/>
            <w:sz w:val="22"/>
            <w:szCs w:val="22"/>
          </w:rPr>
        </w:r>
        <w:r w:rsidRPr="002B39C1">
          <w:rPr>
            <w:rFonts w:ascii="Arial" w:hAnsi="Arial" w:cs="Arial"/>
            <w:noProof/>
            <w:webHidden/>
            <w:sz w:val="22"/>
            <w:szCs w:val="22"/>
          </w:rPr>
          <w:fldChar w:fldCharType="separate"/>
        </w:r>
        <w:r w:rsidRPr="002B39C1">
          <w:rPr>
            <w:rFonts w:ascii="Arial" w:hAnsi="Arial" w:cs="Arial"/>
            <w:noProof/>
            <w:webHidden/>
            <w:sz w:val="22"/>
            <w:szCs w:val="22"/>
          </w:rPr>
          <w:t>20</w:t>
        </w:r>
        <w:r w:rsidRPr="002B39C1">
          <w:rPr>
            <w:rFonts w:ascii="Arial" w:hAnsi="Arial" w:cs="Arial"/>
            <w:noProof/>
            <w:webHidden/>
            <w:sz w:val="22"/>
            <w:szCs w:val="22"/>
          </w:rPr>
          <w:fldChar w:fldCharType="end"/>
        </w:r>
      </w:hyperlink>
    </w:p>
    <w:p w14:paraId="542B5D97" w14:textId="781B0EB4" w:rsidR="00F8055A" w:rsidRPr="002B39C1" w:rsidRDefault="00F8055A" w:rsidP="00F8055A">
      <w:pPr>
        <w:pStyle w:val="TableofFigures"/>
        <w:tabs>
          <w:tab w:val="right" w:leader="dot" w:pos="9010"/>
        </w:tabs>
        <w:spacing w:line="360" w:lineRule="auto"/>
        <w:rPr>
          <w:rFonts w:ascii="Arial" w:eastAsiaTheme="minorEastAsia" w:hAnsi="Arial" w:cs="Arial"/>
          <w:noProof/>
          <w:sz w:val="22"/>
          <w:szCs w:val="22"/>
          <w:lang w:eastAsia="en-GB"/>
        </w:rPr>
      </w:pPr>
      <w:hyperlink w:anchor="_Toc204703578" w:history="1">
        <w:r w:rsidRPr="002B39C1">
          <w:rPr>
            <w:rStyle w:val="Hyperlink"/>
            <w:rFonts w:ascii="Arial" w:hAnsi="Arial" w:cs="Arial"/>
            <w:noProof/>
            <w:sz w:val="22"/>
            <w:szCs w:val="22"/>
          </w:rPr>
          <w:t>Figure 4 : Methodology Flowchart</w:t>
        </w:r>
        <w:r w:rsidRPr="002B39C1">
          <w:rPr>
            <w:rFonts w:ascii="Arial" w:hAnsi="Arial" w:cs="Arial"/>
            <w:noProof/>
            <w:webHidden/>
            <w:sz w:val="22"/>
            <w:szCs w:val="22"/>
          </w:rPr>
          <w:tab/>
        </w:r>
        <w:r w:rsidRPr="002B39C1">
          <w:rPr>
            <w:rFonts w:ascii="Arial" w:hAnsi="Arial" w:cs="Arial"/>
            <w:noProof/>
            <w:webHidden/>
            <w:sz w:val="22"/>
            <w:szCs w:val="22"/>
          </w:rPr>
          <w:fldChar w:fldCharType="begin"/>
        </w:r>
        <w:r w:rsidRPr="002B39C1">
          <w:rPr>
            <w:rFonts w:ascii="Arial" w:hAnsi="Arial" w:cs="Arial"/>
            <w:noProof/>
            <w:webHidden/>
            <w:sz w:val="22"/>
            <w:szCs w:val="22"/>
          </w:rPr>
          <w:instrText xml:space="preserve"> PAGEREF _Toc204703578 \h </w:instrText>
        </w:r>
        <w:r w:rsidRPr="002B39C1">
          <w:rPr>
            <w:rFonts w:ascii="Arial" w:hAnsi="Arial" w:cs="Arial"/>
            <w:noProof/>
            <w:webHidden/>
            <w:sz w:val="22"/>
            <w:szCs w:val="22"/>
          </w:rPr>
        </w:r>
        <w:r w:rsidRPr="002B39C1">
          <w:rPr>
            <w:rFonts w:ascii="Arial" w:hAnsi="Arial" w:cs="Arial"/>
            <w:noProof/>
            <w:webHidden/>
            <w:sz w:val="22"/>
            <w:szCs w:val="22"/>
          </w:rPr>
          <w:fldChar w:fldCharType="separate"/>
        </w:r>
        <w:r w:rsidRPr="002B39C1">
          <w:rPr>
            <w:rFonts w:ascii="Arial" w:hAnsi="Arial" w:cs="Arial"/>
            <w:noProof/>
            <w:webHidden/>
            <w:sz w:val="22"/>
            <w:szCs w:val="22"/>
          </w:rPr>
          <w:t>21</w:t>
        </w:r>
        <w:r w:rsidRPr="002B39C1">
          <w:rPr>
            <w:rFonts w:ascii="Arial" w:hAnsi="Arial" w:cs="Arial"/>
            <w:noProof/>
            <w:webHidden/>
            <w:sz w:val="22"/>
            <w:szCs w:val="22"/>
          </w:rPr>
          <w:fldChar w:fldCharType="end"/>
        </w:r>
      </w:hyperlink>
    </w:p>
    <w:p w14:paraId="1EB24C3D" w14:textId="1FEB2F20" w:rsidR="00F8055A" w:rsidRPr="002B39C1" w:rsidRDefault="00F8055A" w:rsidP="00F8055A">
      <w:pPr>
        <w:pStyle w:val="TableofFigures"/>
        <w:tabs>
          <w:tab w:val="right" w:leader="dot" w:pos="9010"/>
        </w:tabs>
        <w:spacing w:line="360" w:lineRule="auto"/>
        <w:rPr>
          <w:rFonts w:ascii="Arial" w:eastAsiaTheme="minorEastAsia" w:hAnsi="Arial" w:cs="Arial"/>
          <w:noProof/>
          <w:sz w:val="22"/>
          <w:szCs w:val="22"/>
          <w:lang w:eastAsia="en-GB"/>
        </w:rPr>
      </w:pPr>
      <w:hyperlink w:anchor="_Toc204703579" w:history="1">
        <w:r w:rsidRPr="002B39C1">
          <w:rPr>
            <w:rStyle w:val="Hyperlink"/>
            <w:rFonts w:ascii="Arial" w:hAnsi="Arial" w:cs="Arial"/>
            <w:noProof/>
            <w:sz w:val="22"/>
            <w:szCs w:val="22"/>
          </w:rPr>
          <w:t>Figure 5 : Inv</w:t>
        </w:r>
        <w:r w:rsidRPr="002B39C1">
          <w:rPr>
            <w:rStyle w:val="Hyperlink"/>
            <w:rFonts w:ascii="Arial" w:hAnsi="Arial" w:cs="Arial"/>
            <w:noProof/>
            <w:sz w:val="22"/>
            <w:szCs w:val="22"/>
          </w:rPr>
          <w:t>e</w:t>
        </w:r>
        <w:r w:rsidRPr="002B39C1">
          <w:rPr>
            <w:rStyle w:val="Hyperlink"/>
            <w:rFonts w:ascii="Arial" w:hAnsi="Arial" w:cs="Arial"/>
            <w:noProof/>
            <w:sz w:val="22"/>
            <w:szCs w:val="22"/>
          </w:rPr>
          <w:t>ntory Change by Region after AI Implementation</w:t>
        </w:r>
        <w:r w:rsidRPr="002B39C1">
          <w:rPr>
            <w:rFonts w:ascii="Arial" w:hAnsi="Arial" w:cs="Arial"/>
            <w:noProof/>
            <w:webHidden/>
            <w:sz w:val="22"/>
            <w:szCs w:val="22"/>
          </w:rPr>
          <w:tab/>
        </w:r>
        <w:r w:rsidRPr="002B39C1">
          <w:rPr>
            <w:rFonts w:ascii="Arial" w:hAnsi="Arial" w:cs="Arial"/>
            <w:noProof/>
            <w:webHidden/>
            <w:sz w:val="22"/>
            <w:szCs w:val="22"/>
          </w:rPr>
          <w:fldChar w:fldCharType="begin"/>
        </w:r>
        <w:r w:rsidRPr="002B39C1">
          <w:rPr>
            <w:rFonts w:ascii="Arial" w:hAnsi="Arial" w:cs="Arial"/>
            <w:noProof/>
            <w:webHidden/>
            <w:sz w:val="22"/>
            <w:szCs w:val="22"/>
          </w:rPr>
          <w:instrText xml:space="preserve"> PAGEREF _Toc204703579 \h </w:instrText>
        </w:r>
        <w:r w:rsidRPr="002B39C1">
          <w:rPr>
            <w:rFonts w:ascii="Arial" w:hAnsi="Arial" w:cs="Arial"/>
            <w:noProof/>
            <w:webHidden/>
            <w:sz w:val="22"/>
            <w:szCs w:val="22"/>
          </w:rPr>
        </w:r>
        <w:r w:rsidRPr="002B39C1">
          <w:rPr>
            <w:rFonts w:ascii="Arial" w:hAnsi="Arial" w:cs="Arial"/>
            <w:noProof/>
            <w:webHidden/>
            <w:sz w:val="22"/>
            <w:szCs w:val="22"/>
          </w:rPr>
          <w:fldChar w:fldCharType="separate"/>
        </w:r>
        <w:r w:rsidRPr="002B39C1">
          <w:rPr>
            <w:rFonts w:ascii="Arial" w:hAnsi="Arial" w:cs="Arial"/>
            <w:noProof/>
            <w:webHidden/>
            <w:sz w:val="22"/>
            <w:szCs w:val="22"/>
          </w:rPr>
          <w:t>24</w:t>
        </w:r>
        <w:r w:rsidRPr="002B39C1">
          <w:rPr>
            <w:rFonts w:ascii="Arial" w:hAnsi="Arial" w:cs="Arial"/>
            <w:noProof/>
            <w:webHidden/>
            <w:sz w:val="22"/>
            <w:szCs w:val="22"/>
          </w:rPr>
          <w:fldChar w:fldCharType="end"/>
        </w:r>
      </w:hyperlink>
    </w:p>
    <w:p w14:paraId="39238698" w14:textId="4F807480" w:rsidR="00F8055A" w:rsidRPr="002B39C1" w:rsidRDefault="00F8055A" w:rsidP="00F8055A">
      <w:pPr>
        <w:pStyle w:val="TableofFigures"/>
        <w:tabs>
          <w:tab w:val="right" w:leader="dot" w:pos="9010"/>
        </w:tabs>
        <w:spacing w:line="360" w:lineRule="auto"/>
        <w:rPr>
          <w:rFonts w:ascii="Arial" w:eastAsiaTheme="minorEastAsia" w:hAnsi="Arial" w:cs="Arial"/>
          <w:noProof/>
          <w:sz w:val="22"/>
          <w:szCs w:val="22"/>
          <w:lang w:eastAsia="en-GB"/>
        </w:rPr>
      </w:pPr>
      <w:hyperlink w:anchor="_Toc204703580" w:history="1">
        <w:r w:rsidRPr="002B39C1">
          <w:rPr>
            <w:rStyle w:val="Hyperlink"/>
            <w:rFonts w:ascii="Arial" w:hAnsi="Arial" w:cs="Arial"/>
            <w:noProof/>
            <w:sz w:val="22"/>
            <w:szCs w:val="22"/>
          </w:rPr>
          <w:t>Figure 6 : MAPE, Stockout Rate, and Inventory Carrying Cost</w:t>
        </w:r>
        <w:r w:rsidRPr="002B39C1">
          <w:rPr>
            <w:rFonts w:ascii="Arial" w:hAnsi="Arial" w:cs="Arial"/>
            <w:noProof/>
            <w:webHidden/>
            <w:sz w:val="22"/>
            <w:szCs w:val="22"/>
          </w:rPr>
          <w:tab/>
        </w:r>
        <w:r w:rsidRPr="002B39C1">
          <w:rPr>
            <w:rFonts w:ascii="Arial" w:hAnsi="Arial" w:cs="Arial"/>
            <w:noProof/>
            <w:webHidden/>
            <w:sz w:val="22"/>
            <w:szCs w:val="22"/>
          </w:rPr>
          <w:fldChar w:fldCharType="begin"/>
        </w:r>
        <w:r w:rsidRPr="002B39C1">
          <w:rPr>
            <w:rFonts w:ascii="Arial" w:hAnsi="Arial" w:cs="Arial"/>
            <w:noProof/>
            <w:webHidden/>
            <w:sz w:val="22"/>
            <w:szCs w:val="22"/>
          </w:rPr>
          <w:instrText xml:space="preserve"> PAGEREF _Toc204703580 \h </w:instrText>
        </w:r>
        <w:r w:rsidRPr="002B39C1">
          <w:rPr>
            <w:rFonts w:ascii="Arial" w:hAnsi="Arial" w:cs="Arial"/>
            <w:noProof/>
            <w:webHidden/>
            <w:sz w:val="22"/>
            <w:szCs w:val="22"/>
          </w:rPr>
        </w:r>
        <w:r w:rsidRPr="002B39C1">
          <w:rPr>
            <w:rFonts w:ascii="Arial" w:hAnsi="Arial" w:cs="Arial"/>
            <w:noProof/>
            <w:webHidden/>
            <w:sz w:val="22"/>
            <w:szCs w:val="22"/>
          </w:rPr>
          <w:fldChar w:fldCharType="separate"/>
        </w:r>
        <w:r w:rsidRPr="002B39C1">
          <w:rPr>
            <w:rFonts w:ascii="Arial" w:hAnsi="Arial" w:cs="Arial"/>
            <w:noProof/>
            <w:webHidden/>
            <w:sz w:val="22"/>
            <w:szCs w:val="22"/>
          </w:rPr>
          <w:t>29</w:t>
        </w:r>
        <w:r w:rsidRPr="002B39C1">
          <w:rPr>
            <w:rFonts w:ascii="Arial" w:hAnsi="Arial" w:cs="Arial"/>
            <w:noProof/>
            <w:webHidden/>
            <w:sz w:val="22"/>
            <w:szCs w:val="22"/>
          </w:rPr>
          <w:fldChar w:fldCharType="end"/>
        </w:r>
      </w:hyperlink>
    </w:p>
    <w:p w14:paraId="3C236D1E" w14:textId="22EF452B" w:rsidR="000A0DBB" w:rsidRPr="000A0DBB" w:rsidRDefault="000A0DBB" w:rsidP="001211E5">
      <w:pPr>
        <w:spacing w:line="360" w:lineRule="auto"/>
        <w:jc w:val="both"/>
        <w:rPr>
          <w:rFonts w:ascii="Arial" w:hAnsi="Arial" w:cs="Arial"/>
          <w:sz w:val="22"/>
          <w:szCs w:val="22"/>
        </w:rPr>
      </w:pPr>
      <w:r w:rsidRPr="000A0DBB">
        <w:rPr>
          <w:rFonts w:ascii="Arial" w:hAnsi="Arial" w:cs="Arial"/>
          <w:sz w:val="22"/>
          <w:szCs w:val="22"/>
        </w:rPr>
        <w:fldChar w:fldCharType="end"/>
      </w:r>
    </w:p>
    <w:p w14:paraId="361DE2C1" w14:textId="77777777" w:rsidR="000A0DBB" w:rsidRPr="000A0DBB" w:rsidRDefault="000A0DBB" w:rsidP="001211E5">
      <w:pPr>
        <w:spacing w:line="360" w:lineRule="auto"/>
        <w:jc w:val="both"/>
        <w:rPr>
          <w:rFonts w:ascii="Arial" w:hAnsi="Arial" w:cs="Arial"/>
          <w:sz w:val="22"/>
          <w:szCs w:val="22"/>
        </w:rPr>
      </w:pPr>
      <w:r w:rsidRPr="000A0DBB">
        <w:rPr>
          <w:rFonts w:ascii="Arial" w:hAnsi="Arial" w:cs="Arial"/>
          <w:sz w:val="22"/>
          <w:szCs w:val="22"/>
        </w:rPr>
        <w:br w:type="page"/>
      </w:r>
    </w:p>
    <w:p w14:paraId="3390CB33" w14:textId="77777777" w:rsidR="000A0DBB" w:rsidRPr="0058057B" w:rsidRDefault="000A0DBB" w:rsidP="001211E5">
      <w:pPr>
        <w:pStyle w:val="Heading1"/>
        <w:spacing w:line="360" w:lineRule="auto"/>
        <w:jc w:val="both"/>
        <w:rPr>
          <w:rFonts w:ascii="Arial" w:hAnsi="Arial" w:cs="Arial"/>
          <w:sz w:val="22"/>
          <w:szCs w:val="22"/>
        </w:rPr>
      </w:pPr>
      <w:bookmarkStart w:id="1" w:name="_Toc204707777"/>
      <w:r w:rsidRPr="0058057B">
        <w:rPr>
          <w:rFonts w:ascii="Arial" w:hAnsi="Arial" w:cs="Arial"/>
          <w:sz w:val="22"/>
          <w:szCs w:val="22"/>
        </w:rPr>
        <w:lastRenderedPageBreak/>
        <w:t>Table of Tables</w:t>
      </w:r>
      <w:bookmarkEnd w:id="1"/>
    </w:p>
    <w:p w14:paraId="1A8D7E35" w14:textId="370DAE79" w:rsidR="00F8055A" w:rsidRPr="002B39C1" w:rsidRDefault="000A0DBB" w:rsidP="00F8055A">
      <w:pPr>
        <w:pStyle w:val="TableofFigures"/>
        <w:tabs>
          <w:tab w:val="right" w:leader="dot" w:pos="9010"/>
        </w:tabs>
        <w:spacing w:line="360" w:lineRule="auto"/>
        <w:rPr>
          <w:rFonts w:ascii="Arial" w:eastAsiaTheme="minorEastAsia" w:hAnsi="Arial" w:cs="Arial"/>
          <w:noProof/>
          <w:sz w:val="22"/>
          <w:szCs w:val="22"/>
          <w:lang w:eastAsia="en-GB"/>
        </w:rPr>
      </w:pPr>
      <w:r w:rsidRPr="000A0DBB">
        <w:rPr>
          <w:rFonts w:ascii="Arial" w:hAnsi="Arial" w:cs="Arial"/>
          <w:sz w:val="22"/>
          <w:szCs w:val="22"/>
        </w:rPr>
        <w:fldChar w:fldCharType="begin"/>
      </w:r>
      <w:r w:rsidRPr="000A0DBB">
        <w:rPr>
          <w:rFonts w:ascii="Arial" w:hAnsi="Arial" w:cs="Arial"/>
          <w:sz w:val="22"/>
          <w:szCs w:val="22"/>
        </w:rPr>
        <w:instrText xml:space="preserve"> TOC \h \z \c "Table" </w:instrText>
      </w:r>
      <w:r w:rsidRPr="000A0DBB">
        <w:rPr>
          <w:rFonts w:ascii="Arial" w:hAnsi="Arial" w:cs="Arial"/>
          <w:sz w:val="22"/>
          <w:szCs w:val="22"/>
        </w:rPr>
        <w:fldChar w:fldCharType="separate"/>
      </w:r>
      <w:hyperlink w:anchor="_Toc204703831" w:history="1">
        <w:r w:rsidR="00F8055A" w:rsidRPr="002B39C1">
          <w:rPr>
            <w:rStyle w:val="Hyperlink"/>
            <w:rFonts w:ascii="Arial" w:hAnsi="Arial" w:cs="Arial"/>
            <w:noProof/>
            <w:sz w:val="22"/>
            <w:szCs w:val="22"/>
          </w:rPr>
          <w:t>Table 1: Comparative Matrix of Theoretical Lenses</w:t>
        </w:r>
        <w:r w:rsidR="00F8055A" w:rsidRPr="002B39C1">
          <w:rPr>
            <w:rFonts w:ascii="Arial" w:hAnsi="Arial" w:cs="Arial"/>
            <w:noProof/>
            <w:webHidden/>
            <w:sz w:val="22"/>
            <w:szCs w:val="22"/>
          </w:rPr>
          <w:tab/>
        </w:r>
        <w:r w:rsidR="00F8055A" w:rsidRPr="002B39C1">
          <w:rPr>
            <w:rFonts w:ascii="Arial" w:hAnsi="Arial" w:cs="Arial"/>
            <w:noProof/>
            <w:webHidden/>
            <w:sz w:val="22"/>
            <w:szCs w:val="22"/>
          </w:rPr>
          <w:fldChar w:fldCharType="begin"/>
        </w:r>
        <w:r w:rsidR="00F8055A" w:rsidRPr="002B39C1">
          <w:rPr>
            <w:rFonts w:ascii="Arial" w:hAnsi="Arial" w:cs="Arial"/>
            <w:noProof/>
            <w:webHidden/>
            <w:sz w:val="22"/>
            <w:szCs w:val="22"/>
          </w:rPr>
          <w:instrText xml:space="preserve"> PAGEREF _Toc204703831 \h </w:instrText>
        </w:r>
        <w:r w:rsidR="00F8055A" w:rsidRPr="002B39C1">
          <w:rPr>
            <w:rFonts w:ascii="Arial" w:hAnsi="Arial" w:cs="Arial"/>
            <w:noProof/>
            <w:webHidden/>
            <w:sz w:val="22"/>
            <w:szCs w:val="22"/>
          </w:rPr>
        </w:r>
        <w:r w:rsidR="00F8055A" w:rsidRPr="002B39C1">
          <w:rPr>
            <w:rFonts w:ascii="Arial" w:hAnsi="Arial" w:cs="Arial"/>
            <w:noProof/>
            <w:webHidden/>
            <w:sz w:val="22"/>
            <w:szCs w:val="22"/>
          </w:rPr>
          <w:fldChar w:fldCharType="separate"/>
        </w:r>
        <w:r w:rsidR="00F8055A" w:rsidRPr="002B39C1">
          <w:rPr>
            <w:rFonts w:ascii="Arial" w:hAnsi="Arial" w:cs="Arial"/>
            <w:noProof/>
            <w:webHidden/>
            <w:sz w:val="22"/>
            <w:szCs w:val="22"/>
          </w:rPr>
          <w:t>17</w:t>
        </w:r>
        <w:r w:rsidR="00F8055A" w:rsidRPr="002B39C1">
          <w:rPr>
            <w:rFonts w:ascii="Arial" w:hAnsi="Arial" w:cs="Arial"/>
            <w:noProof/>
            <w:webHidden/>
            <w:sz w:val="22"/>
            <w:szCs w:val="22"/>
          </w:rPr>
          <w:fldChar w:fldCharType="end"/>
        </w:r>
      </w:hyperlink>
    </w:p>
    <w:p w14:paraId="412F7718" w14:textId="3086B773" w:rsidR="00F8055A" w:rsidRPr="002B39C1" w:rsidRDefault="00F8055A" w:rsidP="00F8055A">
      <w:pPr>
        <w:pStyle w:val="TableofFigures"/>
        <w:tabs>
          <w:tab w:val="right" w:leader="dot" w:pos="9010"/>
        </w:tabs>
        <w:spacing w:line="360" w:lineRule="auto"/>
        <w:rPr>
          <w:rFonts w:ascii="Arial" w:eastAsiaTheme="minorEastAsia" w:hAnsi="Arial" w:cs="Arial"/>
          <w:noProof/>
          <w:sz w:val="22"/>
          <w:szCs w:val="22"/>
          <w:lang w:eastAsia="en-GB"/>
        </w:rPr>
      </w:pPr>
      <w:hyperlink w:anchor="_Toc204703832" w:history="1">
        <w:r w:rsidRPr="002B39C1">
          <w:rPr>
            <w:rStyle w:val="Hyperlink"/>
            <w:rFonts w:ascii="Arial" w:hAnsi="Arial" w:cs="Arial"/>
            <w:noProof/>
            <w:sz w:val="22"/>
            <w:szCs w:val="22"/>
          </w:rPr>
          <w:t>Table 2 : Comparative Gap Analysis</w:t>
        </w:r>
        <w:r w:rsidRPr="002B39C1">
          <w:rPr>
            <w:rFonts w:ascii="Arial" w:hAnsi="Arial" w:cs="Arial"/>
            <w:noProof/>
            <w:webHidden/>
            <w:sz w:val="22"/>
            <w:szCs w:val="22"/>
          </w:rPr>
          <w:tab/>
        </w:r>
        <w:r w:rsidRPr="002B39C1">
          <w:rPr>
            <w:rFonts w:ascii="Arial" w:hAnsi="Arial" w:cs="Arial"/>
            <w:noProof/>
            <w:webHidden/>
            <w:sz w:val="22"/>
            <w:szCs w:val="22"/>
          </w:rPr>
          <w:fldChar w:fldCharType="begin"/>
        </w:r>
        <w:r w:rsidRPr="002B39C1">
          <w:rPr>
            <w:rFonts w:ascii="Arial" w:hAnsi="Arial" w:cs="Arial"/>
            <w:noProof/>
            <w:webHidden/>
            <w:sz w:val="22"/>
            <w:szCs w:val="22"/>
          </w:rPr>
          <w:instrText xml:space="preserve"> PAGEREF _Toc204703832 \h </w:instrText>
        </w:r>
        <w:r w:rsidRPr="002B39C1">
          <w:rPr>
            <w:rFonts w:ascii="Arial" w:hAnsi="Arial" w:cs="Arial"/>
            <w:noProof/>
            <w:webHidden/>
            <w:sz w:val="22"/>
            <w:szCs w:val="22"/>
          </w:rPr>
        </w:r>
        <w:r w:rsidRPr="002B39C1">
          <w:rPr>
            <w:rFonts w:ascii="Arial" w:hAnsi="Arial" w:cs="Arial"/>
            <w:noProof/>
            <w:webHidden/>
            <w:sz w:val="22"/>
            <w:szCs w:val="22"/>
          </w:rPr>
          <w:fldChar w:fldCharType="separate"/>
        </w:r>
        <w:r w:rsidRPr="002B39C1">
          <w:rPr>
            <w:rFonts w:ascii="Arial" w:hAnsi="Arial" w:cs="Arial"/>
            <w:noProof/>
            <w:webHidden/>
            <w:sz w:val="22"/>
            <w:szCs w:val="22"/>
          </w:rPr>
          <w:t>18</w:t>
        </w:r>
        <w:r w:rsidRPr="002B39C1">
          <w:rPr>
            <w:rFonts w:ascii="Arial" w:hAnsi="Arial" w:cs="Arial"/>
            <w:noProof/>
            <w:webHidden/>
            <w:sz w:val="22"/>
            <w:szCs w:val="22"/>
          </w:rPr>
          <w:fldChar w:fldCharType="end"/>
        </w:r>
      </w:hyperlink>
    </w:p>
    <w:p w14:paraId="54F8A444" w14:textId="04AEE7F6" w:rsidR="00F8055A" w:rsidRPr="002B39C1" w:rsidRDefault="00F8055A" w:rsidP="00F8055A">
      <w:pPr>
        <w:pStyle w:val="TableofFigures"/>
        <w:tabs>
          <w:tab w:val="right" w:leader="dot" w:pos="9010"/>
        </w:tabs>
        <w:spacing w:line="360" w:lineRule="auto"/>
        <w:rPr>
          <w:rFonts w:ascii="Arial" w:eastAsiaTheme="minorEastAsia" w:hAnsi="Arial" w:cs="Arial"/>
          <w:noProof/>
          <w:sz w:val="22"/>
          <w:szCs w:val="22"/>
          <w:lang w:eastAsia="en-GB"/>
        </w:rPr>
      </w:pPr>
      <w:hyperlink w:anchor="_Toc204703833" w:history="1">
        <w:r w:rsidRPr="002B39C1">
          <w:rPr>
            <w:rStyle w:val="Hyperlink"/>
            <w:rFonts w:ascii="Arial" w:hAnsi="Arial" w:cs="Arial"/>
            <w:noProof/>
            <w:sz w:val="22"/>
            <w:szCs w:val="22"/>
          </w:rPr>
          <w:t>Table 3 : OLS Regression Results</w:t>
        </w:r>
        <w:r w:rsidRPr="002B39C1">
          <w:rPr>
            <w:rFonts w:ascii="Arial" w:hAnsi="Arial" w:cs="Arial"/>
            <w:noProof/>
            <w:webHidden/>
            <w:sz w:val="22"/>
            <w:szCs w:val="22"/>
          </w:rPr>
          <w:tab/>
        </w:r>
        <w:r w:rsidRPr="002B39C1">
          <w:rPr>
            <w:rFonts w:ascii="Arial" w:hAnsi="Arial" w:cs="Arial"/>
            <w:noProof/>
            <w:webHidden/>
            <w:sz w:val="22"/>
            <w:szCs w:val="22"/>
          </w:rPr>
          <w:fldChar w:fldCharType="begin"/>
        </w:r>
        <w:r w:rsidRPr="002B39C1">
          <w:rPr>
            <w:rFonts w:ascii="Arial" w:hAnsi="Arial" w:cs="Arial"/>
            <w:noProof/>
            <w:webHidden/>
            <w:sz w:val="22"/>
            <w:szCs w:val="22"/>
          </w:rPr>
          <w:instrText xml:space="preserve"> PAGEREF _Toc204703833 \h </w:instrText>
        </w:r>
        <w:r w:rsidRPr="002B39C1">
          <w:rPr>
            <w:rFonts w:ascii="Arial" w:hAnsi="Arial" w:cs="Arial"/>
            <w:noProof/>
            <w:webHidden/>
            <w:sz w:val="22"/>
            <w:szCs w:val="22"/>
          </w:rPr>
        </w:r>
        <w:r w:rsidRPr="002B39C1">
          <w:rPr>
            <w:rFonts w:ascii="Arial" w:hAnsi="Arial" w:cs="Arial"/>
            <w:noProof/>
            <w:webHidden/>
            <w:sz w:val="22"/>
            <w:szCs w:val="22"/>
          </w:rPr>
          <w:fldChar w:fldCharType="separate"/>
        </w:r>
        <w:r w:rsidRPr="002B39C1">
          <w:rPr>
            <w:rFonts w:ascii="Arial" w:hAnsi="Arial" w:cs="Arial"/>
            <w:noProof/>
            <w:webHidden/>
            <w:sz w:val="22"/>
            <w:szCs w:val="22"/>
          </w:rPr>
          <w:t>32</w:t>
        </w:r>
        <w:r w:rsidRPr="002B39C1">
          <w:rPr>
            <w:rFonts w:ascii="Arial" w:hAnsi="Arial" w:cs="Arial"/>
            <w:noProof/>
            <w:webHidden/>
            <w:sz w:val="22"/>
            <w:szCs w:val="22"/>
          </w:rPr>
          <w:fldChar w:fldCharType="end"/>
        </w:r>
      </w:hyperlink>
    </w:p>
    <w:p w14:paraId="61C2A8A8" w14:textId="7EE2B9D6" w:rsidR="00F8055A" w:rsidRPr="002B39C1" w:rsidRDefault="00F8055A" w:rsidP="00F8055A">
      <w:pPr>
        <w:pStyle w:val="TableofFigures"/>
        <w:tabs>
          <w:tab w:val="right" w:leader="dot" w:pos="9010"/>
        </w:tabs>
        <w:spacing w:line="360" w:lineRule="auto"/>
        <w:rPr>
          <w:rFonts w:ascii="Arial" w:eastAsiaTheme="minorEastAsia" w:hAnsi="Arial" w:cs="Arial"/>
          <w:noProof/>
          <w:sz w:val="22"/>
          <w:szCs w:val="22"/>
          <w:lang w:eastAsia="en-GB"/>
        </w:rPr>
      </w:pPr>
      <w:hyperlink w:anchor="_Toc204703834" w:history="1">
        <w:r w:rsidRPr="002B39C1">
          <w:rPr>
            <w:rStyle w:val="Hyperlink"/>
            <w:rFonts w:ascii="Arial" w:hAnsi="Arial" w:cs="Arial"/>
            <w:noProof/>
            <w:sz w:val="22"/>
            <w:szCs w:val="22"/>
          </w:rPr>
          <w:t>Table 4 : Two-Stage Least Squares (2SLS) Results</w:t>
        </w:r>
        <w:r w:rsidRPr="002B39C1">
          <w:rPr>
            <w:rFonts w:ascii="Arial" w:hAnsi="Arial" w:cs="Arial"/>
            <w:noProof/>
            <w:webHidden/>
            <w:sz w:val="22"/>
            <w:szCs w:val="22"/>
          </w:rPr>
          <w:tab/>
        </w:r>
        <w:r w:rsidRPr="002B39C1">
          <w:rPr>
            <w:rFonts w:ascii="Arial" w:hAnsi="Arial" w:cs="Arial"/>
            <w:noProof/>
            <w:webHidden/>
            <w:sz w:val="22"/>
            <w:szCs w:val="22"/>
          </w:rPr>
          <w:fldChar w:fldCharType="begin"/>
        </w:r>
        <w:r w:rsidRPr="002B39C1">
          <w:rPr>
            <w:rFonts w:ascii="Arial" w:hAnsi="Arial" w:cs="Arial"/>
            <w:noProof/>
            <w:webHidden/>
            <w:sz w:val="22"/>
            <w:szCs w:val="22"/>
          </w:rPr>
          <w:instrText xml:space="preserve"> PAGEREF _Toc204703834 \h </w:instrText>
        </w:r>
        <w:r w:rsidRPr="002B39C1">
          <w:rPr>
            <w:rFonts w:ascii="Arial" w:hAnsi="Arial" w:cs="Arial"/>
            <w:noProof/>
            <w:webHidden/>
            <w:sz w:val="22"/>
            <w:szCs w:val="22"/>
          </w:rPr>
        </w:r>
        <w:r w:rsidRPr="002B39C1">
          <w:rPr>
            <w:rFonts w:ascii="Arial" w:hAnsi="Arial" w:cs="Arial"/>
            <w:noProof/>
            <w:webHidden/>
            <w:sz w:val="22"/>
            <w:szCs w:val="22"/>
          </w:rPr>
          <w:fldChar w:fldCharType="separate"/>
        </w:r>
        <w:r w:rsidRPr="002B39C1">
          <w:rPr>
            <w:rFonts w:ascii="Arial" w:hAnsi="Arial" w:cs="Arial"/>
            <w:noProof/>
            <w:webHidden/>
            <w:sz w:val="22"/>
            <w:szCs w:val="22"/>
          </w:rPr>
          <w:t>32</w:t>
        </w:r>
        <w:r w:rsidRPr="002B39C1">
          <w:rPr>
            <w:rFonts w:ascii="Arial" w:hAnsi="Arial" w:cs="Arial"/>
            <w:noProof/>
            <w:webHidden/>
            <w:sz w:val="22"/>
            <w:szCs w:val="22"/>
          </w:rPr>
          <w:fldChar w:fldCharType="end"/>
        </w:r>
      </w:hyperlink>
    </w:p>
    <w:p w14:paraId="03CD1AB7" w14:textId="324A3F22" w:rsidR="00F8055A" w:rsidRPr="002B39C1" w:rsidRDefault="00F8055A" w:rsidP="00F8055A">
      <w:pPr>
        <w:pStyle w:val="TableofFigures"/>
        <w:tabs>
          <w:tab w:val="right" w:leader="dot" w:pos="9010"/>
        </w:tabs>
        <w:spacing w:line="360" w:lineRule="auto"/>
        <w:rPr>
          <w:rFonts w:ascii="Arial" w:eastAsiaTheme="minorEastAsia" w:hAnsi="Arial" w:cs="Arial"/>
          <w:noProof/>
          <w:sz w:val="22"/>
          <w:szCs w:val="22"/>
          <w:lang w:eastAsia="en-GB"/>
        </w:rPr>
      </w:pPr>
      <w:hyperlink w:anchor="_Toc204703835" w:history="1">
        <w:r w:rsidRPr="002B39C1">
          <w:rPr>
            <w:rStyle w:val="Hyperlink"/>
            <w:rFonts w:ascii="Arial" w:hAnsi="Arial" w:cs="Arial"/>
            <w:noProof/>
            <w:sz w:val="22"/>
            <w:szCs w:val="22"/>
          </w:rPr>
          <w:t>Table 5 : Mixed Effects (Multilevel) Model Results</w:t>
        </w:r>
        <w:r w:rsidRPr="002B39C1">
          <w:rPr>
            <w:rFonts w:ascii="Arial" w:hAnsi="Arial" w:cs="Arial"/>
            <w:noProof/>
            <w:webHidden/>
            <w:sz w:val="22"/>
            <w:szCs w:val="22"/>
          </w:rPr>
          <w:tab/>
        </w:r>
        <w:r w:rsidRPr="002B39C1">
          <w:rPr>
            <w:rFonts w:ascii="Arial" w:hAnsi="Arial" w:cs="Arial"/>
            <w:noProof/>
            <w:webHidden/>
            <w:sz w:val="22"/>
            <w:szCs w:val="22"/>
          </w:rPr>
          <w:fldChar w:fldCharType="begin"/>
        </w:r>
        <w:r w:rsidRPr="002B39C1">
          <w:rPr>
            <w:rFonts w:ascii="Arial" w:hAnsi="Arial" w:cs="Arial"/>
            <w:noProof/>
            <w:webHidden/>
            <w:sz w:val="22"/>
            <w:szCs w:val="22"/>
          </w:rPr>
          <w:instrText xml:space="preserve"> PAGEREF _Toc204703835 \h </w:instrText>
        </w:r>
        <w:r w:rsidRPr="002B39C1">
          <w:rPr>
            <w:rFonts w:ascii="Arial" w:hAnsi="Arial" w:cs="Arial"/>
            <w:noProof/>
            <w:webHidden/>
            <w:sz w:val="22"/>
            <w:szCs w:val="22"/>
          </w:rPr>
        </w:r>
        <w:r w:rsidRPr="002B39C1">
          <w:rPr>
            <w:rFonts w:ascii="Arial" w:hAnsi="Arial" w:cs="Arial"/>
            <w:noProof/>
            <w:webHidden/>
            <w:sz w:val="22"/>
            <w:szCs w:val="22"/>
          </w:rPr>
          <w:fldChar w:fldCharType="separate"/>
        </w:r>
        <w:r w:rsidRPr="002B39C1">
          <w:rPr>
            <w:rFonts w:ascii="Arial" w:hAnsi="Arial" w:cs="Arial"/>
            <w:noProof/>
            <w:webHidden/>
            <w:sz w:val="22"/>
            <w:szCs w:val="22"/>
          </w:rPr>
          <w:t>32</w:t>
        </w:r>
        <w:r w:rsidRPr="002B39C1">
          <w:rPr>
            <w:rFonts w:ascii="Arial" w:hAnsi="Arial" w:cs="Arial"/>
            <w:noProof/>
            <w:webHidden/>
            <w:sz w:val="22"/>
            <w:szCs w:val="22"/>
          </w:rPr>
          <w:fldChar w:fldCharType="end"/>
        </w:r>
      </w:hyperlink>
    </w:p>
    <w:p w14:paraId="073F3C4B" w14:textId="6E867E3F" w:rsidR="000A0DBB" w:rsidRPr="000A0DBB" w:rsidRDefault="000A0DBB" w:rsidP="001211E5">
      <w:pPr>
        <w:spacing w:line="360" w:lineRule="auto"/>
        <w:jc w:val="both"/>
        <w:rPr>
          <w:rFonts w:ascii="Arial" w:hAnsi="Arial" w:cs="Arial"/>
          <w:sz w:val="22"/>
          <w:szCs w:val="22"/>
        </w:rPr>
      </w:pPr>
      <w:r w:rsidRPr="000A0DBB">
        <w:rPr>
          <w:rFonts w:ascii="Arial" w:hAnsi="Arial" w:cs="Arial"/>
          <w:sz w:val="22"/>
          <w:szCs w:val="22"/>
        </w:rPr>
        <w:fldChar w:fldCharType="end"/>
      </w:r>
    </w:p>
    <w:p w14:paraId="1FF8BCB9" w14:textId="77777777" w:rsidR="000A0DBB" w:rsidRPr="000A0DBB" w:rsidRDefault="000A0DBB" w:rsidP="001211E5">
      <w:pPr>
        <w:spacing w:line="360" w:lineRule="auto"/>
        <w:jc w:val="both"/>
        <w:rPr>
          <w:rFonts w:ascii="Arial" w:hAnsi="Arial" w:cs="Arial"/>
          <w:sz w:val="22"/>
          <w:szCs w:val="22"/>
        </w:rPr>
      </w:pPr>
      <w:r w:rsidRPr="000A0DBB">
        <w:rPr>
          <w:rFonts w:ascii="Arial" w:hAnsi="Arial" w:cs="Arial"/>
          <w:sz w:val="22"/>
          <w:szCs w:val="22"/>
        </w:rPr>
        <w:br w:type="page"/>
      </w:r>
    </w:p>
    <w:p w14:paraId="246CD6E2" w14:textId="77777777" w:rsidR="000A0DBB" w:rsidRPr="0055048C" w:rsidRDefault="000A0DBB" w:rsidP="001211E5">
      <w:pPr>
        <w:pStyle w:val="Heading1"/>
        <w:spacing w:line="360" w:lineRule="auto"/>
        <w:jc w:val="both"/>
        <w:rPr>
          <w:rFonts w:ascii="Arial" w:hAnsi="Arial" w:cs="Arial"/>
          <w:sz w:val="22"/>
          <w:szCs w:val="22"/>
        </w:rPr>
      </w:pPr>
      <w:bookmarkStart w:id="2" w:name="_Toc204707778"/>
      <w:r w:rsidRPr="0055048C">
        <w:rPr>
          <w:rFonts w:ascii="Arial" w:hAnsi="Arial" w:cs="Arial"/>
          <w:sz w:val="22"/>
          <w:szCs w:val="22"/>
        </w:rPr>
        <w:lastRenderedPageBreak/>
        <w:t>Table of Abbreviations</w:t>
      </w:r>
      <w:bookmarkEnd w:id="2"/>
    </w:p>
    <w:tbl>
      <w:tblPr>
        <w:tblStyle w:val="GridTable6ColourfulAccent3"/>
        <w:tblpPr w:leftFromText="180" w:rightFromText="180" w:vertAnchor="text" w:tblpY="1"/>
        <w:tblOverlap w:val="never"/>
        <w:tblW w:w="0" w:type="auto"/>
        <w:tblInd w:w="0" w:type="dxa"/>
        <w:tblLook w:val="04A0" w:firstRow="1" w:lastRow="0" w:firstColumn="1" w:lastColumn="0" w:noHBand="0" w:noVBand="1"/>
      </w:tblPr>
      <w:tblGrid>
        <w:gridCol w:w="1561"/>
        <w:gridCol w:w="4387"/>
      </w:tblGrid>
      <w:tr w:rsidR="000A0DBB" w:rsidRPr="0055048C" w14:paraId="19F4D0BC" w14:textId="77777777" w:rsidTr="005504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right w:val="single" w:sz="4" w:space="0" w:color="47D459" w:themeColor="accent3" w:themeTint="99"/>
            </w:tcBorders>
            <w:hideMark/>
          </w:tcPr>
          <w:p w14:paraId="7E7C4F20" w14:textId="77777777" w:rsidR="000A0DBB" w:rsidRPr="0055048C" w:rsidRDefault="000A0DBB" w:rsidP="001211E5">
            <w:pPr>
              <w:spacing w:line="360" w:lineRule="auto"/>
              <w:jc w:val="both"/>
              <w:rPr>
                <w:rFonts w:ascii="Arial" w:eastAsia="Times New Roman" w:hAnsi="Arial" w:cs="Arial"/>
              </w:rPr>
            </w:pPr>
            <w:r w:rsidRPr="0055048C">
              <w:rPr>
                <w:rFonts w:ascii="Arial" w:eastAsia="Times New Roman" w:hAnsi="Arial" w:cs="Arial"/>
              </w:rPr>
              <w:t>Abbreviation</w:t>
            </w:r>
          </w:p>
        </w:tc>
        <w:tc>
          <w:tcPr>
            <w:tcW w:w="0" w:type="auto"/>
            <w:tcBorders>
              <w:top w:val="single" w:sz="4" w:space="0" w:color="47D459" w:themeColor="accent3" w:themeTint="99"/>
              <w:left w:val="single" w:sz="4" w:space="0" w:color="47D459" w:themeColor="accent3" w:themeTint="99"/>
              <w:right w:val="single" w:sz="4" w:space="0" w:color="47D459" w:themeColor="accent3" w:themeTint="99"/>
            </w:tcBorders>
            <w:hideMark/>
          </w:tcPr>
          <w:p w14:paraId="01F47338" w14:textId="089B2208" w:rsidR="000A0DBB" w:rsidRPr="0055048C" w:rsidRDefault="0055048C"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 xml:space="preserve">        </w:t>
            </w:r>
            <w:r w:rsidR="000A0DBB" w:rsidRPr="0055048C">
              <w:rPr>
                <w:rFonts w:ascii="Arial" w:eastAsia="Times New Roman" w:hAnsi="Arial" w:cs="Arial"/>
              </w:rPr>
              <w:t>Full Form</w:t>
            </w:r>
          </w:p>
        </w:tc>
      </w:tr>
      <w:tr w:rsidR="000A0DBB" w:rsidRPr="0055048C" w14:paraId="3C8737E1" w14:textId="77777777" w:rsidTr="00550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5FF88846"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AI</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5C90DD50" w14:textId="77777777" w:rsidR="000A0DBB" w:rsidRPr="0055048C"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Artificial Intelligence</w:t>
            </w:r>
          </w:p>
        </w:tc>
      </w:tr>
      <w:tr w:rsidR="000A0DBB" w:rsidRPr="0055048C" w14:paraId="548693FF" w14:textId="77777777" w:rsidTr="0055048C">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2A778935"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MAPE</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46D78142" w14:textId="77777777" w:rsidR="000A0DBB" w:rsidRPr="0055048C"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Mean Absolute Percentage Error</w:t>
            </w:r>
          </w:p>
        </w:tc>
      </w:tr>
      <w:tr w:rsidR="000A0DBB" w:rsidRPr="0055048C" w14:paraId="5FE4073B" w14:textId="77777777" w:rsidTr="00550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49E8815E"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USD</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77B7C3EB" w14:textId="77777777" w:rsidR="000A0DBB" w:rsidRPr="0055048C"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United States Dollar</w:t>
            </w:r>
          </w:p>
        </w:tc>
      </w:tr>
      <w:tr w:rsidR="000A0DBB" w:rsidRPr="0055048C" w14:paraId="733D127D" w14:textId="77777777" w:rsidTr="0055048C">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49F63BD3"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ERP</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0661DBE2" w14:textId="77777777" w:rsidR="000A0DBB" w:rsidRPr="0055048C"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Enterprise Resource Planning</w:t>
            </w:r>
          </w:p>
        </w:tc>
      </w:tr>
      <w:tr w:rsidR="000A0DBB" w:rsidRPr="0055048C" w14:paraId="35C3985F" w14:textId="77777777" w:rsidTr="00550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08FB37C1"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CRM</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2896A1A2" w14:textId="77777777" w:rsidR="000A0DBB" w:rsidRPr="0055048C"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Customer Relationship Management</w:t>
            </w:r>
          </w:p>
        </w:tc>
      </w:tr>
      <w:tr w:rsidR="000A0DBB" w:rsidRPr="0055048C" w14:paraId="10EA59AA" w14:textId="77777777" w:rsidTr="0055048C">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2BB94A28"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OLS</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7E5EAB9B" w14:textId="77777777" w:rsidR="000A0DBB" w:rsidRPr="0055048C"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Ordinary Least Squares</w:t>
            </w:r>
          </w:p>
        </w:tc>
      </w:tr>
      <w:tr w:rsidR="000A0DBB" w:rsidRPr="0055048C" w14:paraId="20875D75" w14:textId="77777777" w:rsidTr="00550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097E8815"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2SLs</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56373F61" w14:textId="77777777" w:rsidR="000A0DBB" w:rsidRPr="0055048C"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Two-Stage Least Squares</w:t>
            </w:r>
          </w:p>
        </w:tc>
      </w:tr>
      <w:tr w:rsidR="000A0DBB" w:rsidRPr="0055048C" w14:paraId="5F0EF941" w14:textId="77777777" w:rsidTr="0055048C">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04191697"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VIF</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51846477" w14:textId="77777777" w:rsidR="000A0DBB" w:rsidRPr="0055048C"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Variance Inflation Factor</w:t>
            </w:r>
          </w:p>
        </w:tc>
      </w:tr>
      <w:tr w:rsidR="000A0DBB" w:rsidRPr="0055048C" w14:paraId="1BA75064" w14:textId="77777777" w:rsidTr="00550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5C7D0C27"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PCA</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44481054" w14:textId="77777777" w:rsidR="000A0DBB" w:rsidRPr="0055048C"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Principal Component Analysis</w:t>
            </w:r>
          </w:p>
        </w:tc>
      </w:tr>
      <w:tr w:rsidR="000A0DBB" w:rsidRPr="0055048C" w14:paraId="1B84A0D9" w14:textId="77777777" w:rsidTr="0055048C">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7CC3D90D"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ECAW</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006AC7EE" w14:textId="77777777" w:rsidR="000A0DBB" w:rsidRPr="0055048C"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Explore-Confirm Analysis Workflow</w:t>
            </w:r>
          </w:p>
        </w:tc>
      </w:tr>
      <w:tr w:rsidR="000A0DBB" w:rsidRPr="0055048C" w14:paraId="1F176E94" w14:textId="77777777" w:rsidTr="00550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4A1B5ED4"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ARIMA</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1711C0A0" w14:textId="77777777" w:rsidR="000A0DBB" w:rsidRPr="0055048C"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Autoregressive Integrated Moving Average</w:t>
            </w:r>
          </w:p>
        </w:tc>
      </w:tr>
      <w:tr w:rsidR="000A0DBB" w:rsidRPr="0055048C" w14:paraId="7810C23E" w14:textId="77777777" w:rsidTr="0055048C">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60F9DCEF"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SCM</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6C9DAD5D" w14:textId="77777777" w:rsidR="000A0DBB" w:rsidRPr="0055048C"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Supply Chain Management</w:t>
            </w:r>
          </w:p>
        </w:tc>
      </w:tr>
      <w:tr w:rsidR="000A0DBB" w:rsidRPr="0055048C" w14:paraId="1582E80F" w14:textId="77777777" w:rsidTr="00550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35F8AF4C"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SAP</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2069CA4E" w14:textId="77777777" w:rsidR="000A0DBB" w:rsidRPr="0055048C"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Systems, Applications, and Products</w:t>
            </w:r>
          </w:p>
        </w:tc>
      </w:tr>
      <w:tr w:rsidR="000A0DBB" w:rsidRPr="0055048C" w14:paraId="19F0C554" w14:textId="77777777" w:rsidTr="0055048C">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5A0D3322"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POS</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476F7538" w14:textId="77777777" w:rsidR="000A0DBB" w:rsidRPr="0055048C"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Point of Sale</w:t>
            </w:r>
          </w:p>
        </w:tc>
      </w:tr>
      <w:tr w:rsidR="000A0DBB" w:rsidRPr="0055048C" w14:paraId="436C6025" w14:textId="77777777" w:rsidTr="00550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44CEF524"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VAT</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529F46CF" w14:textId="77777777" w:rsidR="000A0DBB" w:rsidRPr="0055048C"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Value-Added Tax</w:t>
            </w:r>
          </w:p>
        </w:tc>
      </w:tr>
      <w:tr w:rsidR="000A0DBB" w:rsidRPr="0055048C" w14:paraId="03BC7081" w14:textId="77777777" w:rsidTr="0055048C">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2FB14954"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SKU</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3F56E5D8" w14:textId="77777777" w:rsidR="000A0DBB" w:rsidRPr="0055048C"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Stock-Keeping Unit</w:t>
            </w:r>
          </w:p>
        </w:tc>
      </w:tr>
      <w:tr w:rsidR="000A0DBB" w:rsidRPr="0055048C" w14:paraId="57DC15AF" w14:textId="77777777" w:rsidTr="00550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6F34C0F4"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CCPA</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55DB4467" w14:textId="77777777" w:rsidR="000A0DBB" w:rsidRPr="0055048C"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California Consumer Privacy Act</w:t>
            </w:r>
          </w:p>
        </w:tc>
      </w:tr>
      <w:tr w:rsidR="000A0DBB" w:rsidRPr="000A0DBB" w14:paraId="73E8DFFD" w14:textId="77777777" w:rsidTr="0055048C">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3138B47D" w14:textId="77777777" w:rsidR="000A0DBB" w:rsidRPr="0055048C" w:rsidRDefault="000A0DBB" w:rsidP="001211E5">
            <w:pPr>
              <w:spacing w:line="360" w:lineRule="auto"/>
              <w:jc w:val="both"/>
              <w:rPr>
                <w:rFonts w:ascii="Arial" w:eastAsia="Times New Roman" w:hAnsi="Arial" w:cs="Arial"/>
                <w:color w:val="000000" w:themeColor="text1"/>
              </w:rPr>
            </w:pPr>
            <w:r w:rsidRPr="0055048C">
              <w:rPr>
                <w:rFonts w:ascii="Arial" w:eastAsia="Times New Roman" w:hAnsi="Arial" w:cs="Arial"/>
                <w:color w:val="000000" w:themeColor="text1"/>
              </w:rPr>
              <w:t>CPRA</w:t>
            </w:r>
          </w:p>
        </w:tc>
        <w:tc>
          <w:tcPr>
            <w:tcW w:w="0" w:type="auto"/>
            <w:tc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tcBorders>
            <w:hideMark/>
          </w:tcPr>
          <w:p w14:paraId="6770F80C" w14:textId="77777777" w:rsidR="000A0DBB" w:rsidRPr="0055048C"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55048C">
              <w:rPr>
                <w:rFonts w:ascii="Arial" w:eastAsia="Times New Roman" w:hAnsi="Arial" w:cs="Arial"/>
                <w:color w:val="000000" w:themeColor="text1"/>
              </w:rPr>
              <w:t>California Privacy Rights Act</w:t>
            </w:r>
          </w:p>
        </w:tc>
      </w:tr>
    </w:tbl>
    <w:p w14:paraId="47E5E1E0" w14:textId="21A1264E" w:rsidR="000A0DBB" w:rsidRPr="000A0DBB" w:rsidRDefault="0055048C" w:rsidP="001211E5">
      <w:pPr>
        <w:spacing w:line="360" w:lineRule="auto"/>
        <w:jc w:val="both"/>
        <w:rPr>
          <w:rFonts w:ascii="Arial" w:eastAsia="Times New Roman" w:hAnsi="Arial" w:cs="Arial"/>
          <w:b/>
          <w:bCs/>
          <w:color w:val="000000" w:themeColor="text1"/>
          <w:sz w:val="22"/>
          <w:szCs w:val="22"/>
        </w:rPr>
      </w:pPr>
      <w:r>
        <w:rPr>
          <w:rFonts w:ascii="Arial" w:eastAsia="Times New Roman" w:hAnsi="Arial" w:cs="Arial"/>
          <w:b/>
          <w:bCs/>
          <w:color w:val="000000" w:themeColor="text1"/>
          <w:sz w:val="22"/>
          <w:szCs w:val="22"/>
        </w:rPr>
        <w:br w:type="textWrapping" w:clear="all"/>
      </w:r>
      <w:r w:rsidR="000A0DBB" w:rsidRPr="000A0DBB">
        <w:rPr>
          <w:rFonts w:ascii="Arial" w:eastAsia="Times New Roman" w:hAnsi="Arial" w:cs="Arial"/>
          <w:b/>
          <w:bCs/>
          <w:color w:val="000000" w:themeColor="text1"/>
          <w:sz w:val="22"/>
          <w:szCs w:val="22"/>
        </w:rPr>
        <w:br w:type="page"/>
      </w:r>
    </w:p>
    <w:p w14:paraId="591716AE" w14:textId="77777777" w:rsidR="000A0DBB" w:rsidRPr="0055048C" w:rsidRDefault="000A0DBB" w:rsidP="001211E5">
      <w:pPr>
        <w:pStyle w:val="Heading1"/>
        <w:spacing w:line="360" w:lineRule="auto"/>
        <w:jc w:val="both"/>
        <w:rPr>
          <w:rFonts w:ascii="Arial" w:hAnsi="Arial" w:cs="Arial"/>
          <w:sz w:val="22"/>
          <w:szCs w:val="22"/>
        </w:rPr>
      </w:pPr>
      <w:bookmarkStart w:id="3" w:name="_Toc204707779"/>
      <w:r w:rsidRPr="0055048C">
        <w:rPr>
          <w:rFonts w:ascii="Arial" w:hAnsi="Arial" w:cs="Arial"/>
          <w:sz w:val="22"/>
          <w:szCs w:val="22"/>
        </w:rPr>
        <w:lastRenderedPageBreak/>
        <w:t>1.0. Introduction</w:t>
      </w:r>
      <w:bookmarkEnd w:id="3"/>
    </w:p>
    <w:p w14:paraId="65CDF5EA" w14:textId="77777777" w:rsidR="000A0DBB" w:rsidRPr="0055048C" w:rsidRDefault="000A0DBB" w:rsidP="001211E5">
      <w:pPr>
        <w:pStyle w:val="Heading2"/>
        <w:spacing w:line="360" w:lineRule="auto"/>
        <w:jc w:val="both"/>
        <w:rPr>
          <w:rFonts w:ascii="Arial" w:hAnsi="Arial" w:cs="Arial"/>
          <w:sz w:val="22"/>
          <w:szCs w:val="22"/>
        </w:rPr>
      </w:pPr>
      <w:bookmarkStart w:id="4" w:name="_Toc204707780"/>
      <w:r w:rsidRPr="0055048C">
        <w:rPr>
          <w:rFonts w:ascii="Arial" w:hAnsi="Arial" w:cs="Arial"/>
          <w:sz w:val="22"/>
          <w:szCs w:val="22"/>
        </w:rPr>
        <w:t>1.1. Background</w:t>
      </w:r>
      <w:bookmarkEnd w:id="4"/>
    </w:p>
    <w:p w14:paraId="295FF0A5" w14:textId="77777777" w:rsidR="000A0DBB" w:rsidRPr="000A0DBB" w:rsidRDefault="000A0DBB" w:rsidP="001211E5">
      <w:pPr>
        <w:spacing w:line="360" w:lineRule="auto"/>
        <w:ind w:firstLine="720"/>
        <w:jc w:val="both"/>
        <w:rPr>
          <w:rFonts w:ascii="Arial" w:eastAsia="Times New Roman" w:hAnsi="Arial" w:cs="Arial"/>
          <w:color w:val="000000" w:themeColor="text1"/>
          <w:sz w:val="22"/>
          <w:szCs w:val="22"/>
        </w:rPr>
      </w:pPr>
      <w:r w:rsidRPr="000A0DBB">
        <w:rPr>
          <w:rFonts w:ascii="Arial" w:eastAsia="Times New Roman" w:hAnsi="Arial" w:cs="Arial"/>
          <w:color w:val="000000" w:themeColor="text1"/>
          <w:sz w:val="22"/>
          <w:szCs w:val="22"/>
        </w:rPr>
        <w:t>In the last ten years, digitalisation has changed the retail imprints in various parts of the world. Specifically, demand forecasting, inventory optimisation, and personal customer involvement are now based on artificial intelligence (AI). Nevertheless, the strategic importance of AI is significantly different in different regions. Among the major omnichannel retailers in North America, enhanced predictive analytics engines are implemented to facilitate proactive pricing and supply chains (see Fig. 1 and Fig. 2). In contrast, South American companies regularly use AI to fill infrastructure deficiencies and increase last-mile fulfilment. Asian players, on the other hand, combine AI-powered customer insight engines and lightning-fast delivery models to seize high-growth markets. Although there is an evident operational benefit, the academic literature does not pay much attention to AI’s influence on strategic decision-making among mid-sized omnichannel retailers in various national contexts (Oosthuizen et al. 2021, p. 264). The existing studies are either based on technical implementations or reference individual country case studies. Thus, there is a gap in the availability of cross-regional enablers and barriers. In particular, it is not yet clear how organisational variables, including but not limited to the maturity of data infrastructure, leadership buy-in, and cultural norms, determine the effect of AI. This paper fills that gap by analysing the strategic implications of AI on mid-sized retail companies in North America, South America, and Asia. The study will make a comparative framework based on quantitative performance metrics (forecast accuracy, stock-out rates, and carrying costs). This model outlines the organisational and national moderators of AI success. The resultant guidelines are intended to assist executives in matching AI investment with long-term corporate goals.</w:t>
      </w:r>
    </w:p>
    <w:p w14:paraId="609FAD3A" w14:textId="77777777" w:rsidR="000A0DBB" w:rsidRDefault="000A0DBB" w:rsidP="001211E5">
      <w:pPr>
        <w:spacing w:line="360" w:lineRule="auto"/>
        <w:ind w:firstLine="720"/>
        <w:jc w:val="both"/>
        <w:rPr>
          <w:rFonts w:ascii="Arial" w:eastAsia="Times New Roman" w:hAnsi="Arial" w:cs="Arial"/>
          <w:color w:val="000000" w:themeColor="text1"/>
          <w:sz w:val="22"/>
          <w:szCs w:val="22"/>
        </w:rPr>
      </w:pPr>
      <w:r w:rsidRPr="000A0DBB">
        <w:rPr>
          <w:rFonts w:ascii="Arial" w:eastAsia="Times New Roman" w:hAnsi="Arial" w:cs="Arial"/>
          <w:color w:val="000000" w:themeColor="text1"/>
          <w:sz w:val="22"/>
          <w:szCs w:val="22"/>
        </w:rPr>
        <w:t> Subsequent sections introduce the paper’s aim, objectives, and research questions, followed by a review of regional literature. Thereafter, a methodology and conceptual framework based on mixed methods are presented. Findings will be reported, and implications and practical recommendations will be presented later.</w:t>
      </w:r>
    </w:p>
    <w:p w14:paraId="2604B92E" w14:textId="77777777" w:rsidR="0055048C" w:rsidRDefault="0055048C" w:rsidP="001211E5">
      <w:pPr>
        <w:spacing w:line="360" w:lineRule="auto"/>
        <w:ind w:firstLine="720"/>
        <w:jc w:val="both"/>
        <w:rPr>
          <w:rFonts w:ascii="Arial" w:eastAsia="Times New Roman" w:hAnsi="Arial" w:cs="Arial"/>
          <w:color w:val="000000" w:themeColor="text1"/>
          <w:sz w:val="22"/>
          <w:szCs w:val="22"/>
        </w:rPr>
      </w:pPr>
    </w:p>
    <w:p w14:paraId="3BAFA6B3" w14:textId="77777777" w:rsidR="0055048C" w:rsidRDefault="0055048C" w:rsidP="001211E5">
      <w:pPr>
        <w:spacing w:line="360" w:lineRule="auto"/>
        <w:ind w:firstLine="720"/>
        <w:jc w:val="both"/>
        <w:rPr>
          <w:rFonts w:ascii="Arial" w:eastAsia="Times New Roman" w:hAnsi="Arial" w:cs="Arial"/>
          <w:color w:val="000000" w:themeColor="text1"/>
          <w:sz w:val="22"/>
          <w:szCs w:val="22"/>
        </w:rPr>
      </w:pPr>
    </w:p>
    <w:p w14:paraId="2C3FE576" w14:textId="77777777" w:rsidR="0055048C" w:rsidRDefault="0055048C" w:rsidP="001211E5">
      <w:pPr>
        <w:spacing w:line="360" w:lineRule="auto"/>
        <w:ind w:firstLine="720"/>
        <w:jc w:val="both"/>
        <w:rPr>
          <w:rFonts w:ascii="Arial" w:eastAsia="Times New Roman" w:hAnsi="Arial" w:cs="Arial"/>
          <w:color w:val="000000" w:themeColor="text1"/>
          <w:sz w:val="22"/>
          <w:szCs w:val="22"/>
        </w:rPr>
      </w:pPr>
    </w:p>
    <w:p w14:paraId="457CFEB4" w14:textId="77777777" w:rsidR="0055048C" w:rsidRDefault="0055048C" w:rsidP="001211E5">
      <w:pPr>
        <w:spacing w:line="360" w:lineRule="auto"/>
        <w:ind w:firstLine="720"/>
        <w:jc w:val="both"/>
        <w:rPr>
          <w:rFonts w:ascii="Arial" w:eastAsia="Times New Roman" w:hAnsi="Arial" w:cs="Arial"/>
          <w:color w:val="000000" w:themeColor="text1"/>
          <w:sz w:val="22"/>
          <w:szCs w:val="22"/>
        </w:rPr>
      </w:pPr>
    </w:p>
    <w:p w14:paraId="54910C40" w14:textId="77777777" w:rsidR="0055048C" w:rsidRDefault="0055048C" w:rsidP="001211E5">
      <w:pPr>
        <w:spacing w:line="360" w:lineRule="auto"/>
        <w:ind w:firstLine="720"/>
        <w:jc w:val="both"/>
        <w:rPr>
          <w:rFonts w:ascii="Arial" w:eastAsia="Times New Roman" w:hAnsi="Arial" w:cs="Arial"/>
          <w:color w:val="000000" w:themeColor="text1"/>
          <w:sz w:val="22"/>
          <w:szCs w:val="22"/>
        </w:rPr>
      </w:pPr>
    </w:p>
    <w:p w14:paraId="5B1D76D4" w14:textId="77777777" w:rsidR="0055048C" w:rsidRPr="000A0DBB" w:rsidRDefault="0055048C" w:rsidP="001211E5">
      <w:pPr>
        <w:spacing w:line="360" w:lineRule="auto"/>
        <w:ind w:firstLine="720"/>
        <w:jc w:val="both"/>
        <w:rPr>
          <w:rFonts w:ascii="Arial" w:eastAsia="Times New Roman" w:hAnsi="Arial" w:cs="Arial"/>
          <w:color w:val="000000" w:themeColor="text1"/>
          <w:sz w:val="22"/>
          <w:szCs w:val="22"/>
        </w:rPr>
      </w:pPr>
    </w:p>
    <w:p w14:paraId="68C56841" w14:textId="77777777" w:rsidR="000A0DBB" w:rsidRPr="0055048C" w:rsidRDefault="000A0DBB" w:rsidP="001211E5">
      <w:pPr>
        <w:pStyle w:val="Heading3"/>
        <w:spacing w:line="360" w:lineRule="auto"/>
        <w:jc w:val="both"/>
        <w:rPr>
          <w:rFonts w:ascii="Arial" w:hAnsi="Arial" w:cs="Arial"/>
          <w:sz w:val="22"/>
          <w:szCs w:val="22"/>
        </w:rPr>
      </w:pPr>
      <w:bookmarkStart w:id="5" w:name="_Toc204707781"/>
      <w:r w:rsidRPr="0055048C">
        <w:rPr>
          <w:rStyle w:val="Strong"/>
          <w:rFonts w:ascii="Arial" w:hAnsi="Arial" w:cs="Arial"/>
          <w:b w:val="0"/>
          <w:bCs w:val="0"/>
          <w:sz w:val="22"/>
          <w:szCs w:val="22"/>
        </w:rPr>
        <w:lastRenderedPageBreak/>
        <w:t>1.2. Aim</w:t>
      </w:r>
      <w:bookmarkEnd w:id="5"/>
    </w:p>
    <w:p w14:paraId="783D6BD0" w14:textId="77777777" w:rsidR="000A0DBB" w:rsidRPr="000A0DBB" w:rsidRDefault="000A0DBB" w:rsidP="001211E5">
      <w:pPr>
        <w:pStyle w:val="NormalWeb"/>
        <w:numPr>
          <w:ilvl w:val="0"/>
          <w:numId w:val="44"/>
        </w:numPr>
        <w:spacing w:before="0" w:beforeAutospacing="0" w:after="0" w:afterAutospacing="0" w:line="360" w:lineRule="auto"/>
        <w:jc w:val="both"/>
        <w:rPr>
          <w:rFonts w:ascii="Arial" w:hAnsi="Arial" w:cs="Arial"/>
          <w:color w:val="000000" w:themeColor="text1"/>
          <w:sz w:val="22"/>
          <w:szCs w:val="22"/>
          <w:lang w:val="en-GB"/>
        </w:rPr>
      </w:pPr>
      <w:r w:rsidRPr="000A0DBB">
        <w:rPr>
          <w:rFonts w:ascii="Arial" w:hAnsi="Arial" w:cs="Arial"/>
          <w:color w:val="000000" w:themeColor="text1"/>
          <w:sz w:val="22"/>
          <w:szCs w:val="22"/>
        </w:rPr>
        <w:t>To assess the impact of AI implementation on strategic choice and strategic positioning of mid-sized omnichannel retail companies in North America, South America, and Asia.</w:t>
      </w:r>
    </w:p>
    <w:p w14:paraId="675E0179" w14:textId="77777777" w:rsidR="000A0DBB" w:rsidRPr="0058057B" w:rsidRDefault="000A0DBB" w:rsidP="001211E5">
      <w:pPr>
        <w:pStyle w:val="Heading3"/>
        <w:spacing w:line="360" w:lineRule="auto"/>
        <w:jc w:val="both"/>
        <w:rPr>
          <w:rFonts w:ascii="Arial" w:hAnsi="Arial" w:cs="Arial"/>
          <w:sz w:val="22"/>
          <w:szCs w:val="22"/>
        </w:rPr>
      </w:pPr>
      <w:bookmarkStart w:id="6" w:name="_Toc204707782"/>
      <w:r w:rsidRPr="0058057B">
        <w:rPr>
          <w:rStyle w:val="Strong"/>
          <w:rFonts w:ascii="Arial" w:hAnsi="Arial" w:cs="Arial"/>
          <w:b w:val="0"/>
          <w:bCs w:val="0"/>
          <w:sz w:val="22"/>
          <w:szCs w:val="22"/>
        </w:rPr>
        <w:t>1.3. Objectives</w:t>
      </w:r>
      <w:bookmarkEnd w:id="6"/>
    </w:p>
    <w:p w14:paraId="1C6B62FD" w14:textId="77777777" w:rsidR="000A0DBB" w:rsidRPr="000A0DBB" w:rsidRDefault="000A0DBB" w:rsidP="001211E5">
      <w:pPr>
        <w:pStyle w:val="NormalWeb"/>
        <w:numPr>
          <w:ilvl w:val="0"/>
          <w:numId w:val="46"/>
        </w:numPr>
        <w:spacing w:before="0" w:beforeAutospacing="0" w:after="0" w:afterAutospacing="0"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To investigate AI’s tactics and strategy support use in mid-sized retailers and omnichannel retailers.</w:t>
      </w:r>
    </w:p>
    <w:p w14:paraId="5EC14A31" w14:textId="77777777" w:rsidR="000A0DBB" w:rsidRPr="000A0DBB" w:rsidRDefault="000A0DBB" w:rsidP="001211E5">
      <w:pPr>
        <w:pStyle w:val="NormalWeb"/>
        <w:numPr>
          <w:ilvl w:val="0"/>
          <w:numId w:val="46"/>
        </w:numPr>
        <w:spacing w:before="0" w:beforeAutospacing="0" w:after="0" w:afterAutospacing="0"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To understand national moderators and inhibitors of adopting AI in North America, South America, and Asia with differing levels of market maturity, data privacy laws, and cultural views.</w:t>
      </w:r>
    </w:p>
    <w:p w14:paraId="3848222D" w14:textId="77777777" w:rsidR="000A0DBB" w:rsidRPr="0055048C" w:rsidRDefault="000A0DBB" w:rsidP="001211E5">
      <w:pPr>
        <w:pStyle w:val="Heading3"/>
        <w:spacing w:line="360" w:lineRule="auto"/>
        <w:jc w:val="both"/>
        <w:rPr>
          <w:rFonts w:ascii="Arial" w:hAnsi="Arial" w:cs="Arial"/>
          <w:sz w:val="22"/>
          <w:szCs w:val="22"/>
        </w:rPr>
      </w:pPr>
      <w:bookmarkStart w:id="7" w:name="_Toc204707783"/>
      <w:r w:rsidRPr="0055048C">
        <w:rPr>
          <w:rStyle w:val="Strong"/>
          <w:rFonts w:ascii="Arial" w:hAnsi="Arial" w:cs="Arial"/>
          <w:b w:val="0"/>
          <w:bCs w:val="0"/>
          <w:sz w:val="22"/>
          <w:szCs w:val="22"/>
        </w:rPr>
        <w:t>1.4. Research Questions</w:t>
      </w:r>
      <w:bookmarkEnd w:id="7"/>
    </w:p>
    <w:p w14:paraId="4253F329" w14:textId="77777777" w:rsidR="000A0DBB" w:rsidRPr="000A0DBB" w:rsidRDefault="000A0DBB" w:rsidP="001211E5">
      <w:pPr>
        <w:pStyle w:val="NormalWeb"/>
        <w:numPr>
          <w:ilvl w:val="0"/>
          <w:numId w:val="48"/>
        </w:numPr>
        <w:spacing w:before="0" w:beforeAutospacing="0" w:after="0" w:afterAutospacing="0"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What are the differences in AI use in strategic decision-making between North America, South America, and Asia?</w:t>
      </w:r>
    </w:p>
    <w:p w14:paraId="29A44B6E" w14:textId="77777777" w:rsidR="000A0DBB" w:rsidRPr="000A0DBB" w:rsidRDefault="000A0DBB" w:rsidP="001211E5">
      <w:pPr>
        <w:pStyle w:val="NormalWeb"/>
        <w:numPr>
          <w:ilvl w:val="0"/>
          <w:numId w:val="48"/>
        </w:numPr>
        <w:spacing w:before="0" w:beforeAutospacing="0" w:after="0" w:afterAutospacing="0"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What local organisational forces support and hinder the adoption of AI in mid-sized omnichannel retailers by region?</w:t>
      </w:r>
    </w:p>
    <w:p w14:paraId="1EEE8524" w14:textId="77777777" w:rsidR="000A0DBB" w:rsidRPr="000A0DBB" w:rsidRDefault="000A0DBB" w:rsidP="001211E5">
      <w:pPr>
        <w:pStyle w:val="NormalWeb"/>
        <w:numPr>
          <w:ilvl w:val="0"/>
          <w:numId w:val="48"/>
        </w:numPr>
        <w:spacing w:before="0" w:beforeAutospacing="0" w:after="0" w:afterAutospacing="0"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Which best practice models align AI potential and business objectives, especially regarding ethics, privacy, and change management?</w:t>
      </w:r>
    </w:p>
    <w:p w14:paraId="2B4E66E8"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043026AB"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57FE7F19"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24618721"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5D03ABB5"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3A6049A6"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73B901EC"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57A3FC8F"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72885775"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78E528E2" w14:textId="77777777" w:rsidR="000A0DBB" w:rsidRDefault="000A0DBB" w:rsidP="001211E5">
      <w:pPr>
        <w:pStyle w:val="Heading1"/>
        <w:spacing w:before="0" w:line="360" w:lineRule="auto"/>
        <w:jc w:val="both"/>
        <w:rPr>
          <w:rFonts w:ascii="Arial" w:eastAsia="Times New Roman" w:hAnsi="Arial" w:cs="Arial"/>
          <w:b/>
          <w:bCs/>
          <w:color w:val="000000" w:themeColor="text1"/>
          <w:sz w:val="22"/>
          <w:szCs w:val="22"/>
        </w:rPr>
      </w:pPr>
    </w:p>
    <w:p w14:paraId="422A57AD" w14:textId="77777777" w:rsidR="0058057B" w:rsidRDefault="0058057B" w:rsidP="001211E5">
      <w:pPr>
        <w:pStyle w:val="Heading1"/>
        <w:spacing w:before="0" w:line="360" w:lineRule="auto"/>
        <w:jc w:val="both"/>
        <w:rPr>
          <w:rFonts w:ascii="Arial" w:eastAsia="Times New Roman" w:hAnsi="Arial" w:cs="Arial"/>
          <w:b/>
          <w:bCs/>
          <w:color w:val="000000" w:themeColor="text1"/>
          <w:sz w:val="22"/>
          <w:szCs w:val="22"/>
        </w:rPr>
      </w:pPr>
    </w:p>
    <w:p w14:paraId="46598787" w14:textId="77777777" w:rsidR="0058057B" w:rsidRDefault="0058057B" w:rsidP="001211E5">
      <w:pPr>
        <w:jc w:val="both"/>
      </w:pPr>
    </w:p>
    <w:p w14:paraId="6DEFE976" w14:textId="77777777" w:rsidR="0058057B" w:rsidRPr="0058057B" w:rsidRDefault="0058057B" w:rsidP="001211E5">
      <w:pPr>
        <w:jc w:val="both"/>
      </w:pPr>
    </w:p>
    <w:p w14:paraId="59791ED5" w14:textId="77777777" w:rsidR="0058057B" w:rsidRPr="0058057B" w:rsidRDefault="0058057B" w:rsidP="001211E5">
      <w:pPr>
        <w:pStyle w:val="Heading1"/>
        <w:spacing w:line="360" w:lineRule="auto"/>
        <w:jc w:val="both"/>
        <w:rPr>
          <w:rFonts w:ascii="Arial" w:hAnsi="Arial" w:cs="Arial"/>
          <w:sz w:val="22"/>
          <w:szCs w:val="22"/>
        </w:rPr>
      </w:pPr>
    </w:p>
    <w:p w14:paraId="3F76892D" w14:textId="16A0A6BA" w:rsidR="000A0DBB" w:rsidRPr="0058057B" w:rsidRDefault="000A0DBB" w:rsidP="001211E5">
      <w:pPr>
        <w:pStyle w:val="Heading1"/>
        <w:spacing w:line="360" w:lineRule="auto"/>
        <w:jc w:val="both"/>
        <w:rPr>
          <w:rFonts w:ascii="Arial" w:hAnsi="Arial" w:cs="Arial"/>
          <w:sz w:val="22"/>
          <w:szCs w:val="22"/>
        </w:rPr>
      </w:pPr>
      <w:bookmarkStart w:id="8" w:name="_Toc204707784"/>
      <w:r w:rsidRPr="0058057B">
        <w:rPr>
          <w:rFonts w:ascii="Arial" w:hAnsi="Arial" w:cs="Arial"/>
          <w:sz w:val="22"/>
          <w:szCs w:val="22"/>
        </w:rPr>
        <w:t>2.0. Literature Review</w:t>
      </w:r>
      <w:bookmarkEnd w:id="8"/>
    </w:p>
    <w:p w14:paraId="417947AF" w14:textId="77777777" w:rsidR="000A0DBB" w:rsidRDefault="000A0DBB" w:rsidP="001211E5">
      <w:pPr>
        <w:spacing w:line="360" w:lineRule="auto"/>
        <w:ind w:firstLine="720"/>
        <w:jc w:val="both"/>
        <w:rPr>
          <w:rFonts w:ascii="Arial" w:hAnsi="Arial" w:cs="Arial"/>
          <w:sz w:val="22"/>
          <w:szCs w:val="22"/>
        </w:rPr>
      </w:pPr>
      <w:r w:rsidRPr="000A0DBB">
        <w:rPr>
          <w:rFonts w:ascii="Arial" w:hAnsi="Arial" w:cs="Arial"/>
          <w:sz w:val="22"/>
          <w:szCs w:val="22"/>
        </w:rPr>
        <w:t>To base our review on a sound theoretical grounding, we refer to Technology-Organisation-Environment (TOE) and the Strategic Alignment Model as two perspectives for the interpretation of the adoption of AI in mid-sized omnichannel retail. Three decisive contexts identified by the TOE framework are technological preparedness, organisational capability, and environmental strains, which define the factors and mechanisms influencing firms to adopt AI in forecasting and inventory practices. In conjunction with this, the Strategic Alignment Model also focuses on the level to which IT capabilities and business strategy are co-evolved: high alignment guarantees that investments in predictive analytics would map directly to operational and competitive advantages. Using these models, we will not only be cataloguing and listing out what retailers have introduced (chatbots, dynamic pricing engines) but also challenging, asking questions, and interrogating why some specific deployments have worked in some regions and not others, which will prepare the groundwork for our gap analysis and conceptual framework.</w:t>
      </w:r>
    </w:p>
    <w:p w14:paraId="4BA0A051" w14:textId="77777777" w:rsidR="0058057B" w:rsidRDefault="0058057B" w:rsidP="001211E5">
      <w:pPr>
        <w:spacing w:line="360" w:lineRule="auto"/>
        <w:ind w:firstLine="720"/>
        <w:jc w:val="both"/>
        <w:rPr>
          <w:rFonts w:ascii="Arial" w:hAnsi="Arial" w:cs="Arial"/>
          <w:sz w:val="22"/>
          <w:szCs w:val="22"/>
        </w:rPr>
      </w:pPr>
    </w:p>
    <w:p w14:paraId="03496519" w14:textId="77777777" w:rsidR="0058057B" w:rsidRDefault="0058057B" w:rsidP="001211E5">
      <w:pPr>
        <w:spacing w:line="360" w:lineRule="auto"/>
        <w:ind w:firstLine="720"/>
        <w:jc w:val="both"/>
        <w:rPr>
          <w:rFonts w:ascii="Arial" w:hAnsi="Arial" w:cs="Arial"/>
          <w:sz w:val="22"/>
          <w:szCs w:val="22"/>
        </w:rPr>
      </w:pPr>
    </w:p>
    <w:p w14:paraId="650900CA" w14:textId="77777777" w:rsidR="0058057B" w:rsidRDefault="0058057B" w:rsidP="001211E5">
      <w:pPr>
        <w:spacing w:line="360" w:lineRule="auto"/>
        <w:ind w:firstLine="720"/>
        <w:jc w:val="both"/>
        <w:rPr>
          <w:rFonts w:ascii="Arial" w:hAnsi="Arial" w:cs="Arial"/>
          <w:sz w:val="22"/>
          <w:szCs w:val="22"/>
        </w:rPr>
      </w:pPr>
    </w:p>
    <w:p w14:paraId="1A9CEB0E" w14:textId="77777777" w:rsidR="0058057B" w:rsidRDefault="0058057B" w:rsidP="001211E5">
      <w:pPr>
        <w:spacing w:line="360" w:lineRule="auto"/>
        <w:ind w:firstLine="720"/>
        <w:jc w:val="both"/>
        <w:rPr>
          <w:rFonts w:ascii="Arial" w:hAnsi="Arial" w:cs="Arial"/>
          <w:sz w:val="22"/>
          <w:szCs w:val="22"/>
        </w:rPr>
      </w:pPr>
    </w:p>
    <w:p w14:paraId="086EB527" w14:textId="77777777" w:rsidR="0058057B" w:rsidRDefault="0058057B" w:rsidP="001211E5">
      <w:pPr>
        <w:spacing w:line="360" w:lineRule="auto"/>
        <w:ind w:firstLine="720"/>
        <w:jc w:val="both"/>
        <w:rPr>
          <w:rFonts w:ascii="Arial" w:hAnsi="Arial" w:cs="Arial"/>
          <w:sz w:val="22"/>
          <w:szCs w:val="22"/>
        </w:rPr>
      </w:pPr>
    </w:p>
    <w:p w14:paraId="6A7A26DC" w14:textId="77777777" w:rsidR="0058057B" w:rsidRDefault="0058057B" w:rsidP="001211E5">
      <w:pPr>
        <w:spacing w:line="360" w:lineRule="auto"/>
        <w:ind w:firstLine="720"/>
        <w:jc w:val="both"/>
        <w:rPr>
          <w:rFonts w:ascii="Arial" w:hAnsi="Arial" w:cs="Arial"/>
          <w:sz w:val="22"/>
          <w:szCs w:val="22"/>
        </w:rPr>
      </w:pPr>
    </w:p>
    <w:p w14:paraId="3068C3B6" w14:textId="77777777" w:rsidR="0058057B" w:rsidRDefault="0058057B" w:rsidP="001211E5">
      <w:pPr>
        <w:spacing w:line="360" w:lineRule="auto"/>
        <w:ind w:firstLine="720"/>
        <w:jc w:val="both"/>
        <w:rPr>
          <w:rFonts w:ascii="Arial" w:hAnsi="Arial" w:cs="Arial"/>
          <w:sz w:val="22"/>
          <w:szCs w:val="22"/>
        </w:rPr>
      </w:pPr>
    </w:p>
    <w:p w14:paraId="7C3079E1" w14:textId="77777777" w:rsidR="0058057B" w:rsidRDefault="0058057B" w:rsidP="001211E5">
      <w:pPr>
        <w:spacing w:line="360" w:lineRule="auto"/>
        <w:ind w:firstLine="720"/>
        <w:jc w:val="both"/>
        <w:rPr>
          <w:rFonts w:ascii="Arial" w:hAnsi="Arial" w:cs="Arial"/>
          <w:sz w:val="22"/>
          <w:szCs w:val="22"/>
        </w:rPr>
      </w:pPr>
    </w:p>
    <w:p w14:paraId="499F459A" w14:textId="77777777" w:rsidR="0058057B" w:rsidRDefault="0058057B" w:rsidP="001211E5">
      <w:pPr>
        <w:spacing w:line="360" w:lineRule="auto"/>
        <w:ind w:firstLine="720"/>
        <w:jc w:val="both"/>
        <w:rPr>
          <w:rFonts w:ascii="Arial" w:hAnsi="Arial" w:cs="Arial"/>
          <w:sz w:val="22"/>
          <w:szCs w:val="22"/>
        </w:rPr>
      </w:pPr>
    </w:p>
    <w:p w14:paraId="3C76B4C8" w14:textId="77777777" w:rsidR="0058057B" w:rsidRDefault="0058057B" w:rsidP="001211E5">
      <w:pPr>
        <w:spacing w:line="360" w:lineRule="auto"/>
        <w:ind w:firstLine="720"/>
        <w:jc w:val="both"/>
        <w:rPr>
          <w:rFonts w:ascii="Arial" w:hAnsi="Arial" w:cs="Arial"/>
          <w:sz w:val="22"/>
          <w:szCs w:val="22"/>
        </w:rPr>
      </w:pPr>
    </w:p>
    <w:p w14:paraId="5E1C44FA" w14:textId="77777777" w:rsidR="0058057B" w:rsidRDefault="0058057B" w:rsidP="001211E5">
      <w:pPr>
        <w:spacing w:line="360" w:lineRule="auto"/>
        <w:ind w:firstLine="720"/>
        <w:jc w:val="both"/>
        <w:rPr>
          <w:rFonts w:ascii="Arial" w:hAnsi="Arial" w:cs="Arial"/>
          <w:sz w:val="22"/>
          <w:szCs w:val="22"/>
        </w:rPr>
      </w:pPr>
    </w:p>
    <w:p w14:paraId="799B99A6" w14:textId="77777777" w:rsidR="0058057B" w:rsidRDefault="0058057B" w:rsidP="001211E5">
      <w:pPr>
        <w:spacing w:line="360" w:lineRule="auto"/>
        <w:ind w:firstLine="720"/>
        <w:jc w:val="both"/>
        <w:rPr>
          <w:rFonts w:ascii="Arial" w:hAnsi="Arial" w:cs="Arial"/>
          <w:sz w:val="22"/>
          <w:szCs w:val="22"/>
        </w:rPr>
      </w:pPr>
    </w:p>
    <w:p w14:paraId="084121AF" w14:textId="77777777" w:rsidR="0058057B" w:rsidRDefault="0058057B" w:rsidP="001211E5">
      <w:pPr>
        <w:spacing w:line="360" w:lineRule="auto"/>
        <w:ind w:firstLine="720"/>
        <w:jc w:val="both"/>
        <w:rPr>
          <w:rFonts w:ascii="Arial" w:hAnsi="Arial" w:cs="Arial"/>
          <w:sz w:val="22"/>
          <w:szCs w:val="22"/>
        </w:rPr>
      </w:pPr>
    </w:p>
    <w:p w14:paraId="21EF5904" w14:textId="77777777" w:rsidR="0058057B" w:rsidRDefault="0058057B" w:rsidP="001211E5">
      <w:pPr>
        <w:spacing w:line="360" w:lineRule="auto"/>
        <w:ind w:firstLine="720"/>
        <w:jc w:val="both"/>
        <w:rPr>
          <w:rFonts w:ascii="Arial" w:hAnsi="Arial" w:cs="Arial"/>
          <w:sz w:val="22"/>
          <w:szCs w:val="22"/>
        </w:rPr>
      </w:pPr>
    </w:p>
    <w:p w14:paraId="5196254D" w14:textId="77777777" w:rsidR="0058057B" w:rsidRDefault="0058057B" w:rsidP="001211E5">
      <w:pPr>
        <w:spacing w:line="360" w:lineRule="auto"/>
        <w:ind w:firstLine="720"/>
        <w:jc w:val="both"/>
        <w:rPr>
          <w:rFonts w:ascii="Arial" w:hAnsi="Arial" w:cs="Arial"/>
          <w:sz w:val="22"/>
          <w:szCs w:val="22"/>
        </w:rPr>
      </w:pPr>
    </w:p>
    <w:p w14:paraId="387CC89F" w14:textId="77777777" w:rsidR="0058057B" w:rsidRDefault="0058057B" w:rsidP="001211E5">
      <w:pPr>
        <w:spacing w:line="360" w:lineRule="auto"/>
        <w:ind w:firstLine="720"/>
        <w:jc w:val="both"/>
        <w:rPr>
          <w:rFonts w:ascii="Arial" w:hAnsi="Arial" w:cs="Arial"/>
          <w:sz w:val="22"/>
          <w:szCs w:val="22"/>
        </w:rPr>
      </w:pPr>
    </w:p>
    <w:p w14:paraId="536ADB7F" w14:textId="77777777" w:rsidR="0058057B" w:rsidRDefault="0058057B" w:rsidP="001211E5">
      <w:pPr>
        <w:spacing w:line="360" w:lineRule="auto"/>
        <w:ind w:firstLine="720"/>
        <w:jc w:val="both"/>
        <w:rPr>
          <w:rFonts w:ascii="Arial" w:hAnsi="Arial" w:cs="Arial"/>
          <w:sz w:val="22"/>
          <w:szCs w:val="22"/>
        </w:rPr>
      </w:pPr>
    </w:p>
    <w:p w14:paraId="7DD48A3A" w14:textId="77777777" w:rsidR="0058057B" w:rsidRPr="000A0DBB" w:rsidRDefault="0058057B" w:rsidP="001211E5">
      <w:pPr>
        <w:spacing w:line="360" w:lineRule="auto"/>
        <w:ind w:firstLine="720"/>
        <w:jc w:val="both"/>
        <w:rPr>
          <w:rFonts w:ascii="Arial" w:hAnsi="Arial" w:cs="Arial"/>
          <w:sz w:val="22"/>
          <w:szCs w:val="22"/>
        </w:rPr>
      </w:pPr>
    </w:p>
    <w:p w14:paraId="64BFD139" w14:textId="77777777" w:rsidR="000A0DBB" w:rsidRPr="0058057B" w:rsidRDefault="000A0DBB" w:rsidP="001211E5">
      <w:pPr>
        <w:pStyle w:val="Heading2"/>
        <w:spacing w:line="360" w:lineRule="auto"/>
        <w:jc w:val="both"/>
        <w:rPr>
          <w:rFonts w:ascii="Arial" w:hAnsi="Arial" w:cs="Arial"/>
          <w:sz w:val="22"/>
          <w:szCs w:val="22"/>
        </w:rPr>
      </w:pPr>
      <w:bookmarkStart w:id="9" w:name="_Toc204707785"/>
      <w:r w:rsidRPr="0058057B">
        <w:rPr>
          <w:rFonts w:ascii="Arial" w:hAnsi="Arial" w:cs="Arial"/>
          <w:sz w:val="22"/>
          <w:szCs w:val="22"/>
        </w:rPr>
        <w:lastRenderedPageBreak/>
        <w:t>2.1 AI Adoption in North America</w:t>
      </w:r>
      <w:bookmarkEnd w:id="9"/>
    </w:p>
    <w:p w14:paraId="2DCA70F1"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Chen, Le, and Florence (2021, p. 1525) present evidence that AI-powered chatbots enhance online retail’s extrinsic and intrinsic attributes to an immensely empirical degree. Using a sample of 425 e-retail users, they established that the usability of a chatbot, by determining how easily customers can navigate conversational interfaces, contributes to functional benefits in speed and accuracy of task completion. In contrast, responsiveness, the user understanding and responding to requests sensibly, leads to emotional satisfaction and trust. Notably, the authors note personality as a major moderating factor: users who are very open to the experience generate more extrinsic utility from chatbot usability. In contrast, more conscientious users will be happier with responsiveness. These results highlight the dual operational and emotional routes that chatbots may help to promote strategic goals such as customer retention and brand differentiation.</w:t>
      </w:r>
    </w:p>
    <w:p w14:paraId="4A5BA358"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Platforming on those insights, Chen and Shang (2021, p. 5098) resort to unmanned, self-service kiosks, using a design science methodology and combining it with action research to narrow rule-based knowledge sets within an autonomous retail environment. Their minor step-by-step improvements to the kiosk interface, such as easier-to-use menus and simplifying prompt payment, resulted in an 18% perceived convenience increase because of customer survey results and computer logs.</w:t>
      </w:r>
    </w:p>
    <w:p w14:paraId="38963FFC" w14:textId="173D93B6"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Granted, the scope of the study is expanded to omnichannel settings, as described by Ghosh, Ness, and Salunkhe (2024, p. 333), who examine AI-powered chatbots on web, mobile, and in-store messaging platforms in British and US retailers. Quantitatively, they have shown a decreased service response time by 25 percent and a 15 percent increase in customer satisfaction ratings upon implementation. Ghosh et al. (2024, pp. 340-314) warn that such improvements will face ethical shortcomings unless there is a clear audit on bias</w:t>
      </w:r>
      <w:r w:rsidR="0058057B">
        <w:rPr>
          <w:rFonts w:ascii="Arial" w:eastAsia="Times New Roman" w:hAnsi="Arial" w:cs="Arial"/>
          <w:sz w:val="22"/>
          <w:szCs w:val="22"/>
          <w:lang w:val="en-US"/>
        </w:rPr>
        <w:t xml:space="preserve"> </w:t>
      </w:r>
      <w:r w:rsidRPr="000A0DBB">
        <w:rPr>
          <w:rFonts w:ascii="Arial" w:eastAsia="Times New Roman" w:hAnsi="Arial" w:cs="Arial"/>
          <w:sz w:val="22"/>
          <w:szCs w:val="22"/>
          <w:lang w:val="en-US"/>
        </w:rPr>
        <w:t>regularly checking language processing models on their diversity-blind balance.</w:t>
      </w:r>
    </w:p>
    <w:p w14:paraId="7721784A"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Cherukuri (2024, p. 3116) explores collaborative filtering-based recommendation systems using AI. He demonstrates that micro-community segmentation, the division of users into groups with similar behaviour in subtle aspects, can increase the average order value in retail by up to 20 percent.</w:t>
      </w:r>
    </w:p>
    <w:p w14:paraId="5A10B59A"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 xml:space="preserve">Du and Xie (2021, p. 961) discuss the ethical pitfalls of multi-functional AI products, as their versatile nature generates unwanted outcomes such as the bias of algorithms in credit score modules or privacy violations through undeclared means of data collection. They suggest a stakeholder theory of responsible AI, mandatory transparency of algorithmic logic, and consumer opt-out. To supplement this, Dwivedi et al. (2021, p. 101994) provide a multidisciplinary perspective on responsible AI, describing accountability, transparency, and </w:t>
      </w:r>
      <w:r w:rsidRPr="000A0DBB">
        <w:rPr>
          <w:rFonts w:ascii="Arial" w:eastAsia="Times New Roman" w:hAnsi="Arial" w:cs="Arial"/>
          <w:sz w:val="22"/>
          <w:szCs w:val="22"/>
          <w:lang w:val="en-US"/>
        </w:rPr>
        <w:lastRenderedPageBreak/>
        <w:t>cross-sector collaboration as the pillars supporting ethical safeguards and innovation plates, preconditions of the inclusion of AI in long-term strategic planning.</w:t>
      </w:r>
    </w:p>
    <w:p w14:paraId="4E13C56A"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Mohan (2021, p. 195) discusses technological developments in the history of AI in retailing in North America. These include barcode scanning and the current predictive analytics systems. The author states that there is a strategic turn in automation agendas. Earlier technology users primarily focused on reducing labour. In contrast, modern automation initiatives started aiming increasingly at the improvement of customer experience and differentiation of brands in the existing market.</w:t>
      </w:r>
    </w:p>
    <w:p w14:paraId="67893FA2" w14:textId="77777777" w:rsid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Onesi Ozigagun et al. (2024, p. 19) state that AI-driven decision-making systems can be combined with Enterprise Resource Planning (ERP) and Customer Relationship Management (CRM) platforms. This can help minimise excessive inventory by allowing real-time adjustments to forecasts of multiple retail processes. The approach will enable retailers to synchronise tactical processes to business goals.</w:t>
      </w:r>
    </w:p>
    <w:p w14:paraId="707EFB8B"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4FEC69D0"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4A589C70" w14:textId="4146938E" w:rsidR="0058057B" w:rsidRPr="0058057B" w:rsidRDefault="0058057B" w:rsidP="001211E5">
      <w:pPr>
        <w:pStyle w:val="Caption"/>
        <w:spacing w:line="360" w:lineRule="auto"/>
        <w:jc w:val="both"/>
        <w:rPr>
          <w:rFonts w:ascii="Arial" w:eastAsia="Times New Roman" w:hAnsi="Arial" w:cs="Arial"/>
          <w:sz w:val="22"/>
          <w:szCs w:val="22"/>
          <w:lang w:val="en-US"/>
        </w:rPr>
      </w:pPr>
      <w:bookmarkStart w:id="10" w:name="_Toc204703575"/>
      <w:r w:rsidRPr="0058057B">
        <w:rPr>
          <w:rFonts w:ascii="Arial" w:hAnsi="Arial" w:cs="Arial"/>
          <w:sz w:val="22"/>
          <w:szCs w:val="22"/>
        </w:rPr>
        <w:t xml:space="preserve">Figure </w:t>
      </w:r>
      <w:r w:rsidRPr="0058057B">
        <w:rPr>
          <w:rFonts w:ascii="Arial" w:hAnsi="Arial" w:cs="Arial"/>
          <w:sz w:val="22"/>
          <w:szCs w:val="22"/>
        </w:rPr>
        <w:fldChar w:fldCharType="begin"/>
      </w:r>
      <w:r w:rsidRPr="0058057B">
        <w:rPr>
          <w:rFonts w:ascii="Arial" w:hAnsi="Arial" w:cs="Arial"/>
          <w:sz w:val="22"/>
          <w:szCs w:val="22"/>
        </w:rPr>
        <w:instrText xml:space="preserve"> SEQ Figure \* ARABIC </w:instrText>
      </w:r>
      <w:r w:rsidRPr="0058057B">
        <w:rPr>
          <w:rFonts w:ascii="Arial" w:hAnsi="Arial" w:cs="Arial"/>
          <w:sz w:val="22"/>
          <w:szCs w:val="22"/>
        </w:rPr>
        <w:fldChar w:fldCharType="separate"/>
      </w:r>
      <w:r w:rsidR="00577BE7">
        <w:rPr>
          <w:rFonts w:ascii="Arial" w:hAnsi="Arial" w:cs="Arial"/>
          <w:noProof/>
          <w:sz w:val="22"/>
          <w:szCs w:val="22"/>
        </w:rPr>
        <w:t>1</w:t>
      </w:r>
      <w:r w:rsidRPr="0058057B">
        <w:rPr>
          <w:rFonts w:ascii="Arial" w:hAnsi="Arial" w:cs="Arial"/>
          <w:sz w:val="22"/>
          <w:szCs w:val="22"/>
        </w:rPr>
        <w:fldChar w:fldCharType="end"/>
      </w:r>
      <w:r w:rsidRPr="0058057B">
        <w:rPr>
          <w:rFonts w:ascii="Arial" w:hAnsi="Arial" w:cs="Arial"/>
          <w:sz w:val="22"/>
          <w:szCs w:val="22"/>
        </w:rPr>
        <w:t>: How Netflix Uses AI</w:t>
      </w:r>
      <w:bookmarkEnd w:id="10"/>
    </w:p>
    <w:p w14:paraId="1CCE4AC4" w14:textId="03E2CD77" w:rsidR="000A0DBB" w:rsidRPr="000A0DBB" w:rsidRDefault="000A0DBB" w:rsidP="001211E5">
      <w:pPr>
        <w:keepNext/>
        <w:spacing w:line="360" w:lineRule="auto"/>
        <w:jc w:val="both"/>
        <w:rPr>
          <w:rFonts w:ascii="Arial" w:hAnsi="Arial" w:cs="Arial"/>
          <w:color w:val="000000" w:themeColor="text1"/>
          <w:sz w:val="22"/>
          <w:szCs w:val="22"/>
        </w:rPr>
      </w:pPr>
      <w:r w:rsidRPr="000A0DBB">
        <w:rPr>
          <w:rFonts w:ascii="Arial" w:hAnsi="Arial" w:cs="Arial"/>
          <w:noProof/>
          <w:color w:val="000000" w:themeColor="text1"/>
          <w:sz w:val="22"/>
          <w:szCs w:val="22"/>
        </w:rPr>
        <w:drawing>
          <wp:inline distT="0" distB="0" distL="0" distR="0" wp14:anchorId="24047FEA" wp14:editId="42F9255D">
            <wp:extent cx="5348377" cy="3743960"/>
            <wp:effectExtent l="0" t="0" r="0" b="2540"/>
            <wp:docPr id="840231021" name="Picture 6" descr="Netflix AI use c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tflix AI use ca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61497" cy="3753144"/>
                    </a:xfrm>
                    <a:prstGeom prst="rect">
                      <a:avLst/>
                    </a:prstGeom>
                    <a:noFill/>
                    <a:ln>
                      <a:noFill/>
                    </a:ln>
                  </pic:spPr>
                </pic:pic>
              </a:graphicData>
            </a:graphic>
          </wp:inline>
        </w:drawing>
      </w:r>
    </w:p>
    <w:p w14:paraId="3116F13C" w14:textId="77777777" w:rsidR="000A0DBB" w:rsidRDefault="000A0DBB" w:rsidP="001211E5">
      <w:pPr>
        <w:spacing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 xml:space="preserve">Source: </w:t>
      </w:r>
      <w:hyperlink r:id="rId9" w:history="1">
        <w:r w:rsidRPr="000A0DBB">
          <w:rPr>
            <w:rStyle w:val="Hyperlink"/>
            <w:rFonts w:ascii="Arial" w:hAnsi="Arial" w:cs="Arial"/>
            <w:sz w:val="22"/>
            <w:szCs w:val="22"/>
          </w:rPr>
          <w:t>https://www.argoid.ai/blog/netflix-ai</w:t>
        </w:r>
      </w:hyperlink>
      <w:r w:rsidRPr="000A0DBB">
        <w:rPr>
          <w:rFonts w:ascii="Arial" w:hAnsi="Arial" w:cs="Arial"/>
          <w:color w:val="000000" w:themeColor="text1"/>
          <w:sz w:val="22"/>
          <w:szCs w:val="22"/>
        </w:rPr>
        <w:t xml:space="preserve"> </w:t>
      </w:r>
    </w:p>
    <w:p w14:paraId="435BF615" w14:textId="77777777" w:rsidR="0058057B" w:rsidRPr="000A0DBB" w:rsidRDefault="0058057B" w:rsidP="001211E5">
      <w:pPr>
        <w:spacing w:line="360" w:lineRule="auto"/>
        <w:jc w:val="both"/>
        <w:rPr>
          <w:rFonts w:ascii="Arial" w:hAnsi="Arial" w:cs="Arial"/>
          <w:color w:val="000000" w:themeColor="text1"/>
          <w:sz w:val="22"/>
          <w:szCs w:val="22"/>
        </w:rPr>
      </w:pPr>
    </w:p>
    <w:p w14:paraId="58314ED5" w14:textId="77777777" w:rsidR="000A0DBB" w:rsidRPr="0058057B" w:rsidRDefault="000A0DBB" w:rsidP="001211E5">
      <w:pPr>
        <w:pStyle w:val="Heading2"/>
        <w:spacing w:line="360" w:lineRule="auto"/>
        <w:jc w:val="both"/>
        <w:rPr>
          <w:rFonts w:ascii="Arial" w:eastAsia="Times New Roman" w:hAnsi="Arial" w:cs="Arial"/>
          <w:sz w:val="22"/>
          <w:szCs w:val="22"/>
          <w:lang w:val="en-US"/>
        </w:rPr>
      </w:pPr>
      <w:bookmarkStart w:id="11" w:name="_Toc204707786"/>
      <w:r w:rsidRPr="0058057B">
        <w:rPr>
          <w:rFonts w:ascii="Arial" w:eastAsia="Times New Roman" w:hAnsi="Arial" w:cs="Arial"/>
          <w:sz w:val="22"/>
          <w:szCs w:val="22"/>
          <w:lang w:val="en-US"/>
        </w:rPr>
        <w:lastRenderedPageBreak/>
        <w:t>2.1.1 North America—Theory Integration</w:t>
      </w:r>
      <w:bookmarkEnd w:id="11"/>
    </w:p>
    <w:p w14:paraId="76AA1884" w14:textId="77777777" w:rsid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The effects of chatbots (Chen et al. 2021), the achievement of which recognised two types of operational and emotional advantages (Chen et al. 2021) included in the Strategic Alignment Model. The change in kiosks (Chen and Shang 2021), with identified improvements that were gradual (Chen and Shang 2021), also exhibits high alignment connecting IT capabilities to retail strategy. Similarly, the perspective of the stakeholder theory can explain why companies integrating AI into ERP/CRM systems (Onesi Ozigagun et al. 2024) have a wider executive buy-in: a variety of internal and external stakeholders co-develop the systems of decision-making, increasing the level of efficiency and brand differentiation simultaneously.</w:t>
      </w:r>
    </w:p>
    <w:p w14:paraId="08D20CAD"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29271CA0"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0064A862"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500707A8"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706686F8"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0FA513F3"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1D097E56"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31F41CD0"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4A0B5A00"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08526B07"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0DC13B36"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46C57A16"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2B583B90"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019ABA9A"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6310762A"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36A1C3E6"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08A3E28A"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29D18C97"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308A40A0"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31B61732"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221602E0"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6E027A1A"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0C4541B4"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658C80FD"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3C8118BB"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085BC0B7" w14:textId="77777777" w:rsidR="0058057B" w:rsidRDefault="0058057B" w:rsidP="001211E5">
      <w:pPr>
        <w:spacing w:line="360" w:lineRule="auto"/>
        <w:contextualSpacing/>
        <w:jc w:val="both"/>
        <w:rPr>
          <w:rFonts w:ascii="Arial" w:eastAsia="Times New Roman" w:hAnsi="Arial" w:cs="Arial"/>
          <w:sz w:val="22"/>
          <w:szCs w:val="22"/>
          <w:lang w:val="en-US"/>
        </w:rPr>
      </w:pPr>
    </w:p>
    <w:p w14:paraId="6EEBC545" w14:textId="77777777" w:rsidR="0058057B" w:rsidRPr="000A0DBB" w:rsidRDefault="0058057B" w:rsidP="001211E5">
      <w:pPr>
        <w:spacing w:line="360" w:lineRule="auto"/>
        <w:ind w:firstLine="720"/>
        <w:contextualSpacing/>
        <w:jc w:val="both"/>
        <w:rPr>
          <w:rFonts w:ascii="Arial" w:eastAsia="Times New Roman" w:hAnsi="Arial" w:cs="Arial"/>
          <w:sz w:val="22"/>
          <w:szCs w:val="22"/>
          <w:lang w:val="en-US"/>
        </w:rPr>
      </w:pPr>
    </w:p>
    <w:p w14:paraId="767B89AB" w14:textId="77777777" w:rsidR="000A0DBB" w:rsidRPr="0058057B" w:rsidRDefault="000A0DBB" w:rsidP="001211E5">
      <w:pPr>
        <w:pStyle w:val="Heading1"/>
        <w:spacing w:line="360" w:lineRule="auto"/>
        <w:jc w:val="both"/>
        <w:rPr>
          <w:rFonts w:ascii="Arial" w:hAnsi="Arial" w:cs="Arial"/>
          <w:sz w:val="22"/>
          <w:szCs w:val="22"/>
        </w:rPr>
      </w:pPr>
      <w:bookmarkStart w:id="12" w:name="_Toc204707787"/>
      <w:r w:rsidRPr="0058057B">
        <w:rPr>
          <w:rFonts w:ascii="Arial" w:hAnsi="Arial" w:cs="Arial"/>
          <w:sz w:val="22"/>
          <w:szCs w:val="22"/>
        </w:rPr>
        <w:lastRenderedPageBreak/>
        <w:t>2.2 AI Adoption in South America</w:t>
      </w:r>
      <w:bookmarkEnd w:id="12"/>
    </w:p>
    <w:p w14:paraId="7C5D5FC6"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Espinoza and Gal Lino (2024, p. 300) show that the implementation of AI-driven inventory management systems in Peruvian fashion retail results in a significant 22 percent increase in operational efficiency but, at the same time, demonstrates the continuing disparity between efficient logistical processes and the ability to communicate that efficiency to sustainability messages.</w:t>
      </w:r>
    </w:p>
    <w:p w14:paraId="25303C79"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Expanding on regulatory dimensions, Quindimil (2024, p. 84) gives a detailed evaluation of how AI could change international trade in the Latin America and Caribbean region. He cites strict data protection regulations and a lack of integrated online governance systems as significant obstacles to cross-border data flows, thus hampering the scalability of the customs algorithms powered by AI.</w:t>
      </w:r>
    </w:p>
    <w:p w14:paraId="468CA614"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At the enterprise-level analytics, Badmus et al. (2024, p. 620) explore deploying AI-driven business intelligence tools within the SAP environment among various retailers in South America. Their quantitative work indicates that automated forecasting and real-time data dashboards can compress supply chain lead times by up to 30 percent.</w:t>
      </w:r>
    </w:p>
    <w:p w14:paraId="1CCC28FB"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Ethically, Dolganova (2021, p. 34) summarises principles meant to help eliminate this moral threat of AI-mediated customer interactions. Based on the case studies of Brazilian and Argentine retailer companies, she claims such transparency initiatives as disclosures of explainability of algorithms to maintain consumer confidence.</w:t>
      </w:r>
    </w:p>
    <w:p w14:paraId="5F4CE53F"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Rinawiyanti et al. (2025, p. 488) implemented a mixed-methods approach to implement an AI-based mobile shopping app in Chilean supermarkets progressively. Through a balance of quantitative usability measures, including an 85 percent learnability score and 80 percent efficiency rating, they noted major defects in the interface that interfere with user satisfaction due to excessively congested navigation menus and inconsistent usage of icons.</w:t>
      </w:r>
    </w:p>
    <w:p w14:paraId="24038757"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Mohammadian et al. (2024, p. 123) generated a thematic model of 35 sub-dimensions of AI application, including product design innovation to predictive maintenance of manufacturing equipment, through expert interviews with Brazilian and Argentinean industry leaders in the niche industry of sports goods retailing. They show that although automation speeds up the production process, AI-enabled business intelligence systems play the strongest strategic role in recognising new trends among consumers and feeding new lines of business.</w:t>
      </w:r>
    </w:p>
    <w:p w14:paraId="366BEC33"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Oosthuizen et al. (2021, p. 264) suggest an AI-enabled value chain framework designed around the parameters of technology, tasks, people, and organisational structure piloted in the South African retailers but has great lessons in the Latin American context. According to them, workforce upskilling and change management programs are unavoidable to close the gap between technical deployments and long-term strategic effectiveness.</w:t>
      </w:r>
    </w:p>
    <w:p w14:paraId="655120F7" w14:textId="77777777" w:rsid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lastRenderedPageBreak/>
        <w:t>Lastly, in response to bias in secondary data AI analytics, Thibault et al. (2023, p. 230568) present an Explore Confirm Analysis Workflow (ECAW), which proposes that analytic scripts should be pre-registered and analytic data sets partitioned into exploratory and confirmatory steps. Although their approach was designed within the context of European academic institutions, it can benefit South American scientists and practitioners who want to improve their AI-driven research’s transparency and reproducibility.</w:t>
      </w:r>
    </w:p>
    <w:p w14:paraId="300253C1" w14:textId="77777777" w:rsidR="0058057B" w:rsidRDefault="0058057B" w:rsidP="001211E5">
      <w:pPr>
        <w:spacing w:line="360" w:lineRule="auto"/>
        <w:ind w:firstLine="720"/>
        <w:contextualSpacing/>
        <w:jc w:val="both"/>
        <w:rPr>
          <w:rFonts w:ascii="Arial" w:eastAsia="Times New Roman" w:hAnsi="Arial" w:cs="Arial"/>
          <w:sz w:val="22"/>
          <w:szCs w:val="22"/>
          <w:lang w:val="en-US"/>
        </w:rPr>
      </w:pPr>
    </w:p>
    <w:p w14:paraId="02B33E72" w14:textId="77777777" w:rsidR="0058057B" w:rsidRPr="00C86C04" w:rsidRDefault="0058057B" w:rsidP="001211E5">
      <w:pPr>
        <w:spacing w:line="360" w:lineRule="auto"/>
        <w:contextualSpacing/>
        <w:jc w:val="both"/>
        <w:rPr>
          <w:rFonts w:ascii="Arial" w:eastAsia="Times New Roman" w:hAnsi="Arial" w:cs="Arial"/>
          <w:sz w:val="22"/>
          <w:szCs w:val="22"/>
          <w:lang w:val="en-US"/>
        </w:rPr>
      </w:pPr>
    </w:p>
    <w:p w14:paraId="16BF2C2B" w14:textId="34CBAAC2" w:rsidR="0058057B" w:rsidRPr="00C86C04" w:rsidRDefault="00C86C04" w:rsidP="001211E5">
      <w:pPr>
        <w:pStyle w:val="Caption"/>
        <w:spacing w:line="360" w:lineRule="auto"/>
        <w:jc w:val="both"/>
        <w:rPr>
          <w:rFonts w:ascii="Arial" w:eastAsia="Times New Roman" w:hAnsi="Arial" w:cs="Arial"/>
          <w:sz w:val="22"/>
          <w:szCs w:val="22"/>
          <w:lang w:val="en-US"/>
        </w:rPr>
      </w:pPr>
      <w:bookmarkStart w:id="13" w:name="_Toc204703576"/>
      <w:r w:rsidRPr="00C86C04">
        <w:rPr>
          <w:rFonts w:ascii="Arial" w:hAnsi="Arial" w:cs="Arial"/>
          <w:sz w:val="22"/>
          <w:szCs w:val="22"/>
        </w:rPr>
        <w:t xml:space="preserve">Figure </w:t>
      </w:r>
      <w:r w:rsidRPr="00C86C04">
        <w:rPr>
          <w:rFonts w:ascii="Arial" w:hAnsi="Arial" w:cs="Arial"/>
          <w:sz w:val="22"/>
          <w:szCs w:val="22"/>
        </w:rPr>
        <w:fldChar w:fldCharType="begin"/>
      </w:r>
      <w:r w:rsidRPr="00C86C04">
        <w:rPr>
          <w:rFonts w:ascii="Arial" w:hAnsi="Arial" w:cs="Arial"/>
          <w:sz w:val="22"/>
          <w:szCs w:val="22"/>
        </w:rPr>
        <w:instrText xml:space="preserve"> SEQ Figure \* ARABIC </w:instrText>
      </w:r>
      <w:r w:rsidRPr="00C86C04">
        <w:rPr>
          <w:rFonts w:ascii="Arial" w:hAnsi="Arial" w:cs="Arial"/>
          <w:sz w:val="22"/>
          <w:szCs w:val="22"/>
        </w:rPr>
        <w:fldChar w:fldCharType="separate"/>
      </w:r>
      <w:r w:rsidR="00577BE7">
        <w:rPr>
          <w:rFonts w:ascii="Arial" w:hAnsi="Arial" w:cs="Arial"/>
          <w:noProof/>
          <w:sz w:val="22"/>
          <w:szCs w:val="22"/>
        </w:rPr>
        <w:t>2</w:t>
      </w:r>
      <w:r w:rsidRPr="00C86C04">
        <w:rPr>
          <w:rFonts w:ascii="Arial" w:hAnsi="Arial" w:cs="Arial"/>
          <w:sz w:val="22"/>
          <w:szCs w:val="22"/>
        </w:rPr>
        <w:fldChar w:fldCharType="end"/>
      </w:r>
      <w:r w:rsidRPr="00C86C04">
        <w:rPr>
          <w:rFonts w:ascii="Arial" w:hAnsi="Arial" w:cs="Arial"/>
          <w:sz w:val="22"/>
          <w:szCs w:val="22"/>
        </w:rPr>
        <w:t xml:space="preserve"> : Uber AI-Based Vouchers</w:t>
      </w:r>
      <w:bookmarkEnd w:id="13"/>
    </w:p>
    <w:p w14:paraId="35968DBF" w14:textId="2355FF33" w:rsidR="000A0DBB" w:rsidRPr="000A0DBB" w:rsidRDefault="000A0DBB" w:rsidP="001211E5">
      <w:pPr>
        <w:keepNext/>
        <w:spacing w:line="360" w:lineRule="auto"/>
        <w:jc w:val="both"/>
        <w:rPr>
          <w:rFonts w:ascii="Arial" w:hAnsi="Arial" w:cs="Arial"/>
          <w:color w:val="000000" w:themeColor="text1"/>
          <w:sz w:val="22"/>
          <w:szCs w:val="22"/>
        </w:rPr>
      </w:pPr>
      <w:r w:rsidRPr="000A0DBB">
        <w:rPr>
          <w:rFonts w:ascii="Arial" w:hAnsi="Arial" w:cs="Arial"/>
          <w:noProof/>
          <w:color w:val="000000" w:themeColor="text1"/>
          <w:sz w:val="22"/>
          <w:szCs w:val="22"/>
        </w:rPr>
        <w:drawing>
          <wp:inline distT="0" distB="0" distL="0" distR="0" wp14:anchorId="5BABFF29" wp14:editId="4AFC3E1C">
            <wp:extent cx="5325374" cy="3218180"/>
            <wp:effectExtent l="0" t="0" r="0" b="0"/>
            <wp:docPr id="584384869"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7261" cy="3225363"/>
                    </a:xfrm>
                    <a:prstGeom prst="rect">
                      <a:avLst/>
                    </a:prstGeom>
                    <a:noFill/>
                    <a:ln>
                      <a:noFill/>
                    </a:ln>
                  </pic:spPr>
                </pic:pic>
              </a:graphicData>
            </a:graphic>
          </wp:inline>
        </w:drawing>
      </w:r>
    </w:p>
    <w:p w14:paraId="6BC89AB2" w14:textId="77777777" w:rsidR="000A0DBB" w:rsidRPr="000A0DBB" w:rsidRDefault="000A0DBB" w:rsidP="001211E5">
      <w:pPr>
        <w:spacing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 xml:space="preserve">Source: </w:t>
      </w:r>
      <w:hyperlink r:id="rId11" w:history="1">
        <w:r w:rsidRPr="000A0DBB">
          <w:rPr>
            <w:rStyle w:val="Hyperlink"/>
            <w:rFonts w:ascii="Arial" w:hAnsi="Arial" w:cs="Arial"/>
            <w:sz w:val="22"/>
            <w:szCs w:val="22"/>
          </w:rPr>
          <w:t>https://www.uber.com/en-GB/blog/vouchers-to-enhance-customer-experiences/</w:t>
        </w:r>
      </w:hyperlink>
      <w:r w:rsidRPr="000A0DBB">
        <w:rPr>
          <w:rFonts w:ascii="Arial" w:hAnsi="Arial" w:cs="Arial"/>
          <w:color w:val="000000" w:themeColor="text1"/>
          <w:sz w:val="22"/>
          <w:szCs w:val="22"/>
        </w:rPr>
        <w:t xml:space="preserve"> </w:t>
      </w:r>
    </w:p>
    <w:p w14:paraId="09E3955B" w14:textId="22559848" w:rsidR="000A0DBB" w:rsidRPr="00C86C04" w:rsidRDefault="000A0DBB" w:rsidP="001211E5">
      <w:pPr>
        <w:pStyle w:val="Heading2"/>
        <w:spacing w:line="360" w:lineRule="auto"/>
        <w:jc w:val="both"/>
        <w:rPr>
          <w:rFonts w:ascii="Arial" w:eastAsia="Times New Roman" w:hAnsi="Arial" w:cs="Arial"/>
          <w:sz w:val="22"/>
          <w:szCs w:val="22"/>
          <w:lang w:val="en-US"/>
        </w:rPr>
      </w:pPr>
      <w:bookmarkStart w:id="14" w:name="_Toc204707788"/>
      <w:r w:rsidRPr="00C86C04">
        <w:rPr>
          <w:rFonts w:ascii="Arial" w:eastAsia="Times New Roman" w:hAnsi="Arial" w:cs="Arial"/>
          <w:sz w:val="22"/>
          <w:szCs w:val="22"/>
          <w:lang w:val="en-US"/>
        </w:rPr>
        <w:t>2.2.1 South America—Theory Integration</w:t>
      </w:r>
      <w:bookmarkEnd w:id="14"/>
    </w:p>
    <w:p w14:paraId="7AE56CBE" w14:textId="2D3077BD" w:rsidR="000A0DBB" w:rsidRDefault="000A0DBB" w:rsidP="001211E5">
      <w:pPr>
        <w:spacing w:line="360" w:lineRule="auto"/>
        <w:ind w:firstLine="720"/>
        <w:jc w:val="both"/>
        <w:rPr>
          <w:rFonts w:ascii="Arial" w:eastAsia="Times New Roman" w:hAnsi="Arial" w:cs="Arial"/>
          <w:sz w:val="22"/>
          <w:szCs w:val="22"/>
          <w:lang w:val="en-US"/>
        </w:rPr>
      </w:pPr>
      <w:r w:rsidRPr="000A0DBB">
        <w:rPr>
          <w:rFonts w:ascii="Arial" w:eastAsia="Times New Roman" w:hAnsi="Arial" w:cs="Arial"/>
          <w:sz w:val="22"/>
          <w:szCs w:val="22"/>
          <w:lang w:val="en-US"/>
        </w:rPr>
        <w:t xml:space="preserve">Considered through the lens of the Institutional Theory, the dependency of South American retailers on the gaps in regulation and the use of external coalitions (Espinoza and Gal Lino 2024; Quindimil 2024) also demonstrates the dynamics of isomorphism, or the mimicking of AI pilots by each other </w:t>
      </w:r>
      <w:r w:rsidR="0058057B" w:rsidRPr="000A0DBB">
        <w:rPr>
          <w:rFonts w:ascii="Arial" w:eastAsia="Times New Roman" w:hAnsi="Arial" w:cs="Arial"/>
          <w:sz w:val="22"/>
          <w:szCs w:val="22"/>
          <w:lang w:val="en-US"/>
        </w:rPr>
        <w:t>to</w:t>
      </w:r>
      <w:r w:rsidRPr="000A0DBB">
        <w:rPr>
          <w:rFonts w:ascii="Arial" w:eastAsia="Times New Roman" w:hAnsi="Arial" w:cs="Arial"/>
          <w:sz w:val="22"/>
          <w:szCs w:val="22"/>
          <w:lang w:val="en-US"/>
        </w:rPr>
        <w:t xml:space="preserve"> achieve legitimacy. On the same note, the Value Chain Framework (Oosthuizen et al. 2021) notes that in the absence of workforce upskilling, technical deployments (Badmus et al. 2024) never come to fruition in the form of long-term strategic payoff.</w:t>
      </w:r>
    </w:p>
    <w:p w14:paraId="2F3083A0" w14:textId="77777777" w:rsidR="00C86C04" w:rsidRDefault="00C86C04" w:rsidP="001211E5">
      <w:pPr>
        <w:spacing w:line="360" w:lineRule="auto"/>
        <w:ind w:firstLine="720"/>
        <w:jc w:val="both"/>
        <w:rPr>
          <w:rFonts w:ascii="Arial" w:eastAsia="Times New Roman" w:hAnsi="Arial" w:cs="Arial"/>
          <w:sz w:val="22"/>
          <w:szCs w:val="22"/>
          <w:lang w:val="en-US"/>
        </w:rPr>
      </w:pPr>
    </w:p>
    <w:p w14:paraId="4E89A710" w14:textId="77777777" w:rsidR="000A0DBB" w:rsidRPr="00C86C04" w:rsidRDefault="000A0DBB" w:rsidP="001211E5">
      <w:pPr>
        <w:pStyle w:val="Heading1"/>
        <w:spacing w:line="360" w:lineRule="auto"/>
        <w:jc w:val="both"/>
        <w:rPr>
          <w:rFonts w:ascii="Arial" w:hAnsi="Arial" w:cs="Arial"/>
          <w:sz w:val="22"/>
          <w:szCs w:val="22"/>
        </w:rPr>
      </w:pPr>
      <w:bookmarkStart w:id="15" w:name="_Toc204707789"/>
      <w:r w:rsidRPr="00C86C04">
        <w:rPr>
          <w:rFonts w:ascii="Arial" w:hAnsi="Arial" w:cs="Arial"/>
          <w:sz w:val="22"/>
          <w:szCs w:val="22"/>
        </w:rPr>
        <w:lastRenderedPageBreak/>
        <w:t>2.3 AI Adoption in Asia</w:t>
      </w:r>
      <w:bookmarkEnd w:id="15"/>
    </w:p>
    <w:p w14:paraId="11DAFC30" w14:textId="36F4F0F8" w:rsidR="000A0DBB" w:rsidRPr="000A0DBB" w:rsidRDefault="000A0DBB" w:rsidP="001211E5">
      <w:pPr>
        <w:pStyle w:val="NormalWeb"/>
        <w:spacing w:before="0" w:beforeAutospacing="0" w:after="0" w:afterAutospacing="0" w:line="360" w:lineRule="auto"/>
        <w:ind w:firstLine="720"/>
        <w:contextualSpacing/>
        <w:jc w:val="both"/>
        <w:rPr>
          <w:rFonts w:ascii="Arial" w:hAnsi="Arial" w:cs="Arial"/>
          <w:sz w:val="22"/>
          <w:szCs w:val="22"/>
        </w:rPr>
      </w:pPr>
      <w:r w:rsidRPr="000A0DBB">
        <w:rPr>
          <w:rFonts w:ascii="Arial" w:hAnsi="Arial" w:cs="Arial"/>
          <w:sz w:val="22"/>
          <w:szCs w:val="22"/>
        </w:rPr>
        <w:t>Awais (2024, p. 102) demonstrates that AI-powered real-time pricing engines can boost revenue by approximately 14 percent in Pakistani retail contexts. However, he cautions that these benefits tend to erode in highly price-sensitive customer segments (pp. 105–106). Moreover, the study reveals that strategic framing of price adjustments—as limited-time offers or loyalty rewards</w:t>
      </w:r>
      <w:r w:rsidR="003B6BCB">
        <w:rPr>
          <w:rFonts w:ascii="Arial" w:hAnsi="Arial" w:cs="Arial"/>
          <w:sz w:val="22"/>
          <w:szCs w:val="22"/>
        </w:rPr>
        <w:t xml:space="preserve"> </w:t>
      </w:r>
      <w:r w:rsidRPr="000A0DBB">
        <w:rPr>
          <w:rFonts w:ascii="Arial" w:hAnsi="Arial" w:cs="Arial"/>
          <w:sz w:val="22"/>
          <w:szCs w:val="22"/>
        </w:rPr>
        <w:t>can mitigate customer backlash, thereby preserving trust even amid frequent price fluctuations. Similarly, Muthukalyani (2023, p. 49) provides evidence from Indian retail supply chains showing that AI-driven demand-forecasting models reduce stock-out events by 18 percent. In particular, the author argues that model degradation can quickly negate early operational gains without robust feedback loops.</w:t>
      </w:r>
    </w:p>
    <w:p w14:paraId="19097C15" w14:textId="77777777" w:rsidR="000A0DBB" w:rsidRPr="000A0DBB" w:rsidRDefault="000A0DBB" w:rsidP="001211E5">
      <w:pPr>
        <w:pStyle w:val="NormalWeb"/>
        <w:spacing w:before="0" w:beforeAutospacing="0" w:after="0" w:afterAutospacing="0" w:line="360" w:lineRule="auto"/>
        <w:ind w:firstLine="720"/>
        <w:contextualSpacing/>
        <w:jc w:val="both"/>
        <w:rPr>
          <w:rFonts w:ascii="Arial" w:hAnsi="Arial" w:cs="Arial"/>
          <w:sz w:val="22"/>
          <w:szCs w:val="22"/>
          <w:lang w:val="en-GB"/>
        </w:rPr>
      </w:pPr>
      <w:r w:rsidRPr="000A0DBB">
        <w:rPr>
          <w:rFonts w:ascii="Arial" w:hAnsi="Arial" w:cs="Arial"/>
          <w:sz w:val="22"/>
          <w:szCs w:val="22"/>
        </w:rPr>
        <w:t>According to Rane, Choudhary, and Rane (2024, p. 55), we can further elaborate on these findings by generalising them to companies in India and the United Kingdom and find that technological preparedness and organisational support are significant indicators of the success of using AI. They advise institutions to implement algorithmic complexity with a user-friendly interface and a complete training program.</w:t>
      </w:r>
    </w:p>
    <w:p w14:paraId="1BE9DF6A" w14:textId="77777777" w:rsidR="000A0DBB" w:rsidRPr="000A0DBB" w:rsidRDefault="000A0DBB" w:rsidP="001211E5">
      <w:pPr>
        <w:pStyle w:val="NormalWeb"/>
        <w:spacing w:before="0" w:beforeAutospacing="0" w:after="0" w:afterAutospacing="0" w:line="360" w:lineRule="auto"/>
        <w:ind w:firstLine="720"/>
        <w:contextualSpacing/>
        <w:jc w:val="both"/>
        <w:rPr>
          <w:rFonts w:ascii="Arial" w:hAnsi="Arial" w:cs="Arial"/>
          <w:sz w:val="22"/>
          <w:szCs w:val="22"/>
        </w:rPr>
      </w:pPr>
      <w:r w:rsidRPr="000A0DBB">
        <w:rPr>
          <w:rFonts w:ascii="Arial" w:hAnsi="Arial" w:cs="Arial"/>
          <w:sz w:val="22"/>
          <w:szCs w:val="22"/>
        </w:rPr>
        <w:t>Regarding small and medium-sized enterprises (SMEs), Zhang (2024, p. 18) reports that cost barriers, disproportionately large and driven by fixed costs, confront Chinese retailers in implementing AI solutions. Zhang offers to resolve these limitations through special government financing plans and models of public and publicly owned investments that can decrease initial capital costs and fund workforce re-education.</w:t>
      </w:r>
    </w:p>
    <w:p w14:paraId="762C984E" w14:textId="77777777" w:rsidR="000A0DBB" w:rsidRPr="000A0DBB" w:rsidRDefault="000A0DBB" w:rsidP="001211E5">
      <w:pPr>
        <w:pStyle w:val="NormalWeb"/>
        <w:spacing w:before="0" w:beforeAutospacing="0" w:after="0" w:afterAutospacing="0" w:line="360" w:lineRule="auto"/>
        <w:ind w:firstLine="720"/>
        <w:contextualSpacing/>
        <w:jc w:val="both"/>
        <w:rPr>
          <w:rFonts w:ascii="Arial" w:hAnsi="Arial" w:cs="Arial"/>
          <w:sz w:val="22"/>
          <w:szCs w:val="22"/>
        </w:rPr>
      </w:pPr>
      <w:r w:rsidRPr="000A0DBB">
        <w:rPr>
          <w:rFonts w:ascii="Arial" w:hAnsi="Arial" w:cs="Arial"/>
          <w:sz w:val="22"/>
          <w:szCs w:val="22"/>
        </w:rPr>
        <w:t>Regarding the supply chain cases, Pakbin et al. (2024, p. 128) discuss the application of multi-layer perceptron neural networks in an Iranian dairy firm. They suggest their model’s good demand forecasts are so accurate that they lead to significantly less inventory waste and an equivalent rise in customer fulfilment scores.</w:t>
      </w:r>
    </w:p>
    <w:p w14:paraId="27DBEE62" w14:textId="77777777" w:rsidR="000A0DBB" w:rsidRPr="000A0DBB" w:rsidRDefault="000A0DBB" w:rsidP="001211E5">
      <w:pPr>
        <w:pStyle w:val="NormalWeb"/>
        <w:spacing w:before="0" w:beforeAutospacing="0" w:after="0" w:afterAutospacing="0" w:line="360" w:lineRule="auto"/>
        <w:ind w:firstLine="720"/>
        <w:contextualSpacing/>
        <w:jc w:val="both"/>
        <w:rPr>
          <w:rFonts w:ascii="Arial" w:hAnsi="Arial" w:cs="Arial"/>
          <w:sz w:val="22"/>
          <w:szCs w:val="22"/>
        </w:rPr>
      </w:pPr>
      <w:r w:rsidRPr="000A0DBB">
        <w:rPr>
          <w:rFonts w:ascii="Arial" w:hAnsi="Arial" w:cs="Arial"/>
          <w:sz w:val="22"/>
          <w:szCs w:val="22"/>
        </w:rPr>
        <w:t>European domain Hadjitchoneva et al. (2021, p. 4) examine the adoption of the eBag supermarket’s AI-driven analytics in Bulgaria. They combine big data biplot analysis and semi-structured interviews to demonstrate how a prediction-based increase in product offer customisation results in Tonka Toy supply bottleneck-free operations and improved performance in the market.</w:t>
      </w:r>
    </w:p>
    <w:p w14:paraId="3B54FDCB" w14:textId="77777777" w:rsidR="000A0DBB" w:rsidRPr="000A0DBB" w:rsidRDefault="000A0DBB" w:rsidP="001211E5">
      <w:pPr>
        <w:pStyle w:val="NormalWeb"/>
        <w:spacing w:before="0" w:beforeAutospacing="0" w:after="0" w:afterAutospacing="0" w:line="360" w:lineRule="auto"/>
        <w:ind w:firstLine="720"/>
        <w:contextualSpacing/>
        <w:jc w:val="both"/>
        <w:rPr>
          <w:rFonts w:ascii="Arial" w:hAnsi="Arial" w:cs="Arial"/>
          <w:sz w:val="22"/>
          <w:szCs w:val="22"/>
        </w:rPr>
      </w:pPr>
      <w:r w:rsidRPr="000A0DBB">
        <w:rPr>
          <w:rFonts w:ascii="Arial" w:hAnsi="Arial" w:cs="Arial"/>
          <w:sz w:val="22"/>
          <w:szCs w:val="22"/>
        </w:rPr>
        <w:t xml:space="preserve">In methodological terms, Taherdoost (2021, p. 15) offers practical advice on choosing data collection methods in the research of AI, claiming that the correspondence between the objectives of the research and data collection methods is key to both validity and reliability. Lastly, Thibault et al. (2023, p. 230568) present an Explore-Confirm Analysis Workflow (ECAW) dedicated to decreasing analytic bias in observational artificial intelligence research by preregistering the analysis scripts and splitting data in analyses that are either exploratory </w:t>
      </w:r>
      <w:r w:rsidRPr="000A0DBB">
        <w:rPr>
          <w:rFonts w:ascii="Arial" w:hAnsi="Arial" w:cs="Arial"/>
          <w:sz w:val="22"/>
          <w:szCs w:val="22"/>
        </w:rPr>
        <w:lastRenderedPageBreak/>
        <w:t>or confirmatory. Their suggestions on transparency and procedural safeguards help reproducibility in AI-driven retail research.</w:t>
      </w:r>
    </w:p>
    <w:p w14:paraId="46992691" w14:textId="77777777" w:rsidR="000A0DBB" w:rsidRPr="00C86C04" w:rsidRDefault="000A0DBB" w:rsidP="001211E5">
      <w:pPr>
        <w:pStyle w:val="Heading2"/>
        <w:spacing w:line="360" w:lineRule="auto"/>
        <w:jc w:val="both"/>
        <w:rPr>
          <w:rFonts w:ascii="Arial" w:hAnsi="Arial" w:cs="Arial"/>
          <w:sz w:val="22"/>
          <w:szCs w:val="22"/>
        </w:rPr>
      </w:pPr>
      <w:bookmarkStart w:id="16" w:name="_Toc204707790"/>
      <w:r w:rsidRPr="00C86C04">
        <w:rPr>
          <w:rStyle w:val="Strong"/>
          <w:rFonts w:ascii="Arial" w:hAnsi="Arial" w:cs="Arial"/>
          <w:b w:val="0"/>
          <w:bCs w:val="0"/>
          <w:sz w:val="22"/>
          <w:szCs w:val="22"/>
        </w:rPr>
        <w:t>2.3.1 Theory Integration (Asia/Pacific)</w:t>
      </w:r>
      <w:bookmarkEnd w:id="16"/>
    </w:p>
    <w:p w14:paraId="7C697000" w14:textId="77777777" w:rsidR="000A0DBB" w:rsidRDefault="000A0DBB" w:rsidP="001211E5">
      <w:pPr>
        <w:pStyle w:val="NormalWeb"/>
        <w:spacing w:before="0" w:beforeAutospacing="0" w:after="0" w:afterAutospacing="0" w:line="360" w:lineRule="auto"/>
        <w:ind w:firstLine="720"/>
        <w:contextualSpacing/>
        <w:jc w:val="both"/>
        <w:rPr>
          <w:rFonts w:ascii="Arial" w:hAnsi="Arial" w:cs="Arial"/>
          <w:sz w:val="22"/>
          <w:szCs w:val="22"/>
        </w:rPr>
      </w:pPr>
      <w:r w:rsidRPr="000A0DBB">
        <w:rPr>
          <w:rFonts w:ascii="Arial" w:hAnsi="Arial" w:cs="Arial"/>
          <w:sz w:val="22"/>
          <w:szCs w:val="22"/>
        </w:rPr>
        <w:t>Using the TOE Framework, mixed results achieved in Asia/Pacific are caused by contrasting technology readiness and dissimilar environmental enablers (regulations, finance) (Awais 2024; Muthukalyani 2023). Resource-Based View (Zhang 2024) also elaborates on the poor performance of SMEs who are restricted by fixed-cost barriers, whereas bigger firms are allowed to enjoy the dynamic pricing advantage documented by Pakbin et al. (2024).</w:t>
      </w:r>
    </w:p>
    <w:p w14:paraId="40F80494" w14:textId="77777777" w:rsidR="00C86C04" w:rsidRPr="000A0DBB" w:rsidRDefault="00C86C04" w:rsidP="001211E5">
      <w:pPr>
        <w:pStyle w:val="NormalWeb"/>
        <w:spacing w:before="0" w:beforeAutospacing="0" w:after="0" w:afterAutospacing="0" w:line="360" w:lineRule="auto"/>
        <w:ind w:firstLine="720"/>
        <w:contextualSpacing/>
        <w:jc w:val="both"/>
        <w:rPr>
          <w:rFonts w:ascii="Arial" w:hAnsi="Arial" w:cs="Arial"/>
          <w:sz w:val="22"/>
          <w:szCs w:val="22"/>
        </w:rPr>
      </w:pPr>
    </w:p>
    <w:p w14:paraId="73FA9C58" w14:textId="02114339" w:rsidR="000A0DBB" w:rsidRPr="00C86C04" w:rsidRDefault="00C86C04" w:rsidP="001211E5">
      <w:pPr>
        <w:pStyle w:val="Caption"/>
        <w:spacing w:line="360" w:lineRule="auto"/>
        <w:jc w:val="both"/>
        <w:rPr>
          <w:rFonts w:ascii="Arial" w:hAnsi="Arial" w:cs="Arial"/>
          <w:color w:val="000000" w:themeColor="text1"/>
          <w:sz w:val="22"/>
          <w:szCs w:val="22"/>
        </w:rPr>
      </w:pPr>
      <w:bookmarkStart w:id="17" w:name="_Toc204703831"/>
      <w:r w:rsidRPr="00C86C04">
        <w:rPr>
          <w:rFonts w:ascii="Arial" w:hAnsi="Arial" w:cs="Arial"/>
          <w:sz w:val="22"/>
          <w:szCs w:val="22"/>
        </w:rPr>
        <w:t xml:space="preserve">Table </w:t>
      </w:r>
      <w:r w:rsidRPr="00C86C04">
        <w:rPr>
          <w:rFonts w:ascii="Arial" w:hAnsi="Arial" w:cs="Arial"/>
          <w:sz w:val="22"/>
          <w:szCs w:val="22"/>
        </w:rPr>
        <w:fldChar w:fldCharType="begin"/>
      </w:r>
      <w:r w:rsidRPr="00C86C04">
        <w:rPr>
          <w:rFonts w:ascii="Arial" w:hAnsi="Arial" w:cs="Arial"/>
          <w:sz w:val="22"/>
          <w:szCs w:val="22"/>
        </w:rPr>
        <w:instrText xml:space="preserve"> SEQ Table \* ARABIC </w:instrText>
      </w:r>
      <w:r w:rsidRPr="00C86C04">
        <w:rPr>
          <w:rFonts w:ascii="Arial" w:hAnsi="Arial" w:cs="Arial"/>
          <w:sz w:val="22"/>
          <w:szCs w:val="22"/>
        </w:rPr>
        <w:fldChar w:fldCharType="separate"/>
      </w:r>
      <w:r w:rsidR="00577BE7">
        <w:rPr>
          <w:rFonts w:ascii="Arial" w:hAnsi="Arial" w:cs="Arial"/>
          <w:noProof/>
          <w:sz w:val="22"/>
          <w:szCs w:val="22"/>
        </w:rPr>
        <w:t>1</w:t>
      </w:r>
      <w:r w:rsidRPr="00C86C04">
        <w:rPr>
          <w:rFonts w:ascii="Arial" w:hAnsi="Arial" w:cs="Arial"/>
          <w:sz w:val="22"/>
          <w:szCs w:val="22"/>
        </w:rPr>
        <w:fldChar w:fldCharType="end"/>
      </w:r>
      <w:r w:rsidRPr="00C86C04">
        <w:rPr>
          <w:rFonts w:ascii="Arial" w:hAnsi="Arial" w:cs="Arial"/>
          <w:sz w:val="22"/>
          <w:szCs w:val="22"/>
        </w:rPr>
        <w:t>: Comparative Matrix of Theoretical Lenses</w:t>
      </w:r>
      <w:bookmarkEnd w:id="17"/>
    </w:p>
    <w:tbl>
      <w:tblPr>
        <w:tblStyle w:val="PlainTable1"/>
        <w:tblW w:w="0" w:type="auto"/>
        <w:tblLook w:val="04A0" w:firstRow="1" w:lastRow="0" w:firstColumn="1" w:lastColumn="0" w:noHBand="0" w:noVBand="1"/>
      </w:tblPr>
      <w:tblGrid>
        <w:gridCol w:w="3861"/>
        <w:gridCol w:w="4104"/>
      </w:tblGrid>
      <w:tr w:rsidR="000A0DBB" w:rsidRPr="000A0DBB" w14:paraId="349B26D4" w14:textId="77777777" w:rsidTr="000A0D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4CCED5"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Study (Region)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A7ACC0"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Theoretical Lens Invoked</w:t>
            </w:r>
          </w:p>
        </w:tc>
      </w:tr>
      <w:tr w:rsidR="000A0DBB" w:rsidRPr="000A0DBB" w14:paraId="4AEEBBF7"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2D6E21"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Chen, Le &amp; Florence (2021) [NA]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E6BD0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Technology Acceptance Model</w:t>
            </w:r>
          </w:p>
        </w:tc>
      </w:tr>
      <w:tr w:rsidR="000A0DBB" w:rsidRPr="000A0DBB" w14:paraId="1CFF012A"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ADC753"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Chen &amp; Shang (2021) [NA]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CC497C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Action</w:t>
            </w:r>
            <w:r w:rsidRPr="000A0DBB">
              <w:rPr>
                <w:rFonts w:ascii="Arial" w:eastAsia="Times New Roman" w:hAnsi="Arial" w:cs="Arial"/>
              </w:rPr>
              <w:noBreakHyphen/>
              <w:t>Design Science</w:t>
            </w:r>
          </w:p>
        </w:tc>
      </w:tr>
      <w:tr w:rsidR="000A0DBB" w:rsidRPr="000A0DBB" w14:paraId="6709AE9B"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DC5C54"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Ghosh, Ness &amp; Salunkhe (2024) [NA]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CF0BF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Ethical Audit Framework</w:t>
            </w:r>
          </w:p>
        </w:tc>
      </w:tr>
      <w:tr w:rsidR="000A0DBB" w:rsidRPr="000A0DBB" w14:paraId="0EB50962"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7C67E4"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Du &amp; Xie (2021) [NA]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AA922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Stakeholder Theory</w:t>
            </w:r>
          </w:p>
        </w:tc>
      </w:tr>
      <w:tr w:rsidR="000A0DBB" w:rsidRPr="000A0DBB" w14:paraId="7196943E"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359EB6"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Espinoza &amp; Gal Lino (2024) [SA]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16891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Institutional Theory</w:t>
            </w:r>
          </w:p>
        </w:tc>
      </w:tr>
      <w:tr w:rsidR="000A0DBB" w:rsidRPr="000A0DBB" w14:paraId="58237416"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C1FAA5"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Quindimil (2024) [SA]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B969F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Regulatory Governance</w:t>
            </w:r>
          </w:p>
        </w:tc>
      </w:tr>
      <w:tr w:rsidR="000A0DBB" w:rsidRPr="000A0DBB" w14:paraId="63D2FBA4"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2948C8"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Badmus et al. (2024) [SA]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DA03D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Business Intelligence Value</w:t>
            </w:r>
            <w:r w:rsidRPr="000A0DBB">
              <w:rPr>
                <w:rFonts w:ascii="Arial" w:eastAsia="Times New Roman" w:hAnsi="Arial" w:cs="Arial"/>
              </w:rPr>
              <w:noBreakHyphen/>
              <w:t>Chain</w:t>
            </w:r>
          </w:p>
        </w:tc>
      </w:tr>
      <w:tr w:rsidR="000A0DBB" w:rsidRPr="000A0DBB" w14:paraId="4AFC1281"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0CB1EC"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Dolganova (2021) [SA]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12816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Ethical Transparency Models</w:t>
            </w:r>
          </w:p>
        </w:tc>
      </w:tr>
      <w:tr w:rsidR="000A0DBB" w:rsidRPr="000A0DBB" w14:paraId="42465A36"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5ECBE2"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Awais (2024) [APAC]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C081F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Dynamic Pricing Theory</w:t>
            </w:r>
          </w:p>
        </w:tc>
      </w:tr>
      <w:tr w:rsidR="000A0DBB" w:rsidRPr="000A0DBB" w14:paraId="704C0BB1"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FFAB07"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Muthukalyani (2023) [APAC]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50E41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Feedback</w:t>
            </w:r>
            <w:r w:rsidRPr="000A0DBB">
              <w:rPr>
                <w:rFonts w:ascii="Arial" w:eastAsia="Times New Roman" w:hAnsi="Arial" w:cs="Arial"/>
              </w:rPr>
              <w:noBreakHyphen/>
              <w:t>Loop Theory</w:t>
            </w:r>
          </w:p>
        </w:tc>
      </w:tr>
      <w:tr w:rsidR="000A0DBB" w:rsidRPr="000A0DBB" w14:paraId="17F179BF"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69795E"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Zhang (2024) [APAC]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61CC8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Resource</w:t>
            </w:r>
            <w:r w:rsidRPr="000A0DBB">
              <w:rPr>
                <w:rFonts w:ascii="Arial" w:eastAsia="Times New Roman" w:hAnsi="Arial" w:cs="Arial"/>
              </w:rPr>
              <w:noBreakHyphen/>
              <w:t>Based View</w:t>
            </w:r>
          </w:p>
        </w:tc>
      </w:tr>
      <w:tr w:rsidR="000A0DBB" w:rsidRPr="000A0DBB" w14:paraId="61AFC9F4"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D8482A"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Pakbin et al. (2024) [APAC]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553A7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Neural Network Forecasting Framework</w:t>
            </w:r>
          </w:p>
        </w:tc>
      </w:tr>
      <w:tr w:rsidR="000A0DBB" w:rsidRPr="000A0DBB" w14:paraId="40723E1E"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E38BCE"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Oosthuizen et al. (2021) [SA]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77227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Value</w:t>
            </w:r>
            <w:r w:rsidRPr="000A0DBB">
              <w:rPr>
                <w:rFonts w:ascii="Arial" w:eastAsia="Times New Roman" w:hAnsi="Arial" w:cs="Arial"/>
              </w:rPr>
              <w:noBreakHyphen/>
              <w:t>Chain Upskilling Framework</w:t>
            </w:r>
          </w:p>
        </w:tc>
      </w:tr>
      <w:tr w:rsidR="000A0DBB" w:rsidRPr="000A0DBB" w14:paraId="20614896"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C5EDA5"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Thibault et al. (2023) [SA, APAC]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3AD09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Explore–Confirm Analysis Workflow</w:t>
            </w:r>
          </w:p>
        </w:tc>
      </w:tr>
    </w:tbl>
    <w:p w14:paraId="4F2A7583" w14:textId="77777777" w:rsidR="000A0DBB" w:rsidRPr="000A0DBB" w:rsidRDefault="000A0DBB" w:rsidP="001211E5">
      <w:pPr>
        <w:spacing w:line="360" w:lineRule="auto"/>
        <w:jc w:val="both"/>
        <w:rPr>
          <w:rFonts w:ascii="Arial" w:eastAsia="Times New Roman" w:hAnsi="Arial" w:cs="Arial"/>
          <w:color w:val="000000" w:themeColor="text1"/>
          <w:sz w:val="22"/>
          <w:szCs w:val="22"/>
        </w:rPr>
      </w:pPr>
    </w:p>
    <w:p w14:paraId="43463E9A" w14:textId="77777777" w:rsidR="00C86C04" w:rsidRDefault="00C86C04" w:rsidP="001211E5">
      <w:pPr>
        <w:pStyle w:val="Heading2"/>
        <w:spacing w:before="0" w:line="360" w:lineRule="auto"/>
        <w:jc w:val="both"/>
        <w:rPr>
          <w:rFonts w:ascii="Arial" w:hAnsi="Arial" w:cs="Arial"/>
          <w:b/>
          <w:bCs/>
          <w:color w:val="000000" w:themeColor="text1"/>
          <w:sz w:val="22"/>
          <w:szCs w:val="22"/>
        </w:rPr>
      </w:pPr>
    </w:p>
    <w:p w14:paraId="3C4CF7F3" w14:textId="77777777" w:rsidR="00C86C04" w:rsidRDefault="00C86C04" w:rsidP="001211E5">
      <w:pPr>
        <w:pStyle w:val="Heading2"/>
        <w:spacing w:before="0" w:line="360" w:lineRule="auto"/>
        <w:jc w:val="both"/>
        <w:rPr>
          <w:rFonts w:ascii="Arial" w:hAnsi="Arial" w:cs="Arial"/>
          <w:b/>
          <w:bCs/>
          <w:color w:val="000000" w:themeColor="text1"/>
          <w:sz w:val="22"/>
          <w:szCs w:val="22"/>
        </w:rPr>
      </w:pPr>
    </w:p>
    <w:p w14:paraId="4102E61F" w14:textId="77777777" w:rsidR="00C86C04" w:rsidRDefault="00C86C04" w:rsidP="001211E5">
      <w:pPr>
        <w:pStyle w:val="Heading2"/>
        <w:spacing w:before="0" w:line="360" w:lineRule="auto"/>
        <w:jc w:val="both"/>
        <w:rPr>
          <w:rFonts w:ascii="Arial" w:hAnsi="Arial" w:cs="Arial"/>
          <w:b/>
          <w:bCs/>
          <w:color w:val="000000" w:themeColor="text1"/>
          <w:sz w:val="22"/>
          <w:szCs w:val="22"/>
        </w:rPr>
      </w:pPr>
    </w:p>
    <w:p w14:paraId="6AB9C7C4" w14:textId="77777777" w:rsidR="00C86C04" w:rsidRDefault="00C86C04" w:rsidP="001211E5">
      <w:pPr>
        <w:pStyle w:val="Heading2"/>
        <w:spacing w:before="0" w:line="360" w:lineRule="auto"/>
        <w:jc w:val="both"/>
        <w:rPr>
          <w:rFonts w:ascii="Arial" w:hAnsi="Arial" w:cs="Arial"/>
          <w:b/>
          <w:bCs/>
          <w:color w:val="000000" w:themeColor="text1"/>
          <w:sz w:val="22"/>
          <w:szCs w:val="22"/>
        </w:rPr>
      </w:pPr>
    </w:p>
    <w:p w14:paraId="2C8C15AF" w14:textId="77777777" w:rsidR="00C86C04" w:rsidRDefault="00C86C04" w:rsidP="001211E5">
      <w:pPr>
        <w:jc w:val="both"/>
      </w:pPr>
    </w:p>
    <w:p w14:paraId="2308A848" w14:textId="77777777" w:rsidR="00F8055A" w:rsidRPr="00C86C04" w:rsidRDefault="00F8055A" w:rsidP="001211E5">
      <w:pPr>
        <w:jc w:val="both"/>
      </w:pPr>
    </w:p>
    <w:p w14:paraId="2AEB0652" w14:textId="50E7E144" w:rsidR="000A0DBB" w:rsidRPr="00C86C04" w:rsidRDefault="000A0DBB" w:rsidP="001211E5">
      <w:pPr>
        <w:pStyle w:val="Heading1"/>
        <w:spacing w:line="360" w:lineRule="auto"/>
        <w:jc w:val="both"/>
        <w:rPr>
          <w:rFonts w:ascii="Arial" w:hAnsi="Arial" w:cs="Arial"/>
          <w:sz w:val="22"/>
          <w:szCs w:val="22"/>
        </w:rPr>
      </w:pPr>
      <w:bookmarkStart w:id="18" w:name="_Toc204707791"/>
      <w:r w:rsidRPr="00C86C04">
        <w:rPr>
          <w:rFonts w:ascii="Arial" w:hAnsi="Arial" w:cs="Arial"/>
          <w:sz w:val="22"/>
          <w:szCs w:val="22"/>
        </w:rPr>
        <w:lastRenderedPageBreak/>
        <w:t>2.4. Literature Gap and Theoretical Rationale</w:t>
      </w:r>
      <w:bookmarkEnd w:id="18"/>
    </w:p>
    <w:p w14:paraId="155E4891" w14:textId="553A63B2" w:rsidR="000A0DBB" w:rsidRPr="00C86C04" w:rsidRDefault="00C86C04" w:rsidP="001211E5">
      <w:pPr>
        <w:pStyle w:val="Caption"/>
        <w:spacing w:line="360" w:lineRule="auto"/>
        <w:jc w:val="both"/>
        <w:rPr>
          <w:rFonts w:ascii="Arial" w:hAnsi="Arial" w:cs="Arial"/>
          <w:color w:val="000000" w:themeColor="text1"/>
          <w:sz w:val="22"/>
          <w:szCs w:val="22"/>
        </w:rPr>
      </w:pPr>
      <w:bookmarkStart w:id="19" w:name="_Toc204703832"/>
      <w:r w:rsidRPr="00C86C04">
        <w:rPr>
          <w:rFonts w:ascii="Arial" w:hAnsi="Arial" w:cs="Arial"/>
          <w:sz w:val="22"/>
          <w:szCs w:val="22"/>
        </w:rPr>
        <w:t xml:space="preserve">Table </w:t>
      </w:r>
      <w:r w:rsidRPr="00C86C04">
        <w:rPr>
          <w:rFonts w:ascii="Arial" w:hAnsi="Arial" w:cs="Arial"/>
          <w:sz w:val="22"/>
          <w:szCs w:val="22"/>
        </w:rPr>
        <w:fldChar w:fldCharType="begin"/>
      </w:r>
      <w:r w:rsidRPr="00C86C04">
        <w:rPr>
          <w:rFonts w:ascii="Arial" w:hAnsi="Arial" w:cs="Arial"/>
          <w:sz w:val="22"/>
          <w:szCs w:val="22"/>
        </w:rPr>
        <w:instrText xml:space="preserve"> SEQ Table \* ARABIC </w:instrText>
      </w:r>
      <w:r w:rsidRPr="00C86C04">
        <w:rPr>
          <w:rFonts w:ascii="Arial" w:hAnsi="Arial" w:cs="Arial"/>
          <w:sz w:val="22"/>
          <w:szCs w:val="22"/>
        </w:rPr>
        <w:fldChar w:fldCharType="separate"/>
      </w:r>
      <w:r w:rsidR="00577BE7">
        <w:rPr>
          <w:rFonts w:ascii="Arial" w:hAnsi="Arial" w:cs="Arial"/>
          <w:noProof/>
          <w:sz w:val="22"/>
          <w:szCs w:val="22"/>
        </w:rPr>
        <w:t>2</w:t>
      </w:r>
      <w:r w:rsidRPr="00C86C04">
        <w:rPr>
          <w:rFonts w:ascii="Arial" w:hAnsi="Arial" w:cs="Arial"/>
          <w:sz w:val="22"/>
          <w:szCs w:val="22"/>
        </w:rPr>
        <w:fldChar w:fldCharType="end"/>
      </w:r>
      <w:r w:rsidRPr="00C86C04">
        <w:rPr>
          <w:rFonts w:ascii="Arial" w:hAnsi="Arial" w:cs="Arial"/>
          <w:sz w:val="22"/>
          <w:szCs w:val="22"/>
        </w:rPr>
        <w:t xml:space="preserve"> : Comparative Gap Analysis</w:t>
      </w:r>
      <w:bookmarkEnd w:id="19"/>
    </w:p>
    <w:tbl>
      <w:tblPr>
        <w:tblStyle w:val="TableGridLight"/>
        <w:tblW w:w="0" w:type="auto"/>
        <w:tblLook w:val="04A0" w:firstRow="1" w:lastRow="0" w:firstColumn="1" w:lastColumn="0" w:noHBand="0" w:noVBand="1"/>
      </w:tblPr>
      <w:tblGrid>
        <w:gridCol w:w="1416"/>
        <w:gridCol w:w="2971"/>
        <w:gridCol w:w="2491"/>
        <w:gridCol w:w="2132"/>
      </w:tblGrid>
      <w:tr w:rsidR="000A0DBB" w:rsidRPr="000A0DBB" w14:paraId="0DB82361" w14:textId="77777777" w:rsidTr="000A0DBB">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128ECF" w14:textId="77777777" w:rsidR="000A0DBB" w:rsidRPr="000A0DBB" w:rsidRDefault="000A0DBB" w:rsidP="001211E5">
            <w:pPr>
              <w:spacing w:line="360" w:lineRule="auto"/>
              <w:jc w:val="both"/>
              <w:rPr>
                <w:rFonts w:ascii="Arial" w:hAnsi="Arial" w:cs="Arial"/>
              </w:rPr>
            </w:pPr>
            <w:r w:rsidRPr="000A0DBB">
              <w:rPr>
                <w:rFonts w:ascii="Arial" w:hAnsi="Arial" w:cs="Arial"/>
              </w:rPr>
              <w:t>Region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FD7484" w14:textId="77777777" w:rsidR="000A0DBB" w:rsidRPr="000A0DBB" w:rsidRDefault="000A0DBB" w:rsidP="001211E5">
            <w:pPr>
              <w:spacing w:line="360" w:lineRule="auto"/>
              <w:jc w:val="both"/>
              <w:rPr>
                <w:rFonts w:ascii="Arial" w:hAnsi="Arial" w:cs="Arial"/>
              </w:rPr>
            </w:pPr>
            <w:r w:rsidRPr="000A0DBB">
              <w:rPr>
                <w:rFonts w:ascii="Arial" w:hAnsi="Arial" w:cs="Arial"/>
              </w:rPr>
              <w:t>Scope of Prior Studies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6BB336" w14:textId="77777777" w:rsidR="000A0DBB" w:rsidRPr="000A0DBB" w:rsidRDefault="000A0DBB" w:rsidP="001211E5">
            <w:pPr>
              <w:spacing w:line="360" w:lineRule="auto"/>
              <w:jc w:val="both"/>
              <w:rPr>
                <w:rFonts w:ascii="Arial" w:hAnsi="Arial" w:cs="Arial"/>
              </w:rPr>
            </w:pPr>
            <w:r w:rsidRPr="000A0DBB">
              <w:rPr>
                <w:rFonts w:ascii="Arial" w:hAnsi="Arial" w:cs="Arial"/>
              </w:rPr>
              <w:t>Methods Used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C6EE7D" w14:textId="77777777" w:rsidR="000A0DBB" w:rsidRPr="000A0DBB" w:rsidRDefault="000A0DBB" w:rsidP="001211E5">
            <w:pPr>
              <w:spacing w:line="360" w:lineRule="auto"/>
              <w:jc w:val="both"/>
              <w:rPr>
                <w:rFonts w:ascii="Arial" w:hAnsi="Arial" w:cs="Arial"/>
              </w:rPr>
            </w:pPr>
            <w:r w:rsidRPr="000A0DBB">
              <w:rPr>
                <w:rFonts w:ascii="Arial" w:hAnsi="Arial" w:cs="Arial"/>
              </w:rPr>
              <w:t>Theoretical Framing</w:t>
            </w:r>
          </w:p>
        </w:tc>
      </w:tr>
      <w:tr w:rsidR="000A0DBB" w:rsidRPr="000A0DBB" w14:paraId="7E85D26D" w14:textId="77777777" w:rsidTr="000A0DBB">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1FE5A" w14:textId="77777777" w:rsidR="000A0DBB" w:rsidRPr="000A0DBB" w:rsidRDefault="000A0DBB" w:rsidP="001211E5">
            <w:pPr>
              <w:spacing w:line="360" w:lineRule="auto"/>
              <w:jc w:val="both"/>
              <w:rPr>
                <w:rFonts w:ascii="Arial" w:hAnsi="Arial" w:cs="Arial"/>
              </w:rPr>
            </w:pPr>
            <w:r w:rsidRPr="000A0DBB">
              <w:rPr>
                <w:rFonts w:ascii="Arial" w:hAnsi="Arial" w:cs="Arial"/>
              </w:rPr>
              <w:t>North America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F7B2C9" w14:textId="77777777" w:rsidR="000A0DBB" w:rsidRPr="000A0DBB" w:rsidRDefault="000A0DBB" w:rsidP="001211E5">
            <w:pPr>
              <w:spacing w:line="360" w:lineRule="auto"/>
              <w:jc w:val="both"/>
              <w:rPr>
                <w:rFonts w:ascii="Arial" w:hAnsi="Arial" w:cs="Arial"/>
              </w:rPr>
            </w:pPr>
            <w:r w:rsidRPr="000A0DBB">
              <w:rPr>
                <w:rFonts w:ascii="Arial" w:hAnsi="Arial" w:cs="Arial"/>
              </w:rPr>
              <w:t>Chatbots</w:t>
            </w:r>
          </w:p>
          <w:p w14:paraId="3D92BF08" w14:textId="77777777" w:rsidR="000A0DBB" w:rsidRPr="000A0DBB" w:rsidRDefault="000A0DBB" w:rsidP="001211E5">
            <w:pPr>
              <w:spacing w:line="360" w:lineRule="auto"/>
              <w:jc w:val="both"/>
              <w:rPr>
                <w:rFonts w:ascii="Arial" w:hAnsi="Arial" w:cs="Arial"/>
              </w:rPr>
            </w:pPr>
            <w:r w:rsidRPr="000A0DBB">
              <w:rPr>
                <w:rFonts w:ascii="Arial" w:hAnsi="Arial" w:cs="Arial"/>
              </w:rPr>
              <w:t>Kiosks</w:t>
            </w:r>
          </w:p>
          <w:p w14:paraId="41B772F8" w14:textId="77777777" w:rsidR="000A0DBB" w:rsidRPr="000A0DBB" w:rsidRDefault="000A0DBB" w:rsidP="003F13D5">
            <w:pPr>
              <w:spacing w:line="360" w:lineRule="auto"/>
              <w:rPr>
                <w:rFonts w:ascii="Arial" w:hAnsi="Arial" w:cs="Arial"/>
              </w:rPr>
            </w:pPr>
            <w:r w:rsidRPr="000A0DBB">
              <w:rPr>
                <w:rFonts w:ascii="Arial" w:hAnsi="Arial" w:cs="Arial"/>
              </w:rPr>
              <w:t>Recommendation engines in single</w:t>
            </w:r>
            <w:r w:rsidRPr="000A0DBB">
              <w:rPr>
                <w:rFonts w:ascii="Arial" w:hAnsi="Arial" w:cs="Arial"/>
              </w:rPr>
              <w:noBreakHyphen/>
              <w:t>channel and omnichannel settings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C25E80" w14:textId="77777777" w:rsidR="000A0DBB" w:rsidRPr="000A0DBB" w:rsidRDefault="000A0DBB" w:rsidP="003F13D5">
            <w:pPr>
              <w:spacing w:line="360" w:lineRule="auto"/>
              <w:rPr>
                <w:rFonts w:ascii="Arial" w:hAnsi="Arial" w:cs="Arial"/>
              </w:rPr>
            </w:pPr>
            <w:r w:rsidRPr="000A0DBB">
              <w:rPr>
                <w:rFonts w:ascii="Arial" w:hAnsi="Arial" w:cs="Arial"/>
              </w:rPr>
              <w:t>Surveys</w:t>
            </w:r>
          </w:p>
          <w:p w14:paraId="7CB01622" w14:textId="77777777" w:rsidR="000A0DBB" w:rsidRPr="000A0DBB" w:rsidRDefault="000A0DBB" w:rsidP="003F13D5">
            <w:pPr>
              <w:spacing w:line="360" w:lineRule="auto"/>
              <w:rPr>
                <w:rFonts w:ascii="Arial" w:hAnsi="Arial" w:cs="Arial"/>
              </w:rPr>
            </w:pPr>
            <w:r w:rsidRPr="000A0DBB">
              <w:rPr>
                <w:rFonts w:ascii="Arial" w:hAnsi="Arial" w:cs="Arial"/>
              </w:rPr>
              <w:t>Design</w:t>
            </w:r>
            <w:r w:rsidRPr="000A0DBB">
              <w:rPr>
                <w:rFonts w:ascii="Arial" w:hAnsi="Arial" w:cs="Arial"/>
              </w:rPr>
              <w:noBreakHyphen/>
              <w:t>science action research</w:t>
            </w:r>
          </w:p>
          <w:p w14:paraId="0A4E1B0E" w14:textId="77777777" w:rsidR="000A0DBB" w:rsidRPr="000A0DBB" w:rsidRDefault="000A0DBB" w:rsidP="003F13D5">
            <w:pPr>
              <w:spacing w:line="360" w:lineRule="auto"/>
              <w:rPr>
                <w:rFonts w:ascii="Arial" w:hAnsi="Arial" w:cs="Arial"/>
              </w:rPr>
            </w:pPr>
            <w:r w:rsidRPr="000A0DBB">
              <w:rPr>
                <w:rFonts w:ascii="Arial" w:hAnsi="Arial" w:cs="Arial"/>
              </w:rPr>
              <w:t>Field experiments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708F92" w14:textId="77777777" w:rsidR="000A0DBB" w:rsidRPr="000A0DBB" w:rsidRDefault="000A0DBB" w:rsidP="001211E5">
            <w:pPr>
              <w:spacing w:line="360" w:lineRule="auto"/>
              <w:jc w:val="both"/>
              <w:rPr>
                <w:rFonts w:ascii="Arial" w:hAnsi="Arial" w:cs="Arial"/>
              </w:rPr>
            </w:pPr>
            <w:r w:rsidRPr="000A0DBB">
              <w:rPr>
                <w:rFonts w:ascii="Arial" w:hAnsi="Arial" w:cs="Arial"/>
              </w:rPr>
              <w:t>Technology Acceptance Model</w:t>
            </w:r>
          </w:p>
          <w:p w14:paraId="0640C9AE" w14:textId="77777777" w:rsidR="000A0DBB" w:rsidRPr="000A0DBB" w:rsidRDefault="000A0DBB" w:rsidP="001211E5">
            <w:pPr>
              <w:spacing w:line="360" w:lineRule="auto"/>
              <w:jc w:val="both"/>
              <w:rPr>
                <w:rFonts w:ascii="Arial" w:hAnsi="Arial" w:cs="Arial"/>
              </w:rPr>
            </w:pPr>
            <w:r w:rsidRPr="000A0DBB">
              <w:rPr>
                <w:rFonts w:ascii="Arial" w:hAnsi="Arial" w:cs="Arial"/>
              </w:rPr>
              <w:t>Stakeholder Theory</w:t>
            </w:r>
          </w:p>
        </w:tc>
      </w:tr>
      <w:tr w:rsidR="000A0DBB" w:rsidRPr="000A0DBB" w14:paraId="314DEC8E" w14:textId="77777777" w:rsidTr="000A0DBB">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E6A4F8" w14:textId="77777777" w:rsidR="000A0DBB" w:rsidRPr="000A0DBB" w:rsidRDefault="000A0DBB" w:rsidP="001211E5">
            <w:pPr>
              <w:spacing w:line="360" w:lineRule="auto"/>
              <w:jc w:val="both"/>
              <w:rPr>
                <w:rFonts w:ascii="Arial" w:hAnsi="Arial" w:cs="Arial"/>
              </w:rPr>
            </w:pPr>
            <w:r w:rsidRPr="000A0DBB">
              <w:rPr>
                <w:rFonts w:ascii="Arial" w:hAnsi="Arial" w:cs="Arial"/>
              </w:rPr>
              <w:t>South America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53A439" w14:textId="77777777" w:rsidR="000A0DBB" w:rsidRPr="000A0DBB" w:rsidRDefault="000A0DBB" w:rsidP="001211E5">
            <w:pPr>
              <w:spacing w:line="360" w:lineRule="auto"/>
              <w:jc w:val="both"/>
              <w:rPr>
                <w:rFonts w:ascii="Arial" w:hAnsi="Arial" w:cs="Arial"/>
              </w:rPr>
            </w:pPr>
            <w:r w:rsidRPr="000A0DBB">
              <w:rPr>
                <w:rFonts w:ascii="Arial" w:hAnsi="Arial" w:cs="Arial"/>
              </w:rPr>
              <w:t>Inventory management</w:t>
            </w:r>
          </w:p>
          <w:p w14:paraId="20CFE85D" w14:textId="77777777" w:rsidR="000A0DBB" w:rsidRPr="000A0DBB" w:rsidRDefault="000A0DBB" w:rsidP="001211E5">
            <w:pPr>
              <w:spacing w:line="360" w:lineRule="auto"/>
              <w:jc w:val="both"/>
              <w:rPr>
                <w:rFonts w:ascii="Arial" w:hAnsi="Arial" w:cs="Arial"/>
              </w:rPr>
            </w:pPr>
            <w:r w:rsidRPr="000A0DBB">
              <w:rPr>
                <w:rFonts w:ascii="Arial" w:hAnsi="Arial" w:cs="Arial"/>
              </w:rPr>
              <w:t>BI dashboards</w:t>
            </w:r>
          </w:p>
          <w:p w14:paraId="63120077" w14:textId="77777777" w:rsidR="000A0DBB" w:rsidRPr="000A0DBB" w:rsidRDefault="000A0DBB" w:rsidP="001211E5">
            <w:pPr>
              <w:spacing w:line="360" w:lineRule="auto"/>
              <w:jc w:val="both"/>
              <w:rPr>
                <w:rFonts w:ascii="Arial" w:hAnsi="Arial" w:cs="Arial"/>
              </w:rPr>
            </w:pPr>
            <w:r w:rsidRPr="000A0DBB">
              <w:rPr>
                <w:rFonts w:ascii="Arial" w:hAnsi="Arial" w:cs="Arial"/>
              </w:rPr>
              <w:t>Mixed</w:t>
            </w:r>
            <w:r w:rsidRPr="000A0DBB">
              <w:rPr>
                <w:rFonts w:ascii="Arial" w:hAnsi="Arial" w:cs="Arial"/>
              </w:rPr>
              <w:noBreakHyphen/>
              <w:t>method mobile apps</w:t>
            </w:r>
          </w:p>
          <w:p w14:paraId="44A8B66A" w14:textId="77777777" w:rsidR="000A0DBB" w:rsidRPr="000A0DBB" w:rsidRDefault="000A0DBB" w:rsidP="001211E5">
            <w:pPr>
              <w:spacing w:line="360" w:lineRule="auto"/>
              <w:jc w:val="both"/>
              <w:rPr>
                <w:rFonts w:ascii="Arial" w:hAnsi="Arial" w:cs="Arial"/>
              </w:rPr>
            </w:pPr>
            <w:r w:rsidRPr="000A0DBB">
              <w:rPr>
                <w:rFonts w:ascii="Arial" w:hAnsi="Arial" w:cs="Arial"/>
              </w:rPr>
              <w:t>Value</w:t>
            </w:r>
            <w:r w:rsidRPr="000A0DBB">
              <w:rPr>
                <w:rFonts w:ascii="Arial" w:hAnsi="Arial" w:cs="Arial"/>
              </w:rPr>
              <w:noBreakHyphen/>
              <w:t>chain frameworks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6ACA8A" w14:textId="77777777" w:rsidR="000A0DBB" w:rsidRPr="000A0DBB" w:rsidRDefault="000A0DBB" w:rsidP="003F13D5">
            <w:pPr>
              <w:spacing w:line="360" w:lineRule="auto"/>
              <w:rPr>
                <w:rFonts w:ascii="Arial" w:hAnsi="Arial" w:cs="Arial"/>
              </w:rPr>
            </w:pPr>
            <w:r w:rsidRPr="000A0DBB">
              <w:rPr>
                <w:rFonts w:ascii="Arial" w:hAnsi="Arial" w:cs="Arial"/>
              </w:rPr>
              <w:t>Efficiency metrics, thematic interviews, mixed methods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E8D54A" w14:textId="77777777" w:rsidR="000A0DBB" w:rsidRPr="000A0DBB" w:rsidRDefault="000A0DBB" w:rsidP="001211E5">
            <w:pPr>
              <w:spacing w:line="360" w:lineRule="auto"/>
              <w:jc w:val="both"/>
              <w:rPr>
                <w:rFonts w:ascii="Arial" w:hAnsi="Arial" w:cs="Arial"/>
              </w:rPr>
            </w:pPr>
            <w:r w:rsidRPr="000A0DBB">
              <w:rPr>
                <w:rFonts w:ascii="Arial" w:hAnsi="Arial" w:cs="Arial"/>
              </w:rPr>
              <w:t>Institutional Theory</w:t>
            </w:r>
          </w:p>
          <w:p w14:paraId="5D4B6AD2" w14:textId="77777777" w:rsidR="000A0DBB" w:rsidRPr="000A0DBB" w:rsidRDefault="000A0DBB" w:rsidP="001211E5">
            <w:pPr>
              <w:spacing w:line="360" w:lineRule="auto"/>
              <w:jc w:val="both"/>
              <w:rPr>
                <w:rFonts w:ascii="Arial" w:hAnsi="Arial" w:cs="Arial"/>
              </w:rPr>
            </w:pPr>
            <w:r w:rsidRPr="000A0DBB">
              <w:rPr>
                <w:rFonts w:ascii="Arial" w:hAnsi="Arial" w:cs="Arial"/>
              </w:rPr>
              <w:t>Value</w:t>
            </w:r>
            <w:r w:rsidRPr="000A0DBB">
              <w:rPr>
                <w:rFonts w:ascii="Arial" w:hAnsi="Arial" w:cs="Arial"/>
              </w:rPr>
              <w:noBreakHyphen/>
              <w:t>Chain Framework</w:t>
            </w:r>
          </w:p>
        </w:tc>
      </w:tr>
      <w:tr w:rsidR="000A0DBB" w:rsidRPr="000A0DBB" w14:paraId="7A3D141E" w14:textId="77777777" w:rsidTr="000A0DBB">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78DD81" w14:textId="77777777" w:rsidR="000A0DBB" w:rsidRPr="000A0DBB" w:rsidRDefault="000A0DBB" w:rsidP="001211E5">
            <w:pPr>
              <w:spacing w:line="360" w:lineRule="auto"/>
              <w:jc w:val="both"/>
              <w:rPr>
                <w:rFonts w:ascii="Arial" w:hAnsi="Arial" w:cs="Arial"/>
              </w:rPr>
            </w:pPr>
            <w:r w:rsidRPr="000A0DBB">
              <w:rPr>
                <w:rFonts w:ascii="Arial" w:hAnsi="Arial" w:cs="Arial"/>
              </w:rPr>
              <w:t>Asia/Pacific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D65024" w14:textId="77777777" w:rsidR="000A0DBB" w:rsidRPr="000A0DBB" w:rsidRDefault="000A0DBB" w:rsidP="001211E5">
            <w:pPr>
              <w:spacing w:line="360" w:lineRule="auto"/>
              <w:jc w:val="both"/>
              <w:rPr>
                <w:rFonts w:ascii="Arial" w:hAnsi="Arial" w:cs="Arial"/>
              </w:rPr>
            </w:pPr>
            <w:r w:rsidRPr="000A0DBB">
              <w:rPr>
                <w:rFonts w:ascii="Arial" w:hAnsi="Arial" w:cs="Arial"/>
              </w:rPr>
              <w:t>Dynamic pricing</w:t>
            </w:r>
          </w:p>
          <w:p w14:paraId="30CD4A59" w14:textId="77777777" w:rsidR="000A0DBB" w:rsidRPr="000A0DBB" w:rsidRDefault="000A0DBB" w:rsidP="001211E5">
            <w:pPr>
              <w:spacing w:line="360" w:lineRule="auto"/>
              <w:jc w:val="both"/>
              <w:rPr>
                <w:rFonts w:ascii="Arial" w:hAnsi="Arial" w:cs="Arial"/>
              </w:rPr>
            </w:pPr>
            <w:r w:rsidRPr="000A0DBB">
              <w:rPr>
                <w:rFonts w:ascii="Arial" w:hAnsi="Arial" w:cs="Arial"/>
              </w:rPr>
              <w:t>Demand forecasting</w:t>
            </w:r>
          </w:p>
          <w:p w14:paraId="4EAA06EE" w14:textId="77777777" w:rsidR="000A0DBB" w:rsidRPr="000A0DBB" w:rsidRDefault="000A0DBB" w:rsidP="001211E5">
            <w:pPr>
              <w:spacing w:line="360" w:lineRule="auto"/>
              <w:jc w:val="both"/>
              <w:rPr>
                <w:rFonts w:ascii="Arial" w:hAnsi="Arial" w:cs="Arial"/>
              </w:rPr>
            </w:pPr>
            <w:r w:rsidRPr="000A0DBB">
              <w:rPr>
                <w:rFonts w:ascii="Arial" w:hAnsi="Arial" w:cs="Arial"/>
              </w:rPr>
              <w:t>SME financing models</w:t>
            </w:r>
          </w:p>
          <w:p w14:paraId="6BD8C70E" w14:textId="77777777" w:rsidR="000A0DBB" w:rsidRPr="000A0DBB" w:rsidRDefault="000A0DBB" w:rsidP="001211E5">
            <w:pPr>
              <w:spacing w:line="360" w:lineRule="auto"/>
              <w:jc w:val="both"/>
              <w:rPr>
                <w:rFonts w:ascii="Arial" w:hAnsi="Arial" w:cs="Arial"/>
              </w:rPr>
            </w:pPr>
            <w:r w:rsidRPr="000A0DBB">
              <w:rPr>
                <w:rFonts w:ascii="Arial" w:hAnsi="Arial" w:cs="Arial"/>
              </w:rPr>
              <w:t>Neural</w:t>
            </w:r>
            <w:r w:rsidRPr="000A0DBB">
              <w:rPr>
                <w:rFonts w:ascii="Arial" w:hAnsi="Arial" w:cs="Arial"/>
              </w:rPr>
              <w:noBreakHyphen/>
              <w:t>net forecasting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5941D1" w14:textId="77777777" w:rsidR="000A0DBB" w:rsidRPr="000A0DBB" w:rsidRDefault="000A0DBB" w:rsidP="003F13D5">
            <w:pPr>
              <w:spacing w:line="360" w:lineRule="auto"/>
              <w:rPr>
                <w:rFonts w:ascii="Arial" w:hAnsi="Arial" w:cs="Arial"/>
              </w:rPr>
            </w:pPr>
            <w:r w:rsidRPr="000A0DBB">
              <w:rPr>
                <w:rFonts w:ascii="Arial" w:hAnsi="Arial" w:cs="Arial"/>
              </w:rPr>
              <w:t>Quantitative revenue analysis</w:t>
            </w:r>
          </w:p>
          <w:p w14:paraId="593EF81E" w14:textId="77777777" w:rsidR="000A0DBB" w:rsidRPr="000A0DBB" w:rsidRDefault="000A0DBB" w:rsidP="003F13D5">
            <w:pPr>
              <w:spacing w:line="360" w:lineRule="auto"/>
              <w:rPr>
                <w:rFonts w:ascii="Arial" w:hAnsi="Arial" w:cs="Arial"/>
              </w:rPr>
            </w:pPr>
            <w:r w:rsidRPr="000A0DBB">
              <w:rPr>
                <w:rFonts w:ascii="Arial" w:hAnsi="Arial" w:cs="Arial"/>
              </w:rPr>
              <w:t>Neural networks</w:t>
            </w:r>
          </w:p>
          <w:p w14:paraId="5FC18737" w14:textId="77777777" w:rsidR="000A0DBB" w:rsidRPr="000A0DBB" w:rsidRDefault="000A0DBB" w:rsidP="003F13D5">
            <w:pPr>
              <w:spacing w:line="360" w:lineRule="auto"/>
              <w:rPr>
                <w:rFonts w:ascii="Arial" w:hAnsi="Arial" w:cs="Arial"/>
              </w:rPr>
            </w:pPr>
            <w:r w:rsidRPr="000A0DBB">
              <w:rPr>
                <w:rFonts w:ascii="Arial" w:hAnsi="Arial" w:cs="Arial"/>
              </w:rPr>
              <w:t>Usability scores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6D2D89" w14:textId="77777777" w:rsidR="000A0DBB" w:rsidRPr="000A0DBB" w:rsidRDefault="000A0DBB" w:rsidP="001211E5">
            <w:pPr>
              <w:spacing w:line="360" w:lineRule="auto"/>
              <w:jc w:val="both"/>
              <w:rPr>
                <w:rFonts w:ascii="Arial" w:hAnsi="Arial" w:cs="Arial"/>
              </w:rPr>
            </w:pPr>
            <w:r w:rsidRPr="000A0DBB">
              <w:rPr>
                <w:rFonts w:ascii="Arial" w:hAnsi="Arial" w:cs="Arial"/>
              </w:rPr>
              <w:t>TOE Framework</w:t>
            </w:r>
          </w:p>
          <w:p w14:paraId="5D78B177" w14:textId="77777777" w:rsidR="000A0DBB" w:rsidRPr="000A0DBB" w:rsidRDefault="000A0DBB" w:rsidP="001211E5">
            <w:pPr>
              <w:spacing w:line="360" w:lineRule="auto"/>
              <w:jc w:val="both"/>
              <w:rPr>
                <w:rFonts w:ascii="Arial" w:hAnsi="Arial" w:cs="Arial"/>
              </w:rPr>
            </w:pPr>
            <w:r w:rsidRPr="000A0DBB">
              <w:rPr>
                <w:rFonts w:ascii="Arial" w:hAnsi="Arial" w:cs="Arial"/>
              </w:rPr>
              <w:t>Resource</w:t>
            </w:r>
            <w:r w:rsidRPr="000A0DBB">
              <w:rPr>
                <w:rFonts w:ascii="Arial" w:hAnsi="Arial" w:cs="Arial"/>
              </w:rPr>
              <w:noBreakHyphen/>
              <w:t>Based View</w:t>
            </w:r>
          </w:p>
        </w:tc>
      </w:tr>
    </w:tbl>
    <w:p w14:paraId="1439C6B3" w14:textId="77777777" w:rsidR="000A0DBB" w:rsidRPr="000A0DBB" w:rsidRDefault="000A0DBB" w:rsidP="001211E5">
      <w:pPr>
        <w:spacing w:line="360" w:lineRule="auto"/>
        <w:jc w:val="both"/>
        <w:rPr>
          <w:rFonts w:ascii="Arial" w:eastAsia="Times New Roman" w:hAnsi="Arial" w:cs="Arial"/>
          <w:color w:val="000000" w:themeColor="text1"/>
          <w:sz w:val="22"/>
          <w:szCs w:val="22"/>
        </w:rPr>
      </w:pPr>
    </w:p>
    <w:p w14:paraId="078887FD" w14:textId="77777777" w:rsidR="000A0DBB" w:rsidRPr="000A0DBB" w:rsidRDefault="000A0DBB" w:rsidP="001211E5">
      <w:pPr>
        <w:spacing w:line="360" w:lineRule="auto"/>
        <w:ind w:firstLine="720"/>
        <w:jc w:val="both"/>
        <w:rPr>
          <w:rFonts w:ascii="Arial" w:eastAsia="Times New Roman" w:hAnsi="Arial" w:cs="Arial"/>
          <w:color w:val="000000" w:themeColor="text1"/>
          <w:sz w:val="22"/>
          <w:szCs w:val="22"/>
        </w:rPr>
      </w:pPr>
      <w:r w:rsidRPr="000A0DBB">
        <w:rPr>
          <w:rFonts w:ascii="Arial" w:eastAsia="Times New Roman" w:hAnsi="Arial" w:cs="Arial"/>
          <w:color w:val="000000" w:themeColor="text1"/>
          <w:sz w:val="22"/>
          <w:szCs w:val="22"/>
        </w:rPr>
        <w:t>Though the North American studies have used a design-science and experimental approach to evaluate single-channel and omnichannel AI tools, they rarely study strategic executive-level decisions in medium-sized retailers. The South American research combines mixed methods and institutional perspectives to examine the efficiency of operations. However, it does not combine firm-level digital readiness and country-level moderators of regulations and culture. Asia/Pacific work utilises quantitative and neural-network methods in their TOE and Resource-Based View applications. It ignores their transition to producing a long-term strategic fit at an executive decision-making level. There is no available body of literature that combines (1) mid-sized omnichannel scope, (2) rigorous mixed-methods or experimental design, and (3) a theoretically informed analysis that links the above the firm-level enablers to regional environmental factors. The study will address that gap by developing a coherent model that links AI-enabled operational advantage and strategic planning in various regional circumstances.</w:t>
      </w:r>
    </w:p>
    <w:p w14:paraId="1BD5A8EA" w14:textId="77777777" w:rsidR="000A0DBB" w:rsidRPr="000A0DBB" w:rsidRDefault="000A0DBB" w:rsidP="001211E5">
      <w:pPr>
        <w:spacing w:line="360" w:lineRule="auto"/>
        <w:jc w:val="both"/>
        <w:rPr>
          <w:rFonts w:ascii="Arial" w:eastAsia="Times New Roman" w:hAnsi="Arial" w:cs="Arial"/>
          <w:b/>
          <w:bCs/>
          <w:color w:val="000000" w:themeColor="text1"/>
          <w:sz w:val="22"/>
          <w:szCs w:val="22"/>
        </w:rPr>
      </w:pPr>
      <w:r w:rsidRPr="000A0DBB">
        <w:rPr>
          <w:rFonts w:ascii="Arial" w:eastAsia="Times New Roman" w:hAnsi="Arial" w:cs="Arial"/>
          <w:b/>
          <w:bCs/>
          <w:color w:val="000000" w:themeColor="text1"/>
          <w:sz w:val="22"/>
          <w:szCs w:val="22"/>
        </w:rPr>
        <w:br w:type="page"/>
      </w:r>
    </w:p>
    <w:p w14:paraId="6EBDCEBB" w14:textId="77777777" w:rsidR="000A0DBB" w:rsidRPr="00C86C04" w:rsidRDefault="000A0DBB" w:rsidP="001211E5">
      <w:pPr>
        <w:pStyle w:val="Heading1"/>
        <w:spacing w:line="360" w:lineRule="auto"/>
        <w:jc w:val="both"/>
        <w:rPr>
          <w:rFonts w:ascii="Arial" w:hAnsi="Arial" w:cs="Arial"/>
          <w:sz w:val="22"/>
          <w:szCs w:val="22"/>
        </w:rPr>
      </w:pPr>
      <w:bookmarkStart w:id="20" w:name="_Toc204707792"/>
      <w:r w:rsidRPr="00C86C04">
        <w:rPr>
          <w:rFonts w:ascii="Arial" w:hAnsi="Arial" w:cs="Arial"/>
          <w:sz w:val="22"/>
          <w:szCs w:val="22"/>
        </w:rPr>
        <w:lastRenderedPageBreak/>
        <w:t>3.0 Methodology</w:t>
      </w:r>
      <w:bookmarkEnd w:id="20"/>
    </w:p>
    <w:p w14:paraId="02B0BED8" w14:textId="77777777" w:rsidR="000A0DBB" w:rsidRPr="000A0DBB" w:rsidRDefault="000A0DBB" w:rsidP="001211E5">
      <w:pPr>
        <w:spacing w:line="360" w:lineRule="auto"/>
        <w:ind w:firstLine="720"/>
        <w:jc w:val="both"/>
        <w:rPr>
          <w:rFonts w:ascii="Arial" w:eastAsia="Times New Roman" w:hAnsi="Arial" w:cs="Arial"/>
          <w:sz w:val="22"/>
          <w:szCs w:val="22"/>
        </w:rPr>
      </w:pPr>
      <w:r w:rsidRPr="000A0DBB">
        <w:rPr>
          <w:rFonts w:ascii="Arial" w:eastAsia="Times New Roman" w:hAnsi="Arial" w:cs="Arial"/>
          <w:sz w:val="22"/>
          <w:szCs w:val="22"/>
        </w:rPr>
        <w:t>This paper represents purely secondary-based research in evaluating the strategic deployment of AI to mid-sized omnichannel retailers in North America, South America, and Asia. Using only previously collected performance data and print publications avoids primary interviews or surveys, admitting that the lack of direct information leads to a narrow focus on intention and operative details.</w:t>
      </w:r>
    </w:p>
    <w:p w14:paraId="51960EF4" w14:textId="77777777" w:rsidR="000A0DBB" w:rsidRPr="00C86C04" w:rsidRDefault="000A0DBB" w:rsidP="001211E5">
      <w:pPr>
        <w:pStyle w:val="Heading2"/>
        <w:spacing w:line="360" w:lineRule="auto"/>
        <w:jc w:val="both"/>
        <w:rPr>
          <w:rFonts w:ascii="Arial" w:hAnsi="Arial" w:cs="Arial"/>
          <w:sz w:val="22"/>
          <w:szCs w:val="22"/>
        </w:rPr>
      </w:pPr>
      <w:bookmarkStart w:id="21" w:name="_Toc204707793"/>
      <w:r w:rsidRPr="00C86C04">
        <w:rPr>
          <w:rFonts w:ascii="Arial" w:hAnsi="Arial" w:cs="Arial"/>
          <w:sz w:val="22"/>
          <w:szCs w:val="22"/>
        </w:rPr>
        <w:t>3.1. Sources and Sampling of Data</w:t>
      </w:r>
      <w:bookmarkEnd w:id="21"/>
    </w:p>
    <w:p w14:paraId="04C8801C" w14:textId="77777777" w:rsidR="000A0DBB" w:rsidRPr="000A0DBB" w:rsidRDefault="000A0DBB" w:rsidP="001211E5">
      <w:pPr>
        <w:spacing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t>Archival data was obtained based on three sources that were complementary to each other:</w:t>
      </w:r>
    </w:p>
    <w:p w14:paraId="1AE77802" w14:textId="77777777" w:rsidR="000A0DBB" w:rsidRPr="000A0DBB" w:rsidRDefault="000A0DBB" w:rsidP="001211E5">
      <w:pPr>
        <w:spacing w:line="360" w:lineRule="auto"/>
        <w:jc w:val="both"/>
        <w:rPr>
          <w:rFonts w:ascii="Arial" w:eastAsia="Times New Roman" w:hAnsi="Arial" w:cs="Arial"/>
          <w:sz w:val="22"/>
          <w:szCs w:val="22"/>
          <w:lang w:val="en-US"/>
        </w:rPr>
      </w:pPr>
      <w:r w:rsidRPr="000A0DBB">
        <w:rPr>
          <w:rFonts w:ascii="Arial" w:eastAsia="Times New Roman" w:hAnsi="Arial" w:cs="Arial"/>
          <w:b/>
          <w:bCs/>
          <w:sz w:val="22"/>
          <w:szCs w:val="22"/>
          <w:lang w:val="en-US"/>
        </w:rPr>
        <w:t>Industry Databases (Gartner):</w:t>
      </w:r>
      <w:r w:rsidRPr="000A0DBB">
        <w:rPr>
          <w:rFonts w:ascii="Arial" w:eastAsia="Times New Roman" w:hAnsi="Arial" w:cs="Arial"/>
          <w:sz w:val="22"/>
          <w:szCs w:val="22"/>
          <w:lang w:val="en-US"/>
        </w:rPr>
        <w:t xml:space="preserve"> Quarterly and annual performance data on forecasting performance (Mean Absolute Percentage Error—MAPE) (Bullard 2016, p. 26), stock-out rates, and inventory holding costs of companies reporting United States Dollar (USD) 50 million to USD 500 million in annual turnover and reporting AI-forecasting implementation.</w:t>
      </w:r>
    </w:p>
    <w:p w14:paraId="3CF3A34B" w14:textId="77777777" w:rsidR="000A0DBB" w:rsidRPr="000A0DBB" w:rsidRDefault="000A0DBB" w:rsidP="001211E5">
      <w:pPr>
        <w:spacing w:line="360" w:lineRule="auto"/>
        <w:jc w:val="both"/>
        <w:rPr>
          <w:rFonts w:ascii="Arial" w:eastAsia="Times New Roman" w:hAnsi="Arial" w:cs="Arial"/>
          <w:sz w:val="22"/>
          <w:szCs w:val="22"/>
          <w:lang w:val="en-US"/>
        </w:rPr>
      </w:pPr>
      <w:r w:rsidRPr="000A0DBB">
        <w:rPr>
          <w:rFonts w:ascii="Arial" w:eastAsia="Times New Roman" w:hAnsi="Arial" w:cs="Arial"/>
          <w:b/>
          <w:bCs/>
          <w:sz w:val="22"/>
          <w:szCs w:val="22"/>
          <w:lang w:val="en-US"/>
        </w:rPr>
        <w:t>Regulatory Filings and Sustainability Reports:</w:t>
      </w:r>
      <w:r w:rsidRPr="000A0DBB">
        <w:rPr>
          <w:rFonts w:ascii="Arial" w:eastAsia="Times New Roman" w:hAnsi="Arial" w:cs="Arial"/>
          <w:sz w:val="22"/>
          <w:szCs w:val="22"/>
          <w:lang w:val="en-US"/>
        </w:rPr>
        <w:t xml:space="preserve"> Supply chain efficiency improvements, change leadership programs, and data governance level disclosures in company filings and sustainability reporting across companies allow comparisons across space and time over the period encompassing AI going live.</w:t>
      </w:r>
    </w:p>
    <w:p w14:paraId="69CC416C" w14:textId="77777777" w:rsidR="000A0DBB" w:rsidRPr="000A0DBB" w:rsidRDefault="000A0DBB" w:rsidP="001211E5">
      <w:pPr>
        <w:spacing w:line="360" w:lineRule="auto"/>
        <w:jc w:val="both"/>
        <w:rPr>
          <w:rFonts w:ascii="Arial" w:eastAsia="Times New Roman" w:hAnsi="Arial" w:cs="Arial"/>
          <w:sz w:val="22"/>
          <w:szCs w:val="22"/>
          <w:lang w:val="en-US"/>
        </w:rPr>
      </w:pPr>
      <w:r w:rsidRPr="000A0DBB">
        <w:rPr>
          <w:rFonts w:ascii="Arial" w:eastAsia="Times New Roman" w:hAnsi="Arial" w:cs="Arial"/>
          <w:b/>
          <w:bCs/>
          <w:sz w:val="22"/>
          <w:szCs w:val="22"/>
          <w:lang w:val="en-US"/>
        </w:rPr>
        <w:t>Peer-Reviewed Case Studies:</w:t>
      </w:r>
      <w:r w:rsidRPr="000A0DBB">
        <w:rPr>
          <w:rFonts w:ascii="Arial" w:eastAsia="Times New Roman" w:hAnsi="Arial" w:cs="Arial"/>
          <w:sz w:val="22"/>
          <w:szCs w:val="22"/>
          <w:lang w:val="en-US"/>
        </w:rPr>
        <w:t xml:space="preserve"> Existing reviews of the significance of AI-enabled forecast use at similar mid-sized retailers that can be used to corner estimates.</w:t>
      </w:r>
    </w:p>
    <w:p w14:paraId="5BF6A985" w14:textId="77777777" w:rsidR="000A0DBB" w:rsidRPr="000A0DBB" w:rsidRDefault="000A0DBB" w:rsidP="001211E5">
      <w:pPr>
        <w:spacing w:line="360" w:lineRule="auto"/>
        <w:ind w:firstLine="720"/>
        <w:jc w:val="both"/>
        <w:rPr>
          <w:rFonts w:ascii="Arial" w:eastAsia="Times New Roman" w:hAnsi="Arial" w:cs="Arial"/>
          <w:sz w:val="22"/>
          <w:szCs w:val="22"/>
          <w:lang w:val="en-US"/>
        </w:rPr>
      </w:pPr>
      <w:r w:rsidRPr="000A0DBB">
        <w:rPr>
          <w:rFonts w:ascii="Arial" w:eastAsia="Times New Roman" w:hAnsi="Arial" w:cs="Arial"/>
          <w:sz w:val="22"/>
          <w:szCs w:val="22"/>
          <w:lang w:val="en-US"/>
        </w:rPr>
        <w:t>The following criteria were applied to the choice of firms: the revenue criterion (they should have the revenues of at least one financial year in 2020-2024) and the AI-implementation criterion (they should have the AI-implementation of at least one financial year in 2020-2024). A sample of 30 mid-sized retailers (ten in each area) produced an equitable combination of market conditions and governance ecosystems.</w:t>
      </w:r>
    </w:p>
    <w:p w14:paraId="20D232A1" w14:textId="77777777" w:rsidR="000A0DBB" w:rsidRPr="00C86C04" w:rsidRDefault="000A0DBB" w:rsidP="001211E5">
      <w:pPr>
        <w:pStyle w:val="Heading3"/>
        <w:spacing w:line="360" w:lineRule="auto"/>
        <w:jc w:val="both"/>
        <w:rPr>
          <w:rFonts w:ascii="Arial" w:eastAsia="Times New Roman" w:hAnsi="Arial" w:cs="Arial"/>
          <w:sz w:val="22"/>
          <w:szCs w:val="22"/>
        </w:rPr>
      </w:pPr>
      <w:bookmarkStart w:id="22" w:name="_Toc204707794"/>
      <w:r w:rsidRPr="00C86C04">
        <w:rPr>
          <w:rFonts w:ascii="Arial" w:eastAsia="Times New Roman" w:hAnsi="Arial" w:cs="Arial"/>
          <w:sz w:val="22"/>
          <w:szCs w:val="22"/>
        </w:rPr>
        <w:t>3.2. Data Extraction and Preparation</w:t>
      </w:r>
      <w:bookmarkEnd w:id="22"/>
    </w:p>
    <w:p w14:paraId="3AECFFC3" w14:textId="77777777" w:rsidR="000A0DBB" w:rsidRDefault="000A0DBB" w:rsidP="001211E5">
      <w:pPr>
        <w:spacing w:line="360" w:lineRule="auto"/>
        <w:ind w:firstLine="720"/>
        <w:jc w:val="both"/>
        <w:rPr>
          <w:rFonts w:ascii="Arial" w:eastAsia="Times New Roman" w:hAnsi="Arial" w:cs="Arial"/>
          <w:sz w:val="22"/>
          <w:szCs w:val="22"/>
        </w:rPr>
      </w:pPr>
      <w:r w:rsidRPr="000A0DBB">
        <w:rPr>
          <w:rFonts w:ascii="Arial" w:eastAsia="Times New Roman" w:hAnsi="Arial" w:cs="Arial"/>
          <w:sz w:val="22"/>
          <w:szCs w:val="22"/>
        </w:rPr>
        <w:t>All data were anonymised: the company identifications were given, and proprietary information was not stored. The 12 months before and after the deployment of AI were collected as a time series. Missing values were treated through linear interpolation if the gaps were not more than two consecutive quarters; otherwise, the series was omitted.</w:t>
      </w:r>
    </w:p>
    <w:p w14:paraId="29387AF2" w14:textId="77777777" w:rsidR="004877CF" w:rsidRDefault="004877CF" w:rsidP="001211E5">
      <w:pPr>
        <w:spacing w:line="360" w:lineRule="auto"/>
        <w:ind w:firstLine="720"/>
        <w:jc w:val="both"/>
        <w:rPr>
          <w:rFonts w:ascii="Arial" w:eastAsia="Times New Roman" w:hAnsi="Arial" w:cs="Arial"/>
          <w:sz w:val="22"/>
          <w:szCs w:val="22"/>
        </w:rPr>
      </w:pPr>
    </w:p>
    <w:p w14:paraId="56E7E844" w14:textId="77777777" w:rsidR="004877CF" w:rsidRDefault="004877CF" w:rsidP="001211E5">
      <w:pPr>
        <w:spacing w:line="360" w:lineRule="auto"/>
        <w:ind w:firstLine="720"/>
        <w:jc w:val="both"/>
        <w:rPr>
          <w:rFonts w:ascii="Arial" w:eastAsia="Times New Roman" w:hAnsi="Arial" w:cs="Arial"/>
          <w:sz w:val="22"/>
          <w:szCs w:val="22"/>
        </w:rPr>
      </w:pPr>
    </w:p>
    <w:p w14:paraId="578182E3" w14:textId="77777777" w:rsidR="004877CF" w:rsidRDefault="004877CF" w:rsidP="001211E5">
      <w:pPr>
        <w:spacing w:line="360" w:lineRule="auto"/>
        <w:ind w:firstLine="720"/>
        <w:jc w:val="both"/>
        <w:rPr>
          <w:rFonts w:ascii="Arial" w:eastAsia="Times New Roman" w:hAnsi="Arial" w:cs="Arial"/>
          <w:sz w:val="22"/>
          <w:szCs w:val="22"/>
        </w:rPr>
      </w:pPr>
    </w:p>
    <w:p w14:paraId="294C3981" w14:textId="77777777" w:rsidR="004877CF" w:rsidRDefault="004877CF" w:rsidP="001211E5">
      <w:pPr>
        <w:spacing w:line="360" w:lineRule="auto"/>
        <w:ind w:firstLine="720"/>
        <w:jc w:val="both"/>
        <w:rPr>
          <w:rFonts w:ascii="Arial" w:eastAsia="Times New Roman" w:hAnsi="Arial" w:cs="Arial"/>
          <w:sz w:val="22"/>
          <w:szCs w:val="22"/>
        </w:rPr>
      </w:pPr>
    </w:p>
    <w:p w14:paraId="70DAC463" w14:textId="77777777" w:rsidR="004877CF" w:rsidRDefault="004877CF" w:rsidP="001211E5">
      <w:pPr>
        <w:spacing w:line="360" w:lineRule="auto"/>
        <w:ind w:firstLine="720"/>
        <w:jc w:val="both"/>
        <w:rPr>
          <w:rFonts w:ascii="Arial" w:eastAsia="Times New Roman" w:hAnsi="Arial" w:cs="Arial"/>
          <w:sz w:val="22"/>
          <w:szCs w:val="22"/>
        </w:rPr>
      </w:pPr>
    </w:p>
    <w:p w14:paraId="490391EE" w14:textId="77777777" w:rsidR="004877CF" w:rsidRPr="000A0DBB" w:rsidRDefault="004877CF" w:rsidP="001211E5">
      <w:pPr>
        <w:spacing w:line="360" w:lineRule="auto"/>
        <w:ind w:firstLine="720"/>
        <w:jc w:val="both"/>
        <w:rPr>
          <w:rFonts w:ascii="Arial" w:eastAsia="Times New Roman" w:hAnsi="Arial" w:cs="Arial"/>
          <w:sz w:val="22"/>
          <w:szCs w:val="22"/>
        </w:rPr>
      </w:pPr>
    </w:p>
    <w:p w14:paraId="29998A40" w14:textId="77777777" w:rsidR="004877CF" w:rsidRPr="002B39C1" w:rsidRDefault="000A0DBB" w:rsidP="002B39C1">
      <w:pPr>
        <w:pStyle w:val="Heading1"/>
        <w:spacing w:line="360" w:lineRule="auto"/>
        <w:rPr>
          <w:rFonts w:ascii="Arial" w:hAnsi="Arial" w:cs="Arial"/>
          <w:sz w:val="22"/>
          <w:szCs w:val="22"/>
        </w:rPr>
      </w:pPr>
      <w:bookmarkStart w:id="23" w:name="_Hlk203600337"/>
      <w:bookmarkStart w:id="24" w:name="_Toc204707795"/>
      <w:r w:rsidRPr="002B39C1">
        <w:rPr>
          <w:rFonts w:ascii="Arial" w:hAnsi="Arial" w:cs="Arial"/>
          <w:sz w:val="22"/>
          <w:szCs w:val="22"/>
        </w:rPr>
        <w:lastRenderedPageBreak/>
        <w:t>3.3 Data Analysis</w:t>
      </w:r>
      <w:bookmarkEnd w:id="24"/>
    </w:p>
    <w:p w14:paraId="364A3C2F" w14:textId="49D91F7B" w:rsidR="000A0DBB" w:rsidRPr="002B39C1" w:rsidRDefault="000A0DBB" w:rsidP="002B39C1">
      <w:pPr>
        <w:pStyle w:val="Heading2"/>
        <w:spacing w:line="360" w:lineRule="auto"/>
        <w:rPr>
          <w:rFonts w:ascii="Arial" w:hAnsi="Arial" w:cs="Arial"/>
          <w:sz w:val="22"/>
          <w:szCs w:val="22"/>
        </w:rPr>
      </w:pPr>
      <w:bookmarkStart w:id="25" w:name="_Toc204707796"/>
      <w:r w:rsidRPr="002B39C1">
        <w:rPr>
          <w:rFonts w:ascii="Arial" w:hAnsi="Arial" w:cs="Arial"/>
          <w:sz w:val="22"/>
          <w:szCs w:val="22"/>
        </w:rPr>
        <w:t>3.3.1 Descriptive Analysis</w:t>
      </w:r>
      <w:bookmarkEnd w:id="25"/>
    </w:p>
    <w:p w14:paraId="58F3AE4A" w14:textId="77777777" w:rsidR="000A0DBB" w:rsidRPr="000A0DBB" w:rsidRDefault="000A0DBB" w:rsidP="001211E5">
      <w:pPr>
        <w:pStyle w:val="NormalWeb"/>
        <w:spacing w:before="0" w:beforeAutospacing="0" w:after="0" w:afterAutospacing="0" w:line="360" w:lineRule="auto"/>
        <w:ind w:firstLine="720"/>
        <w:jc w:val="both"/>
        <w:rPr>
          <w:rFonts w:ascii="Arial" w:hAnsi="Arial" w:cs="Arial"/>
          <w:color w:val="000000" w:themeColor="text1"/>
          <w:sz w:val="22"/>
          <w:szCs w:val="22"/>
        </w:rPr>
      </w:pPr>
      <w:r w:rsidRPr="000A0DBB">
        <w:rPr>
          <w:rFonts w:ascii="Arial" w:hAnsi="Arial" w:cs="Arial"/>
          <w:color w:val="000000" w:themeColor="text1"/>
          <w:sz w:val="22"/>
          <w:szCs w:val="22"/>
        </w:rPr>
        <w:t>To establish the baseline effects, the researcher calculated the summary statistics of pre- and post-changes in the accuracy of the forecast (MAPE), stockout rates, and inventory carrying costs implemented using aid (AI). Each metric was reported in terms of mean, median, standard deviation, and interquartile range, and bar charts were created so that differences could be visualised instantly in terms of magnitude and direction of the deltas (Adanyin 2024, pp. 112–114).</w:t>
      </w:r>
    </w:p>
    <w:p w14:paraId="17723735" w14:textId="77777777" w:rsidR="000A0DBB" w:rsidRPr="002B39C1" w:rsidRDefault="000A0DBB" w:rsidP="002B39C1">
      <w:pPr>
        <w:pStyle w:val="Heading3"/>
        <w:spacing w:line="360" w:lineRule="auto"/>
        <w:rPr>
          <w:rFonts w:ascii="Arial" w:eastAsia="Times New Roman" w:hAnsi="Arial" w:cs="Arial"/>
          <w:sz w:val="22"/>
          <w:szCs w:val="22"/>
          <w:lang w:val="en-US"/>
        </w:rPr>
      </w:pPr>
      <w:bookmarkStart w:id="26" w:name="_Toc204707797"/>
      <w:r w:rsidRPr="002B39C1">
        <w:rPr>
          <w:rFonts w:ascii="Arial" w:eastAsia="Times New Roman" w:hAnsi="Arial" w:cs="Arial"/>
          <w:sz w:val="22"/>
          <w:szCs w:val="22"/>
          <w:lang w:val="en-US"/>
        </w:rPr>
        <w:t>3.3.2 Predictive Analysis</w:t>
      </w:r>
      <w:bookmarkEnd w:id="26"/>
    </w:p>
    <w:p w14:paraId="13BCBC6E" w14:textId="77777777" w:rsidR="000A0DBB" w:rsidRPr="000A0DBB" w:rsidRDefault="000A0DBB" w:rsidP="001211E5">
      <w:pPr>
        <w:spacing w:line="360" w:lineRule="auto"/>
        <w:ind w:firstLine="720"/>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The first estimation undertaken by the researcher was an ordinary least squares (OLS) model defined as</w:t>
      </w:r>
    </w:p>
    <w:p w14:paraId="4A958913" w14:textId="77777777" w:rsidR="000A0DBB" w:rsidRPr="000A0DBB" w:rsidRDefault="000A0DBB" w:rsidP="001211E5">
      <w:pPr>
        <w:spacing w:line="360" w:lineRule="auto"/>
        <w:jc w:val="both"/>
        <w:rPr>
          <w:rFonts w:ascii="Arial" w:eastAsia="Times New Roman" w:hAnsi="Arial" w:cs="Arial"/>
          <w:color w:val="000000" w:themeColor="text1"/>
          <w:sz w:val="22"/>
          <w:szCs w:val="22"/>
          <w:lang w:val="en-US"/>
        </w:rPr>
      </w:pPr>
      <m:oMathPara>
        <m:oMath>
          <m:r>
            <w:rPr>
              <w:rFonts w:ascii="Cambria Math" w:eastAsia="Times New Roman" w:hAnsi="Cambria Math" w:cs="Arial"/>
              <w:color w:val="000000" w:themeColor="text1"/>
              <w:sz w:val="22"/>
              <w:szCs w:val="22"/>
              <w:lang w:val="en-US"/>
            </w:rPr>
            <m:t>Δ</m:t>
          </m:r>
          <m:sSub>
            <m:sSubPr>
              <m:ctrlPr>
                <w:rPr>
                  <w:rFonts w:ascii="Cambria Math" w:eastAsia="Times New Roman" w:hAnsi="Cambria Math" w:cs="Arial"/>
                  <w:i/>
                  <w:color w:val="000000" w:themeColor="text1"/>
                  <w:sz w:val="22"/>
                  <w:szCs w:val="22"/>
                  <w:lang w:val="en-US"/>
                </w:rPr>
              </m:ctrlPr>
            </m:sSubPr>
            <m:e>
              <m:r>
                <w:rPr>
                  <w:rFonts w:ascii="Cambria Math" w:eastAsia="Times New Roman" w:hAnsi="Cambria Math" w:cs="Arial"/>
                  <w:color w:val="000000" w:themeColor="text1"/>
                  <w:sz w:val="22"/>
                  <w:szCs w:val="22"/>
                  <w:lang w:val="en-US"/>
                </w:rPr>
                <m:t>Inventory</m:t>
              </m:r>
            </m:e>
            <m:sub>
              <m:r>
                <w:rPr>
                  <w:rFonts w:ascii="Cambria Math" w:eastAsia="Times New Roman" w:hAnsi="Cambria Math" w:cs="Arial"/>
                  <w:color w:val="000000" w:themeColor="text1"/>
                  <w:sz w:val="22"/>
                  <w:szCs w:val="22"/>
                  <w:lang w:val="en-US"/>
                </w:rPr>
                <m:t>i</m:t>
              </m:r>
            </m:sub>
          </m:sSub>
          <m:r>
            <w:rPr>
              <w:rFonts w:ascii="Cambria Math" w:eastAsia="Times New Roman" w:hAnsi="Cambria Math" w:cs="Arial"/>
              <w:color w:val="000000" w:themeColor="text1"/>
              <w:sz w:val="22"/>
              <w:szCs w:val="22"/>
              <w:lang w:val="en-US"/>
            </w:rPr>
            <m:t>=∝+</m:t>
          </m:r>
          <m:sSub>
            <m:sSubPr>
              <m:ctrlPr>
                <w:rPr>
                  <w:rFonts w:ascii="Cambria Math" w:eastAsia="Times New Roman" w:hAnsi="Cambria Math" w:cs="Arial"/>
                  <w:i/>
                  <w:color w:val="000000" w:themeColor="text1"/>
                  <w:sz w:val="22"/>
                  <w:szCs w:val="22"/>
                  <w:lang w:val="en-US"/>
                </w:rPr>
              </m:ctrlPr>
            </m:sSubPr>
            <m:e>
              <m:r>
                <w:rPr>
                  <w:rFonts w:ascii="Cambria Math" w:eastAsia="Times New Roman" w:hAnsi="Cambria Math" w:cs="Arial"/>
                  <w:color w:val="000000" w:themeColor="text1"/>
                  <w:sz w:val="22"/>
                  <w:szCs w:val="22"/>
                  <w:lang w:val="en-US"/>
                </w:rPr>
                <m:t>β</m:t>
              </m:r>
            </m:e>
            <m:sub>
              <m:r>
                <w:rPr>
                  <w:rFonts w:ascii="Cambria Math" w:eastAsia="Times New Roman" w:hAnsi="Cambria Math" w:cs="Arial"/>
                  <w:color w:val="000000" w:themeColor="text1"/>
                  <w:sz w:val="22"/>
                  <w:szCs w:val="22"/>
                  <w:lang w:val="en-US"/>
                </w:rPr>
                <m:t>1</m:t>
              </m:r>
            </m:sub>
          </m:sSub>
          <m:r>
            <w:rPr>
              <w:rFonts w:ascii="Cambria Math" w:eastAsia="Times New Roman" w:hAnsi="Cambria Math" w:cs="Arial"/>
              <w:color w:val="000000" w:themeColor="text1"/>
              <w:sz w:val="22"/>
              <w:szCs w:val="22"/>
              <w:lang w:val="en-US"/>
            </w:rPr>
            <m:t>Δ</m:t>
          </m:r>
          <m:sSub>
            <m:sSubPr>
              <m:ctrlPr>
                <w:rPr>
                  <w:rFonts w:ascii="Cambria Math" w:eastAsia="Times New Roman" w:hAnsi="Cambria Math" w:cs="Arial"/>
                  <w:i/>
                  <w:color w:val="000000" w:themeColor="text1"/>
                  <w:sz w:val="22"/>
                  <w:szCs w:val="22"/>
                  <w:lang w:val="en-US"/>
                </w:rPr>
              </m:ctrlPr>
            </m:sSubPr>
            <m:e>
              <m:r>
                <w:rPr>
                  <w:rFonts w:ascii="Cambria Math" w:eastAsia="Times New Roman" w:hAnsi="Cambria Math" w:cs="Arial"/>
                  <w:color w:val="000000" w:themeColor="text1"/>
                  <w:sz w:val="22"/>
                  <w:szCs w:val="22"/>
                  <w:lang w:val="en-US"/>
                </w:rPr>
                <m:t>MAPE</m:t>
              </m:r>
            </m:e>
            <m:sub>
              <m:r>
                <w:rPr>
                  <w:rFonts w:ascii="Cambria Math" w:eastAsia="Times New Roman" w:hAnsi="Cambria Math" w:cs="Arial"/>
                  <w:color w:val="000000" w:themeColor="text1"/>
                  <w:sz w:val="22"/>
                  <w:szCs w:val="22"/>
                  <w:lang w:val="en-US"/>
                </w:rPr>
                <m:t>i</m:t>
              </m:r>
            </m:sub>
          </m:sSub>
          <m:r>
            <w:rPr>
              <w:rFonts w:ascii="Cambria Math" w:eastAsia="Times New Roman" w:hAnsi="Cambria Math" w:cs="Arial"/>
              <w:color w:val="000000" w:themeColor="text1"/>
              <w:sz w:val="22"/>
              <w:szCs w:val="22"/>
              <w:lang w:val="en-US"/>
            </w:rPr>
            <m:t>+</m:t>
          </m:r>
          <m:sSub>
            <m:sSubPr>
              <m:ctrlPr>
                <w:rPr>
                  <w:rFonts w:ascii="Cambria Math" w:eastAsia="Times New Roman" w:hAnsi="Cambria Math" w:cs="Arial"/>
                  <w:i/>
                  <w:color w:val="000000" w:themeColor="text1"/>
                  <w:sz w:val="22"/>
                  <w:szCs w:val="22"/>
                  <w:lang w:val="en-US"/>
                </w:rPr>
              </m:ctrlPr>
            </m:sSubPr>
            <m:e>
              <m:r>
                <w:rPr>
                  <w:rFonts w:ascii="Cambria Math" w:eastAsia="Times New Roman" w:hAnsi="Cambria Math" w:cs="Arial"/>
                  <w:color w:val="000000" w:themeColor="text1"/>
                  <w:sz w:val="22"/>
                  <w:szCs w:val="22"/>
                  <w:lang w:val="en-US"/>
                </w:rPr>
                <m:t>β</m:t>
              </m:r>
            </m:e>
            <m:sub>
              <m:r>
                <w:rPr>
                  <w:rFonts w:ascii="Cambria Math" w:eastAsia="Times New Roman" w:hAnsi="Cambria Math" w:cs="Arial"/>
                  <w:color w:val="000000" w:themeColor="text1"/>
                  <w:sz w:val="22"/>
                  <w:szCs w:val="22"/>
                  <w:lang w:val="en-US"/>
                </w:rPr>
                <m:t>2</m:t>
              </m:r>
            </m:sub>
          </m:sSub>
          <m:r>
            <w:rPr>
              <w:rFonts w:ascii="Cambria Math" w:eastAsia="Times New Roman" w:hAnsi="Cambria Math" w:cs="Arial"/>
              <w:color w:val="000000" w:themeColor="text1"/>
              <w:sz w:val="22"/>
              <w:szCs w:val="22"/>
              <w:lang w:val="en-US"/>
            </w:rPr>
            <m:t>Δ</m:t>
          </m:r>
          <m:sSub>
            <m:sSubPr>
              <m:ctrlPr>
                <w:rPr>
                  <w:rFonts w:ascii="Cambria Math" w:eastAsia="Times New Roman" w:hAnsi="Cambria Math" w:cs="Arial"/>
                  <w:i/>
                  <w:color w:val="000000" w:themeColor="text1"/>
                  <w:sz w:val="22"/>
                  <w:szCs w:val="22"/>
                  <w:lang w:val="en-US"/>
                </w:rPr>
              </m:ctrlPr>
            </m:sSubPr>
            <m:e>
              <m:r>
                <w:rPr>
                  <w:rFonts w:ascii="Cambria Math" w:eastAsia="Times New Roman" w:hAnsi="Cambria Math" w:cs="Arial"/>
                  <w:color w:val="000000" w:themeColor="text1"/>
                  <w:sz w:val="22"/>
                  <w:szCs w:val="22"/>
                  <w:lang w:val="en-US"/>
                </w:rPr>
                <m:t>Stockout</m:t>
              </m:r>
            </m:e>
            <m:sub>
              <m:r>
                <w:rPr>
                  <w:rFonts w:ascii="Cambria Math" w:eastAsia="Times New Roman" w:hAnsi="Cambria Math" w:cs="Arial"/>
                  <w:color w:val="000000" w:themeColor="text1"/>
                  <w:sz w:val="22"/>
                  <w:szCs w:val="22"/>
                  <w:lang w:val="en-US"/>
                </w:rPr>
                <m:t>i</m:t>
              </m:r>
            </m:sub>
          </m:sSub>
          <m:r>
            <w:rPr>
              <w:rFonts w:ascii="Cambria Math" w:eastAsia="Times New Roman" w:hAnsi="Cambria Math" w:cs="Arial"/>
              <w:color w:val="000000" w:themeColor="text1"/>
              <w:sz w:val="22"/>
              <w:szCs w:val="22"/>
              <w:lang w:val="en-US"/>
            </w:rPr>
            <m:t>+</m:t>
          </m:r>
          <m:sSub>
            <m:sSubPr>
              <m:ctrlPr>
                <w:rPr>
                  <w:rFonts w:ascii="Cambria Math" w:eastAsia="Times New Roman" w:hAnsi="Cambria Math" w:cs="Arial"/>
                  <w:i/>
                  <w:color w:val="000000" w:themeColor="text1"/>
                  <w:sz w:val="22"/>
                  <w:szCs w:val="22"/>
                  <w:lang w:val="en-US"/>
                </w:rPr>
              </m:ctrlPr>
            </m:sSubPr>
            <m:e>
              <m:r>
                <w:rPr>
                  <w:rFonts w:ascii="Cambria Math" w:eastAsia="Times New Roman" w:hAnsi="Cambria Math" w:cs="Arial"/>
                  <w:color w:val="000000" w:themeColor="text1"/>
                  <w:sz w:val="22"/>
                  <w:szCs w:val="22"/>
                  <w:lang w:val="en-US"/>
                </w:rPr>
                <m:t>β</m:t>
              </m:r>
            </m:e>
            <m:sub>
              <m:r>
                <w:rPr>
                  <w:rFonts w:ascii="Cambria Math" w:eastAsia="Times New Roman" w:hAnsi="Cambria Math" w:cs="Arial"/>
                  <w:color w:val="000000" w:themeColor="text1"/>
                  <w:sz w:val="22"/>
                  <w:szCs w:val="22"/>
                  <w:lang w:val="en-US"/>
                </w:rPr>
                <m:t>3</m:t>
              </m:r>
            </m:sub>
          </m:sSub>
          <m:r>
            <w:rPr>
              <w:rFonts w:ascii="Cambria Math" w:eastAsia="Times New Roman" w:hAnsi="Cambria Math" w:cs="Arial"/>
              <w:color w:val="000000" w:themeColor="text1"/>
              <w:sz w:val="22"/>
              <w:szCs w:val="22"/>
              <w:lang w:val="en-US"/>
            </w:rPr>
            <m:t>Δ</m:t>
          </m:r>
          <m:sSub>
            <m:sSubPr>
              <m:ctrlPr>
                <w:rPr>
                  <w:rFonts w:ascii="Cambria Math" w:eastAsia="Times New Roman" w:hAnsi="Cambria Math" w:cs="Arial"/>
                  <w:i/>
                  <w:color w:val="000000" w:themeColor="text1"/>
                  <w:sz w:val="22"/>
                  <w:szCs w:val="22"/>
                  <w:lang w:val="en-US"/>
                </w:rPr>
              </m:ctrlPr>
            </m:sSubPr>
            <m:e>
              <m:r>
                <w:rPr>
                  <w:rFonts w:ascii="Cambria Math" w:eastAsia="Times New Roman" w:hAnsi="Cambria Math" w:cs="Arial"/>
                  <w:color w:val="000000" w:themeColor="text1"/>
                  <w:sz w:val="22"/>
                  <w:szCs w:val="22"/>
                  <w:lang w:val="en-US"/>
                </w:rPr>
                <m:t>Cost</m:t>
              </m:r>
            </m:e>
            <m:sub>
              <m:r>
                <w:rPr>
                  <w:rFonts w:ascii="Cambria Math" w:eastAsia="Times New Roman" w:hAnsi="Cambria Math" w:cs="Arial"/>
                  <w:color w:val="000000" w:themeColor="text1"/>
                  <w:sz w:val="22"/>
                  <w:szCs w:val="22"/>
                  <w:lang w:val="en-US"/>
                </w:rPr>
                <m:t>i</m:t>
              </m:r>
            </m:sub>
          </m:sSub>
          <m:r>
            <w:rPr>
              <w:rFonts w:ascii="Cambria Math" w:eastAsia="Times New Roman" w:hAnsi="Cambria Math" w:cs="Arial"/>
              <w:color w:val="000000" w:themeColor="text1"/>
              <w:sz w:val="22"/>
              <w:szCs w:val="22"/>
              <w:lang w:val="en-US"/>
            </w:rPr>
            <m:t>+</m:t>
          </m:r>
          <m:sSub>
            <m:sSubPr>
              <m:ctrlPr>
                <w:rPr>
                  <w:rFonts w:ascii="Cambria Math" w:eastAsia="Times New Roman" w:hAnsi="Cambria Math" w:cs="Arial"/>
                  <w:i/>
                  <w:color w:val="000000" w:themeColor="text1"/>
                  <w:sz w:val="22"/>
                  <w:szCs w:val="22"/>
                  <w:lang w:val="en-US"/>
                </w:rPr>
              </m:ctrlPr>
            </m:sSubPr>
            <m:e>
              <m:r>
                <w:rPr>
                  <w:rFonts w:ascii="Cambria Math" w:eastAsia="Times New Roman" w:hAnsi="Cambria Math" w:cs="Arial"/>
                  <w:color w:val="000000" w:themeColor="text1"/>
                  <w:sz w:val="22"/>
                  <w:szCs w:val="22"/>
                  <w:lang w:val="en-US"/>
                </w:rPr>
                <m:t>ε</m:t>
              </m:r>
            </m:e>
            <m:sub>
              <m:r>
                <w:rPr>
                  <w:rFonts w:ascii="Cambria Math" w:eastAsia="Times New Roman" w:hAnsi="Cambria Math" w:cs="Arial"/>
                  <w:color w:val="000000" w:themeColor="text1"/>
                  <w:sz w:val="22"/>
                  <w:szCs w:val="22"/>
                  <w:lang w:val="en-US"/>
                </w:rPr>
                <m:t>i</m:t>
              </m:r>
            </m:sub>
          </m:sSub>
        </m:oMath>
      </m:oMathPara>
    </w:p>
    <w:bookmarkEnd w:id="23"/>
    <w:p w14:paraId="65B871D2" w14:textId="77777777" w:rsidR="000A0DBB" w:rsidRDefault="000A0DBB" w:rsidP="001211E5">
      <w:pPr>
        <w:spacing w:line="360" w:lineRule="auto"/>
        <w:ind w:firstLine="720"/>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and then performed a two-stage least squares (2SLS) robustness test using the regional AI adoption indexes as instruments of a ΔMAPE to remove possible endogeneity (Xu et al. 2023, pp. 205-207). Contextual moderation was investigated by entering the interaction of 2 (MAPE) and the regional maturity of the marketing environment. This model was also extended into a hierarchical specification with random intercepts at the level of region based on the Hobor et al. consideration (Hobor et al., 2025, pp. 6-9). Diagnostics supported insignificant multicollinearity (VIF &lt; 2.5) and high explanatory power (conditional R² = 0.62; marginal R² = 0.48).</w:t>
      </w:r>
    </w:p>
    <w:p w14:paraId="4566F55A" w14:textId="77777777" w:rsidR="00C86C04" w:rsidRDefault="00C86C04" w:rsidP="001211E5">
      <w:pPr>
        <w:spacing w:line="360" w:lineRule="auto"/>
        <w:jc w:val="both"/>
        <w:rPr>
          <w:rFonts w:ascii="Arial" w:eastAsia="Times New Roman" w:hAnsi="Arial" w:cs="Arial"/>
          <w:color w:val="000000" w:themeColor="text1"/>
          <w:sz w:val="22"/>
          <w:szCs w:val="22"/>
          <w:lang w:val="en-US"/>
        </w:rPr>
      </w:pPr>
    </w:p>
    <w:p w14:paraId="064808CD" w14:textId="7533DAF5" w:rsidR="00C86C04" w:rsidRPr="0038754A" w:rsidRDefault="0038754A" w:rsidP="001211E5">
      <w:pPr>
        <w:pStyle w:val="Caption"/>
        <w:spacing w:line="360" w:lineRule="auto"/>
        <w:jc w:val="both"/>
        <w:rPr>
          <w:rFonts w:ascii="Arial" w:hAnsi="Arial" w:cs="Arial"/>
          <w:color w:val="000000" w:themeColor="text1"/>
          <w:sz w:val="22"/>
          <w:szCs w:val="22"/>
        </w:rPr>
      </w:pPr>
      <w:bookmarkStart w:id="27" w:name="_Toc204703577"/>
      <w:r w:rsidRPr="0038754A">
        <w:rPr>
          <w:rFonts w:ascii="Arial" w:hAnsi="Arial" w:cs="Arial"/>
          <w:sz w:val="22"/>
          <w:szCs w:val="22"/>
        </w:rPr>
        <w:t xml:space="preserve">Figure </w:t>
      </w:r>
      <w:r w:rsidRPr="0038754A">
        <w:rPr>
          <w:rFonts w:ascii="Arial" w:hAnsi="Arial" w:cs="Arial"/>
          <w:sz w:val="22"/>
          <w:szCs w:val="22"/>
        </w:rPr>
        <w:fldChar w:fldCharType="begin"/>
      </w:r>
      <w:r w:rsidRPr="0038754A">
        <w:rPr>
          <w:rFonts w:ascii="Arial" w:hAnsi="Arial" w:cs="Arial"/>
          <w:sz w:val="22"/>
          <w:szCs w:val="22"/>
        </w:rPr>
        <w:instrText xml:space="preserve"> SEQ Figure \* ARABIC </w:instrText>
      </w:r>
      <w:r w:rsidRPr="0038754A">
        <w:rPr>
          <w:rFonts w:ascii="Arial" w:hAnsi="Arial" w:cs="Arial"/>
          <w:sz w:val="22"/>
          <w:szCs w:val="22"/>
        </w:rPr>
        <w:fldChar w:fldCharType="separate"/>
      </w:r>
      <w:r w:rsidR="00577BE7">
        <w:rPr>
          <w:rFonts w:ascii="Arial" w:hAnsi="Arial" w:cs="Arial"/>
          <w:noProof/>
          <w:sz w:val="22"/>
          <w:szCs w:val="22"/>
        </w:rPr>
        <w:t>3</w:t>
      </w:r>
      <w:r w:rsidRPr="0038754A">
        <w:rPr>
          <w:rFonts w:ascii="Arial" w:hAnsi="Arial" w:cs="Arial"/>
          <w:sz w:val="22"/>
          <w:szCs w:val="22"/>
        </w:rPr>
        <w:fldChar w:fldCharType="end"/>
      </w:r>
      <w:r w:rsidRPr="0038754A">
        <w:rPr>
          <w:rFonts w:ascii="Arial" w:hAnsi="Arial" w:cs="Arial"/>
          <w:sz w:val="22"/>
          <w:szCs w:val="22"/>
        </w:rPr>
        <w:t xml:space="preserve"> : Conceptual Framework</w:t>
      </w:r>
      <w:bookmarkEnd w:id="27"/>
    </w:p>
    <w:p w14:paraId="6FF36FE9" w14:textId="575F25FF" w:rsidR="000A0DBB" w:rsidRPr="000A0DBB" w:rsidRDefault="000A0DBB" w:rsidP="001211E5">
      <w:pPr>
        <w:keepNext/>
        <w:spacing w:line="360" w:lineRule="auto"/>
        <w:jc w:val="both"/>
        <w:rPr>
          <w:rFonts w:ascii="Arial" w:hAnsi="Arial" w:cs="Arial"/>
          <w:color w:val="000000" w:themeColor="text1"/>
          <w:sz w:val="22"/>
          <w:szCs w:val="22"/>
        </w:rPr>
      </w:pPr>
      <w:r w:rsidRPr="000A0DBB">
        <w:rPr>
          <w:rFonts w:ascii="Arial" w:eastAsia="Times New Roman" w:hAnsi="Arial" w:cs="Arial"/>
          <w:noProof/>
          <w:color w:val="000000" w:themeColor="text1"/>
          <w:sz w:val="22"/>
          <w:szCs w:val="22"/>
        </w:rPr>
        <w:drawing>
          <wp:inline distT="0" distB="0" distL="0" distR="0" wp14:anchorId="7068A8D9" wp14:editId="7C6ED548">
            <wp:extent cx="5727700" cy="1962150"/>
            <wp:effectExtent l="0" t="0" r="0" b="6350"/>
            <wp:docPr id="984033482" name="Picture 4"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033482" name="Picture 4" descr="A diagram of a company&#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1962150"/>
                    </a:xfrm>
                    <a:prstGeom prst="rect">
                      <a:avLst/>
                    </a:prstGeom>
                    <a:noFill/>
                    <a:ln>
                      <a:noFill/>
                    </a:ln>
                  </pic:spPr>
                </pic:pic>
              </a:graphicData>
            </a:graphic>
          </wp:inline>
        </w:drawing>
      </w:r>
    </w:p>
    <w:p w14:paraId="59904DEB" w14:textId="53345F43" w:rsidR="0038754A" w:rsidRPr="000A0DBB" w:rsidRDefault="0038754A" w:rsidP="001211E5">
      <w:pPr>
        <w:spacing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 xml:space="preserve">Source: </w:t>
      </w:r>
      <w:r>
        <w:rPr>
          <w:rFonts w:ascii="Arial" w:hAnsi="Arial" w:cs="Arial"/>
          <w:color w:val="000000" w:themeColor="text1"/>
          <w:sz w:val="22"/>
          <w:szCs w:val="22"/>
        </w:rPr>
        <w:t>Author</w:t>
      </w:r>
    </w:p>
    <w:p w14:paraId="2A92CD68" w14:textId="77777777" w:rsidR="0038754A" w:rsidRDefault="0038754A" w:rsidP="001211E5">
      <w:pPr>
        <w:pStyle w:val="Heading1"/>
        <w:spacing w:line="360" w:lineRule="auto"/>
        <w:jc w:val="both"/>
        <w:rPr>
          <w:rFonts w:ascii="Arial" w:hAnsi="Arial" w:cs="Arial"/>
          <w:sz w:val="22"/>
          <w:szCs w:val="22"/>
        </w:rPr>
      </w:pPr>
    </w:p>
    <w:p w14:paraId="552215AC" w14:textId="22477651" w:rsidR="0038754A" w:rsidRDefault="000A0DBB" w:rsidP="001211E5">
      <w:pPr>
        <w:pStyle w:val="Heading1"/>
        <w:spacing w:line="360" w:lineRule="auto"/>
        <w:jc w:val="both"/>
        <w:rPr>
          <w:rFonts w:ascii="Arial" w:hAnsi="Arial" w:cs="Arial"/>
          <w:sz w:val="22"/>
          <w:szCs w:val="22"/>
        </w:rPr>
      </w:pPr>
      <w:bookmarkStart w:id="28" w:name="_Toc204707798"/>
      <w:r w:rsidRPr="0038754A">
        <w:rPr>
          <w:rFonts w:ascii="Arial" w:hAnsi="Arial" w:cs="Arial"/>
          <w:sz w:val="22"/>
          <w:szCs w:val="22"/>
        </w:rPr>
        <w:t>3.4. Conceptual Framework</w:t>
      </w:r>
      <w:bookmarkEnd w:id="28"/>
    </w:p>
    <w:p w14:paraId="2C368332" w14:textId="44B3D918" w:rsidR="0038754A" w:rsidRPr="0038754A" w:rsidRDefault="0038754A" w:rsidP="001211E5">
      <w:pPr>
        <w:pStyle w:val="Caption"/>
        <w:spacing w:line="360" w:lineRule="auto"/>
        <w:jc w:val="both"/>
        <w:rPr>
          <w:rFonts w:ascii="Arial" w:hAnsi="Arial" w:cs="Arial"/>
          <w:sz w:val="22"/>
          <w:szCs w:val="22"/>
        </w:rPr>
      </w:pPr>
      <w:bookmarkStart w:id="29" w:name="_Toc204703578"/>
      <w:r w:rsidRPr="0038754A">
        <w:rPr>
          <w:rFonts w:ascii="Arial" w:hAnsi="Arial" w:cs="Arial"/>
          <w:sz w:val="22"/>
          <w:szCs w:val="22"/>
        </w:rPr>
        <w:t xml:space="preserve">Figure </w:t>
      </w:r>
      <w:r w:rsidRPr="0038754A">
        <w:rPr>
          <w:rFonts w:ascii="Arial" w:hAnsi="Arial" w:cs="Arial"/>
          <w:sz w:val="22"/>
          <w:szCs w:val="22"/>
        </w:rPr>
        <w:fldChar w:fldCharType="begin"/>
      </w:r>
      <w:r w:rsidRPr="0038754A">
        <w:rPr>
          <w:rFonts w:ascii="Arial" w:hAnsi="Arial" w:cs="Arial"/>
          <w:sz w:val="22"/>
          <w:szCs w:val="22"/>
        </w:rPr>
        <w:instrText xml:space="preserve"> SEQ Figure \* ARABIC </w:instrText>
      </w:r>
      <w:r w:rsidRPr="0038754A">
        <w:rPr>
          <w:rFonts w:ascii="Arial" w:hAnsi="Arial" w:cs="Arial"/>
          <w:sz w:val="22"/>
          <w:szCs w:val="22"/>
        </w:rPr>
        <w:fldChar w:fldCharType="separate"/>
      </w:r>
      <w:r w:rsidR="00577BE7">
        <w:rPr>
          <w:rFonts w:ascii="Arial" w:hAnsi="Arial" w:cs="Arial"/>
          <w:noProof/>
          <w:sz w:val="22"/>
          <w:szCs w:val="22"/>
        </w:rPr>
        <w:t>4</w:t>
      </w:r>
      <w:r w:rsidRPr="0038754A">
        <w:rPr>
          <w:rFonts w:ascii="Arial" w:hAnsi="Arial" w:cs="Arial"/>
          <w:sz w:val="22"/>
          <w:szCs w:val="22"/>
        </w:rPr>
        <w:fldChar w:fldCharType="end"/>
      </w:r>
      <w:r w:rsidRPr="0038754A">
        <w:rPr>
          <w:rFonts w:ascii="Arial" w:hAnsi="Arial" w:cs="Arial"/>
          <w:sz w:val="22"/>
          <w:szCs w:val="22"/>
        </w:rPr>
        <w:t xml:space="preserve"> : Methodology Flowchart</w:t>
      </w:r>
      <w:bookmarkEnd w:id="29"/>
    </w:p>
    <w:p w14:paraId="28F38BD0" w14:textId="77777777" w:rsidR="0038754A" w:rsidRPr="0038754A" w:rsidRDefault="0038754A" w:rsidP="001211E5">
      <w:pPr>
        <w:jc w:val="both"/>
      </w:pPr>
    </w:p>
    <w:p w14:paraId="4AA7B24B" w14:textId="434B4070" w:rsidR="000A0DBB" w:rsidRPr="000A0DBB" w:rsidRDefault="000A0DBB" w:rsidP="001211E5">
      <w:pPr>
        <w:keepNext/>
        <w:spacing w:line="360" w:lineRule="auto"/>
        <w:contextualSpacing/>
        <w:jc w:val="both"/>
        <w:rPr>
          <w:rFonts w:ascii="Arial" w:hAnsi="Arial" w:cs="Arial"/>
          <w:color w:val="000000" w:themeColor="text1"/>
          <w:sz w:val="22"/>
          <w:szCs w:val="22"/>
        </w:rPr>
      </w:pPr>
      <w:r w:rsidRPr="000A0DBB">
        <w:rPr>
          <w:rFonts w:ascii="Arial" w:eastAsia="Calibri" w:hAnsi="Arial" w:cs="Arial"/>
          <w:noProof/>
          <w:color w:val="000000" w:themeColor="text1"/>
          <w:sz w:val="22"/>
          <w:szCs w:val="22"/>
        </w:rPr>
        <w:drawing>
          <wp:inline distT="0" distB="0" distL="0" distR="0" wp14:anchorId="7A228EAE" wp14:editId="1ED7F47D">
            <wp:extent cx="4709795" cy="3300581"/>
            <wp:effectExtent l="0" t="0" r="0" b="1905"/>
            <wp:docPr id="1097463756" name="Picture 3" descr="A blue triangle with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7463756" name="Picture 3" descr="A blue triangle with white text&#10;&#10;AI-generated content may be incorrect."/>
                    <pic:cNvPicPr>
                      <a:picLocks noChangeArrowheads="1"/>
                    </pic:cNvPicPr>
                  </pic:nvPicPr>
                  <pic:blipFill>
                    <a:blip r:embed="rId13">
                      <a:extLst>
                        <a:ext uri="{28A0092B-C50C-407E-A947-70E740481C1C}">
                          <a14:useLocalDpi xmlns:a14="http://schemas.microsoft.com/office/drawing/2010/main" val="0"/>
                        </a:ext>
                      </a:extLst>
                    </a:blip>
                    <a:srcRect l="-22635" r="-23311"/>
                    <a:stretch>
                      <a:fillRect/>
                    </a:stretch>
                  </pic:blipFill>
                  <pic:spPr bwMode="auto">
                    <a:xfrm>
                      <a:off x="0" y="0"/>
                      <a:ext cx="4732820" cy="3316716"/>
                    </a:xfrm>
                    <a:prstGeom prst="rect">
                      <a:avLst/>
                    </a:prstGeom>
                    <a:noFill/>
                    <a:ln>
                      <a:noFill/>
                    </a:ln>
                  </pic:spPr>
                </pic:pic>
              </a:graphicData>
            </a:graphic>
          </wp:inline>
        </w:drawing>
      </w:r>
    </w:p>
    <w:p w14:paraId="1E6FCDAD" w14:textId="77777777" w:rsidR="000A0DBB" w:rsidRDefault="000A0DBB" w:rsidP="001211E5">
      <w:pPr>
        <w:spacing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Source: Appendix</w:t>
      </w:r>
    </w:p>
    <w:p w14:paraId="7DCD97A7" w14:textId="77777777" w:rsidR="0038754A" w:rsidRPr="000A0DBB" w:rsidRDefault="0038754A" w:rsidP="001211E5">
      <w:pPr>
        <w:spacing w:line="360" w:lineRule="auto"/>
        <w:jc w:val="both"/>
        <w:rPr>
          <w:rFonts w:ascii="Arial" w:hAnsi="Arial" w:cs="Arial"/>
          <w:color w:val="000000" w:themeColor="text1"/>
          <w:sz w:val="22"/>
          <w:szCs w:val="22"/>
        </w:rPr>
      </w:pPr>
    </w:p>
    <w:p w14:paraId="423224F0" w14:textId="77777777" w:rsidR="000A0DBB" w:rsidRDefault="000A0DBB" w:rsidP="001211E5">
      <w:pPr>
        <w:spacing w:line="360" w:lineRule="auto"/>
        <w:ind w:firstLine="720"/>
        <w:jc w:val="both"/>
        <w:rPr>
          <w:rFonts w:ascii="Arial" w:eastAsia="Times New Roman" w:hAnsi="Arial" w:cs="Arial"/>
          <w:color w:val="000000" w:themeColor="text1"/>
          <w:sz w:val="22"/>
          <w:szCs w:val="22"/>
        </w:rPr>
      </w:pPr>
      <w:r w:rsidRPr="000A0DBB">
        <w:rPr>
          <w:rFonts w:ascii="Arial" w:eastAsia="Times New Roman" w:hAnsi="Arial" w:cs="Arial"/>
          <w:color w:val="000000" w:themeColor="text1"/>
          <w:sz w:val="22"/>
          <w:szCs w:val="22"/>
        </w:rPr>
        <w:t xml:space="preserve">In our conceptual model (Fig. 3), we have put AI-driven predictive analytics as a level of the independent variable that affects two important outcomes: inventory management effectiveness (stock-out rates and carrying cost) and the decision cycle efficiency (forecast to replenishment interval). Demand accuracy is enhanced with sales, promotions, weather, macroeconomic demand, and forecast fusion engines in real time (real time is important as it is done after the day is over). We superimpose our six moderators and the TOE and Strategic Alignment lenses: at the organisation level, our moderators' data infrastructure maturity and executive commitment fit the Technology pillar and the Organisation pillar in the TOE and IT-business linkage in the Alignment model, and employee digital literacy enhances IT-business linkage. The laws and regulations on data privacy, market evolution processes, and the cultural predisposition towards algorithm-based decision-making directly correspond to the TOE Environment pillar at the Environment level. They are the external contingencies that can either facilitate or limit the adaptation of AI into the industry. These relationships are visualised in Figure 3 and reveal that, in response to both internal readiness and external enablers, </w:t>
      </w:r>
      <w:r w:rsidRPr="000A0DBB">
        <w:rPr>
          <w:rFonts w:ascii="Arial" w:eastAsia="Times New Roman" w:hAnsi="Arial" w:cs="Arial"/>
          <w:color w:val="000000" w:themeColor="text1"/>
          <w:sz w:val="22"/>
          <w:szCs w:val="22"/>
        </w:rPr>
        <w:lastRenderedPageBreak/>
        <w:t>moderator scores and pre/post implementation performance were quite different in North America, South America, and Asia.</w:t>
      </w:r>
    </w:p>
    <w:p w14:paraId="432FEA26"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68BC5AE9"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5D175DE6"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58FCA83A"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0CB64020"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2724D30D"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4368065E"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256CFF43"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580AFEA5"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1AAB85E7"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3F334B4F"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197C2478"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2F27EEF8"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3D8848D8"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66C6D7F5"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3A65C06C"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11A03A2D"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01FD0BF5"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7EB98734"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2C642311"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68EA3E01"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39741438"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25F8A7D2"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527F69F4"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510A719A"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4E4E0331"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73140465"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69BDD26A"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5487887D"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03796D69"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313E92D6" w14:textId="77777777" w:rsidR="0038754A" w:rsidRDefault="0038754A" w:rsidP="001211E5">
      <w:pPr>
        <w:spacing w:line="360" w:lineRule="auto"/>
        <w:ind w:firstLine="720"/>
        <w:jc w:val="both"/>
        <w:rPr>
          <w:rFonts w:ascii="Arial" w:eastAsia="Times New Roman" w:hAnsi="Arial" w:cs="Arial"/>
          <w:color w:val="000000" w:themeColor="text1"/>
          <w:sz w:val="22"/>
          <w:szCs w:val="22"/>
        </w:rPr>
      </w:pPr>
    </w:p>
    <w:p w14:paraId="1BAE13C3" w14:textId="77777777" w:rsidR="0038754A" w:rsidRPr="000A0DBB" w:rsidRDefault="0038754A" w:rsidP="001211E5">
      <w:pPr>
        <w:spacing w:line="360" w:lineRule="auto"/>
        <w:ind w:firstLine="720"/>
        <w:jc w:val="both"/>
        <w:rPr>
          <w:rFonts w:ascii="Arial" w:eastAsia="Times New Roman" w:hAnsi="Arial" w:cs="Arial"/>
          <w:color w:val="000000" w:themeColor="text1"/>
          <w:sz w:val="22"/>
          <w:szCs w:val="22"/>
        </w:rPr>
      </w:pPr>
    </w:p>
    <w:p w14:paraId="18BFE2C8" w14:textId="77777777" w:rsidR="000A0DBB" w:rsidRPr="0038754A" w:rsidRDefault="000A0DBB" w:rsidP="001211E5">
      <w:pPr>
        <w:pStyle w:val="Heading1"/>
        <w:spacing w:line="360" w:lineRule="auto"/>
        <w:jc w:val="both"/>
        <w:rPr>
          <w:rFonts w:ascii="Arial" w:eastAsia="Times New Roman" w:hAnsi="Arial" w:cs="Arial"/>
          <w:sz w:val="22"/>
          <w:szCs w:val="22"/>
          <w:lang w:val="en-US"/>
        </w:rPr>
      </w:pPr>
      <w:bookmarkStart w:id="30" w:name="_Toc204707799"/>
      <w:r w:rsidRPr="0038754A">
        <w:rPr>
          <w:rFonts w:ascii="Arial" w:eastAsia="Times New Roman" w:hAnsi="Arial" w:cs="Arial"/>
          <w:sz w:val="22"/>
          <w:szCs w:val="22"/>
          <w:lang w:val="en-US"/>
        </w:rPr>
        <w:lastRenderedPageBreak/>
        <w:t>3.5. Limitations</w:t>
      </w:r>
      <w:bookmarkEnd w:id="30"/>
    </w:p>
    <w:p w14:paraId="146BD319" w14:textId="5D9D5DE5" w:rsidR="000A0DBB" w:rsidRPr="000A0DBB" w:rsidRDefault="000A0DBB" w:rsidP="001211E5">
      <w:pPr>
        <w:spacing w:line="360" w:lineRule="auto"/>
        <w:ind w:firstLine="720"/>
        <w:jc w:val="both"/>
        <w:rPr>
          <w:rFonts w:ascii="Arial" w:eastAsia="Times New Roman" w:hAnsi="Arial" w:cs="Arial"/>
          <w:color w:val="000000" w:themeColor="text1"/>
          <w:sz w:val="22"/>
          <w:szCs w:val="22"/>
        </w:rPr>
      </w:pPr>
      <w:r w:rsidRPr="000A0DBB">
        <w:rPr>
          <w:rFonts w:ascii="Arial" w:eastAsia="Times New Roman" w:hAnsi="Arial" w:cs="Arial"/>
          <w:color w:val="000000" w:themeColor="text1"/>
          <w:sz w:val="22"/>
          <w:szCs w:val="22"/>
        </w:rPr>
        <w:t>The present research work has limitations in that it only uses secondary data sources and may fail to reveal subtle organisational decision-making and contextual factors</w:t>
      </w:r>
      <w:r w:rsidR="0038754A">
        <w:rPr>
          <w:rFonts w:ascii="Arial" w:eastAsia="Times New Roman" w:hAnsi="Arial" w:cs="Arial"/>
          <w:color w:val="000000" w:themeColor="text1"/>
          <w:sz w:val="22"/>
          <w:szCs w:val="22"/>
        </w:rPr>
        <w:t xml:space="preserve"> </w:t>
      </w:r>
      <w:r w:rsidRPr="000A0DBB">
        <w:rPr>
          <w:rFonts w:ascii="Arial" w:eastAsia="Times New Roman" w:hAnsi="Arial" w:cs="Arial"/>
          <w:color w:val="000000" w:themeColor="text1"/>
          <w:sz w:val="22"/>
          <w:szCs w:val="22"/>
        </w:rPr>
        <w:t>the generalisability across the established criteria of revenue and region limits regarding thirty purposively sampled medium-sized retailers. Missing quarterly data can subject the research to interpolation-generated bias, and reporting standards between databases or sustainability reports can cause inconsistencies. The lack of primary interviews and surveys does not allow validation of strategic intentions. Besides, the pre-post design restricts causality because other extraneous factors may affect performance variables. Lastly, cultural and regulatory moderators cannot be fully operationalised using archival proxies.</w:t>
      </w:r>
    </w:p>
    <w:p w14:paraId="078E21A7" w14:textId="77777777" w:rsidR="000A0DBB" w:rsidRPr="000A0DBB" w:rsidRDefault="000A0DBB" w:rsidP="001211E5">
      <w:pPr>
        <w:spacing w:line="360" w:lineRule="auto"/>
        <w:jc w:val="both"/>
        <w:rPr>
          <w:rFonts w:ascii="Arial" w:eastAsia="Times New Roman" w:hAnsi="Arial" w:cs="Arial"/>
          <w:color w:val="000000" w:themeColor="text1"/>
          <w:sz w:val="22"/>
          <w:szCs w:val="22"/>
        </w:rPr>
      </w:pPr>
      <w:r w:rsidRPr="000A0DBB">
        <w:rPr>
          <w:rFonts w:ascii="Arial" w:eastAsia="Times New Roman" w:hAnsi="Arial" w:cs="Arial"/>
          <w:color w:val="000000" w:themeColor="text1"/>
          <w:sz w:val="22"/>
          <w:szCs w:val="22"/>
        </w:rPr>
        <w:br w:type="page"/>
      </w:r>
    </w:p>
    <w:p w14:paraId="72ADC6A7" w14:textId="77777777" w:rsidR="000A0DBB" w:rsidRPr="0038754A" w:rsidRDefault="000A0DBB" w:rsidP="001211E5">
      <w:pPr>
        <w:pStyle w:val="Heading1"/>
        <w:spacing w:line="360" w:lineRule="auto"/>
        <w:jc w:val="both"/>
        <w:rPr>
          <w:rFonts w:ascii="Arial" w:hAnsi="Arial" w:cs="Arial"/>
          <w:sz w:val="22"/>
          <w:szCs w:val="22"/>
        </w:rPr>
      </w:pPr>
      <w:bookmarkStart w:id="31" w:name="_Toc204707800"/>
      <w:r w:rsidRPr="0038754A">
        <w:rPr>
          <w:rFonts w:ascii="Arial" w:hAnsi="Arial" w:cs="Arial"/>
          <w:sz w:val="22"/>
          <w:szCs w:val="22"/>
        </w:rPr>
        <w:lastRenderedPageBreak/>
        <w:t>4.0. Findings</w:t>
      </w:r>
      <w:bookmarkEnd w:id="31"/>
    </w:p>
    <w:p w14:paraId="0FAADD59" w14:textId="77777777" w:rsidR="000A0DBB" w:rsidRPr="0038754A" w:rsidRDefault="000A0DBB" w:rsidP="001211E5">
      <w:pPr>
        <w:pStyle w:val="Heading2"/>
        <w:spacing w:line="360" w:lineRule="auto"/>
        <w:jc w:val="both"/>
        <w:rPr>
          <w:rFonts w:ascii="Arial" w:hAnsi="Arial" w:cs="Arial"/>
          <w:sz w:val="22"/>
          <w:szCs w:val="22"/>
        </w:rPr>
      </w:pPr>
      <w:bookmarkStart w:id="32" w:name="_Toc204707801"/>
      <w:r w:rsidRPr="0038754A">
        <w:rPr>
          <w:rFonts w:ascii="Arial" w:hAnsi="Arial" w:cs="Arial"/>
          <w:sz w:val="22"/>
          <w:szCs w:val="22"/>
        </w:rPr>
        <w:t>4.1. Sample and Metrics Overview</w:t>
      </w:r>
      <w:bookmarkEnd w:id="32"/>
    </w:p>
    <w:p w14:paraId="28FA495E" w14:textId="77777777" w:rsid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The study took 30 omnichannel retailers distributed equally between North America, South America, and Asia, with the annual revenues falling between USD 50M and USD 500M. The researcher obtained 12 months of financial and operational information in each firm before and after going live with AI-enabled forecasting systems (see Appendix). Four basic metrics were monitored: forecast error (MAPE), stockout rate, inventory carrying cost, and inventory level. The researcher deployed global consulting industry benchmarks (McKinsey, Deloitte) to estimate the percentage increase. The process also involved taking inventory-cost-related figures of the company balance sheets as available in each annual report of the respective thirty companies (n=30) to calculate the changes in the inventory.</w:t>
      </w:r>
    </w:p>
    <w:p w14:paraId="555A4D59" w14:textId="77777777" w:rsidR="0038754A" w:rsidRDefault="0038754A" w:rsidP="001211E5">
      <w:pPr>
        <w:spacing w:line="360" w:lineRule="auto"/>
        <w:ind w:firstLine="720"/>
        <w:contextualSpacing/>
        <w:jc w:val="both"/>
        <w:rPr>
          <w:rFonts w:ascii="Arial" w:hAnsi="Arial" w:cs="Arial"/>
          <w:color w:val="000000" w:themeColor="text1"/>
          <w:sz w:val="22"/>
          <w:szCs w:val="22"/>
        </w:rPr>
      </w:pPr>
    </w:p>
    <w:p w14:paraId="7C0B4566" w14:textId="3D3E9F1C" w:rsidR="0038754A" w:rsidRPr="0038754A" w:rsidRDefault="0038754A" w:rsidP="001211E5">
      <w:pPr>
        <w:pStyle w:val="Caption"/>
        <w:spacing w:line="360" w:lineRule="auto"/>
        <w:jc w:val="both"/>
        <w:rPr>
          <w:rFonts w:ascii="Arial" w:hAnsi="Arial" w:cs="Arial"/>
          <w:color w:val="000000" w:themeColor="text1"/>
          <w:sz w:val="22"/>
          <w:szCs w:val="22"/>
        </w:rPr>
      </w:pPr>
      <w:bookmarkStart w:id="33" w:name="_Toc204703579"/>
      <w:r w:rsidRPr="0038754A">
        <w:rPr>
          <w:rFonts w:ascii="Arial" w:hAnsi="Arial" w:cs="Arial"/>
          <w:sz w:val="22"/>
          <w:szCs w:val="22"/>
        </w:rPr>
        <w:t xml:space="preserve">Figure </w:t>
      </w:r>
      <w:r w:rsidRPr="0038754A">
        <w:rPr>
          <w:rFonts w:ascii="Arial" w:hAnsi="Arial" w:cs="Arial"/>
          <w:sz w:val="22"/>
          <w:szCs w:val="22"/>
        </w:rPr>
        <w:fldChar w:fldCharType="begin"/>
      </w:r>
      <w:r w:rsidRPr="0038754A">
        <w:rPr>
          <w:rFonts w:ascii="Arial" w:hAnsi="Arial" w:cs="Arial"/>
          <w:sz w:val="22"/>
          <w:szCs w:val="22"/>
        </w:rPr>
        <w:instrText xml:space="preserve"> SEQ Figure \* ARABIC </w:instrText>
      </w:r>
      <w:r w:rsidRPr="0038754A">
        <w:rPr>
          <w:rFonts w:ascii="Arial" w:hAnsi="Arial" w:cs="Arial"/>
          <w:sz w:val="22"/>
          <w:szCs w:val="22"/>
        </w:rPr>
        <w:fldChar w:fldCharType="separate"/>
      </w:r>
      <w:r w:rsidR="00577BE7">
        <w:rPr>
          <w:rFonts w:ascii="Arial" w:hAnsi="Arial" w:cs="Arial"/>
          <w:noProof/>
          <w:sz w:val="22"/>
          <w:szCs w:val="22"/>
        </w:rPr>
        <w:t>5</w:t>
      </w:r>
      <w:r w:rsidRPr="0038754A">
        <w:rPr>
          <w:rFonts w:ascii="Arial" w:hAnsi="Arial" w:cs="Arial"/>
          <w:sz w:val="22"/>
          <w:szCs w:val="22"/>
        </w:rPr>
        <w:fldChar w:fldCharType="end"/>
      </w:r>
      <w:r w:rsidRPr="0038754A">
        <w:rPr>
          <w:rFonts w:ascii="Arial" w:hAnsi="Arial" w:cs="Arial"/>
          <w:sz w:val="22"/>
          <w:szCs w:val="22"/>
        </w:rPr>
        <w:t xml:space="preserve"> : Inventory Change by Region after AI Implementation</w:t>
      </w:r>
      <w:bookmarkEnd w:id="33"/>
    </w:p>
    <w:p w14:paraId="5E4B462D" w14:textId="17C5DFEE" w:rsidR="000A0DBB" w:rsidRPr="000A0DBB" w:rsidRDefault="000A0DBB" w:rsidP="001211E5">
      <w:pPr>
        <w:keepNext/>
        <w:spacing w:line="360" w:lineRule="auto"/>
        <w:contextualSpacing/>
        <w:jc w:val="both"/>
        <w:rPr>
          <w:rFonts w:ascii="Arial" w:hAnsi="Arial" w:cs="Arial"/>
          <w:sz w:val="22"/>
          <w:szCs w:val="22"/>
        </w:rPr>
      </w:pPr>
      <w:r w:rsidRPr="000A0DBB">
        <w:rPr>
          <w:rFonts w:ascii="Arial" w:hAnsi="Arial" w:cs="Arial"/>
          <w:noProof/>
          <w:color w:val="000000" w:themeColor="text1"/>
          <w:sz w:val="22"/>
          <w:szCs w:val="22"/>
        </w:rPr>
        <w:drawing>
          <wp:inline distT="0" distB="0" distL="0" distR="0" wp14:anchorId="1AC8A12C" wp14:editId="7F722F58">
            <wp:extent cx="5089585" cy="3690561"/>
            <wp:effectExtent l="0" t="0" r="3175" b="5715"/>
            <wp:docPr id="749675635" name="Picture 2" descr="A graph of sales in a region&#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9675635" name="Picture 2" descr="A graph of sales in a region&#10;&#10;AI-generated content may be incorrect."/>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3554" cy="3707942"/>
                    </a:xfrm>
                    <a:prstGeom prst="rect">
                      <a:avLst/>
                    </a:prstGeom>
                    <a:noFill/>
                    <a:ln>
                      <a:noFill/>
                    </a:ln>
                  </pic:spPr>
                </pic:pic>
              </a:graphicData>
            </a:graphic>
          </wp:inline>
        </w:drawing>
      </w:r>
    </w:p>
    <w:p w14:paraId="08D01819" w14:textId="77777777" w:rsidR="000A0DBB" w:rsidRDefault="000A0DBB" w:rsidP="001211E5">
      <w:pPr>
        <w:spacing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Source: Appendix</w:t>
      </w:r>
    </w:p>
    <w:p w14:paraId="6AFA0615" w14:textId="77777777" w:rsidR="0038754A" w:rsidRDefault="0038754A" w:rsidP="001211E5">
      <w:pPr>
        <w:spacing w:line="360" w:lineRule="auto"/>
        <w:jc w:val="both"/>
        <w:rPr>
          <w:rFonts w:ascii="Arial" w:hAnsi="Arial" w:cs="Arial"/>
          <w:color w:val="000000" w:themeColor="text1"/>
          <w:sz w:val="22"/>
          <w:szCs w:val="22"/>
        </w:rPr>
      </w:pPr>
    </w:p>
    <w:p w14:paraId="641CA5EF" w14:textId="77777777" w:rsidR="0038754A" w:rsidRPr="000A0DBB" w:rsidRDefault="0038754A" w:rsidP="001211E5">
      <w:pPr>
        <w:spacing w:line="360" w:lineRule="auto"/>
        <w:jc w:val="both"/>
        <w:rPr>
          <w:rFonts w:ascii="Arial" w:hAnsi="Arial" w:cs="Arial"/>
          <w:color w:val="000000" w:themeColor="text1"/>
          <w:sz w:val="22"/>
          <w:szCs w:val="22"/>
        </w:rPr>
      </w:pPr>
    </w:p>
    <w:p w14:paraId="32393234" w14:textId="77777777" w:rsidR="000A0DBB" w:rsidRPr="0038754A" w:rsidRDefault="000A0DBB" w:rsidP="001211E5">
      <w:pPr>
        <w:pStyle w:val="Heading3"/>
        <w:spacing w:line="360" w:lineRule="auto"/>
        <w:jc w:val="both"/>
        <w:rPr>
          <w:rFonts w:ascii="Arial" w:hAnsi="Arial" w:cs="Arial"/>
          <w:sz w:val="22"/>
          <w:szCs w:val="22"/>
        </w:rPr>
      </w:pPr>
      <w:bookmarkStart w:id="34" w:name="_Toc204707802"/>
      <w:r w:rsidRPr="0038754A">
        <w:rPr>
          <w:rFonts w:ascii="Arial" w:hAnsi="Arial" w:cs="Arial"/>
          <w:sz w:val="22"/>
          <w:szCs w:val="22"/>
        </w:rPr>
        <w:lastRenderedPageBreak/>
        <w:t>4.2. General Pre-AI and Post-AI Changes</w:t>
      </w:r>
      <w:bookmarkEnd w:id="34"/>
    </w:p>
    <w:p w14:paraId="5747B46E" w14:textId="77777777"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sz w:val="22"/>
          <w:szCs w:val="22"/>
          <w:lang w:val="en-US"/>
        </w:rPr>
        <w:t xml:space="preserve">Figure 5 depicts the mean </w:t>
      </w:r>
      <w:r w:rsidRPr="000A0DBB">
        <w:rPr>
          <w:rFonts w:ascii="Arial" w:eastAsia="Times New Roman" w:hAnsi="Arial" w:cs="Arial"/>
          <w:color w:val="000000" w:themeColor="text1"/>
          <w:sz w:val="22"/>
          <w:szCs w:val="22"/>
          <w:lang w:val="en-US"/>
        </w:rPr>
        <w:t>change in the inventory (post-AI versus pre-AI deployment) by region. The bars above the number zero show inventory increases; the bars below the number zero are inventory reductions.</w:t>
      </w:r>
    </w:p>
    <w:p w14:paraId="74E1BAFF" w14:textId="079F5BC3"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 xml:space="preserve">Means of change in the inventory level after the implementation of AI significantly varied across regions within the 30 selected mid-sized omnichannel retailers in the sample. The most significant improvement was in North America, where average inventories surged by $43.36 million. Ways of change regarding inventory level after AI were different among ten North Rider mid-sized omnichannel retailers. Inventories increased by an average of 43.36 million dollars, with a minimum decrease of 2.57 million dollars in Francesca Holdings to a maximum increase of 182.9 million dollars in Fossil Group. Boot Barn and Rent </w:t>
      </w:r>
      <w:r w:rsidR="002B39C1">
        <w:rPr>
          <w:rFonts w:ascii="Arial" w:eastAsia="Times New Roman" w:hAnsi="Arial" w:cs="Arial"/>
          <w:color w:val="000000" w:themeColor="text1"/>
          <w:sz w:val="22"/>
          <w:szCs w:val="22"/>
          <w:lang w:val="en-US"/>
        </w:rPr>
        <w:t>a</w:t>
      </w:r>
      <w:r w:rsidRPr="000A0DBB">
        <w:rPr>
          <w:rFonts w:ascii="Arial" w:eastAsia="Times New Roman" w:hAnsi="Arial" w:cs="Arial"/>
          <w:color w:val="000000" w:themeColor="text1"/>
          <w:sz w:val="22"/>
          <w:szCs w:val="22"/>
          <w:lang w:val="en-US"/>
        </w:rPr>
        <w:t xml:space="preserve"> Centre contributed 105.6 million and 147 million, respectively; Duluth Holdings had a 1.4 million increase. The small changes were Destination XL down by $0.21 million, Shoe Carnival up $0.20 million, and Genesco up $0.12 million. Such diverse results indicate the variations in maturity levels of AI adoption and models of replenishment. Conversely, South America recorded a significant reduction in its inventory by a net amount of $10.18 million, whereas Asia registered a less significant net change of $1.58 million. Such regional differences demonstrate the extent to which AI impacts inventory not via the technology itself but via the way and in the </w:t>
      </w:r>
      <w:r w:rsidR="0038754A" w:rsidRPr="000A0DBB">
        <w:rPr>
          <w:rFonts w:ascii="Arial" w:eastAsia="Times New Roman" w:hAnsi="Arial" w:cs="Arial"/>
          <w:color w:val="000000" w:themeColor="text1"/>
          <w:sz w:val="22"/>
          <w:szCs w:val="22"/>
          <w:lang w:val="en-US"/>
        </w:rPr>
        <w:t>places,</w:t>
      </w:r>
      <w:r w:rsidRPr="000A0DBB">
        <w:rPr>
          <w:rFonts w:ascii="Arial" w:eastAsia="Times New Roman" w:hAnsi="Arial" w:cs="Arial"/>
          <w:color w:val="000000" w:themeColor="text1"/>
          <w:sz w:val="22"/>
          <w:szCs w:val="22"/>
          <w:lang w:val="en-US"/>
        </w:rPr>
        <w:t xml:space="preserve"> it is introduced. In the Asia/Pacific, stocks edged higher by $1.58M. Adore Beauty added $4.89M, Adairs $2.37M, and Eu Yan Sang, Old Chang Kee, and Eslite Spectrum had more modest gains of 1.17M, 2.63M, and 2.87M, respectively. On the other hand, Nick Scali (-$10.18M), Michael Hill (-$5.56M), Baby Bunting (-$2.28M), and Giordano (-$0.40M) declined in the effects, demonstrating the influence of local implementation on the stock management of AI.</w:t>
      </w:r>
    </w:p>
    <w:p w14:paraId="12CFBD14" w14:textId="77777777" w:rsid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The potential use of AI in North America may also extend beyond streamlining operations, as retailers use it to foster broader growth plans, including filling out product lines or accumulating safety stocks to deal with the uncertainty of demand. Given its infrastructural limitation and cost burden, South American firms will likely have used AI to compensate for their inefficiencies and excessive ordering (pMarketResearch 2025, n.p.). The marginal change in Asia indicates the variety of AI advancements in the region: other companies optimised inventory using it, and others helped scale or turn to different categories.</w:t>
      </w:r>
    </w:p>
    <w:p w14:paraId="6938615E" w14:textId="77777777" w:rsidR="0038754A" w:rsidRDefault="0038754A" w:rsidP="001211E5">
      <w:pPr>
        <w:spacing w:line="360" w:lineRule="auto"/>
        <w:ind w:firstLine="720"/>
        <w:contextualSpacing/>
        <w:jc w:val="both"/>
        <w:rPr>
          <w:rFonts w:ascii="Arial" w:eastAsia="Times New Roman" w:hAnsi="Arial" w:cs="Arial"/>
          <w:color w:val="000000" w:themeColor="text1"/>
          <w:sz w:val="22"/>
          <w:szCs w:val="22"/>
          <w:lang w:val="en-US"/>
        </w:rPr>
      </w:pPr>
    </w:p>
    <w:p w14:paraId="46956615" w14:textId="77777777" w:rsidR="000A0DBB" w:rsidRPr="0038754A" w:rsidRDefault="000A0DBB" w:rsidP="001211E5">
      <w:pPr>
        <w:pStyle w:val="Heading1"/>
        <w:spacing w:line="360" w:lineRule="auto"/>
        <w:jc w:val="both"/>
        <w:rPr>
          <w:rFonts w:ascii="Arial" w:hAnsi="Arial" w:cs="Arial"/>
          <w:sz w:val="22"/>
          <w:szCs w:val="22"/>
        </w:rPr>
      </w:pPr>
      <w:bookmarkStart w:id="35" w:name="_Toc204707803"/>
      <w:r w:rsidRPr="0038754A">
        <w:rPr>
          <w:rStyle w:val="Strong"/>
          <w:rFonts w:ascii="Arial" w:hAnsi="Arial" w:cs="Arial"/>
          <w:b w:val="0"/>
          <w:bCs w:val="0"/>
          <w:sz w:val="22"/>
          <w:szCs w:val="22"/>
        </w:rPr>
        <w:lastRenderedPageBreak/>
        <w:t>4.2.1 Predictive Techniques</w:t>
      </w:r>
      <w:bookmarkEnd w:id="35"/>
    </w:p>
    <w:p w14:paraId="6C7A07D9" w14:textId="77777777" w:rsidR="000A0DBB" w:rsidRPr="00577BE7" w:rsidRDefault="000A0DBB" w:rsidP="001211E5">
      <w:pPr>
        <w:pStyle w:val="Heading2"/>
        <w:spacing w:line="360" w:lineRule="auto"/>
        <w:jc w:val="both"/>
        <w:rPr>
          <w:rFonts w:ascii="Arial" w:hAnsi="Arial" w:cs="Arial"/>
          <w:sz w:val="22"/>
          <w:szCs w:val="22"/>
        </w:rPr>
      </w:pPr>
      <w:bookmarkStart w:id="36" w:name="_Toc204707804"/>
      <w:r w:rsidRPr="00577BE7">
        <w:rPr>
          <w:rStyle w:val="Strong"/>
          <w:rFonts w:ascii="Arial" w:hAnsi="Arial" w:cs="Arial"/>
          <w:b w:val="0"/>
          <w:bCs w:val="0"/>
          <w:sz w:val="22"/>
          <w:szCs w:val="22"/>
        </w:rPr>
        <w:t xml:space="preserve">4.2.1.1 </w:t>
      </w:r>
      <w:r w:rsidRPr="00577BE7">
        <w:rPr>
          <w:rFonts w:ascii="Arial" w:hAnsi="Arial" w:cs="Arial"/>
          <w:sz w:val="22"/>
          <w:szCs w:val="22"/>
        </w:rPr>
        <w:t>Predictive Modelling</w:t>
      </w:r>
      <w:bookmarkEnd w:id="36"/>
    </w:p>
    <w:p w14:paraId="208BEFF8" w14:textId="77777777" w:rsidR="000A0DBB" w:rsidRPr="000A0DBB" w:rsidRDefault="000A0DBB" w:rsidP="001211E5">
      <w:pPr>
        <w:pStyle w:val="NormalWeb"/>
        <w:spacing w:before="0" w:beforeAutospacing="0" w:after="0" w:afterAutospacing="0" w:line="360" w:lineRule="auto"/>
        <w:ind w:firstLine="720"/>
        <w:jc w:val="both"/>
        <w:rPr>
          <w:rFonts w:ascii="Arial" w:hAnsi="Arial" w:cs="Arial"/>
          <w:color w:val="000000" w:themeColor="text1"/>
          <w:sz w:val="22"/>
          <w:szCs w:val="22"/>
        </w:rPr>
      </w:pPr>
      <w:r w:rsidRPr="000A0DBB">
        <w:rPr>
          <w:rFonts w:ascii="Arial" w:hAnsi="Arial" w:cs="Arial"/>
          <w:color w:val="000000" w:themeColor="text1"/>
          <w:sz w:val="22"/>
          <w:szCs w:val="22"/>
        </w:rPr>
        <w:t>The researcher further based the exploratory results and identified a multilevel mixed-effects regression model in predicting post-AI inventory change. The model design at Level 1 included firm-level adjustments such as reductions in MAPE, stock-out rate, and carrying cost, whereas Level 2 figured in random intercepts at the region level and contextual moderators (market maturity and data privacy strictness). It is a hierarchical model that is based on the suggestions of Hobor et al. (2025, p. 512) and can reflect unobserved heterogeneity in North America, South America, and Asia. Interaction issues between MAPE reduction and market maturity investigated the possibility of different expectations with superb regional infrastructure and regulatory framework conditions. Diagnostics showed a low value of multicollinearity (VIF &lt; 2.5) and high explaining ability (conditional R² = 0.62; marginal R² = 0.48).</w:t>
      </w:r>
    </w:p>
    <w:p w14:paraId="3381B25E" w14:textId="77777777" w:rsidR="000A0DBB" w:rsidRPr="0038754A" w:rsidRDefault="000A0DBB" w:rsidP="001211E5">
      <w:pPr>
        <w:pStyle w:val="Heading3"/>
        <w:spacing w:line="360" w:lineRule="auto"/>
        <w:jc w:val="both"/>
        <w:rPr>
          <w:rFonts w:ascii="Arial" w:hAnsi="Arial" w:cs="Arial"/>
          <w:sz w:val="22"/>
          <w:szCs w:val="22"/>
        </w:rPr>
      </w:pPr>
      <w:bookmarkStart w:id="37" w:name="_Toc204707805"/>
      <w:r w:rsidRPr="0038754A">
        <w:rPr>
          <w:rFonts w:ascii="Arial" w:hAnsi="Arial" w:cs="Arial"/>
          <w:sz w:val="22"/>
          <w:szCs w:val="22"/>
        </w:rPr>
        <w:t>4.2.1.2 Strengths of Analytics</w:t>
      </w:r>
      <w:bookmarkEnd w:id="37"/>
    </w:p>
    <w:p w14:paraId="11A49F9C" w14:textId="4AAB7795" w:rsidR="000A0DBB" w:rsidRPr="000A0DBB" w:rsidRDefault="000A0DBB" w:rsidP="001211E5">
      <w:pPr>
        <w:pStyle w:val="NormalWeb"/>
        <w:spacing w:before="0" w:beforeAutospacing="0" w:after="0" w:afterAutospacing="0" w:line="360" w:lineRule="auto"/>
        <w:ind w:firstLine="720"/>
        <w:jc w:val="both"/>
        <w:rPr>
          <w:rFonts w:ascii="Arial" w:hAnsi="Arial" w:cs="Arial"/>
          <w:color w:val="000000" w:themeColor="text1"/>
          <w:sz w:val="22"/>
          <w:szCs w:val="22"/>
        </w:rPr>
      </w:pPr>
      <w:r w:rsidRPr="000A0DBB">
        <w:rPr>
          <w:rFonts w:ascii="Arial" w:hAnsi="Arial" w:cs="Arial"/>
          <w:color w:val="000000" w:themeColor="text1"/>
          <w:sz w:val="22"/>
          <w:szCs w:val="22"/>
        </w:rPr>
        <w:t xml:space="preserve">There are </w:t>
      </w:r>
      <w:r w:rsidR="0038754A" w:rsidRPr="000A0DBB">
        <w:rPr>
          <w:rFonts w:ascii="Arial" w:hAnsi="Arial" w:cs="Arial"/>
          <w:color w:val="000000" w:themeColor="text1"/>
          <w:sz w:val="22"/>
          <w:szCs w:val="22"/>
        </w:rPr>
        <w:t>a few</w:t>
      </w:r>
      <w:r w:rsidRPr="000A0DBB">
        <w:rPr>
          <w:rFonts w:ascii="Arial" w:hAnsi="Arial" w:cs="Arial"/>
          <w:color w:val="000000" w:themeColor="text1"/>
          <w:sz w:val="22"/>
          <w:szCs w:val="22"/>
        </w:rPr>
        <w:t xml:space="preserve"> methodological strengths of this integrated framework. Such pre-registration of exploratory procedures through partitioning of the dataset restrains degrees of freedom of the researcher and prevents overfitting. The way PCA assigns alternate groupings of metrics creates a clear distinction and makes the interpretation easier and </w:t>
      </w:r>
      <w:r w:rsidR="0038754A" w:rsidRPr="000A0DBB">
        <w:rPr>
          <w:rFonts w:ascii="Arial" w:hAnsi="Arial" w:cs="Arial"/>
          <w:color w:val="000000" w:themeColor="text1"/>
          <w:sz w:val="22"/>
          <w:szCs w:val="22"/>
        </w:rPr>
        <w:t>can avoid</w:t>
      </w:r>
      <w:r w:rsidRPr="000A0DBB">
        <w:rPr>
          <w:rFonts w:ascii="Arial" w:hAnsi="Arial" w:cs="Arial"/>
          <w:color w:val="000000" w:themeColor="text1"/>
          <w:sz w:val="22"/>
          <w:szCs w:val="22"/>
        </w:rPr>
        <w:t xml:space="preserve"> the confounding of different outcome dimensions. Multilevel modelling does not mislead because of the ecological fallacy (aggregate analysis), being </w:t>
      </w:r>
      <w:r w:rsidR="0038754A" w:rsidRPr="000A0DBB">
        <w:rPr>
          <w:rFonts w:ascii="Arial" w:hAnsi="Arial" w:cs="Arial"/>
          <w:color w:val="000000" w:themeColor="text1"/>
          <w:sz w:val="22"/>
          <w:szCs w:val="22"/>
        </w:rPr>
        <w:t>aware</w:t>
      </w:r>
      <w:r w:rsidRPr="000A0DBB">
        <w:rPr>
          <w:rFonts w:ascii="Arial" w:hAnsi="Arial" w:cs="Arial"/>
          <w:color w:val="000000" w:themeColor="text1"/>
          <w:sz w:val="22"/>
          <w:szCs w:val="22"/>
        </w:rPr>
        <w:t xml:space="preserve"> of the hierarchical organisation of the data (firms nested in regions). Lastly, interaction effects are included, which is a best practice to measure contextual moderation (Hobor et al., 2025, p. 911), which will provide a fine-scale understanding of the behaviour of AI-driven forecasting improvements across different markets.</w:t>
      </w:r>
    </w:p>
    <w:p w14:paraId="738BE6E1" w14:textId="77777777" w:rsidR="000A0DBB" w:rsidRPr="0038754A" w:rsidRDefault="000A0DBB" w:rsidP="001211E5">
      <w:pPr>
        <w:pStyle w:val="Heading4"/>
        <w:spacing w:line="360" w:lineRule="auto"/>
        <w:jc w:val="both"/>
        <w:rPr>
          <w:rFonts w:ascii="Arial" w:hAnsi="Arial" w:cs="Arial"/>
          <w:sz w:val="22"/>
          <w:szCs w:val="22"/>
        </w:rPr>
      </w:pPr>
      <w:r w:rsidRPr="0038754A">
        <w:rPr>
          <w:rFonts w:ascii="Arial" w:hAnsi="Arial" w:cs="Arial"/>
          <w:sz w:val="22"/>
          <w:szCs w:val="22"/>
        </w:rPr>
        <w:t>4.2.1.3 Limitations of Analysis</w:t>
      </w:r>
    </w:p>
    <w:p w14:paraId="59254351" w14:textId="77777777" w:rsidR="000A0DBB" w:rsidRPr="000A0DBB" w:rsidRDefault="000A0DBB" w:rsidP="001211E5">
      <w:pPr>
        <w:pStyle w:val="NormalWeb"/>
        <w:spacing w:before="0" w:beforeAutospacing="0" w:after="0" w:afterAutospacing="0" w:line="360" w:lineRule="auto"/>
        <w:ind w:firstLine="720"/>
        <w:jc w:val="both"/>
        <w:rPr>
          <w:rFonts w:ascii="Arial" w:hAnsi="Arial" w:cs="Arial"/>
          <w:color w:val="000000" w:themeColor="text1"/>
          <w:sz w:val="22"/>
          <w:szCs w:val="22"/>
        </w:rPr>
      </w:pPr>
      <w:r w:rsidRPr="000A0DBB">
        <w:rPr>
          <w:rFonts w:ascii="Arial" w:hAnsi="Arial" w:cs="Arial"/>
          <w:color w:val="000000" w:themeColor="text1"/>
          <w:sz w:val="22"/>
          <w:szCs w:val="22"/>
        </w:rPr>
        <w:t>Along with these advantages, there are several limitations worth paying attention to. Missing data is in quarterly form, and, though this must be retained in the sample, the interpolations used on this form may reduce true variability and bias parameter estimation to a null effect. Use of the public proxies to capture maturity of markets and level of data privacy is prone to measurement error based on the region-level of measurement. The 12-month pre/post window within the study only measures the short-term operational changes, and thus it is impossible to measure the longer-term strategic realignments. Finally, the performance indicators used in the archival are inadequate in relying on latent organisational constraints that could impact the performance type of leadership commitments to AI or internal change management activities.</w:t>
      </w:r>
    </w:p>
    <w:p w14:paraId="059464C1" w14:textId="77777777" w:rsidR="000A0DBB" w:rsidRPr="00577BE7" w:rsidRDefault="000A0DBB" w:rsidP="001211E5">
      <w:pPr>
        <w:pStyle w:val="Heading1"/>
        <w:spacing w:line="360" w:lineRule="auto"/>
        <w:jc w:val="both"/>
        <w:rPr>
          <w:rFonts w:ascii="Arial" w:hAnsi="Arial" w:cs="Arial"/>
          <w:sz w:val="22"/>
          <w:szCs w:val="22"/>
        </w:rPr>
      </w:pPr>
      <w:bookmarkStart w:id="38" w:name="_Toc204707806"/>
      <w:r w:rsidRPr="00577BE7">
        <w:rPr>
          <w:rStyle w:val="Strong"/>
          <w:rFonts w:ascii="Arial" w:hAnsi="Arial" w:cs="Arial"/>
          <w:b w:val="0"/>
          <w:bCs w:val="0"/>
          <w:sz w:val="22"/>
          <w:szCs w:val="22"/>
        </w:rPr>
        <w:lastRenderedPageBreak/>
        <w:t>4.2.2 Narrative Discussion of Analytical Strengths and Limitations</w:t>
      </w:r>
      <w:bookmarkEnd w:id="38"/>
    </w:p>
    <w:p w14:paraId="28E9E9ED" w14:textId="77777777"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One of the important strengths of this study is that the two-stage design has the advantage of built-in bias management. Using a strong pre-registration of the planned statistics division of the data into explore and confirm groups, the workflow is in line with the Explore Confirm Analysis empirical analysis paradigm established by Thibault et al. (2023, p. 230568), who show that such pre-registration significantly decreases the researcher degrees of freedom and improves the transparency and reproducibility of secondary data analysis studies. Practically, this implied that the relations between forecast error, stock-out rates, carrying cost, and inventory shifts were found without looking at the complete dataset and, therefore, were insured against overfitting and large, unreliable results.</w:t>
      </w:r>
    </w:p>
    <w:p w14:paraId="30BFEA36" w14:textId="77777777"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The predictive step used multilevel mixed effects regression, which included nested predictors of firmness at different levels (e.g., reduction in MAPE) and random intercepts at the region level, to reflect the unobserved variation across the nations in North America, South America, and Asia. The specification is based on best practices in hierarchical modelling (Hobor et al., 2025, n.p.) and will lead to the fact that contextual moderators (in this case, market maturity) will be estimated without aggregating valuable inner-region interpretation. Further insight into how interaction terms between MAPE improvement and market maturity also gave the gains of forecasting transfer across regulatory and infrastructural environments.</w:t>
      </w:r>
    </w:p>
    <w:p w14:paraId="4D88ED89" w14:textId="22437476" w:rsid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 xml:space="preserve">Many limitations should be considered despite these advantages. First, gaps in quarterly data were created through linear interpolation of a maximum of two successive quarters. However, this step is required to maintain </w:t>
      </w:r>
      <w:r w:rsidR="00577BE7" w:rsidRPr="000A0DBB">
        <w:rPr>
          <w:rFonts w:ascii="Arial" w:eastAsia="Times New Roman" w:hAnsi="Arial" w:cs="Arial"/>
          <w:color w:val="000000" w:themeColor="text1"/>
          <w:sz w:val="22"/>
          <w:szCs w:val="22"/>
          <w:lang w:val="en-US"/>
        </w:rPr>
        <w:t>enough</w:t>
      </w:r>
      <w:r w:rsidRPr="000A0DBB">
        <w:rPr>
          <w:rFonts w:ascii="Arial" w:eastAsia="Times New Roman" w:hAnsi="Arial" w:cs="Arial"/>
          <w:color w:val="000000" w:themeColor="text1"/>
          <w:sz w:val="22"/>
          <w:szCs w:val="22"/>
          <w:lang w:val="en-US"/>
        </w:rPr>
        <w:t xml:space="preserve"> observations; it may suppress actual volatility and cause the estimation of relationships to be brought closer to the null value. Second, regional moderators, including but not limited to the market maturity index, were based upon publicly available industry proxies instead of firm-specific measures. However, these proxies are identical to those used in previous work; they may not accurately capture the individual circumstances of each retailer. Third, short-term operational shifts are captured in the 12-month pre/post window; however, longer-term strategic reconfigurations cannot be evaluated since what happens beyond a year may exhibit different dynamics.</w:t>
      </w:r>
    </w:p>
    <w:p w14:paraId="37F627E2"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2BC2677D"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3252551B"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352E1A69" w14:textId="77777777" w:rsidR="00577BE7" w:rsidRPr="000A0DBB"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190D8B65" w14:textId="77777777" w:rsidR="000A0DBB" w:rsidRPr="00577BE7" w:rsidRDefault="000A0DBB" w:rsidP="001211E5">
      <w:pPr>
        <w:pStyle w:val="Heading1"/>
        <w:spacing w:line="360" w:lineRule="auto"/>
        <w:jc w:val="both"/>
        <w:rPr>
          <w:rFonts w:ascii="Arial" w:hAnsi="Arial" w:cs="Arial"/>
          <w:sz w:val="22"/>
          <w:szCs w:val="22"/>
        </w:rPr>
      </w:pPr>
      <w:bookmarkStart w:id="39" w:name="_Toc204707807"/>
      <w:r w:rsidRPr="00577BE7">
        <w:rPr>
          <w:rFonts w:ascii="Arial" w:hAnsi="Arial" w:cs="Arial"/>
          <w:sz w:val="22"/>
          <w:szCs w:val="22"/>
        </w:rPr>
        <w:lastRenderedPageBreak/>
        <w:t>4.3. Regional Breakdown</w:t>
      </w:r>
      <w:bookmarkEnd w:id="39"/>
    </w:p>
    <w:p w14:paraId="37A96760" w14:textId="58C529B4" w:rsidR="000A0DBB" w:rsidRPr="00577BE7" w:rsidRDefault="000A0DBB" w:rsidP="001211E5">
      <w:pPr>
        <w:pStyle w:val="Heading2"/>
        <w:spacing w:line="360" w:lineRule="auto"/>
        <w:jc w:val="both"/>
        <w:rPr>
          <w:rFonts w:ascii="Arial" w:hAnsi="Arial" w:cs="Arial"/>
          <w:sz w:val="22"/>
          <w:szCs w:val="22"/>
        </w:rPr>
      </w:pPr>
      <w:bookmarkStart w:id="40" w:name="_Toc204707808"/>
      <w:r w:rsidRPr="00577BE7">
        <w:rPr>
          <w:rFonts w:ascii="Arial" w:hAnsi="Arial" w:cs="Arial"/>
          <w:sz w:val="22"/>
          <w:szCs w:val="22"/>
        </w:rPr>
        <w:t xml:space="preserve">4.3.1. </w:t>
      </w:r>
      <w:r w:rsidR="00577BE7" w:rsidRPr="00577BE7">
        <w:rPr>
          <w:rFonts w:ascii="Arial" w:hAnsi="Arial" w:cs="Arial"/>
          <w:sz w:val="22"/>
          <w:szCs w:val="22"/>
        </w:rPr>
        <w:t xml:space="preserve">Regional Breakdown </w:t>
      </w:r>
      <w:r w:rsidRPr="00577BE7">
        <w:rPr>
          <w:rFonts w:ascii="Arial" w:hAnsi="Arial" w:cs="Arial"/>
          <w:sz w:val="22"/>
          <w:szCs w:val="22"/>
        </w:rPr>
        <w:t>North America</w:t>
      </w:r>
      <w:bookmarkEnd w:id="40"/>
    </w:p>
    <w:p w14:paraId="78EFA4DD" w14:textId="77777777"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The application of AI in the North American mid-sized retail space has provided quantifiable returns in performance in planning based on accuracy in forecasting, stock availability, and cost management. Retailers in this area tend to reduce the size of forecast error by 40 percent of the mean absolute percentage error (MAPE) using global consulting benchmarks as proxies to reduce error to a baseline rate of around 20 percent. Much of that optimism is owed to superior AI algorithms, which consider real-time point-of-sale data, weather patterns, and even promotion schedules to enable precise demand sensing.</w:t>
      </w:r>
    </w:p>
    <w:p w14:paraId="1C94AE12" w14:textId="6D28AA58"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 xml:space="preserve">Likewise, the stock-out rates decrease to about half as the fill rates increase more than 98 percentile points, which had been in the mid-90s earlier. Such benefits are more pronounced in the rapidly moving categories like grocery and </w:t>
      </w:r>
      <w:r w:rsidR="00577BE7" w:rsidRPr="000A0DBB">
        <w:rPr>
          <w:rFonts w:ascii="Arial" w:eastAsia="Times New Roman" w:hAnsi="Arial" w:cs="Arial"/>
          <w:color w:val="000000" w:themeColor="text1"/>
          <w:sz w:val="22"/>
          <w:szCs w:val="22"/>
          <w:lang w:val="en-US"/>
        </w:rPr>
        <w:t>specialty</w:t>
      </w:r>
      <w:r w:rsidRPr="000A0DBB">
        <w:rPr>
          <w:rFonts w:ascii="Arial" w:eastAsia="Times New Roman" w:hAnsi="Arial" w:cs="Arial"/>
          <w:color w:val="000000" w:themeColor="text1"/>
          <w:sz w:val="22"/>
          <w:szCs w:val="22"/>
          <w:lang w:val="en-US"/>
        </w:rPr>
        <w:t xml:space="preserve"> apparel. On average, there is a 20 percent drop in inventory carrying costs due to fewer obsolete items, more intelligent ordering points, and better safety stock performance.</w:t>
      </w:r>
    </w:p>
    <w:p w14:paraId="0EE69EB7" w14:textId="77777777" w:rsid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Nonetheless, the balance sheet data obtained from ten sample retailers show an unexpected trend: the average growth in the inventories post-AI is $43.36 million. This counterintuitive increase shows that companies might have employed AI to increase efficiency and strategic growth. Physically looking at bigger sets and new products with little manual supervision might have been possible with AI-conferred confidence. In addition, the conservative leadership prefers preserving high service rates by using buffer stock even when the forecasts are better, especially in uncertain macroeconomic settings. This paradox may also be achieved through infrastructural maturity. Having established a good ERP base (like Oracle Supply Chain Management (SCM) and Systems, Applications, and Products (SAP) S/4HANA) and an internal analytics team in place, the rollout of AI can be initially performed side-by-side with earlier rule-based replenishment systems. Such an overlap can result in momentary inventory swelling until AI is wholly integrated into the operations workflows. Therefore, despite efficiency in the background metrics, the actual processes of organisations create deviations in inventory results.</w:t>
      </w:r>
    </w:p>
    <w:p w14:paraId="7FC8BBE1"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73009FB2"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3C86DA43"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136BB03F"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4F25A0FD"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4F76A299"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1CEFCEB9"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101447FB" w14:textId="77777777" w:rsidR="00577BE7" w:rsidRDefault="00577BE7" w:rsidP="001211E5">
      <w:pPr>
        <w:spacing w:line="360" w:lineRule="auto"/>
        <w:ind w:firstLine="720"/>
        <w:contextualSpacing/>
        <w:jc w:val="both"/>
        <w:rPr>
          <w:rFonts w:ascii="Arial" w:eastAsia="Times New Roman" w:hAnsi="Arial" w:cs="Arial"/>
          <w:color w:val="000000" w:themeColor="text1"/>
          <w:sz w:val="22"/>
          <w:szCs w:val="22"/>
          <w:lang w:val="en-US"/>
        </w:rPr>
      </w:pPr>
    </w:p>
    <w:p w14:paraId="048A40BF" w14:textId="22023481" w:rsidR="00577BE7" w:rsidRPr="00577BE7" w:rsidRDefault="00577BE7" w:rsidP="001211E5">
      <w:pPr>
        <w:pStyle w:val="Caption"/>
        <w:spacing w:line="360" w:lineRule="auto"/>
        <w:jc w:val="both"/>
        <w:rPr>
          <w:rFonts w:ascii="Arial" w:eastAsia="Times New Roman" w:hAnsi="Arial" w:cs="Arial"/>
          <w:color w:val="000000" w:themeColor="text1"/>
          <w:sz w:val="22"/>
          <w:szCs w:val="22"/>
          <w:lang w:val="en-US"/>
        </w:rPr>
      </w:pPr>
      <w:bookmarkStart w:id="41" w:name="_Toc204703580"/>
      <w:r w:rsidRPr="00577BE7">
        <w:rPr>
          <w:rFonts w:ascii="Arial" w:hAnsi="Arial" w:cs="Arial"/>
          <w:sz w:val="22"/>
          <w:szCs w:val="22"/>
        </w:rPr>
        <w:lastRenderedPageBreak/>
        <w:t xml:space="preserve">Figure </w:t>
      </w:r>
      <w:r w:rsidRPr="00577BE7">
        <w:rPr>
          <w:rFonts w:ascii="Arial" w:hAnsi="Arial" w:cs="Arial"/>
          <w:sz w:val="22"/>
          <w:szCs w:val="22"/>
        </w:rPr>
        <w:fldChar w:fldCharType="begin"/>
      </w:r>
      <w:r w:rsidRPr="00577BE7">
        <w:rPr>
          <w:rFonts w:ascii="Arial" w:hAnsi="Arial" w:cs="Arial"/>
          <w:sz w:val="22"/>
          <w:szCs w:val="22"/>
        </w:rPr>
        <w:instrText xml:space="preserve"> SEQ Figure \* ARABIC </w:instrText>
      </w:r>
      <w:r w:rsidRPr="00577BE7">
        <w:rPr>
          <w:rFonts w:ascii="Arial" w:hAnsi="Arial" w:cs="Arial"/>
          <w:sz w:val="22"/>
          <w:szCs w:val="22"/>
        </w:rPr>
        <w:fldChar w:fldCharType="separate"/>
      </w:r>
      <w:r w:rsidRPr="00577BE7">
        <w:rPr>
          <w:rFonts w:ascii="Arial" w:hAnsi="Arial" w:cs="Arial"/>
          <w:noProof/>
          <w:sz w:val="22"/>
          <w:szCs w:val="22"/>
        </w:rPr>
        <w:t>6</w:t>
      </w:r>
      <w:r w:rsidRPr="00577BE7">
        <w:rPr>
          <w:rFonts w:ascii="Arial" w:hAnsi="Arial" w:cs="Arial"/>
          <w:sz w:val="22"/>
          <w:szCs w:val="22"/>
        </w:rPr>
        <w:fldChar w:fldCharType="end"/>
      </w:r>
      <w:r w:rsidRPr="00577BE7">
        <w:rPr>
          <w:rFonts w:ascii="Arial" w:hAnsi="Arial" w:cs="Arial"/>
          <w:sz w:val="22"/>
          <w:szCs w:val="22"/>
        </w:rPr>
        <w:t xml:space="preserve"> : MAPE, Stockout Rate, and Inventory Carrying Cost</w:t>
      </w:r>
      <w:bookmarkEnd w:id="41"/>
    </w:p>
    <w:p w14:paraId="46F6E414" w14:textId="30C9B9AE" w:rsidR="000A0DBB" w:rsidRPr="000A0DBB" w:rsidRDefault="000A0DBB" w:rsidP="001211E5">
      <w:pPr>
        <w:keepNext/>
        <w:spacing w:line="360" w:lineRule="auto"/>
        <w:contextualSpacing/>
        <w:jc w:val="both"/>
        <w:rPr>
          <w:rFonts w:ascii="Arial" w:hAnsi="Arial" w:cs="Arial"/>
          <w:sz w:val="22"/>
          <w:szCs w:val="22"/>
        </w:rPr>
      </w:pPr>
      <w:r w:rsidRPr="000A0DBB">
        <w:rPr>
          <w:rFonts w:ascii="Arial" w:hAnsi="Arial" w:cs="Arial"/>
          <w:noProof/>
          <w:color w:val="000000" w:themeColor="text1"/>
          <w:sz w:val="22"/>
          <w:szCs w:val="22"/>
        </w:rPr>
        <w:drawing>
          <wp:inline distT="0" distB="0" distL="0" distR="0" wp14:anchorId="1DDBE77C" wp14:editId="108C7012">
            <wp:extent cx="5158596" cy="3379470"/>
            <wp:effectExtent l="0" t="0" r="0" b="0"/>
            <wp:docPr id="266987311" name="Picture 1" descr="A graph of a char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987311" name="Picture 1" descr="A graph of a chart&#10;&#10;AI-generated content may be incorrect."/>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9860" cy="3413054"/>
                    </a:xfrm>
                    <a:prstGeom prst="rect">
                      <a:avLst/>
                    </a:prstGeom>
                    <a:noFill/>
                    <a:ln>
                      <a:noFill/>
                    </a:ln>
                  </pic:spPr>
                </pic:pic>
              </a:graphicData>
            </a:graphic>
          </wp:inline>
        </w:drawing>
      </w:r>
    </w:p>
    <w:p w14:paraId="0898AEFB" w14:textId="77777777" w:rsidR="000A0DBB" w:rsidRDefault="000A0DBB" w:rsidP="001211E5">
      <w:pPr>
        <w:spacing w:line="360" w:lineRule="auto"/>
        <w:jc w:val="both"/>
        <w:rPr>
          <w:rFonts w:ascii="Arial" w:hAnsi="Arial" w:cs="Arial"/>
          <w:color w:val="000000" w:themeColor="text1"/>
          <w:sz w:val="22"/>
          <w:szCs w:val="22"/>
        </w:rPr>
      </w:pPr>
      <w:r w:rsidRPr="000A0DBB">
        <w:rPr>
          <w:rFonts w:ascii="Arial" w:hAnsi="Arial" w:cs="Arial"/>
          <w:color w:val="000000" w:themeColor="text1"/>
          <w:sz w:val="22"/>
          <w:szCs w:val="22"/>
        </w:rPr>
        <w:t>Source: Appendix</w:t>
      </w:r>
    </w:p>
    <w:p w14:paraId="7402BD0A" w14:textId="77777777" w:rsidR="00577BE7" w:rsidRDefault="00577BE7" w:rsidP="001211E5">
      <w:pPr>
        <w:spacing w:line="360" w:lineRule="auto"/>
        <w:jc w:val="both"/>
        <w:rPr>
          <w:rFonts w:ascii="Arial" w:hAnsi="Arial" w:cs="Arial"/>
          <w:color w:val="000000" w:themeColor="text1"/>
          <w:sz w:val="22"/>
          <w:szCs w:val="22"/>
        </w:rPr>
      </w:pPr>
    </w:p>
    <w:p w14:paraId="32488A87" w14:textId="77777777" w:rsidR="00577BE7" w:rsidRDefault="00577BE7" w:rsidP="001211E5">
      <w:pPr>
        <w:spacing w:line="360" w:lineRule="auto"/>
        <w:jc w:val="both"/>
        <w:rPr>
          <w:rFonts w:ascii="Arial" w:hAnsi="Arial" w:cs="Arial"/>
          <w:color w:val="000000" w:themeColor="text1"/>
          <w:sz w:val="22"/>
          <w:szCs w:val="22"/>
        </w:rPr>
      </w:pPr>
    </w:p>
    <w:p w14:paraId="659F88DE" w14:textId="77777777" w:rsidR="00577BE7" w:rsidRDefault="00577BE7" w:rsidP="001211E5">
      <w:pPr>
        <w:spacing w:line="360" w:lineRule="auto"/>
        <w:jc w:val="both"/>
        <w:rPr>
          <w:rFonts w:ascii="Arial" w:hAnsi="Arial" w:cs="Arial"/>
          <w:color w:val="000000" w:themeColor="text1"/>
          <w:sz w:val="22"/>
          <w:szCs w:val="22"/>
        </w:rPr>
      </w:pPr>
    </w:p>
    <w:p w14:paraId="45A0EA82" w14:textId="77777777" w:rsidR="00577BE7" w:rsidRDefault="00577BE7" w:rsidP="001211E5">
      <w:pPr>
        <w:spacing w:line="360" w:lineRule="auto"/>
        <w:jc w:val="both"/>
        <w:rPr>
          <w:rFonts w:ascii="Arial" w:hAnsi="Arial" w:cs="Arial"/>
          <w:color w:val="000000" w:themeColor="text1"/>
          <w:sz w:val="22"/>
          <w:szCs w:val="22"/>
        </w:rPr>
      </w:pPr>
    </w:p>
    <w:p w14:paraId="49ABCB42" w14:textId="77777777" w:rsidR="00577BE7" w:rsidRDefault="00577BE7" w:rsidP="001211E5">
      <w:pPr>
        <w:spacing w:line="360" w:lineRule="auto"/>
        <w:jc w:val="both"/>
        <w:rPr>
          <w:rFonts w:ascii="Arial" w:hAnsi="Arial" w:cs="Arial"/>
          <w:color w:val="000000" w:themeColor="text1"/>
          <w:sz w:val="22"/>
          <w:szCs w:val="22"/>
        </w:rPr>
      </w:pPr>
    </w:p>
    <w:p w14:paraId="1F5828EF" w14:textId="77777777" w:rsidR="00577BE7" w:rsidRDefault="00577BE7" w:rsidP="001211E5">
      <w:pPr>
        <w:spacing w:line="360" w:lineRule="auto"/>
        <w:jc w:val="both"/>
        <w:rPr>
          <w:rFonts w:ascii="Arial" w:hAnsi="Arial" w:cs="Arial"/>
          <w:color w:val="000000" w:themeColor="text1"/>
          <w:sz w:val="22"/>
          <w:szCs w:val="22"/>
        </w:rPr>
      </w:pPr>
    </w:p>
    <w:p w14:paraId="1EB42358" w14:textId="77777777" w:rsidR="00577BE7" w:rsidRDefault="00577BE7" w:rsidP="001211E5">
      <w:pPr>
        <w:spacing w:line="360" w:lineRule="auto"/>
        <w:jc w:val="both"/>
        <w:rPr>
          <w:rFonts w:ascii="Arial" w:hAnsi="Arial" w:cs="Arial"/>
          <w:color w:val="000000" w:themeColor="text1"/>
          <w:sz w:val="22"/>
          <w:szCs w:val="22"/>
        </w:rPr>
      </w:pPr>
    </w:p>
    <w:p w14:paraId="1B2F7F36" w14:textId="77777777" w:rsidR="00577BE7" w:rsidRDefault="00577BE7" w:rsidP="001211E5">
      <w:pPr>
        <w:spacing w:line="360" w:lineRule="auto"/>
        <w:jc w:val="both"/>
        <w:rPr>
          <w:rFonts w:ascii="Arial" w:hAnsi="Arial" w:cs="Arial"/>
          <w:color w:val="000000" w:themeColor="text1"/>
          <w:sz w:val="22"/>
          <w:szCs w:val="22"/>
        </w:rPr>
      </w:pPr>
    </w:p>
    <w:p w14:paraId="035D4E9C" w14:textId="77777777" w:rsidR="00577BE7" w:rsidRDefault="00577BE7" w:rsidP="001211E5">
      <w:pPr>
        <w:spacing w:line="360" w:lineRule="auto"/>
        <w:jc w:val="both"/>
        <w:rPr>
          <w:rFonts w:ascii="Arial" w:hAnsi="Arial" w:cs="Arial"/>
          <w:color w:val="000000" w:themeColor="text1"/>
          <w:sz w:val="22"/>
          <w:szCs w:val="22"/>
        </w:rPr>
      </w:pPr>
    </w:p>
    <w:p w14:paraId="3832FA0F" w14:textId="77777777" w:rsidR="00577BE7" w:rsidRDefault="00577BE7" w:rsidP="001211E5">
      <w:pPr>
        <w:spacing w:line="360" w:lineRule="auto"/>
        <w:jc w:val="both"/>
        <w:rPr>
          <w:rFonts w:ascii="Arial" w:hAnsi="Arial" w:cs="Arial"/>
          <w:color w:val="000000" w:themeColor="text1"/>
          <w:sz w:val="22"/>
          <w:szCs w:val="22"/>
        </w:rPr>
      </w:pPr>
    </w:p>
    <w:p w14:paraId="0D719E01" w14:textId="77777777" w:rsidR="00577BE7" w:rsidRDefault="00577BE7" w:rsidP="001211E5">
      <w:pPr>
        <w:spacing w:line="360" w:lineRule="auto"/>
        <w:jc w:val="both"/>
        <w:rPr>
          <w:rFonts w:ascii="Arial" w:hAnsi="Arial" w:cs="Arial"/>
          <w:color w:val="000000" w:themeColor="text1"/>
          <w:sz w:val="22"/>
          <w:szCs w:val="22"/>
        </w:rPr>
      </w:pPr>
    </w:p>
    <w:p w14:paraId="3D6A5C27" w14:textId="77777777" w:rsidR="00577BE7" w:rsidRDefault="00577BE7" w:rsidP="001211E5">
      <w:pPr>
        <w:spacing w:line="360" w:lineRule="auto"/>
        <w:jc w:val="both"/>
        <w:rPr>
          <w:rFonts w:ascii="Arial" w:hAnsi="Arial" w:cs="Arial"/>
          <w:color w:val="000000" w:themeColor="text1"/>
          <w:sz w:val="22"/>
          <w:szCs w:val="22"/>
        </w:rPr>
      </w:pPr>
    </w:p>
    <w:p w14:paraId="6453B191" w14:textId="77777777" w:rsidR="00577BE7" w:rsidRDefault="00577BE7" w:rsidP="001211E5">
      <w:pPr>
        <w:spacing w:line="360" w:lineRule="auto"/>
        <w:jc w:val="both"/>
        <w:rPr>
          <w:rFonts w:ascii="Arial" w:hAnsi="Arial" w:cs="Arial"/>
          <w:color w:val="000000" w:themeColor="text1"/>
          <w:sz w:val="22"/>
          <w:szCs w:val="22"/>
        </w:rPr>
      </w:pPr>
    </w:p>
    <w:p w14:paraId="34FEBA18" w14:textId="77777777" w:rsidR="00577BE7" w:rsidRDefault="00577BE7" w:rsidP="001211E5">
      <w:pPr>
        <w:spacing w:line="360" w:lineRule="auto"/>
        <w:jc w:val="both"/>
        <w:rPr>
          <w:rFonts w:ascii="Arial" w:hAnsi="Arial" w:cs="Arial"/>
          <w:color w:val="000000" w:themeColor="text1"/>
          <w:sz w:val="22"/>
          <w:szCs w:val="22"/>
        </w:rPr>
      </w:pPr>
    </w:p>
    <w:p w14:paraId="56413F98" w14:textId="77777777" w:rsidR="00577BE7" w:rsidRDefault="00577BE7" w:rsidP="001211E5">
      <w:pPr>
        <w:spacing w:line="360" w:lineRule="auto"/>
        <w:jc w:val="both"/>
        <w:rPr>
          <w:rFonts w:ascii="Arial" w:hAnsi="Arial" w:cs="Arial"/>
          <w:color w:val="000000" w:themeColor="text1"/>
          <w:sz w:val="22"/>
          <w:szCs w:val="22"/>
        </w:rPr>
      </w:pPr>
    </w:p>
    <w:p w14:paraId="1D318E1C" w14:textId="77777777" w:rsidR="00577BE7" w:rsidRDefault="00577BE7" w:rsidP="001211E5">
      <w:pPr>
        <w:spacing w:line="360" w:lineRule="auto"/>
        <w:jc w:val="both"/>
        <w:rPr>
          <w:rFonts w:ascii="Arial" w:hAnsi="Arial" w:cs="Arial"/>
          <w:color w:val="000000" w:themeColor="text1"/>
          <w:sz w:val="22"/>
          <w:szCs w:val="22"/>
        </w:rPr>
      </w:pPr>
    </w:p>
    <w:p w14:paraId="570700F2" w14:textId="77777777" w:rsidR="00577BE7" w:rsidRDefault="00577BE7" w:rsidP="001211E5">
      <w:pPr>
        <w:spacing w:line="360" w:lineRule="auto"/>
        <w:jc w:val="both"/>
        <w:rPr>
          <w:rFonts w:ascii="Arial" w:hAnsi="Arial" w:cs="Arial"/>
          <w:color w:val="000000" w:themeColor="text1"/>
          <w:sz w:val="22"/>
          <w:szCs w:val="22"/>
        </w:rPr>
      </w:pPr>
    </w:p>
    <w:p w14:paraId="253C7FC8" w14:textId="77777777" w:rsidR="00577BE7" w:rsidRPr="000A0DBB" w:rsidRDefault="00577BE7" w:rsidP="001211E5">
      <w:pPr>
        <w:spacing w:line="360" w:lineRule="auto"/>
        <w:jc w:val="both"/>
        <w:rPr>
          <w:rFonts w:ascii="Arial" w:hAnsi="Arial" w:cs="Arial"/>
          <w:color w:val="000000" w:themeColor="text1"/>
          <w:sz w:val="22"/>
          <w:szCs w:val="22"/>
        </w:rPr>
      </w:pPr>
    </w:p>
    <w:p w14:paraId="647D933F" w14:textId="3A181C87" w:rsidR="000A0DBB" w:rsidRPr="00577BE7" w:rsidRDefault="000A0DBB" w:rsidP="001211E5">
      <w:pPr>
        <w:pStyle w:val="Heading3"/>
        <w:spacing w:line="360" w:lineRule="auto"/>
        <w:jc w:val="both"/>
        <w:rPr>
          <w:rFonts w:ascii="Arial" w:hAnsi="Arial" w:cs="Arial"/>
          <w:sz w:val="22"/>
          <w:szCs w:val="22"/>
        </w:rPr>
      </w:pPr>
      <w:bookmarkStart w:id="42" w:name="_Toc204707809"/>
      <w:r w:rsidRPr="00577BE7">
        <w:rPr>
          <w:rFonts w:ascii="Arial" w:hAnsi="Arial" w:cs="Arial"/>
          <w:sz w:val="22"/>
          <w:szCs w:val="22"/>
        </w:rPr>
        <w:lastRenderedPageBreak/>
        <w:t xml:space="preserve">4.3.2. </w:t>
      </w:r>
      <w:r w:rsidR="00577BE7" w:rsidRPr="00577BE7">
        <w:rPr>
          <w:rFonts w:ascii="Arial" w:hAnsi="Arial" w:cs="Arial"/>
          <w:sz w:val="22"/>
          <w:szCs w:val="22"/>
        </w:rPr>
        <w:t xml:space="preserve">Regional Breakdown </w:t>
      </w:r>
      <w:r w:rsidRPr="00577BE7">
        <w:rPr>
          <w:rFonts w:ascii="Arial" w:hAnsi="Arial" w:cs="Arial"/>
          <w:sz w:val="22"/>
          <w:szCs w:val="22"/>
        </w:rPr>
        <w:t>South America</w:t>
      </w:r>
      <w:bookmarkEnd w:id="42"/>
    </w:p>
    <w:p w14:paraId="4086BD57"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In South America, the adoption of mid-size retail AI has led to significant advances in the accuracy of forecasts, efficient resource management, and consistency of services. According to proxy benchmarks, a 50 percent decrease in the forecast error (MAPE) is indicated, with an initial level of about 25 percent before the introduction of AI falling to around 12 percent. This dramatic rise reveals the ability of AI to mitigate erratic demand patterns, limited amounts of historical data, and erratic promotional habits necessary in the emerging markets. Machine learning models perform well with fragmented inputs, mainly when constructed on autoregressive integrated moving average (ARIMA) hybrids or neural networks.</w:t>
      </w:r>
    </w:p>
    <w:p w14:paraId="0C1A8A33" w14:textId="77777777"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The projected reduction in the stock-out rates is 35%, and the service levels will be 85% and above. Such benefits are high in the high-friction supply setting of South America, where port delays, inconsistency of suppliers, and rural distribution channels tend to undermine availability. Concurrently, inventory carrying costs are reduced by an average of 25 percent, as AI assists retailers in removing unnecessary redundant safety stock levels, optimising the size of lots, and forecasting seasonal requirements without spending working capital overcommitment (</w:t>
      </w:r>
      <w:r w:rsidRPr="000A0DBB">
        <w:rPr>
          <w:rFonts w:ascii="Arial" w:eastAsia="Times New Roman" w:hAnsi="Arial" w:cs="Arial"/>
          <w:i/>
          <w:iCs/>
          <w:sz w:val="22"/>
          <w:szCs w:val="22"/>
          <w:lang w:val="en-US"/>
        </w:rPr>
        <w:t>see Appendix</w:t>
      </w:r>
      <w:r w:rsidRPr="000A0DBB">
        <w:rPr>
          <w:rFonts w:ascii="Arial" w:eastAsia="Times New Roman" w:hAnsi="Arial" w:cs="Arial"/>
          <w:sz w:val="22"/>
          <w:szCs w:val="22"/>
          <w:lang w:val="en-US"/>
        </w:rPr>
        <w:t>).</w:t>
      </w:r>
    </w:p>
    <w:p w14:paraId="713486F7" w14:textId="77777777" w:rsid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sz w:val="22"/>
          <w:szCs w:val="22"/>
          <w:lang w:val="en-US"/>
        </w:rPr>
        <w:t>These gains are backed by actual financial information, as there was an average decrease of $10.18 million in inventory in a ten-firm sample. This correlates with the reports in the industry in Brazil and Colombia, where the mid-sized chains report AI tools to diminish the write-offs in a warehouse by 30 percent and overstocks by 15 percent. The regional penetration is, however, uneven. Companies with executive sponsorship capabilities tend to integrate AI into their ERP systems (including TOTVS and SAP Brazil) and generate returns in a shorter period. The rest, because of being restricted by inferior infrastructure, use modular cloud-based forecasting tools with longer payback cycles. Also, complicated regulatory environments concerning importation, such as import tax, variable value-added tax (VAT), and pricing influences, make predictions’ precision more complicated and AI’s credence system even more precious. Nonetheless, AI adoption on South American retail shelves keeps increasing, and the amount of savings is bound to grow with the increased digitalisation maturity and planner upskilling, even as macroeconomic turmoil remains.</w:t>
      </w:r>
    </w:p>
    <w:p w14:paraId="57C2409F" w14:textId="77777777" w:rsidR="00577BE7" w:rsidRDefault="00577BE7" w:rsidP="001211E5">
      <w:pPr>
        <w:spacing w:line="360" w:lineRule="auto"/>
        <w:ind w:firstLine="720"/>
        <w:contextualSpacing/>
        <w:jc w:val="both"/>
        <w:rPr>
          <w:rFonts w:ascii="Arial" w:eastAsia="Times New Roman" w:hAnsi="Arial" w:cs="Arial"/>
          <w:sz w:val="22"/>
          <w:szCs w:val="22"/>
          <w:lang w:val="en-US"/>
        </w:rPr>
      </w:pPr>
    </w:p>
    <w:p w14:paraId="7AFA1254" w14:textId="77777777" w:rsidR="00577BE7" w:rsidRDefault="00577BE7" w:rsidP="001211E5">
      <w:pPr>
        <w:spacing w:line="360" w:lineRule="auto"/>
        <w:ind w:firstLine="720"/>
        <w:contextualSpacing/>
        <w:jc w:val="both"/>
        <w:rPr>
          <w:rFonts w:ascii="Arial" w:eastAsia="Times New Roman" w:hAnsi="Arial" w:cs="Arial"/>
          <w:sz w:val="22"/>
          <w:szCs w:val="22"/>
          <w:lang w:val="en-US"/>
        </w:rPr>
      </w:pPr>
    </w:p>
    <w:p w14:paraId="5935AA09" w14:textId="77777777" w:rsidR="00577BE7" w:rsidRDefault="00577BE7" w:rsidP="001211E5">
      <w:pPr>
        <w:spacing w:line="360" w:lineRule="auto"/>
        <w:ind w:firstLine="720"/>
        <w:contextualSpacing/>
        <w:jc w:val="both"/>
        <w:rPr>
          <w:rFonts w:ascii="Arial" w:eastAsia="Times New Roman" w:hAnsi="Arial" w:cs="Arial"/>
          <w:sz w:val="22"/>
          <w:szCs w:val="22"/>
          <w:lang w:val="en-US"/>
        </w:rPr>
      </w:pPr>
    </w:p>
    <w:p w14:paraId="25F8490F" w14:textId="77777777" w:rsidR="00577BE7" w:rsidRPr="000A0DBB" w:rsidRDefault="00577BE7" w:rsidP="001211E5">
      <w:pPr>
        <w:spacing w:line="360" w:lineRule="auto"/>
        <w:ind w:firstLine="720"/>
        <w:contextualSpacing/>
        <w:jc w:val="both"/>
        <w:rPr>
          <w:rFonts w:ascii="Arial" w:eastAsia="Times New Roman" w:hAnsi="Arial" w:cs="Arial"/>
          <w:sz w:val="22"/>
          <w:szCs w:val="22"/>
          <w:lang w:val="en-US"/>
        </w:rPr>
      </w:pPr>
    </w:p>
    <w:p w14:paraId="072A93AA" w14:textId="30269956" w:rsidR="000A0DBB" w:rsidRPr="00577BE7" w:rsidRDefault="000A0DBB" w:rsidP="001211E5">
      <w:pPr>
        <w:pStyle w:val="Heading4"/>
        <w:spacing w:line="360" w:lineRule="auto"/>
        <w:jc w:val="both"/>
        <w:rPr>
          <w:rFonts w:ascii="Arial" w:hAnsi="Arial" w:cs="Arial"/>
          <w:sz w:val="22"/>
          <w:szCs w:val="22"/>
        </w:rPr>
      </w:pPr>
      <w:r w:rsidRPr="00577BE7">
        <w:rPr>
          <w:rFonts w:ascii="Arial" w:hAnsi="Arial" w:cs="Arial"/>
          <w:sz w:val="22"/>
          <w:szCs w:val="22"/>
        </w:rPr>
        <w:lastRenderedPageBreak/>
        <w:t xml:space="preserve">4.3.3. </w:t>
      </w:r>
      <w:r w:rsidR="00577BE7" w:rsidRPr="00577BE7">
        <w:rPr>
          <w:rFonts w:ascii="Arial" w:hAnsi="Arial" w:cs="Arial"/>
          <w:sz w:val="22"/>
          <w:szCs w:val="22"/>
        </w:rPr>
        <w:t xml:space="preserve">Regional Breakdown </w:t>
      </w:r>
      <w:r w:rsidRPr="00577BE7">
        <w:rPr>
          <w:rFonts w:ascii="Arial" w:hAnsi="Arial" w:cs="Arial"/>
          <w:sz w:val="22"/>
          <w:szCs w:val="22"/>
        </w:rPr>
        <w:t>Asia</w:t>
      </w:r>
    </w:p>
    <w:p w14:paraId="076FA3D3" w14:textId="77777777"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The effects of AI on forecasting and inventory management are optimistic and complex in Asia. The case studies of consumer goods imply a reduction in forecast error (MAPE) of only 15 percent, reducing average errors by about 18 percent to 15 percent. This less dramatic advancement results from the pre-existing lean Information Technology (IT) infrastructures and extremely promotion-sensitive demand patterns, particularly in categories such as apparel, electronics, and beauty, where flash sales and time-limited offers are the rule.</w:t>
      </w:r>
    </w:p>
    <w:p w14:paraId="60EC7891" w14:textId="552A4C05"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There is, however, a significant reduction in stock-out rate</w:t>
      </w:r>
      <w:r w:rsidR="00577BE7">
        <w:rPr>
          <w:rFonts w:ascii="Arial" w:hAnsi="Arial" w:cs="Arial"/>
          <w:color w:val="000000" w:themeColor="text1"/>
          <w:sz w:val="22"/>
          <w:szCs w:val="22"/>
        </w:rPr>
        <w:t xml:space="preserve"> </w:t>
      </w:r>
      <w:r w:rsidRPr="000A0DBB">
        <w:rPr>
          <w:rFonts w:ascii="Arial" w:hAnsi="Arial" w:cs="Arial"/>
          <w:color w:val="000000" w:themeColor="text1"/>
          <w:sz w:val="22"/>
          <w:szCs w:val="22"/>
        </w:rPr>
        <w:t>an average of 65 percent that has thrust the fill rates up by approximately 80 percent into the upper range of more than 90 percent. Fast-fashion stores in Australia and mobile-device stores in Singapore record the steepest growth, and these retailers boast of AI-based real-time replenishment tools and dynamic purchase plans. Reductions in carrying costs are also more limited, at an average of only 10 percent, primarily because of the thin working capital margins and the high product turnover demands in Asia. The stock-keeping cycles in the region are usually long; as such, the retailers do not have the luxury of utilising the holding cost benefits of AI to the fullest.</w:t>
      </w:r>
    </w:p>
    <w:p w14:paraId="6ADA453D" w14:textId="77777777"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The analysis of the balance sheets of ten retailers shows that the net inventory growth is at a modest level of 1.58 million dollars. That is a representative of adversarial tactical positions. In Australia, Taiwan, and Japan, luxury and health-beauty brands have tested AI to package larger assortments with short-term builds. In contrast, budget apparel and electronics chains also decreased inventories by up to 8% by relying on mobile dashboards and AI-human hybrid workflows. Cross-cultural familiarity with automation and planning with the help of algorithms is widespread in Asia, which creates an easy path to adoption. Nevertheless, in Asia, regulatory complexity poses a problem, particularly concerning cross-border data flows. Consequently, numerous companies use geofence AI tools or develop country-specific models.</w:t>
      </w:r>
    </w:p>
    <w:p w14:paraId="529F2AF2" w14:textId="77777777" w:rsid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Finally, through cultural receptivity, digital maturity, and market diversification, AI results in Asia are characterised as a harmonious combination of agile but heterogeneous inventory changes.</w:t>
      </w:r>
    </w:p>
    <w:p w14:paraId="442ED0E3" w14:textId="77777777" w:rsidR="00577BE7" w:rsidRDefault="00577BE7" w:rsidP="001211E5">
      <w:pPr>
        <w:spacing w:line="360" w:lineRule="auto"/>
        <w:ind w:firstLine="720"/>
        <w:contextualSpacing/>
        <w:jc w:val="both"/>
        <w:rPr>
          <w:rFonts w:ascii="Arial" w:hAnsi="Arial" w:cs="Arial"/>
          <w:color w:val="000000" w:themeColor="text1"/>
          <w:sz w:val="22"/>
          <w:szCs w:val="22"/>
        </w:rPr>
      </w:pPr>
    </w:p>
    <w:p w14:paraId="38F9F149" w14:textId="77777777" w:rsidR="00577BE7" w:rsidRDefault="00577BE7" w:rsidP="001211E5">
      <w:pPr>
        <w:spacing w:line="360" w:lineRule="auto"/>
        <w:ind w:firstLine="720"/>
        <w:contextualSpacing/>
        <w:jc w:val="both"/>
        <w:rPr>
          <w:rFonts w:ascii="Arial" w:hAnsi="Arial" w:cs="Arial"/>
          <w:color w:val="000000" w:themeColor="text1"/>
          <w:sz w:val="22"/>
          <w:szCs w:val="22"/>
        </w:rPr>
      </w:pPr>
    </w:p>
    <w:p w14:paraId="1D22097C" w14:textId="77777777" w:rsidR="00577BE7" w:rsidRDefault="00577BE7" w:rsidP="001211E5">
      <w:pPr>
        <w:spacing w:line="360" w:lineRule="auto"/>
        <w:ind w:firstLine="720"/>
        <w:contextualSpacing/>
        <w:jc w:val="both"/>
        <w:rPr>
          <w:rFonts w:ascii="Arial" w:hAnsi="Arial" w:cs="Arial"/>
          <w:color w:val="000000" w:themeColor="text1"/>
          <w:sz w:val="22"/>
          <w:szCs w:val="22"/>
        </w:rPr>
      </w:pPr>
    </w:p>
    <w:p w14:paraId="65D32719" w14:textId="77777777" w:rsidR="00577BE7" w:rsidRDefault="00577BE7" w:rsidP="001211E5">
      <w:pPr>
        <w:spacing w:line="360" w:lineRule="auto"/>
        <w:ind w:firstLine="720"/>
        <w:contextualSpacing/>
        <w:jc w:val="both"/>
        <w:rPr>
          <w:rFonts w:ascii="Arial" w:hAnsi="Arial" w:cs="Arial"/>
          <w:color w:val="000000" w:themeColor="text1"/>
          <w:sz w:val="22"/>
          <w:szCs w:val="22"/>
        </w:rPr>
      </w:pPr>
    </w:p>
    <w:p w14:paraId="4CC908B2" w14:textId="77777777" w:rsidR="00577BE7" w:rsidRDefault="00577BE7" w:rsidP="001211E5">
      <w:pPr>
        <w:spacing w:line="360" w:lineRule="auto"/>
        <w:ind w:firstLine="720"/>
        <w:contextualSpacing/>
        <w:jc w:val="both"/>
        <w:rPr>
          <w:rFonts w:ascii="Arial" w:hAnsi="Arial" w:cs="Arial"/>
          <w:color w:val="000000" w:themeColor="text1"/>
          <w:sz w:val="22"/>
          <w:szCs w:val="22"/>
        </w:rPr>
      </w:pPr>
    </w:p>
    <w:p w14:paraId="2B5552E7" w14:textId="77777777" w:rsidR="00577BE7" w:rsidRDefault="00577BE7" w:rsidP="001211E5">
      <w:pPr>
        <w:spacing w:line="360" w:lineRule="auto"/>
        <w:ind w:firstLine="720"/>
        <w:contextualSpacing/>
        <w:jc w:val="both"/>
        <w:rPr>
          <w:rFonts w:ascii="Arial" w:hAnsi="Arial" w:cs="Arial"/>
          <w:color w:val="000000" w:themeColor="text1"/>
          <w:sz w:val="22"/>
          <w:szCs w:val="22"/>
        </w:rPr>
      </w:pPr>
    </w:p>
    <w:p w14:paraId="5D10ACF1" w14:textId="77777777" w:rsidR="00577BE7" w:rsidRPr="000A0DBB" w:rsidRDefault="00577BE7" w:rsidP="001211E5">
      <w:pPr>
        <w:spacing w:line="360" w:lineRule="auto"/>
        <w:ind w:firstLine="720"/>
        <w:contextualSpacing/>
        <w:jc w:val="both"/>
        <w:rPr>
          <w:rFonts w:ascii="Arial" w:hAnsi="Arial" w:cs="Arial"/>
          <w:color w:val="000000" w:themeColor="text1"/>
          <w:sz w:val="22"/>
          <w:szCs w:val="22"/>
        </w:rPr>
      </w:pPr>
    </w:p>
    <w:p w14:paraId="686EB8F8" w14:textId="77777777" w:rsidR="00F8055A" w:rsidRDefault="00F8055A" w:rsidP="001211E5">
      <w:pPr>
        <w:pStyle w:val="Caption"/>
        <w:spacing w:line="360" w:lineRule="auto"/>
        <w:jc w:val="both"/>
        <w:rPr>
          <w:rFonts w:ascii="Arial" w:hAnsi="Arial" w:cs="Arial"/>
          <w:sz w:val="22"/>
          <w:szCs w:val="22"/>
        </w:rPr>
      </w:pPr>
    </w:p>
    <w:p w14:paraId="3F3F746F" w14:textId="7E2EE75C" w:rsidR="000A0DBB" w:rsidRPr="00577BE7" w:rsidRDefault="00577BE7" w:rsidP="001211E5">
      <w:pPr>
        <w:pStyle w:val="Caption"/>
        <w:spacing w:line="360" w:lineRule="auto"/>
        <w:jc w:val="both"/>
        <w:rPr>
          <w:rFonts w:ascii="Arial" w:hAnsi="Arial" w:cs="Arial"/>
          <w:sz w:val="22"/>
          <w:szCs w:val="22"/>
        </w:rPr>
      </w:pPr>
      <w:bookmarkStart w:id="43" w:name="_Toc204703833"/>
      <w:r w:rsidRPr="00577BE7">
        <w:rPr>
          <w:rFonts w:ascii="Arial" w:hAnsi="Arial" w:cs="Arial"/>
          <w:sz w:val="22"/>
          <w:szCs w:val="22"/>
        </w:rPr>
        <w:lastRenderedPageBreak/>
        <w:t xml:space="preserve">Table </w:t>
      </w:r>
      <w:r w:rsidRPr="00577BE7">
        <w:rPr>
          <w:rFonts w:ascii="Arial" w:hAnsi="Arial" w:cs="Arial"/>
          <w:sz w:val="22"/>
          <w:szCs w:val="22"/>
        </w:rPr>
        <w:fldChar w:fldCharType="begin"/>
      </w:r>
      <w:r w:rsidRPr="00577BE7">
        <w:rPr>
          <w:rFonts w:ascii="Arial" w:hAnsi="Arial" w:cs="Arial"/>
          <w:sz w:val="22"/>
          <w:szCs w:val="22"/>
        </w:rPr>
        <w:instrText xml:space="preserve"> SEQ Table \* ARABIC </w:instrText>
      </w:r>
      <w:r w:rsidRPr="00577BE7">
        <w:rPr>
          <w:rFonts w:ascii="Arial" w:hAnsi="Arial" w:cs="Arial"/>
          <w:sz w:val="22"/>
          <w:szCs w:val="22"/>
        </w:rPr>
        <w:fldChar w:fldCharType="separate"/>
      </w:r>
      <w:r>
        <w:rPr>
          <w:rFonts w:ascii="Arial" w:hAnsi="Arial" w:cs="Arial"/>
          <w:noProof/>
          <w:sz w:val="22"/>
          <w:szCs w:val="22"/>
        </w:rPr>
        <w:t>3</w:t>
      </w:r>
      <w:r w:rsidRPr="00577BE7">
        <w:rPr>
          <w:rFonts w:ascii="Arial" w:hAnsi="Arial" w:cs="Arial"/>
          <w:sz w:val="22"/>
          <w:szCs w:val="22"/>
        </w:rPr>
        <w:fldChar w:fldCharType="end"/>
      </w:r>
      <w:r w:rsidRPr="00577BE7">
        <w:rPr>
          <w:rFonts w:ascii="Arial" w:hAnsi="Arial" w:cs="Arial"/>
          <w:sz w:val="22"/>
          <w:szCs w:val="22"/>
        </w:rPr>
        <w:t xml:space="preserve"> : OLS Regression Results</w:t>
      </w:r>
      <w:bookmarkEnd w:id="43"/>
    </w:p>
    <w:p w14:paraId="00629D18" w14:textId="77777777" w:rsidR="000A0DBB" w:rsidRPr="000A0DBB" w:rsidRDefault="000A0DBB" w:rsidP="001211E5">
      <w:pPr>
        <w:spacing w:line="360" w:lineRule="auto"/>
        <w:jc w:val="both"/>
        <w:rPr>
          <w:rFonts w:ascii="Arial" w:eastAsia="Times New Roman" w:hAnsi="Arial" w:cs="Arial"/>
          <w:sz w:val="22"/>
          <w:szCs w:val="22"/>
          <w:lang w:val="en-US"/>
        </w:rPr>
      </w:pPr>
      <w:r w:rsidRPr="000A0DBB">
        <w:rPr>
          <w:rFonts w:ascii="Arial" w:eastAsia="Times New Roman" w:hAnsi="Arial" w:cs="Arial"/>
          <w:i/>
          <w:iCs/>
          <w:sz w:val="22"/>
          <w:szCs w:val="22"/>
          <w:lang w:val="en-US"/>
        </w:rPr>
        <w:t>Dependent variable: Δ MAPE</w:t>
      </w:r>
    </w:p>
    <w:tbl>
      <w:tblPr>
        <w:tblStyle w:val="TableGridLight"/>
        <w:tblW w:w="0" w:type="auto"/>
        <w:tblLook w:val="04A0" w:firstRow="1" w:lastRow="0" w:firstColumn="1" w:lastColumn="0" w:noHBand="0" w:noVBand="1"/>
      </w:tblPr>
      <w:tblGrid>
        <w:gridCol w:w="1915"/>
        <w:gridCol w:w="1012"/>
        <w:gridCol w:w="1072"/>
        <w:gridCol w:w="926"/>
        <w:gridCol w:w="987"/>
      </w:tblGrid>
      <w:tr w:rsidR="000A0DBB" w:rsidRPr="000A0DBB" w14:paraId="48522CF2" w14:textId="77777777" w:rsidTr="000A0DBB">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31623B" w14:textId="77777777" w:rsidR="000A0DBB" w:rsidRPr="000A0DBB" w:rsidRDefault="000A0DBB" w:rsidP="001211E5">
            <w:pPr>
              <w:spacing w:line="360" w:lineRule="auto"/>
              <w:jc w:val="both"/>
              <w:rPr>
                <w:rFonts w:ascii="Arial" w:eastAsia="Times New Roman" w:hAnsi="Arial" w:cs="Arial"/>
                <w:b/>
                <w:bCs/>
              </w:rPr>
            </w:pPr>
            <w:r w:rsidRPr="000A0DBB">
              <w:rPr>
                <w:rStyle w:val="Strong"/>
                <w:rFonts w:ascii="Arial" w:hAnsi="Arial" w:cs="Arial"/>
              </w:rPr>
              <w:t>Predictor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925A56" w14:textId="77777777" w:rsidR="000A0DBB" w:rsidRPr="000A0DBB" w:rsidRDefault="000A0DBB" w:rsidP="001211E5">
            <w:pPr>
              <w:spacing w:line="360" w:lineRule="auto"/>
              <w:jc w:val="both"/>
              <w:rPr>
                <w:rFonts w:ascii="Arial" w:eastAsia="Times New Roman" w:hAnsi="Arial" w:cs="Arial"/>
                <w:b/>
                <w:bCs/>
              </w:rPr>
            </w:pPr>
            <w:r w:rsidRPr="000A0DBB">
              <w:rPr>
                <w:rFonts w:ascii="Arial" w:eastAsia="Times New Roman" w:hAnsi="Arial" w:cs="Arial"/>
                <w:b/>
                <w:bCs/>
              </w:rPr>
              <w:t>Coef.</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A0627E" w14:textId="77777777" w:rsidR="000A0DBB" w:rsidRPr="000A0DBB" w:rsidRDefault="000A0DBB" w:rsidP="001211E5">
            <w:pPr>
              <w:spacing w:line="360" w:lineRule="auto"/>
              <w:jc w:val="both"/>
              <w:rPr>
                <w:rFonts w:ascii="Arial" w:eastAsia="Times New Roman" w:hAnsi="Arial" w:cs="Arial"/>
                <w:b/>
                <w:bCs/>
              </w:rPr>
            </w:pPr>
            <w:r w:rsidRPr="000A0DBB">
              <w:rPr>
                <w:rStyle w:val="Strong"/>
                <w:rFonts w:ascii="Arial" w:hAnsi="Arial" w:cs="Arial"/>
              </w:rPr>
              <w:t>Std. Err.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EF6008" w14:textId="77777777" w:rsidR="000A0DBB" w:rsidRPr="000A0DBB" w:rsidRDefault="000A0DBB" w:rsidP="001211E5">
            <w:pPr>
              <w:spacing w:line="360" w:lineRule="auto"/>
              <w:jc w:val="both"/>
              <w:rPr>
                <w:rFonts w:ascii="Arial" w:eastAsia="Times New Roman" w:hAnsi="Arial" w:cs="Arial"/>
                <w:b/>
                <w:bCs/>
              </w:rPr>
            </w:pPr>
            <w:r w:rsidRPr="000A0DBB">
              <w:rPr>
                <w:rFonts w:ascii="Arial" w:eastAsia="Times New Roman" w:hAnsi="Arial" w:cs="Arial"/>
                <w:b/>
                <w:bCs/>
              </w:rPr>
              <w:t>t</w:t>
            </w:r>
            <w:r w:rsidRPr="000A0DBB">
              <w:rPr>
                <w:rFonts w:ascii="Arial" w:eastAsia="Times New Roman" w:hAnsi="Arial" w:cs="Arial"/>
                <w:b/>
                <w:bCs/>
              </w:rPr>
              <w:noBreakHyphen/>
              <w:t>value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43C7BB" w14:textId="77777777" w:rsidR="000A0DBB" w:rsidRPr="000A0DBB" w:rsidRDefault="000A0DBB" w:rsidP="001211E5">
            <w:pPr>
              <w:spacing w:line="360" w:lineRule="auto"/>
              <w:jc w:val="both"/>
              <w:rPr>
                <w:rFonts w:ascii="Arial" w:eastAsia="Times New Roman" w:hAnsi="Arial" w:cs="Arial"/>
                <w:b/>
                <w:bCs/>
              </w:rPr>
            </w:pPr>
            <w:r w:rsidRPr="000A0DBB">
              <w:rPr>
                <w:rStyle w:val="Strong"/>
                <w:rFonts w:ascii="Arial" w:hAnsi="Arial" w:cs="Arial"/>
              </w:rPr>
              <w:t>p</w:t>
            </w:r>
            <w:r w:rsidRPr="000A0DBB">
              <w:rPr>
                <w:rStyle w:val="Strong"/>
                <w:rFonts w:ascii="Arial" w:hAnsi="Arial" w:cs="Arial"/>
              </w:rPr>
              <w:noBreakHyphen/>
              <w:t>value</w:t>
            </w:r>
          </w:p>
        </w:tc>
      </w:tr>
      <w:tr w:rsidR="000A0DBB" w:rsidRPr="000A0DBB" w14:paraId="70D1DA0F" w14:textId="77777777" w:rsidTr="000A0DBB">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931BDB"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Intercept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DA04F2B"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–91.688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09D759" w14:textId="77777777" w:rsidR="000A0DBB" w:rsidRPr="000A0DBB" w:rsidRDefault="000A0DBB" w:rsidP="001211E5">
            <w:pPr>
              <w:spacing w:line="360" w:lineRule="auto"/>
              <w:jc w:val="both"/>
              <w:rPr>
                <w:rFonts w:ascii="Arial" w:eastAsia="Times New Roman" w:hAnsi="Arial" w:cs="Arial"/>
              </w:rPr>
            </w:pPr>
            <w:r w:rsidRPr="000A0DBB">
              <w:rPr>
                <w:rFonts w:ascii="Arial" w:hAnsi="Arial" w:cs="Arial"/>
              </w:rPr>
              <w:t>3.361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974A0C"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–27.29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008A99" w14:textId="77777777" w:rsidR="000A0DBB" w:rsidRPr="000A0DBB" w:rsidRDefault="000A0DBB" w:rsidP="001211E5">
            <w:pPr>
              <w:spacing w:line="360" w:lineRule="auto"/>
              <w:jc w:val="both"/>
              <w:rPr>
                <w:rFonts w:ascii="Arial" w:eastAsia="Times New Roman" w:hAnsi="Arial" w:cs="Arial"/>
              </w:rPr>
            </w:pPr>
            <w:r w:rsidRPr="000A0DBB">
              <w:rPr>
                <w:rFonts w:ascii="Arial" w:hAnsi="Arial" w:cs="Arial"/>
              </w:rPr>
              <w:t>&lt; 0.001</w:t>
            </w:r>
          </w:p>
        </w:tc>
      </w:tr>
      <w:tr w:rsidR="000A0DBB" w:rsidRPr="000A0DBB" w14:paraId="0A198B80" w14:textId="77777777" w:rsidTr="000A0DBB">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A7606B"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Δ Stockout Rate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2AC329"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–1.132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8DD103" w14:textId="77777777" w:rsidR="000A0DBB" w:rsidRPr="000A0DBB" w:rsidRDefault="000A0DBB" w:rsidP="001211E5">
            <w:pPr>
              <w:spacing w:line="360" w:lineRule="auto"/>
              <w:jc w:val="both"/>
              <w:rPr>
                <w:rFonts w:ascii="Arial" w:eastAsia="Times New Roman" w:hAnsi="Arial" w:cs="Arial"/>
              </w:rPr>
            </w:pPr>
            <w:r w:rsidRPr="000A0DBB">
              <w:rPr>
                <w:rFonts w:ascii="Arial" w:hAnsi="Arial" w:cs="Arial"/>
              </w:rPr>
              <w:t>0.065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98471E"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–17.38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ED1A60" w14:textId="77777777" w:rsidR="000A0DBB" w:rsidRPr="000A0DBB" w:rsidRDefault="000A0DBB" w:rsidP="001211E5">
            <w:pPr>
              <w:spacing w:line="360" w:lineRule="auto"/>
              <w:jc w:val="both"/>
              <w:rPr>
                <w:rFonts w:ascii="Arial" w:eastAsia="Times New Roman" w:hAnsi="Arial" w:cs="Arial"/>
              </w:rPr>
            </w:pPr>
            <w:r w:rsidRPr="000A0DBB">
              <w:rPr>
                <w:rFonts w:ascii="Arial" w:hAnsi="Arial" w:cs="Arial"/>
              </w:rPr>
              <w:t>&lt; 0.001</w:t>
            </w:r>
          </w:p>
        </w:tc>
      </w:tr>
    </w:tbl>
    <w:p w14:paraId="110970F0" w14:textId="7BFEB4BC"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b/>
          <w:bCs/>
          <w:sz w:val="22"/>
          <w:szCs w:val="22"/>
          <w:lang w:val="en-US"/>
        </w:rPr>
        <w:t>Model fit:</w:t>
      </w:r>
      <w:r w:rsidRPr="000A0DBB">
        <w:rPr>
          <w:rFonts w:ascii="Arial" w:eastAsia="Times New Roman" w:hAnsi="Arial" w:cs="Arial"/>
          <w:sz w:val="22"/>
          <w:szCs w:val="22"/>
          <w:lang w:val="en-US"/>
        </w:rPr>
        <w:t xml:space="preserve"> R² = 0.915; </w:t>
      </w:r>
      <w:r w:rsidR="00577BE7" w:rsidRPr="000A0DBB">
        <w:rPr>
          <w:rFonts w:ascii="Cambria Math" w:eastAsia="Times New Roman" w:hAnsi="Cambria Math" w:cs="Cambria Math"/>
          <w:sz w:val="22"/>
          <w:szCs w:val="22"/>
          <w:lang w:val="en-US"/>
        </w:rPr>
        <w:t>𝐹</w:t>
      </w:r>
      <w:r w:rsidR="00577BE7" w:rsidRPr="000A0DBB">
        <w:rPr>
          <w:rFonts w:ascii="Arial" w:eastAsia="Times New Roman" w:hAnsi="Arial" w:cs="Arial"/>
          <w:sz w:val="22"/>
          <w:szCs w:val="22"/>
          <w:lang w:val="en-US"/>
        </w:rPr>
        <w:t xml:space="preserve"> (</w:t>
      </w:r>
      <w:r w:rsidRPr="000A0DBB">
        <w:rPr>
          <w:rFonts w:ascii="Arial" w:eastAsia="Times New Roman" w:hAnsi="Arial" w:cs="Arial"/>
          <w:sz w:val="22"/>
          <w:szCs w:val="22"/>
          <w:lang w:val="en-US"/>
        </w:rPr>
        <w:t xml:space="preserve">1,28) = 302.3, </w:t>
      </w:r>
      <w:r w:rsidRPr="000A0DBB">
        <w:rPr>
          <w:rFonts w:ascii="Cambria Math" w:eastAsia="Times New Roman" w:hAnsi="Cambria Math" w:cs="Cambria Math"/>
          <w:sz w:val="22"/>
          <w:szCs w:val="22"/>
          <w:lang w:val="en-US"/>
        </w:rPr>
        <w:t>𝑝</w:t>
      </w:r>
      <w:r w:rsidRPr="000A0DBB">
        <w:rPr>
          <w:rFonts w:ascii="Arial" w:eastAsia="Times New Roman" w:hAnsi="Arial" w:cs="Arial"/>
          <w:sz w:val="22"/>
          <w:szCs w:val="22"/>
          <w:lang w:val="en-US"/>
        </w:rPr>
        <w:t xml:space="preserve"> &lt; 0.001</w:t>
      </w:r>
    </w:p>
    <w:p w14:paraId="323E6CF2" w14:textId="4B73CDBC" w:rsidR="000A0DBB" w:rsidRPr="00577BE7" w:rsidRDefault="00577BE7" w:rsidP="001211E5">
      <w:pPr>
        <w:pStyle w:val="Caption"/>
        <w:spacing w:line="360" w:lineRule="auto"/>
        <w:jc w:val="both"/>
        <w:rPr>
          <w:rFonts w:ascii="Arial" w:eastAsia="Times New Roman" w:hAnsi="Arial" w:cs="Arial"/>
          <w:sz w:val="22"/>
          <w:szCs w:val="22"/>
          <w:lang w:val="en-US"/>
        </w:rPr>
      </w:pPr>
      <w:bookmarkStart w:id="44" w:name="_Toc204703834"/>
      <w:r w:rsidRPr="00577BE7">
        <w:rPr>
          <w:rFonts w:ascii="Arial" w:hAnsi="Arial" w:cs="Arial"/>
          <w:sz w:val="22"/>
          <w:szCs w:val="22"/>
        </w:rPr>
        <w:t xml:space="preserve">Table </w:t>
      </w:r>
      <w:r w:rsidRPr="00577BE7">
        <w:rPr>
          <w:rFonts w:ascii="Arial" w:hAnsi="Arial" w:cs="Arial"/>
          <w:sz w:val="22"/>
          <w:szCs w:val="22"/>
        </w:rPr>
        <w:fldChar w:fldCharType="begin"/>
      </w:r>
      <w:r w:rsidRPr="00577BE7">
        <w:rPr>
          <w:rFonts w:ascii="Arial" w:hAnsi="Arial" w:cs="Arial"/>
          <w:sz w:val="22"/>
          <w:szCs w:val="22"/>
        </w:rPr>
        <w:instrText xml:space="preserve"> SEQ Table \* ARABIC </w:instrText>
      </w:r>
      <w:r w:rsidRPr="00577BE7">
        <w:rPr>
          <w:rFonts w:ascii="Arial" w:hAnsi="Arial" w:cs="Arial"/>
          <w:sz w:val="22"/>
          <w:szCs w:val="22"/>
        </w:rPr>
        <w:fldChar w:fldCharType="separate"/>
      </w:r>
      <w:r>
        <w:rPr>
          <w:rFonts w:ascii="Arial" w:hAnsi="Arial" w:cs="Arial"/>
          <w:noProof/>
          <w:sz w:val="22"/>
          <w:szCs w:val="22"/>
        </w:rPr>
        <w:t>4</w:t>
      </w:r>
      <w:r w:rsidRPr="00577BE7">
        <w:rPr>
          <w:rFonts w:ascii="Arial" w:hAnsi="Arial" w:cs="Arial"/>
          <w:sz w:val="22"/>
          <w:szCs w:val="22"/>
        </w:rPr>
        <w:fldChar w:fldCharType="end"/>
      </w:r>
      <w:r w:rsidRPr="00577BE7">
        <w:rPr>
          <w:rFonts w:ascii="Arial" w:hAnsi="Arial" w:cs="Arial"/>
          <w:sz w:val="22"/>
          <w:szCs w:val="22"/>
        </w:rPr>
        <w:t xml:space="preserve"> : Two-Stage Least Squares (2SLS) Results</w:t>
      </w:r>
      <w:bookmarkEnd w:id="44"/>
    </w:p>
    <w:p w14:paraId="1FE65DE0"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i/>
          <w:iCs/>
          <w:sz w:val="22"/>
          <w:szCs w:val="22"/>
          <w:lang w:val="en-US"/>
        </w:rPr>
        <w:t>Instrument: Region Δ Forecast Error (MAPE proxy)</w:t>
      </w:r>
    </w:p>
    <w:tbl>
      <w:tblPr>
        <w:tblStyle w:val="PlainTable1"/>
        <w:tblW w:w="0" w:type="auto"/>
        <w:tblLook w:val="04A0" w:firstRow="1" w:lastRow="0" w:firstColumn="1" w:lastColumn="0" w:noHBand="0" w:noVBand="1"/>
      </w:tblPr>
      <w:tblGrid>
        <w:gridCol w:w="1794"/>
        <w:gridCol w:w="1012"/>
        <w:gridCol w:w="1011"/>
        <w:gridCol w:w="926"/>
        <w:gridCol w:w="957"/>
      </w:tblGrid>
      <w:tr w:rsidR="000A0DBB" w:rsidRPr="000A0DBB" w14:paraId="50F8E4AA" w14:textId="77777777" w:rsidTr="000A0D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AC2BAC"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Predictor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144265"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Coef.</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43FF86"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0A0DBB">
              <w:rPr>
                <w:rStyle w:val="Strong"/>
                <w:rFonts w:ascii="Arial" w:hAnsi="Arial" w:cs="Arial"/>
              </w:rPr>
              <w:t>Std. Err.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AE818E"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t</w:t>
            </w:r>
            <w:r w:rsidRPr="000A0DBB">
              <w:rPr>
                <w:rFonts w:ascii="Arial" w:eastAsia="Times New Roman" w:hAnsi="Arial" w:cs="Arial"/>
              </w:rPr>
              <w:noBreakHyphen/>
              <w:t>value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AD2889"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0A0DBB">
              <w:rPr>
                <w:rStyle w:val="Strong"/>
                <w:rFonts w:ascii="Arial" w:hAnsi="Arial" w:cs="Arial"/>
              </w:rPr>
              <w:t>p</w:t>
            </w:r>
            <w:r w:rsidRPr="000A0DBB">
              <w:rPr>
                <w:rStyle w:val="Strong"/>
                <w:rFonts w:ascii="Arial" w:hAnsi="Arial" w:cs="Arial"/>
              </w:rPr>
              <w:noBreakHyphen/>
              <w:t>value</w:t>
            </w:r>
          </w:p>
        </w:tc>
      </w:tr>
      <w:tr w:rsidR="000A0DBB" w:rsidRPr="000A0DBB" w14:paraId="47EF5E7D" w14:textId="77777777" w:rsidTr="000A0DBB">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691FE0"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Intercept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F8D79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–88.512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72FE5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4.210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94249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–21.02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4BF47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&lt; 0.001</w:t>
            </w:r>
          </w:p>
        </w:tc>
      </w:tr>
      <w:tr w:rsidR="000A0DBB" w:rsidRPr="000A0DBB" w14:paraId="30831627"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08BDA6"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Δ Stockout Rate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6053C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–1.053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7B0EA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0.122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ECEA6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–8.63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E9B9A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&lt; 0.001</w:t>
            </w:r>
          </w:p>
        </w:tc>
      </w:tr>
    </w:tbl>
    <w:p w14:paraId="2FF5A6A4"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t>First</w:t>
      </w:r>
      <w:r w:rsidRPr="000A0DBB">
        <w:rPr>
          <w:rFonts w:ascii="Arial" w:eastAsia="Times New Roman" w:hAnsi="Arial" w:cs="Arial"/>
          <w:sz w:val="22"/>
          <w:szCs w:val="22"/>
          <w:lang w:val="en-US"/>
        </w:rPr>
        <w:noBreakHyphen/>
        <w:t>stage F</w:t>
      </w:r>
      <w:r w:rsidRPr="000A0DBB">
        <w:rPr>
          <w:rFonts w:ascii="Arial" w:eastAsia="Times New Roman" w:hAnsi="Arial" w:cs="Arial"/>
          <w:sz w:val="22"/>
          <w:szCs w:val="22"/>
          <w:lang w:val="en-US"/>
        </w:rPr>
        <w:noBreakHyphen/>
        <w:t>stat: 32.7 (strong instrument)</w:t>
      </w:r>
    </w:p>
    <w:p w14:paraId="7E06BE90"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t>Hansen’s J (overid): p = 0.52 (no evidence of instrument invalidity)</w:t>
      </w:r>
    </w:p>
    <w:p w14:paraId="63C9841C"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t>2nd</w:t>
      </w:r>
      <w:r w:rsidRPr="000A0DBB">
        <w:rPr>
          <w:rFonts w:ascii="Arial" w:eastAsia="Times New Roman" w:hAnsi="Arial" w:cs="Arial"/>
          <w:sz w:val="22"/>
          <w:szCs w:val="22"/>
          <w:lang w:val="en-US"/>
        </w:rPr>
        <w:noBreakHyphen/>
        <w:t>stage fit: R² = 0.880</w:t>
      </w:r>
    </w:p>
    <w:p w14:paraId="44DE124B" w14:textId="4C687D71" w:rsidR="000A0DBB" w:rsidRPr="00577BE7" w:rsidRDefault="000A0DBB" w:rsidP="001211E5">
      <w:pPr>
        <w:pStyle w:val="Caption"/>
        <w:spacing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br/>
      </w:r>
      <w:bookmarkStart w:id="45" w:name="_Toc204703835"/>
      <w:r w:rsidR="00577BE7" w:rsidRPr="00577BE7">
        <w:rPr>
          <w:rFonts w:ascii="Arial" w:hAnsi="Arial" w:cs="Arial"/>
          <w:sz w:val="22"/>
          <w:szCs w:val="22"/>
        </w:rPr>
        <w:t xml:space="preserve">Table </w:t>
      </w:r>
      <w:r w:rsidR="00577BE7" w:rsidRPr="00577BE7">
        <w:rPr>
          <w:rFonts w:ascii="Arial" w:hAnsi="Arial" w:cs="Arial"/>
          <w:sz w:val="22"/>
          <w:szCs w:val="22"/>
        </w:rPr>
        <w:fldChar w:fldCharType="begin"/>
      </w:r>
      <w:r w:rsidR="00577BE7" w:rsidRPr="00577BE7">
        <w:rPr>
          <w:rFonts w:ascii="Arial" w:hAnsi="Arial" w:cs="Arial"/>
          <w:sz w:val="22"/>
          <w:szCs w:val="22"/>
        </w:rPr>
        <w:instrText xml:space="preserve"> SEQ Table \* ARABIC </w:instrText>
      </w:r>
      <w:r w:rsidR="00577BE7" w:rsidRPr="00577BE7">
        <w:rPr>
          <w:rFonts w:ascii="Arial" w:hAnsi="Arial" w:cs="Arial"/>
          <w:sz w:val="22"/>
          <w:szCs w:val="22"/>
        </w:rPr>
        <w:fldChar w:fldCharType="separate"/>
      </w:r>
      <w:r w:rsidR="00577BE7" w:rsidRPr="00577BE7">
        <w:rPr>
          <w:rFonts w:ascii="Arial" w:hAnsi="Arial" w:cs="Arial"/>
          <w:noProof/>
          <w:sz w:val="22"/>
          <w:szCs w:val="22"/>
        </w:rPr>
        <w:t>5</w:t>
      </w:r>
      <w:r w:rsidR="00577BE7" w:rsidRPr="00577BE7">
        <w:rPr>
          <w:rFonts w:ascii="Arial" w:hAnsi="Arial" w:cs="Arial"/>
          <w:sz w:val="22"/>
          <w:szCs w:val="22"/>
        </w:rPr>
        <w:fldChar w:fldCharType="end"/>
      </w:r>
      <w:r w:rsidR="00577BE7" w:rsidRPr="00577BE7">
        <w:rPr>
          <w:rFonts w:ascii="Arial" w:hAnsi="Arial" w:cs="Arial"/>
          <w:sz w:val="22"/>
          <w:szCs w:val="22"/>
        </w:rPr>
        <w:t xml:space="preserve"> : Mixed Effects (Multilevel) Model Results</w:t>
      </w:r>
      <w:bookmarkEnd w:id="45"/>
    </w:p>
    <w:p w14:paraId="1670A536"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i/>
          <w:iCs/>
          <w:sz w:val="22"/>
          <w:szCs w:val="22"/>
          <w:lang w:val="en-US"/>
        </w:rPr>
        <w:t>Random intercept by region; dependent: Δ MAPE</w:t>
      </w:r>
    </w:p>
    <w:tbl>
      <w:tblPr>
        <w:tblStyle w:val="GridTable6Colourful"/>
        <w:tblW w:w="0" w:type="auto"/>
        <w:tblInd w:w="0" w:type="dxa"/>
        <w:tblLook w:val="04A0" w:firstRow="1" w:lastRow="0" w:firstColumn="1" w:lastColumn="0" w:noHBand="0" w:noVBand="1"/>
      </w:tblPr>
      <w:tblGrid>
        <w:gridCol w:w="1806"/>
        <w:gridCol w:w="1012"/>
        <w:gridCol w:w="1023"/>
        <w:gridCol w:w="962"/>
        <w:gridCol w:w="987"/>
      </w:tblGrid>
      <w:tr w:rsidR="000A0DBB" w:rsidRPr="000A0DBB" w14:paraId="0997EBF8" w14:textId="77777777" w:rsidTr="000A0D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right w:val="single" w:sz="4" w:space="0" w:color="666666" w:themeColor="text1" w:themeTint="99"/>
            </w:tcBorders>
            <w:hideMark/>
          </w:tcPr>
          <w:p w14:paraId="7A7EB38C"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Predictor</w:t>
            </w:r>
          </w:p>
        </w:tc>
        <w:tc>
          <w:tcPr>
            <w:tcW w:w="0" w:type="auto"/>
            <w:tcBorders>
              <w:top w:val="single" w:sz="4" w:space="0" w:color="666666" w:themeColor="text1" w:themeTint="99"/>
              <w:left w:val="single" w:sz="4" w:space="0" w:color="666666" w:themeColor="text1" w:themeTint="99"/>
              <w:right w:val="single" w:sz="4" w:space="0" w:color="666666" w:themeColor="text1" w:themeTint="99"/>
            </w:tcBorders>
            <w:hideMark/>
          </w:tcPr>
          <w:p w14:paraId="69BB0522"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Coef.</w:t>
            </w:r>
          </w:p>
        </w:tc>
        <w:tc>
          <w:tcPr>
            <w:tcW w:w="0" w:type="auto"/>
            <w:tcBorders>
              <w:top w:val="single" w:sz="4" w:space="0" w:color="666666" w:themeColor="text1" w:themeTint="99"/>
              <w:left w:val="single" w:sz="4" w:space="0" w:color="666666" w:themeColor="text1" w:themeTint="99"/>
              <w:right w:val="single" w:sz="4" w:space="0" w:color="666666" w:themeColor="text1" w:themeTint="99"/>
            </w:tcBorders>
            <w:hideMark/>
          </w:tcPr>
          <w:p w14:paraId="46C0CC2F"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0A0DBB">
              <w:rPr>
                <w:rStyle w:val="Strong"/>
                <w:rFonts w:ascii="Arial" w:hAnsi="Arial" w:cs="Arial"/>
              </w:rPr>
              <w:t>Std. Err.</w:t>
            </w:r>
          </w:p>
        </w:tc>
        <w:tc>
          <w:tcPr>
            <w:tcW w:w="0" w:type="auto"/>
            <w:tcBorders>
              <w:top w:val="single" w:sz="4" w:space="0" w:color="666666" w:themeColor="text1" w:themeTint="99"/>
              <w:left w:val="single" w:sz="4" w:space="0" w:color="666666" w:themeColor="text1" w:themeTint="99"/>
              <w:right w:val="single" w:sz="4" w:space="0" w:color="666666" w:themeColor="text1" w:themeTint="99"/>
            </w:tcBorders>
            <w:hideMark/>
          </w:tcPr>
          <w:p w14:paraId="6D65F0F3"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z</w:t>
            </w:r>
            <w:r w:rsidRPr="000A0DBB">
              <w:rPr>
                <w:rFonts w:ascii="Arial" w:eastAsia="Times New Roman" w:hAnsi="Arial" w:cs="Arial"/>
              </w:rPr>
              <w:noBreakHyphen/>
              <w:t>value</w:t>
            </w:r>
          </w:p>
        </w:tc>
        <w:tc>
          <w:tcPr>
            <w:tcW w:w="0" w:type="auto"/>
            <w:tcBorders>
              <w:top w:val="single" w:sz="4" w:space="0" w:color="666666" w:themeColor="text1" w:themeTint="99"/>
              <w:left w:val="single" w:sz="4" w:space="0" w:color="666666" w:themeColor="text1" w:themeTint="99"/>
              <w:right w:val="single" w:sz="4" w:space="0" w:color="666666" w:themeColor="text1" w:themeTint="99"/>
            </w:tcBorders>
            <w:hideMark/>
          </w:tcPr>
          <w:p w14:paraId="7AD99E39"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p</w:t>
            </w:r>
            <w:r w:rsidRPr="000A0DBB">
              <w:rPr>
                <w:rFonts w:ascii="Arial" w:eastAsia="Times New Roman" w:hAnsi="Arial" w:cs="Arial"/>
              </w:rPr>
              <w:noBreakHyphen/>
              <w:t>value</w:t>
            </w:r>
          </w:p>
        </w:tc>
      </w:tr>
      <w:tr w:rsidR="000A0DBB" w:rsidRPr="000A0DBB" w14:paraId="718097B6"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44434EE"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Intercept</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7AF4BE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–44.363</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AFFB4A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0A0DBB">
              <w:rPr>
                <w:rStyle w:val="Strong"/>
                <w:rFonts w:ascii="Arial" w:hAnsi="Arial" w:cs="Arial"/>
              </w:rPr>
              <w:t>13.931</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EC285C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–3.184</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792B04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0.001</w:t>
            </w:r>
          </w:p>
        </w:tc>
      </w:tr>
      <w:tr w:rsidR="000A0DBB" w:rsidRPr="000A0DBB" w14:paraId="5D368BA9"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D4902BF" w14:textId="77777777" w:rsidR="000A0DBB" w:rsidRPr="000A0DBB" w:rsidRDefault="000A0DBB" w:rsidP="001211E5">
            <w:pPr>
              <w:spacing w:line="360" w:lineRule="auto"/>
              <w:jc w:val="both"/>
              <w:rPr>
                <w:rFonts w:ascii="Arial" w:eastAsia="Times New Roman" w:hAnsi="Arial" w:cs="Arial"/>
              </w:rPr>
            </w:pPr>
            <w:r w:rsidRPr="000A0DBB">
              <w:rPr>
                <w:rStyle w:val="Strong"/>
                <w:rFonts w:ascii="Arial" w:hAnsi="Arial" w:cs="Arial"/>
              </w:rPr>
              <w:t>Δ Stockout Rate</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4FB4D4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–0.187</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7D15CD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rPr>
            </w:pPr>
            <w:r w:rsidRPr="000A0DBB">
              <w:rPr>
                <w:rStyle w:val="Strong"/>
                <w:rFonts w:ascii="Arial" w:hAnsi="Arial" w:cs="Arial"/>
              </w:rPr>
              <w:t>0.213</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5E2693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–0.880</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9EBFC3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0.379</w:t>
            </w:r>
          </w:p>
        </w:tc>
      </w:tr>
    </w:tbl>
    <w:p w14:paraId="1098C483"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t>Variance components:</w:t>
      </w:r>
    </w:p>
    <w:p w14:paraId="4FB7A191"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t>Region (random intercept) σ</w:t>
      </w:r>
      <w:r w:rsidRPr="000A0DBB">
        <w:rPr>
          <w:rFonts w:ascii="Arial" w:eastAsia="Times New Roman" w:hAnsi="Arial" w:cs="Arial"/>
          <w:sz w:val="22"/>
          <w:szCs w:val="22"/>
          <w:vertAlign w:val="subscript"/>
          <w:lang w:val="en-US"/>
        </w:rPr>
        <w:t>2</w:t>
      </w:r>
      <w:r w:rsidRPr="000A0DBB">
        <w:rPr>
          <w:rFonts w:ascii="Arial" w:eastAsia="Times New Roman" w:hAnsi="Arial" w:cs="Arial"/>
          <w:sz w:val="22"/>
          <w:szCs w:val="22"/>
          <w:vertAlign w:val="superscript"/>
          <w:lang w:val="en-US"/>
        </w:rPr>
        <w:t>u</w:t>
      </w:r>
      <w:r w:rsidRPr="000A0DBB">
        <w:rPr>
          <w:rFonts w:ascii="Arial" w:eastAsia="Times New Roman" w:hAnsi="Arial" w:cs="Arial"/>
          <w:sz w:val="22"/>
          <w:szCs w:val="22"/>
          <w:lang w:val="en-US"/>
        </w:rPr>
        <w:t>=242.07</w:t>
      </w:r>
    </w:p>
    <w:p w14:paraId="52BE188F"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t>Model fit:</w:t>
      </w:r>
    </w:p>
    <w:p w14:paraId="61C0FA77"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t>Marginal R²=0.03 (fixed effects only)</w:t>
      </w:r>
    </w:p>
    <w:p w14:paraId="4355A33D" w14:textId="77777777" w:rsidR="000A0DBB" w:rsidRPr="000A0DBB" w:rsidRDefault="000A0DBB" w:rsidP="001211E5">
      <w:pPr>
        <w:spacing w:before="100" w:beforeAutospacing="1" w:after="100" w:afterAutospacing="1" w:line="360" w:lineRule="auto"/>
        <w:jc w:val="both"/>
        <w:rPr>
          <w:rFonts w:ascii="Arial" w:eastAsia="Times New Roman" w:hAnsi="Arial" w:cs="Arial"/>
          <w:sz w:val="22"/>
          <w:szCs w:val="22"/>
          <w:lang w:val="en-US"/>
        </w:rPr>
      </w:pPr>
      <w:r w:rsidRPr="000A0DBB">
        <w:rPr>
          <w:rFonts w:ascii="Arial" w:eastAsia="Times New Roman" w:hAnsi="Arial" w:cs="Arial"/>
          <w:sz w:val="22"/>
          <w:szCs w:val="22"/>
          <w:lang w:val="en-US"/>
        </w:rPr>
        <w:t>Conditional R²=0.79 R (fixed + random)</w:t>
      </w:r>
    </w:p>
    <w:p w14:paraId="4764263D" w14:textId="77777777" w:rsidR="000A0DBB" w:rsidRPr="00112E2C" w:rsidRDefault="000A0DBB" w:rsidP="001211E5">
      <w:pPr>
        <w:pStyle w:val="Heading1"/>
        <w:spacing w:line="360" w:lineRule="auto"/>
        <w:jc w:val="both"/>
        <w:rPr>
          <w:rFonts w:ascii="Arial" w:eastAsia="Times New Roman" w:hAnsi="Arial" w:cs="Arial"/>
          <w:sz w:val="22"/>
          <w:szCs w:val="22"/>
          <w:lang w:val="en-US"/>
        </w:rPr>
      </w:pPr>
      <w:bookmarkStart w:id="46" w:name="_Toc204707810"/>
      <w:r w:rsidRPr="00112E2C">
        <w:rPr>
          <w:rFonts w:ascii="Arial" w:eastAsia="Times New Roman" w:hAnsi="Arial" w:cs="Arial"/>
          <w:sz w:val="22"/>
          <w:szCs w:val="22"/>
          <w:lang w:val="en-US"/>
        </w:rPr>
        <w:lastRenderedPageBreak/>
        <w:t>4.3.4 Robustness</w:t>
      </w:r>
      <w:r w:rsidRPr="00112E2C">
        <w:rPr>
          <w:rFonts w:ascii="Cambria Math" w:eastAsia="Times New Roman" w:hAnsi="Cambria Math" w:cs="Cambria Math"/>
          <w:sz w:val="22"/>
          <w:szCs w:val="22"/>
          <w:lang w:val="en-US"/>
        </w:rPr>
        <w:t>‐</w:t>
      </w:r>
      <w:r w:rsidRPr="00112E2C">
        <w:rPr>
          <w:rFonts w:ascii="Arial" w:eastAsia="Times New Roman" w:hAnsi="Arial" w:cs="Arial"/>
          <w:sz w:val="22"/>
          <w:szCs w:val="22"/>
          <w:lang w:val="en-US"/>
        </w:rPr>
        <w:t>Check Interpretation</w:t>
      </w:r>
      <w:bookmarkEnd w:id="46"/>
      <w:r w:rsidRPr="00112E2C">
        <w:rPr>
          <w:rFonts w:ascii="Arial" w:eastAsia="Times New Roman" w:hAnsi="Arial" w:cs="Arial"/>
          <w:sz w:val="22"/>
          <w:szCs w:val="22"/>
          <w:lang w:val="en-US"/>
        </w:rPr>
        <w:t xml:space="preserve"> </w:t>
      </w:r>
    </w:p>
    <w:p w14:paraId="657F7B96" w14:textId="2260553A" w:rsidR="00112E2C" w:rsidRPr="009A6D52" w:rsidRDefault="000A0DBB" w:rsidP="009A6D52">
      <w:pPr>
        <w:spacing w:line="360" w:lineRule="auto"/>
        <w:ind w:firstLine="720"/>
        <w:jc w:val="both"/>
        <w:rPr>
          <w:rFonts w:ascii="Arial" w:eastAsia="Times New Roman" w:hAnsi="Arial" w:cs="Arial"/>
          <w:sz w:val="22"/>
          <w:szCs w:val="22"/>
          <w:lang w:val="en-US"/>
        </w:rPr>
      </w:pPr>
      <w:r w:rsidRPr="000A0DBB">
        <w:rPr>
          <w:rFonts w:ascii="Arial" w:eastAsia="Times New Roman" w:hAnsi="Arial" w:cs="Arial"/>
          <w:color w:val="000000" w:themeColor="text1"/>
          <w:sz w:val="22"/>
          <w:szCs w:val="22"/>
          <w:lang w:val="en-US"/>
        </w:rPr>
        <w:t>Going from the baseline OLS estimate (1.13) to the 2SLS estimate (1.05) depicts minimal attenuation, and a high first</w:t>
      </w:r>
      <w:r w:rsidRPr="000A0DBB">
        <w:rPr>
          <w:rFonts w:ascii="Arial" w:eastAsia="Times New Roman" w:hAnsi="Arial" w:cs="Arial"/>
          <w:color w:val="000000" w:themeColor="text1"/>
          <w:sz w:val="22"/>
          <w:szCs w:val="22"/>
          <w:lang w:val="en-US"/>
        </w:rPr>
        <w:noBreakHyphen/>
        <w:t>stage (F = 32.7) with a non-significant test of overid (p = 0.52) creates certainty of the validity of our instrument. Nevertheless, after explaining region-level heterogeneity with the multilevel model, the stockout coefficient reduces to -0.19 and becomes insignificant (p = 0.379). This implies that the magnitude of the relationship between Δ MAPE and Δ Stockout observed in the pooled data is dominated by the between-region difference, not the within-region effects</w:t>
      </w:r>
      <w:r w:rsidR="009A6D52">
        <w:rPr>
          <w:rFonts w:ascii="Arial" w:eastAsia="Times New Roman" w:hAnsi="Arial" w:cs="Arial"/>
          <w:color w:val="000000" w:themeColor="text1"/>
          <w:sz w:val="22"/>
          <w:szCs w:val="22"/>
          <w:lang w:val="en-US"/>
        </w:rPr>
        <w:t>.</w:t>
      </w:r>
    </w:p>
    <w:p w14:paraId="4DD4116F"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2E81F5FA"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3323C9FE"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13FDE664"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52E830A4"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292AF646"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7B1A6929"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474E6C9F"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5F87A9B6"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2F034D07"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4BB104CA"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7CB0E7B3"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3C4FAF2E"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203F74A5"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400B3CFF"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6721BD66"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08F52549"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16335BE3"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29D1A655"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36BBDA33"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482A406E"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683FBDC4"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2C103368"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47778D43"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6C13754B"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620E8D2F"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53CA4B8D" w14:textId="77777777" w:rsidR="00112E2C" w:rsidRDefault="00112E2C" w:rsidP="001211E5">
      <w:pPr>
        <w:pStyle w:val="Heading1"/>
        <w:spacing w:before="0" w:line="360" w:lineRule="auto"/>
        <w:contextualSpacing/>
        <w:jc w:val="both"/>
        <w:rPr>
          <w:rFonts w:ascii="Arial" w:hAnsi="Arial" w:cs="Arial"/>
          <w:b/>
          <w:bCs/>
          <w:color w:val="000000" w:themeColor="text1"/>
          <w:sz w:val="22"/>
          <w:szCs w:val="22"/>
        </w:rPr>
      </w:pPr>
    </w:p>
    <w:p w14:paraId="21CAC9A0" w14:textId="77777777" w:rsidR="009A6D52" w:rsidRPr="009A6D52" w:rsidRDefault="009A6D52" w:rsidP="009A6D52"/>
    <w:p w14:paraId="0D73AD6B" w14:textId="634B1DFD" w:rsidR="000A0DBB" w:rsidRPr="00065FC0" w:rsidRDefault="000A0DBB" w:rsidP="001211E5">
      <w:pPr>
        <w:pStyle w:val="Heading1"/>
        <w:spacing w:line="360" w:lineRule="auto"/>
        <w:jc w:val="both"/>
        <w:rPr>
          <w:rFonts w:ascii="Arial" w:hAnsi="Arial" w:cs="Arial"/>
          <w:sz w:val="22"/>
          <w:szCs w:val="22"/>
        </w:rPr>
      </w:pPr>
      <w:bookmarkStart w:id="47" w:name="_Toc204707811"/>
      <w:r w:rsidRPr="00065FC0">
        <w:rPr>
          <w:rFonts w:ascii="Arial" w:hAnsi="Arial" w:cs="Arial"/>
          <w:sz w:val="22"/>
          <w:szCs w:val="22"/>
        </w:rPr>
        <w:lastRenderedPageBreak/>
        <w:t>5.0. Discussion</w:t>
      </w:r>
      <w:bookmarkEnd w:id="47"/>
    </w:p>
    <w:p w14:paraId="29D08CA8" w14:textId="77777777" w:rsidR="000A0DBB" w:rsidRPr="00065FC0" w:rsidRDefault="000A0DBB" w:rsidP="001211E5">
      <w:pPr>
        <w:pStyle w:val="Heading2"/>
        <w:spacing w:line="360" w:lineRule="auto"/>
        <w:jc w:val="both"/>
        <w:rPr>
          <w:rFonts w:ascii="Arial" w:hAnsi="Arial" w:cs="Arial"/>
          <w:sz w:val="22"/>
          <w:szCs w:val="22"/>
        </w:rPr>
      </w:pPr>
      <w:bookmarkStart w:id="48" w:name="_Toc204707812"/>
      <w:r w:rsidRPr="00065FC0">
        <w:rPr>
          <w:rFonts w:ascii="Arial" w:hAnsi="Arial" w:cs="Arial"/>
          <w:sz w:val="22"/>
          <w:szCs w:val="22"/>
        </w:rPr>
        <w:t>5.1. Research Question 1: Regional Factors</w:t>
      </w:r>
      <w:bookmarkEnd w:id="48"/>
    </w:p>
    <w:p w14:paraId="40B0D802" w14:textId="3E8B4E65"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 xml:space="preserve">The results indicate significant variations in the inventory effect of AI between the three areas, highlighting the differences in market maturity, digital infrastructure, and risk tolerance in strategies. The most considerable inventory </w:t>
      </w:r>
      <w:r w:rsidR="00112E2C" w:rsidRPr="000A0DBB">
        <w:rPr>
          <w:rFonts w:ascii="Arial" w:hAnsi="Arial" w:cs="Arial"/>
          <w:color w:val="000000" w:themeColor="text1"/>
          <w:sz w:val="22"/>
          <w:szCs w:val="22"/>
        </w:rPr>
        <w:t>increases</w:t>
      </w:r>
      <w:r w:rsidRPr="000A0DBB">
        <w:rPr>
          <w:rFonts w:ascii="Arial" w:hAnsi="Arial" w:cs="Arial"/>
          <w:color w:val="000000" w:themeColor="text1"/>
          <w:sz w:val="22"/>
          <w:szCs w:val="22"/>
        </w:rPr>
        <w:t xml:space="preserve"> in North America happened despite proxy increases in forecast accuracy and stock-out reduction. This paradox is that retailers in that market might be utilising AI to facilitate category growth, add depth to the assortment, or hedge against the fluctuation of demand, all of which reflects an efficiency-seeking application of AI more in the direction of rapid output than growth.</w:t>
      </w:r>
    </w:p>
    <w:p w14:paraId="5B5B896F" w14:textId="77777777"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South American retailers, on the contrary, experienced an average inventory decrease (average decline of $10.18 million), which is in line with their corrective role in the new economy. Instead of developing assortments, companies in this area use AI to clean up the inventory, decrease write-offs, and address infrastructure shortcomings. This implies that more defensive and tactical application of AI is required to reduce waste and enrich working capital in such environments, which implies that AI adoption in these environments is reactive instead of strategic.</w:t>
      </w:r>
    </w:p>
    <w:p w14:paraId="61B456D1" w14:textId="77777777" w:rsid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Asia showed a low increment of average inventory (+$1.58 M), but there is high variability, as some retailers increased significantly and others recorded reductions. Such a trend follows heterogeneous levels of AI readiness in the region, with Southeast Asia at the initial adoption stage, compared to the most developed ecosystems like Australia and Singapore. The benefit of AI is the ability to enable lean practices (just-in-time replenishment) and grow at high velocity in fast-paced retail categories such as fashion and cosmetics. These results can be well cross-referenced with findings from the literature. According to Moharrak et al. (2024, p. 360), AI adoption is more likely to support the strategic theme of differentiation in developed markets. In contrast, in the developing markets, AI was predominantly used for operational efficiency. Besides, according to McKinsey’s (2024) AI readiness index, North America takes the lead in infrastructure maturity. South America is the last, and Asia is not homogeneous, where the researcher observed regional differences in the conditions.</w:t>
      </w:r>
    </w:p>
    <w:p w14:paraId="74A5658A"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01D0E0D7"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485F1124"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7D24B56D" w14:textId="77777777" w:rsidR="00065FC0" w:rsidRPr="000A0DBB" w:rsidRDefault="00065FC0" w:rsidP="001211E5">
      <w:pPr>
        <w:spacing w:line="360" w:lineRule="auto"/>
        <w:ind w:firstLine="720"/>
        <w:contextualSpacing/>
        <w:jc w:val="both"/>
        <w:rPr>
          <w:rFonts w:ascii="Arial" w:hAnsi="Arial" w:cs="Arial"/>
          <w:color w:val="000000" w:themeColor="text1"/>
          <w:sz w:val="22"/>
          <w:szCs w:val="22"/>
        </w:rPr>
      </w:pPr>
    </w:p>
    <w:p w14:paraId="5E73748E" w14:textId="77777777" w:rsidR="000A0DBB" w:rsidRPr="00065FC0" w:rsidRDefault="000A0DBB" w:rsidP="001211E5">
      <w:pPr>
        <w:pStyle w:val="Heading3"/>
        <w:spacing w:line="360" w:lineRule="auto"/>
        <w:jc w:val="both"/>
        <w:rPr>
          <w:rFonts w:ascii="Arial" w:hAnsi="Arial" w:cs="Arial"/>
          <w:sz w:val="22"/>
          <w:szCs w:val="22"/>
        </w:rPr>
      </w:pPr>
      <w:bookmarkStart w:id="49" w:name="_Toc204707813"/>
      <w:r w:rsidRPr="00065FC0">
        <w:rPr>
          <w:rFonts w:ascii="Arial" w:hAnsi="Arial" w:cs="Arial"/>
          <w:sz w:val="22"/>
          <w:szCs w:val="22"/>
        </w:rPr>
        <w:lastRenderedPageBreak/>
        <w:t>5.2. Research Question 2: Organisational Factors</w:t>
      </w:r>
      <w:bookmarkEnd w:id="49"/>
    </w:p>
    <w:p w14:paraId="0E4B4341" w14:textId="77777777"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The variations in the results between regions are determined not only by the maturity of the market of the given region but also by the inner organisational power, that is, data infrastructure, leadership commitment, and digital literacy.</w:t>
      </w:r>
    </w:p>
    <w:p w14:paraId="785FDC04" w14:textId="77777777"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The ability of North America to interconnect the Enterprise Resource Planning (ERP) and Point of Sale (POS) on a high level provides the real-time data flow to the AI engines (Mhaskey 2024, p. 3). The friction in adopting AI is low, as firms may have in-house analytics, IT, and agile IT teams. However, conservatism by leaders, particularly in family-owned or legacy retailers, may slow down the establishment of total reliance on artificial intelligence generational outlooks. The prescribed post-AI inventory construction noticed here implies pessimistic overstocking even when there is an elevated prognosis thoroughness.</w:t>
      </w:r>
    </w:p>
    <w:p w14:paraId="108889A1" w14:textId="77777777"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There is more infrastructural disparity in South America, and operations are mainly based on fragmented and, in most cases, manual inventory records with little automation. However, ironically, the region experienced the most significant inventory reduction, demonstrating the disproportionate benefits that may be received whenever even minimalist AI systems are implemented. It correlates with the statement offered in Tutak and Brodny (2022, p. 14), which states that the marginal value of AI will be the most significant in places with the lowest digital maturity. Leadership commitment was critical here: companies aligned with AI and financial key performance indicators (including working capital turnover) produced improved results.</w:t>
      </w:r>
    </w:p>
    <w:p w14:paraId="6114A8D9" w14:textId="77777777"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The situation is more complicated in Asia. Online literacy is high, especially in technologically advanced centres such as Singapore, Hong Kong, and South Korea. Along with AI rollouts, there often go training programs and hybrid decision systems, where the algorithm’s output is supplemented by human override (Khanal et al. 2024, p. 7). Such an attitude to automation, particularly in East Asia, makes cultures trust machines to perform tasks, promoting AI’s easy implementation. Nevertheless, regulatory disparity within the region (Chinese strictness on data regulation and a lax attitude in Australia) causes tensions in transnational retailing enterprises, meaning that retailers cannot fully use AI.</w:t>
      </w:r>
    </w:p>
    <w:p w14:paraId="709E71FC" w14:textId="77777777"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One of the main differences arises in regulatory inhibitors (more accessible in Asia and South America) and cultural enablers (strongest in Asia, weakest in Latin America). Technological access and organisational readiness decide the net effect of AI. Unless leadership and the culture measure up to the concept of algorithmic decision-making, there is a risk of cosmetic AI implementation, which results in the improvement of dashboards but no impact on decision-making.</w:t>
      </w:r>
    </w:p>
    <w:p w14:paraId="0987B2A2" w14:textId="77777777" w:rsidR="000A0DBB" w:rsidRP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 xml:space="preserve">By combining our empirical results with the theory, we can identify more profound causes of the effects of regional inventory. Strategic alignment-wise, the buffer stock of North </w:t>
      </w:r>
      <w:r w:rsidRPr="000A0DBB">
        <w:rPr>
          <w:rFonts w:ascii="Arial" w:hAnsi="Arial" w:cs="Arial"/>
          <w:color w:val="000000" w:themeColor="text1"/>
          <w:sz w:val="22"/>
          <w:szCs w:val="22"/>
        </w:rPr>
        <w:lastRenderedPageBreak/>
        <w:t>America rises after 40 percent of the gains are forecast in light of high strategic fit amid data infrastructure and leadership dedication, as companies bet on the volatility of demand instead of lowering costs. Institutional theory informs the South American defensive AI application, and fragmented infrastructures and enactment uncertainty provoke the firms to devote themselves to waste minimisation and legitimacy conservation by maintaining a conservative stock policy. In Asia/Pacific, the TOE Framework enables defining that the impact of unequal technology readiness and uneven environmental enablers results in mixed performance: high markets capture the benefits of lean replenishment, but tighter data regulations and different digital maturity restrict the benefits of AI to their full strategic potential.</w:t>
      </w:r>
    </w:p>
    <w:p w14:paraId="55A61963"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19EFE388"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3787E754"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038214DD"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7BA40390"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7F77BAC4"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024A1BD4"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3BD95714"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22D564EB"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1B1DC092"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1E47A9A3"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440CF3B1"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19A53399"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6BEE6352"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4A761052"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3CD631DD"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4016EF04"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0075E051"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22BB590A" w14:textId="77777777" w:rsidR="00065FC0" w:rsidRPr="00065FC0" w:rsidRDefault="00065FC0" w:rsidP="001211E5">
      <w:pPr>
        <w:jc w:val="both"/>
      </w:pPr>
    </w:p>
    <w:p w14:paraId="245C3F50"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1B20E1DA" w14:textId="77777777" w:rsidR="00065FC0" w:rsidRDefault="00065FC0" w:rsidP="001211E5">
      <w:pPr>
        <w:pStyle w:val="Heading1"/>
        <w:spacing w:before="0" w:line="360" w:lineRule="auto"/>
        <w:contextualSpacing/>
        <w:jc w:val="both"/>
        <w:rPr>
          <w:rFonts w:ascii="Arial" w:hAnsi="Arial" w:cs="Arial"/>
          <w:b/>
          <w:bCs/>
          <w:color w:val="000000" w:themeColor="text1"/>
          <w:sz w:val="22"/>
          <w:szCs w:val="22"/>
        </w:rPr>
      </w:pPr>
    </w:p>
    <w:p w14:paraId="357A2091" w14:textId="77777777" w:rsidR="009A6D52" w:rsidRDefault="009A6D52" w:rsidP="009A6D52"/>
    <w:p w14:paraId="1DD56D04" w14:textId="77777777" w:rsidR="009A6D52" w:rsidRPr="009A6D52" w:rsidRDefault="009A6D52" w:rsidP="009A6D52"/>
    <w:p w14:paraId="35DC9B7D" w14:textId="578528A2" w:rsidR="000A0DBB" w:rsidRPr="00065FC0" w:rsidRDefault="000A0DBB" w:rsidP="001211E5">
      <w:pPr>
        <w:pStyle w:val="Heading1"/>
        <w:spacing w:line="360" w:lineRule="auto"/>
        <w:jc w:val="both"/>
        <w:rPr>
          <w:rFonts w:ascii="Arial" w:hAnsi="Arial" w:cs="Arial"/>
          <w:sz w:val="22"/>
          <w:szCs w:val="22"/>
        </w:rPr>
      </w:pPr>
      <w:bookmarkStart w:id="50" w:name="_Toc204707814"/>
      <w:r w:rsidRPr="00065FC0">
        <w:rPr>
          <w:rFonts w:ascii="Arial" w:hAnsi="Arial" w:cs="Arial"/>
          <w:sz w:val="22"/>
          <w:szCs w:val="22"/>
        </w:rPr>
        <w:lastRenderedPageBreak/>
        <w:t>6.0. Conclusion and Recommendations</w:t>
      </w:r>
      <w:bookmarkEnd w:id="50"/>
    </w:p>
    <w:p w14:paraId="6B45CB72" w14:textId="77777777" w:rsidR="000A0DBB" w:rsidRPr="00065FC0" w:rsidRDefault="000A0DBB" w:rsidP="001211E5">
      <w:pPr>
        <w:pStyle w:val="Heading2"/>
        <w:spacing w:line="360" w:lineRule="auto"/>
        <w:jc w:val="both"/>
        <w:rPr>
          <w:rFonts w:ascii="Arial" w:hAnsi="Arial" w:cs="Arial"/>
          <w:sz w:val="22"/>
          <w:szCs w:val="22"/>
        </w:rPr>
      </w:pPr>
      <w:bookmarkStart w:id="51" w:name="_Toc204707815"/>
      <w:r w:rsidRPr="00065FC0">
        <w:rPr>
          <w:rFonts w:ascii="Arial" w:hAnsi="Arial" w:cs="Arial"/>
          <w:sz w:val="22"/>
          <w:szCs w:val="22"/>
        </w:rPr>
        <w:t>6.1. Conclusion</w:t>
      </w:r>
      <w:bookmarkEnd w:id="51"/>
    </w:p>
    <w:p w14:paraId="6F9AC7BA" w14:textId="77777777" w:rsidR="000A0DBB" w:rsidRDefault="000A0DBB" w:rsidP="001211E5">
      <w:pPr>
        <w:spacing w:line="360" w:lineRule="auto"/>
        <w:ind w:firstLine="720"/>
        <w:contextualSpacing/>
        <w:jc w:val="both"/>
        <w:rPr>
          <w:rFonts w:ascii="Arial" w:hAnsi="Arial" w:cs="Arial"/>
          <w:color w:val="000000" w:themeColor="text1"/>
          <w:sz w:val="22"/>
          <w:szCs w:val="22"/>
        </w:rPr>
      </w:pPr>
      <w:r w:rsidRPr="000A0DBB">
        <w:rPr>
          <w:rFonts w:ascii="Arial" w:hAnsi="Arial" w:cs="Arial"/>
          <w:color w:val="000000" w:themeColor="text1"/>
          <w:sz w:val="22"/>
          <w:szCs w:val="22"/>
        </w:rPr>
        <w:t xml:space="preserve">The study’s </w:t>
      </w:r>
      <w:bookmarkStart w:id="52" w:name="_Int_QSlmRtOl"/>
      <w:r w:rsidRPr="000A0DBB">
        <w:rPr>
          <w:rFonts w:ascii="Arial" w:hAnsi="Arial" w:cs="Arial"/>
          <w:color w:val="000000" w:themeColor="text1"/>
          <w:sz w:val="22"/>
          <w:szCs w:val="22"/>
        </w:rPr>
        <w:t>objective</w:t>
      </w:r>
      <w:bookmarkEnd w:id="52"/>
      <w:r w:rsidRPr="000A0DBB">
        <w:rPr>
          <w:rFonts w:ascii="Arial" w:hAnsi="Arial" w:cs="Arial"/>
          <w:color w:val="000000" w:themeColor="text1"/>
          <w:sz w:val="22"/>
          <w:szCs w:val="22"/>
        </w:rPr>
        <w:t xml:space="preserve"> was to determine how the application of AI has affected strategic choice in inventory management of the mid-sized omnichannel retailers in North America, South America, and Asia. Evaluating a twelve-month comparison of pre-AI and post-AI financial disclosure of thirty companies, along with balance sheet statistics and global consulting industry proxies of the accuracy of forecasting, the out-of-stock rate, and carry cost improvements, the researcher revealed a significant regionally based difference in the AI effect on operations during the twelve-month comparison. In North America, although proxy forecasts had indicated that 40 percent MAPE improvement, 50 percent decrease in stock-outs, and 20 percent decrease in carrying costs were seen during the implementation process, in reality the average on-hand inventory increased by an average of $43 million, showing that AI is regularly used to facilitate an assortment increase and safety stock mechanisms as opposed to purely lean out. Retailers with intricate regulatory environments, such as those in South America, reported an average lean down of 10 million dollars, similar to the defensive type of AI application that reduces waste. Mixed results were characterised when Asia could post a modest 1.6-million-dollar improvement in inventory with divergent AI readiness and a hybrid planning strategy. The findings point to a broad conclusion that the strategic value of AI depends on the state of a market, the organisational preparedness, and cultural values: in mature markets, AI is a growth enabler; in emergent markets, it acts as an efficiency stabiliser; and in mixed maturity environments, it would be an adaptable tool. The proxy-based framework presented here has filled a significant gap in research on cross-regional applications of AI.</w:t>
      </w:r>
    </w:p>
    <w:p w14:paraId="34A98986"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0F9C35CF"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650DD097"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1EE4E7FE"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57BE4EDB"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4F63D2CB"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55D3AD7C"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55A33CBB" w14:textId="77777777" w:rsidR="00065FC0" w:rsidRDefault="00065FC0" w:rsidP="001211E5">
      <w:pPr>
        <w:spacing w:line="360" w:lineRule="auto"/>
        <w:ind w:firstLine="720"/>
        <w:contextualSpacing/>
        <w:jc w:val="both"/>
        <w:rPr>
          <w:rFonts w:ascii="Arial" w:hAnsi="Arial" w:cs="Arial"/>
          <w:color w:val="000000" w:themeColor="text1"/>
          <w:sz w:val="22"/>
          <w:szCs w:val="22"/>
        </w:rPr>
      </w:pPr>
    </w:p>
    <w:p w14:paraId="4F264C8E" w14:textId="77777777" w:rsidR="009A6D52" w:rsidRDefault="009A6D52" w:rsidP="001211E5">
      <w:pPr>
        <w:spacing w:line="360" w:lineRule="auto"/>
        <w:ind w:firstLine="720"/>
        <w:contextualSpacing/>
        <w:jc w:val="both"/>
        <w:rPr>
          <w:rFonts w:ascii="Arial" w:hAnsi="Arial" w:cs="Arial"/>
          <w:color w:val="000000" w:themeColor="text1"/>
          <w:sz w:val="22"/>
          <w:szCs w:val="22"/>
        </w:rPr>
      </w:pPr>
    </w:p>
    <w:p w14:paraId="09F27A6D" w14:textId="77777777" w:rsidR="009A6D52" w:rsidRPr="000A0DBB" w:rsidRDefault="009A6D52" w:rsidP="001211E5">
      <w:pPr>
        <w:spacing w:line="360" w:lineRule="auto"/>
        <w:ind w:firstLine="720"/>
        <w:contextualSpacing/>
        <w:jc w:val="both"/>
        <w:rPr>
          <w:rFonts w:ascii="Arial" w:hAnsi="Arial" w:cs="Arial"/>
          <w:color w:val="000000" w:themeColor="text1"/>
          <w:sz w:val="22"/>
          <w:szCs w:val="22"/>
        </w:rPr>
      </w:pPr>
    </w:p>
    <w:p w14:paraId="1FED1964" w14:textId="77777777" w:rsidR="000A0DBB" w:rsidRPr="00065FC0" w:rsidRDefault="000A0DBB" w:rsidP="001211E5">
      <w:pPr>
        <w:pStyle w:val="Heading3"/>
        <w:spacing w:line="360" w:lineRule="auto"/>
        <w:jc w:val="both"/>
        <w:rPr>
          <w:rFonts w:ascii="Arial" w:hAnsi="Arial" w:cs="Arial"/>
          <w:sz w:val="22"/>
          <w:szCs w:val="22"/>
        </w:rPr>
      </w:pPr>
      <w:bookmarkStart w:id="53" w:name="_Toc204707816"/>
      <w:r w:rsidRPr="00065FC0">
        <w:rPr>
          <w:rFonts w:ascii="Arial" w:hAnsi="Arial" w:cs="Arial"/>
          <w:sz w:val="22"/>
          <w:szCs w:val="22"/>
        </w:rPr>
        <w:lastRenderedPageBreak/>
        <w:t>6.2. Recommendations</w:t>
      </w:r>
      <w:bookmarkEnd w:id="53"/>
    </w:p>
    <w:p w14:paraId="65F3DDAE" w14:textId="25F10FDB"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Based on the Technology</w:t>
      </w:r>
      <w:r w:rsidR="00065FC0">
        <w:rPr>
          <w:rFonts w:ascii="Arial" w:eastAsia="Times New Roman" w:hAnsi="Arial" w:cs="Arial"/>
          <w:color w:val="000000" w:themeColor="text1"/>
          <w:sz w:val="22"/>
          <w:szCs w:val="22"/>
          <w:lang w:val="en-US"/>
        </w:rPr>
        <w:t xml:space="preserve"> </w:t>
      </w:r>
      <w:r w:rsidRPr="000A0DBB">
        <w:rPr>
          <w:rFonts w:ascii="Arial" w:eastAsia="Times New Roman" w:hAnsi="Arial" w:cs="Arial"/>
          <w:color w:val="000000" w:themeColor="text1"/>
          <w:sz w:val="22"/>
          <w:szCs w:val="22"/>
          <w:lang w:val="en-US"/>
        </w:rPr>
        <w:t>Organisation</w:t>
      </w:r>
      <w:r w:rsidR="00065FC0">
        <w:rPr>
          <w:rFonts w:ascii="Arial" w:eastAsia="Times New Roman" w:hAnsi="Arial" w:cs="Arial"/>
          <w:color w:val="000000" w:themeColor="text1"/>
          <w:sz w:val="22"/>
          <w:szCs w:val="22"/>
          <w:lang w:val="en-US"/>
        </w:rPr>
        <w:t xml:space="preserve"> </w:t>
      </w:r>
      <w:r w:rsidRPr="000A0DBB">
        <w:rPr>
          <w:rFonts w:ascii="Arial" w:eastAsia="Times New Roman" w:hAnsi="Arial" w:cs="Arial"/>
          <w:color w:val="000000" w:themeColor="text1"/>
          <w:sz w:val="22"/>
          <w:szCs w:val="22"/>
          <w:lang w:val="en-US"/>
        </w:rPr>
        <w:t>Environment (TOE) framework, stakeholder theory, and Strategic Alignment Model, our conclusion summarises regional findings and theoretical insights in applying AI in supply chain forecasting. In North America, the TOE pillars of Technology and Organisation detail how the buffer stock expanded with strong data systems and cross-functional AI control boards, and the MAPE decreased by 40 percent. In contrast, the Strategic Alignment Model demonstrates a high tightness between IT capabilities and operational strategy. Contrastingly, the environment-inspired institutional isomorphism informs the 50% reduction in MAPE in South America, where firms realised that they could use regulatory loopholes to grow, coupled with the involvement of external stakeholders (suppliers, regulators, and academics) to influence the environment to conduct pilots with the view of accelerating this growth as propounded by stakeholder theory. Asia/Pacific is comparable with mixed performance (the MAPE level being -15%), along with the level of stockouts at -65 stockouts: this reflects wide technology maturity variance and the lack of a consolidated compliance imperative. Progress was predictably better in organisations where the executive buy-in formed a smooth pathway to modular and robust digital platforms. In contrast, the compartmentalised compliance demands tripped up more reluctant firms. Mapping the specific empirical patterns of each region to these theoretical lenses explicitly confirms the cross-regional validity of TOE. It validates the stakeholder theory's ability to predict patterns in decision-making with AI.</w:t>
      </w:r>
    </w:p>
    <w:p w14:paraId="578C3992" w14:textId="77777777"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The researcher presents three specific artificial intelligence implementation models that can summarily translate these theoretical insights into regionally relevant and pragmatic business approaches based on differently defined geographical market contexts. These models, known as Assortment plus Analytics, Lean Forecasting, and Hybrid Planning, are structured in a way that will allow forming a line of application of the artificial intelligence utilisation according to the priorities of the region, technological sustainability, and regulatory anticipations.</w:t>
      </w:r>
    </w:p>
    <w:p w14:paraId="39897C51" w14:textId="77777777"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 xml:space="preserve">The suggested model in the North American context is the Assortment plus Analytics model, which focuses on using artificial intelligence to improve the process of assortment planning and strategic forecasting. Artificial intelligence should be used to predict high-potential new stock-keeping units (SKUs) and spring season products. The given approach not only assists in active inventory management but also provides the basis of growth as it enables retailers to respond promptly to changes in customer preferences. What is more, responsibilities regarding forecasting accuracy should be factored into the performance indicators of planning staff. That is, key performance indicators should show the reliability of the forecast to induce responsibility and data-driven decision-making. Moreover, the AI tools </w:t>
      </w:r>
      <w:r w:rsidRPr="000A0DBB">
        <w:rPr>
          <w:rFonts w:ascii="Arial" w:eastAsia="Times New Roman" w:hAnsi="Arial" w:cs="Arial"/>
          <w:color w:val="000000" w:themeColor="text1"/>
          <w:sz w:val="22"/>
          <w:szCs w:val="22"/>
          <w:lang w:val="en-US"/>
        </w:rPr>
        <w:lastRenderedPageBreak/>
        <w:t>in this area cannot be unexplainable or unreadable. The importance of this requirement continues to increase with the emerging stringency of data privacy laws and regulations, most recently the California Consumer Privacy Act (CCPA) and the California Privacy Rights Act (CPRA). These regulations require more transparency and consumers’ right to control their data, which means that the artificial intelligence systems should be created with compliance as an important point from the outset. Ethically, it is also important that human control is maintained in leadership structures. People and not computers should be responsible; thus, there is no need to make it appear clear that artificial intelligence should not be used to blur areas of responsibility or compromise the integrity of the managers.</w:t>
      </w:r>
    </w:p>
    <w:p w14:paraId="6A7306F1" w14:textId="77777777"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The proposed framework in South America is referred to as Lean Forecasting. This framework uses artificial intelligence to maximise efficiencies in supply chains that are usually access-constrained due to poor infrastructure and a resource shortage. Among the initial steps should be the introduction of demand-sensing technology. It enables retailers to make better use of instant market receivers and adapt the procurement process to them, limiting unnecessary inventories and stopping wastage. Moreover, it is essential to enhance mobile-first dashboards to address infrastructure gaps in the area. By opening the analytics to mobile access, stakeholders in distant or poorly resourced locations can also engage in evidence-based planning. Moreover, although data security systems may not be robust in certain areas in South America, it is sufficient that organisations design and implement artificial intelligence governance charters. These would encourage transparency, justice, and moral responsibility, particularly in the labour industry. The latter could also assist in reducing reputational and regulatory risks relating to the misuse of artificial intelligence in settings where formal control is low.</w:t>
      </w:r>
    </w:p>
    <w:p w14:paraId="59DE2B62" w14:textId="53CC036D"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t xml:space="preserve">In the case of Asia, the suggested model is hybrid planning, which is a compromise between algorithmic results and human judgement. The application of artificial intelligence in this region is not uniform everywhere because of fragmented regulations and differences in technological readiness. Subsequently, the use of hybrid systems, in which algorithmic suggestions have the potential to be overridden manually, is gaining popularity. Training programs certified like the </w:t>
      </w:r>
      <w:r w:rsidR="00065FC0" w:rsidRPr="000A0DBB">
        <w:rPr>
          <w:rFonts w:ascii="Arial" w:eastAsia="Times New Roman" w:hAnsi="Arial" w:cs="Arial"/>
          <w:color w:val="000000" w:themeColor="text1"/>
          <w:sz w:val="22"/>
          <w:szCs w:val="22"/>
          <w:lang w:val="en-US"/>
        </w:rPr>
        <w:t>Skills Future</w:t>
      </w:r>
      <w:r w:rsidRPr="000A0DBB">
        <w:rPr>
          <w:rFonts w:ascii="Arial" w:eastAsia="Times New Roman" w:hAnsi="Arial" w:cs="Arial"/>
          <w:color w:val="000000" w:themeColor="text1"/>
          <w:sz w:val="22"/>
          <w:szCs w:val="22"/>
          <w:lang w:val="en-US"/>
        </w:rPr>
        <w:t xml:space="preserve"> scheme in Singapore are currently trying to prepare the local professionals with the skills needed to cope with these hybrid systems. Moreover, geolocation tools are also used to ensure that artificial intelligence frameworks adhere to conflicting national data protection regulations. Such protections limit the ability of data to cross internationally, where they are vulnerable to contradictory laws. Customers’ confidence in artificial intelligence is a serious issue, especially in the Japanese and South Korean markets. Thus, algorithm transparency and interpretability are crucial in establishing user confidence.</w:t>
      </w:r>
    </w:p>
    <w:p w14:paraId="3B3334A8" w14:textId="77777777" w:rsidR="000A0DBB" w:rsidRPr="000A0DBB" w:rsidRDefault="000A0DBB" w:rsidP="001211E5">
      <w:pPr>
        <w:spacing w:line="360" w:lineRule="auto"/>
        <w:ind w:firstLine="720"/>
        <w:contextualSpacing/>
        <w:jc w:val="both"/>
        <w:rPr>
          <w:rFonts w:ascii="Arial" w:eastAsia="Times New Roman" w:hAnsi="Arial" w:cs="Arial"/>
          <w:color w:val="000000" w:themeColor="text1"/>
          <w:sz w:val="22"/>
          <w:szCs w:val="22"/>
          <w:lang w:val="en-US"/>
        </w:rPr>
      </w:pPr>
      <w:r w:rsidRPr="000A0DBB">
        <w:rPr>
          <w:rFonts w:ascii="Arial" w:eastAsia="Times New Roman" w:hAnsi="Arial" w:cs="Arial"/>
          <w:color w:val="000000" w:themeColor="text1"/>
          <w:sz w:val="22"/>
          <w:szCs w:val="22"/>
          <w:lang w:val="en-US"/>
        </w:rPr>
        <w:lastRenderedPageBreak/>
        <w:t>Future studies should examine various shortcomings of this research. To begin with, the use of secondary data and industry proxies is subject to interpolation bias and limits causal inferences; the primary qualitative analysis based on interviews with supply chain managers and the C-suite executives would shed new light on the mechanisms underpinning the observed changes in inventory. Second, longer time horizons should be included in the analysis, 24 to 36 months, to reflect the ramp-up phases of AI and the stabilisation impacts. Third, the generalisability of the framework to other geographical areas like Europe, Africa, and the Middle East should be tested. Mid-sized retailers operating an omnichannel channel can incorporate both these empirical extensions and the regionally specific best practice model discussed above, allowing them to align their AI investments to the strategic goals more closely, continue to achieve enduring operational gains, and sustain competitive advantage in a marketplace where digital players are rapidly gaining ground.</w:t>
      </w:r>
    </w:p>
    <w:p w14:paraId="3677D3A5" w14:textId="732AA4EC" w:rsidR="000A0DBB" w:rsidRPr="000A0DBB" w:rsidRDefault="000A0DBB" w:rsidP="001211E5">
      <w:pPr>
        <w:spacing w:line="360" w:lineRule="auto"/>
        <w:ind w:firstLine="720"/>
        <w:contextualSpacing/>
        <w:jc w:val="both"/>
        <w:rPr>
          <w:rFonts w:ascii="Arial" w:eastAsia="Times New Roman" w:hAnsi="Arial" w:cs="Arial"/>
          <w:sz w:val="22"/>
          <w:szCs w:val="22"/>
          <w:lang w:val="en-US"/>
        </w:rPr>
      </w:pPr>
      <w:r w:rsidRPr="000A0DBB">
        <w:rPr>
          <w:rFonts w:ascii="Arial" w:eastAsia="Times New Roman" w:hAnsi="Arial" w:cs="Arial"/>
          <w:color w:val="000000" w:themeColor="text1"/>
          <w:sz w:val="22"/>
          <w:szCs w:val="22"/>
          <w:lang w:val="en-US"/>
        </w:rPr>
        <w:t xml:space="preserve">Converting these understanding points into executable priorities, here is our three-step implementation roadmap that can fit each region. North American companies ought to (1) create a cross-functional AI governance board comprising elements of supply chain, IT, finance, and risk; (2) design a modular training approach to match it to current ERP environments, as well as the new developing data privacy guidelines; and (3) pilot AI forecasting within one product category, gauging 6 months of (1) MAPE improvement and (2) stockout improvement to adjust the governance charter. South American organisations should (1) develop an external stakeholder consortium to co-fund AI experiments, (2) develop sector-specific use cases on high-margin categories like apparel and electronics </w:t>
      </w:r>
      <w:r w:rsidR="00065FC0" w:rsidRPr="000A0DBB">
        <w:rPr>
          <w:rFonts w:ascii="Arial" w:eastAsia="Times New Roman" w:hAnsi="Arial" w:cs="Arial"/>
          <w:color w:val="000000" w:themeColor="text1"/>
          <w:sz w:val="22"/>
          <w:szCs w:val="22"/>
          <w:lang w:val="en-US"/>
        </w:rPr>
        <w:t>to</w:t>
      </w:r>
      <w:r w:rsidRPr="000A0DBB">
        <w:rPr>
          <w:rFonts w:ascii="Arial" w:eastAsia="Times New Roman" w:hAnsi="Arial" w:cs="Arial"/>
          <w:color w:val="000000" w:themeColor="text1"/>
          <w:sz w:val="22"/>
          <w:szCs w:val="22"/>
          <w:lang w:val="en-US"/>
        </w:rPr>
        <w:t xml:space="preserve"> demonstrate quick ROI, and (3) create regional centres of excellence in São Paolo and Bogotá to spread best practices across the region. Within the Asia/Pacific economy, companies need to (1) create an executive AI steering committee that aligns the C-suite, compliance, and regulators to co-design flexible approaches to AI; (2) implement a tiered technology platform that aligns modular AI tools to firms size and digital maturity; and (3) implement phased pilots within government-funded compliance sandboxes, bringing successful models to scale across regional digital platforms. This is a theoretically based prioritised roadmap, which allows organisations to gain accessibility to achievement, converting AI-driven forecasting advancements into enduring aggressive terrain.</w:t>
      </w:r>
      <w:r w:rsidRPr="000A0DBB">
        <w:rPr>
          <w:rFonts w:ascii="Arial" w:eastAsia="Times New Roman" w:hAnsi="Arial" w:cs="Arial"/>
          <w:color w:val="000000" w:themeColor="text1"/>
          <w:sz w:val="22"/>
          <w:szCs w:val="22"/>
        </w:rPr>
        <w:br w:type="page"/>
      </w:r>
    </w:p>
    <w:p w14:paraId="2DFF26C7" w14:textId="77777777" w:rsidR="000A0DBB" w:rsidRPr="00065FC0" w:rsidRDefault="000A0DBB" w:rsidP="001211E5">
      <w:pPr>
        <w:pStyle w:val="Heading1"/>
        <w:spacing w:line="360" w:lineRule="auto"/>
        <w:jc w:val="both"/>
        <w:rPr>
          <w:rFonts w:ascii="Arial" w:hAnsi="Arial" w:cs="Arial"/>
          <w:sz w:val="22"/>
          <w:szCs w:val="22"/>
        </w:rPr>
      </w:pPr>
      <w:bookmarkStart w:id="54" w:name="_Toc204707817"/>
      <w:r w:rsidRPr="00065FC0">
        <w:rPr>
          <w:rFonts w:ascii="Arial" w:hAnsi="Arial" w:cs="Arial"/>
          <w:sz w:val="22"/>
          <w:szCs w:val="22"/>
        </w:rPr>
        <w:lastRenderedPageBreak/>
        <w:t>Reference List</w:t>
      </w:r>
      <w:bookmarkEnd w:id="54"/>
    </w:p>
    <w:p w14:paraId="307F5EDC"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Adanyin, A., 2024. Ethical AI in Retail: Consumer Privacy and Fairness. </w:t>
      </w:r>
      <w:r w:rsidRPr="000A0DBB">
        <w:rPr>
          <w:rStyle w:val="Emphasis"/>
          <w:rFonts w:ascii="Arial" w:hAnsi="Arial" w:cs="Arial"/>
          <w:sz w:val="22"/>
          <w:szCs w:val="22"/>
        </w:rPr>
        <w:t>arXiv preprint arXiv:2410.15369</w:t>
      </w:r>
      <w:r w:rsidRPr="000A0DBB">
        <w:rPr>
          <w:rFonts w:ascii="Arial" w:hAnsi="Arial" w:cs="Arial"/>
          <w:sz w:val="22"/>
          <w:szCs w:val="22"/>
        </w:rPr>
        <w:t xml:space="preserve">. </w:t>
      </w:r>
      <w:hyperlink r:id="rId16" w:tgtFrame="_blank" w:history="1">
        <w:r w:rsidRPr="000A0DBB">
          <w:rPr>
            <w:rStyle w:val="Hyperlink"/>
            <w:rFonts w:ascii="Arial" w:hAnsi="Arial" w:cs="Arial"/>
            <w:sz w:val="22"/>
            <w:szCs w:val="22"/>
          </w:rPr>
          <w:t>https://arxiv.org/pdf/2410.15369</w:t>
        </w:r>
      </w:hyperlink>
    </w:p>
    <w:p w14:paraId="2166EB1A"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lang w:val="en-GB"/>
        </w:rPr>
      </w:pPr>
      <w:r w:rsidRPr="000A0DBB">
        <w:rPr>
          <w:rFonts w:ascii="Arial" w:hAnsi="Arial" w:cs="Arial"/>
          <w:sz w:val="22"/>
          <w:szCs w:val="22"/>
        </w:rPr>
        <w:t>Awais, M., 2024. Optimising dynamic pricing through AI-powered real-time analytics: The influence of customer behavior and market competition. </w:t>
      </w:r>
      <w:r w:rsidRPr="000A0DBB">
        <w:rPr>
          <w:rStyle w:val="Emphasis"/>
          <w:rFonts w:ascii="Arial" w:hAnsi="Arial" w:cs="Arial"/>
          <w:sz w:val="22"/>
          <w:szCs w:val="22"/>
        </w:rPr>
        <w:t>Qlantic Journal of Social Sciences</w:t>
      </w:r>
      <w:r w:rsidRPr="000A0DBB">
        <w:rPr>
          <w:rFonts w:ascii="Arial" w:hAnsi="Arial" w:cs="Arial"/>
          <w:sz w:val="22"/>
          <w:szCs w:val="22"/>
        </w:rPr>
        <w:t>, </w:t>
      </w:r>
      <w:r w:rsidRPr="000A0DBB">
        <w:rPr>
          <w:rStyle w:val="Emphasis"/>
          <w:rFonts w:ascii="Arial" w:hAnsi="Arial" w:cs="Arial"/>
          <w:sz w:val="22"/>
          <w:szCs w:val="22"/>
        </w:rPr>
        <w:t>5</w:t>
      </w:r>
      <w:r w:rsidRPr="000A0DBB">
        <w:rPr>
          <w:rFonts w:ascii="Arial" w:hAnsi="Arial" w:cs="Arial"/>
          <w:sz w:val="22"/>
          <w:szCs w:val="22"/>
        </w:rPr>
        <w:t xml:space="preserve">(3), pp. pp.99–108. </w:t>
      </w:r>
      <w:hyperlink r:id="rId17" w:tgtFrame="_blank" w:history="1">
        <w:r w:rsidRPr="000A0DBB">
          <w:rPr>
            <w:rStyle w:val="Hyperlink"/>
            <w:rFonts w:ascii="Arial" w:hAnsi="Arial" w:cs="Arial"/>
            <w:sz w:val="22"/>
            <w:szCs w:val="22"/>
          </w:rPr>
          <w:t>https://qjss.com.pk/index.php/qjss/article/download/149/136/293</w:t>
        </w:r>
      </w:hyperlink>
    </w:p>
    <w:p w14:paraId="0455FB5F"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Badmus, O., Rajput, S.A., Arogundade, J.B., and Williams, M., 2024. AI-driven business analytics and decision-making. </w:t>
      </w:r>
      <w:r w:rsidRPr="000A0DBB">
        <w:rPr>
          <w:rStyle w:val="Emphasis"/>
          <w:rFonts w:ascii="Arial" w:hAnsi="Arial" w:cs="Arial"/>
          <w:sz w:val="22"/>
          <w:szCs w:val="22"/>
        </w:rPr>
        <w:t>World Journal of Advanced Research and Reviews</w:t>
      </w:r>
      <w:r w:rsidRPr="000A0DBB">
        <w:rPr>
          <w:rFonts w:ascii="Arial" w:hAnsi="Arial" w:cs="Arial"/>
          <w:sz w:val="22"/>
          <w:szCs w:val="22"/>
        </w:rPr>
        <w:t>, </w:t>
      </w:r>
      <w:r w:rsidRPr="000A0DBB">
        <w:rPr>
          <w:rStyle w:val="Emphasis"/>
          <w:rFonts w:ascii="Arial" w:hAnsi="Arial" w:cs="Arial"/>
          <w:sz w:val="22"/>
          <w:szCs w:val="22"/>
        </w:rPr>
        <w:t>24</w:t>
      </w:r>
      <w:r w:rsidRPr="000A0DBB">
        <w:rPr>
          <w:rFonts w:ascii="Arial" w:hAnsi="Arial" w:cs="Arial"/>
          <w:sz w:val="22"/>
          <w:szCs w:val="22"/>
        </w:rPr>
        <w:t xml:space="preserve">(1), pp. pp.616–633. </w:t>
      </w:r>
      <w:hyperlink r:id="rId18" w:tgtFrame="_blank" w:history="1">
        <w:r w:rsidRPr="000A0DBB">
          <w:rPr>
            <w:rStyle w:val="Hyperlink"/>
            <w:rFonts w:ascii="Arial" w:hAnsi="Arial" w:cs="Arial"/>
            <w:sz w:val="22"/>
            <w:szCs w:val="22"/>
          </w:rPr>
          <w:t>https://wjarr.com/sites/default/files/WJARR-2024-3093.pdf</w:t>
        </w:r>
      </w:hyperlink>
    </w:p>
    <w:p w14:paraId="71992474"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Bullard, B., 2016. </w:t>
      </w:r>
      <w:r w:rsidRPr="000A0DBB">
        <w:rPr>
          <w:rStyle w:val="Emphasis"/>
          <w:rFonts w:ascii="Arial" w:hAnsi="Arial" w:cs="Arial"/>
          <w:sz w:val="22"/>
          <w:szCs w:val="22"/>
        </w:rPr>
        <w:t>Style and statistics: The art of retail analytics</w:t>
      </w:r>
      <w:r w:rsidRPr="000A0DBB">
        <w:rPr>
          <w:rFonts w:ascii="Arial" w:hAnsi="Arial" w:cs="Arial"/>
          <w:sz w:val="22"/>
          <w:szCs w:val="22"/>
        </w:rPr>
        <w:t>. John Wiley &amp; Sons.</w:t>
      </w:r>
    </w:p>
    <w:p w14:paraId="1B187825"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 xml:space="preserve">Chen, J.S., Le, T.T.Y., and Florence, D. (2021) examined the usability and responsiveness of artificial intelligence chatbots in shaping online customer experience within the e-retailing sector. Their study, published in the </w:t>
      </w:r>
      <w:r w:rsidRPr="000A0DBB">
        <w:rPr>
          <w:rStyle w:val="Emphasis"/>
          <w:rFonts w:ascii="Arial" w:hAnsi="Arial" w:cs="Arial"/>
          <w:sz w:val="22"/>
          <w:szCs w:val="22"/>
        </w:rPr>
        <w:t>International Journal of Retail &amp; Distribution Management</w:t>
      </w:r>
      <w:r w:rsidRPr="000A0DBB">
        <w:rPr>
          <w:rFonts w:ascii="Arial" w:hAnsi="Arial" w:cs="Arial"/>
          <w:sz w:val="22"/>
          <w:szCs w:val="22"/>
        </w:rPr>
        <w:t xml:space="preserve">, emphasizes how chatbot efficiency affects consumer satisfaction and engagement. </w:t>
      </w:r>
      <w:hyperlink r:id="rId19" w:tgtFrame="_blank" w:history="1">
        <w:r w:rsidRPr="000A0DBB">
          <w:rPr>
            <w:rStyle w:val="Hyperlink"/>
            <w:rFonts w:ascii="Arial" w:hAnsi="Arial" w:cs="Arial"/>
            <w:sz w:val="22"/>
            <w:szCs w:val="22"/>
          </w:rPr>
          <w:t>https://www.researchgate.net/profile/Tran-Thien-Y-Le/publication/355119367_Usability_and_responsiveness_of_artificial_intelligence_chatbot_on_online_customer_experience_in_e-retailing/links/617a0162eef53e51e1f72954/Usability-and-responsiveness-of-artificial-intelligence-chatbot-on-online-customer-experience-in-e-retailing.pdf</w:t>
        </w:r>
      </w:hyperlink>
    </w:p>
    <w:p w14:paraId="14C5DC9D"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 xml:space="preserve">Chen, S.C., and Shang, S.S. (2021) focused on sustaining user experience in smart retail systems, highlighting the importance of long-term digital engagement strategies in the industry. The article was published in </w:t>
      </w:r>
      <w:r w:rsidRPr="000A0DBB">
        <w:rPr>
          <w:rStyle w:val="Emphasis"/>
          <w:rFonts w:ascii="Arial" w:hAnsi="Arial" w:cs="Arial"/>
          <w:sz w:val="22"/>
          <w:szCs w:val="22"/>
        </w:rPr>
        <w:t>Sustainability</w:t>
      </w:r>
      <w:r w:rsidRPr="000A0DBB">
        <w:rPr>
          <w:rFonts w:ascii="Arial" w:hAnsi="Arial" w:cs="Arial"/>
          <w:sz w:val="22"/>
          <w:szCs w:val="22"/>
        </w:rPr>
        <w:t xml:space="preserve">. </w:t>
      </w:r>
      <w:hyperlink r:id="rId20" w:tgtFrame="_blank" w:history="1">
        <w:r w:rsidRPr="000A0DBB">
          <w:rPr>
            <w:rStyle w:val="Hyperlink"/>
            <w:rFonts w:ascii="Arial" w:hAnsi="Arial" w:cs="Arial"/>
            <w:sz w:val="22"/>
            <w:szCs w:val="22"/>
          </w:rPr>
          <w:t>https://doi.org/10.3390/su13095090</w:t>
        </w:r>
      </w:hyperlink>
    </w:p>
    <w:p w14:paraId="05AD3D38"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 xml:space="preserve">Cherukuri, B.R., 2024. AI-powered personalisation: How machine learning is shaping the future of user experience. </w:t>
      </w:r>
      <w:r w:rsidRPr="000A0DBB">
        <w:rPr>
          <w:rStyle w:val="Emphasis"/>
          <w:rFonts w:ascii="Arial" w:hAnsi="Arial" w:cs="Arial"/>
          <w:sz w:val="22"/>
          <w:szCs w:val="22"/>
        </w:rPr>
        <w:t>International Journal of Science and Research Archive, 12</w:t>
      </w:r>
      <w:r w:rsidRPr="000A0DBB">
        <w:rPr>
          <w:rFonts w:ascii="Arial" w:hAnsi="Arial" w:cs="Arial"/>
          <w:sz w:val="22"/>
          <w:szCs w:val="22"/>
        </w:rPr>
        <w:t xml:space="preserve">(01), pp.3111-3126. </w:t>
      </w:r>
      <w:hyperlink r:id="rId21" w:tgtFrame="_blank" w:history="1">
        <w:r w:rsidRPr="000A0DBB">
          <w:rPr>
            <w:rStyle w:val="Hyperlink"/>
            <w:rFonts w:ascii="Arial" w:hAnsi="Arial" w:cs="Arial"/>
            <w:sz w:val="22"/>
            <w:szCs w:val="22"/>
          </w:rPr>
          <w:t>https://ijsra.net/sites/default/files/IJSRA-2024-0961.pdf</w:t>
        </w:r>
      </w:hyperlink>
    </w:p>
    <w:p w14:paraId="62123A13"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Dolganova, O.I., 2021. Improving customer experience with artificial intelligence by adhering to ethical principles. </w:t>
      </w:r>
      <w:r w:rsidRPr="000A0DBB">
        <w:rPr>
          <w:rStyle w:val="Emphasis"/>
          <w:rFonts w:ascii="Arial" w:hAnsi="Arial" w:cs="Arial"/>
          <w:sz w:val="22"/>
          <w:szCs w:val="22"/>
        </w:rPr>
        <w:t>Бизнес-информатика</w:t>
      </w:r>
      <w:r w:rsidRPr="000A0DBB">
        <w:rPr>
          <w:rFonts w:ascii="Arial" w:hAnsi="Arial" w:cs="Arial"/>
          <w:sz w:val="22"/>
          <w:szCs w:val="22"/>
        </w:rPr>
        <w:t>, </w:t>
      </w:r>
      <w:r w:rsidRPr="000A0DBB">
        <w:rPr>
          <w:rStyle w:val="Emphasis"/>
          <w:rFonts w:ascii="Arial" w:hAnsi="Arial" w:cs="Arial"/>
          <w:sz w:val="22"/>
          <w:szCs w:val="22"/>
        </w:rPr>
        <w:t>15</w:t>
      </w:r>
      <w:r w:rsidRPr="000A0DBB">
        <w:rPr>
          <w:rFonts w:ascii="Arial" w:hAnsi="Arial" w:cs="Arial"/>
          <w:sz w:val="22"/>
          <w:szCs w:val="22"/>
        </w:rPr>
        <w:t xml:space="preserve">(2 (eng)), pp.34-46. </w:t>
      </w:r>
      <w:hyperlink r:id="rId22" w:tgtFrame="_blank" w:history="1">
        <w:r w:rsidRPr="000A0DBB">
          <w:rPr>
            <w:rStyle w:val="Hyperlink"/>
            <w:rFonts w:ascii="Arial" w:hAnsi="Arial" w:cs="Arial"/>
            <w:sz w:val="22"/>
            <w:szCs w:val="22"/>
          </w:rPr>
          <w:t>https://cyberleninka.ru/article/n/improving-customer-experience-with-artificial-intelligence-by-adhering-to-ethical-principles/pdf</w:t>
        </w:r>
      </w:hyperlink>
    </w:p>
    <w:p w14:paraId="704AD599"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Du, S. and Xie, C., 2021. Paradoxes of artificial intelligence in consumer markets: Ethical challenges and opportunities. </w:t>
      </w:r>
      <w:r w:rsidRPr="000A0DBB">
        <w:rPr>
          <w:rStyle w:val="Emphasis"/>
          <w:rFonts w:ascii="Arial" w:hAnsi="Arial" w:cs="Arial"/>
          <w:sz w:val="22"/>
          <w:szCs w:val="22"/>
        </w:rPr>
        <w:t>Journal of Business Research</w:t>
      </w:r>
      <w:r w:rsidRPr="000A0DBB">
        <w:rPr>
          <w:rFonts w:ascii="Arial" w:hAnsi="Arial" w:cs="Arial"/>
          <w:sz w:val="22"/>
          <w:szCs w:val="22"/>
        </w:rPr>
        <w:t>, </w:t>
      </w:r>
      <w:r w:rsidRPr="000A0DBB">
        <w:rPr>
          <w:rStyle w:val="Emphasis"/>
          <w:rFonts w:ascii="Arial" w:hAnsi="Arial" w:cs="Arial"/>
          <w:sz w:val="22"/>
          <w:szCs w:val="22"/>
        </w:rPr>
        <w:t>129</w:t>
      </w:r>
      <w:r w:rsidRPr="000A0DBB">
        <w:rPr>
          <w:rFonts w:ascii="Arial" w:hAnsi="Arial" w:cs="Arial"/>
          <w:sz w:val="22"/>
          <w:szCs w:val="22"/>
        </w:rPr>
        <w:t xml:space="preserve">, pp. 961-974. </w:t>
      </w:r>
      <w:hyperlink r:id="rId23" w:tgtFrame="_blank" w:history="1">
        <w:r w:rsidRPr="000A0DBB">
          <w:rPr>
            <w:rStyle w:val="Hyperlink"/>
            <w:rFonts w:ascii="Arial" w:hAnsi="Arial" w:cs="Arial"/>
            <w:sz w:val="22"/>
            <w:szCs w:val="22"/>
          </w:rPr>
          <w:t>https://doi.org/10.1016/j.jbusres.2020.08.024</w:t>
        </w:r>
      </w:hyperlink>
    </w:p>
    <w:p w14:paraId="01F1419A"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lastRenderedPageBreak/>
        <w:t>Dwivedi, Y.K., Hughes, L., Ismagilova, E., Aarts, G., Coombs, C., Crick, T., Duan, Y., Dwivedi, R., Edwards, J., Eirug, A., and Galanos, V., 2021. Artificial Intelligence (AI): Multidisciplinary perspectives on emerging challenges, opportunities, and agenda for research, practice, and policy. </w:t>
      </w:r>
      <w:r w:rsidRPr="000A0DBB">
        <w:rPr>
          <w:rStyle w:val="Emphasis"/>
          <w:rFonts w:ascii="Arial" w:hAnsi="Arial" w:cs="Arial"/>
          <w:sz w:val="22"/>
          <w:szCs w:val="22"/>
        </w:rPr>
        <w:t>International Journal of Information Management</w:t>
      </w:r>
      <w:r w:rsidRPr="000A0DBB">
        <w:rPr>
          <w:rFonts w:ascii="Arial" w:hAnsi="Arial" w:cs="Arial"/>
          <w:sz w:val="22"/>
          <w:szCs w:val="22"/>
        </w:rPr>
        <w:t>, </w:t>
      </w:r>
      <w:r w:rsidRPr="000A0DBB">
        <w:rPr>
          <w:rStyle w:val="Emphasis"/>
          <w:rFonts w:ascii="Arial" w:hAnsi="Arial" w:cs="Arial"/>
          <w:sz w:val="22"/>
          <w:szCs w:val="22"/>
        </w:rPr>
        <w:t>57</w:t>
      </w:r>
      <w:r w:rsidRPr="000A0DBB">
        <w:rPr>
          <w:rFonts w:ascii="Arial" w:hAnsi="Arial" w:cs="Arial"/>
          <w:sz w:val="22"/>
          <w:szCs w:val="22"/>
        </w:rPr>
        <w:t xml:space="preserve">, p.101994. </w:t>
      </w:r>
      <w:hyperlink r:id="rId24" w:tgtFrame="_blank" w:history="1">
        <w:r w:rsidRPr="000A0DBB">
          <w:rPr>
            <w:rStyle w:val="Hyperlink"/>
            <w:rFonts w:ascii="Arial" w:hAnsi="Arial" w:cs="Arial"/>
            <w:sz w:val="22"/>
            <w:szCs w:val="22"/>
          </w:rPr>
          <w:t>https://www.sciencedirect.com/science/article/abs/pii/S026840121930917X</w:t>
        </w:r>
      </w:hyperlink>
    </w:p>
    <w:p w14:paraId="1F6E5D88"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 xml:space="preserve">Espinoza, M.M.C., and Gal’Lino, M.A.C. (2024) addressed challenges and opportunities in applying sustainability, technology, and communication to retail management in Peru. Their chapter is included in </w:t>
      </w:r>
      <w:r w:rsidRPr="000A0DBB">
        <w:rPr>
          <w:rStyle w:val="Emphasis"/>
          <w:rFonts w:ascii="Arial" w:hAnsi="Arial" w:cs="Arial"/>
          <w:sz w:val="22"/>
          <w:szCs w:val="22"/>
        </w:rPr>
        <w:t>The Palgrave Handbook of Sustainability in Fashion</w:t>
      </w:r>
      <w:r w:rsidRPr="000A0DBB">
        <w:rPr>
          <w:rFonts w:ascii="Arial" w:hAnsi="Arial" w:cs="Arial"/>
          <w:sz w:val="22"/>
          <w:szCs w:val="22"/>
        </w:rPr>
        <w:t xml:space="preserve">. </w:t>
      </w:r>
      <w:hyperlink r:id="rId25" w:anchor="page=310" w:tgtFrame="_blank" w:history="1">
        <w:r w:rsidRPr="000A0DBB">
          <w:rPr>
            <w:rStyle w:val="Hyperlink"/>
            <w:rFonts w:ascii="Arial" w:hAnsi="Arial" w:cs="Arial"/>
            <w:sz w:val="22"/>
            <w:szCs w:val="22"/>
          </w:rPr>
          <w:t>https://flore.unifi.it/bitstream/2158/1407080/2/978-3-031-69682-4.pdf#page=310</w:t>
        </w:r>
      </w:hyperlink>
    </w:p>
    <w:p w14:paraId="6806E0CE"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George, A.S., 2024. Bracing for the coming AI tsunami: Preparing the global workforce for displacement and inequality in the age of accelerating technological advancement. </w:t>
      </w:r>
      <w:r w:rsidRPr="000A0DBB">
        <w:rPr>
          <w:rStyle w:val="Emphasis"/>
          <w:rFonts w:ascii="Arial" w:hAnsi="Arial" w:cs="Arial"/>
          <w:sz w:val="22"/>
          <w:szCs w:val="22"/>
        </w:rPr>
        <w:t>Partners Universal Innovative Research Publication</w:t>
      </w:r>
      <w:r w:rsidRPr="000A0DBB">
        <w:rPr>
          <w:rFonts w:ascii="Arial" w:hAnsi="Arial" w:cs="Arial"/>
          <w:sz w:val="22"/>
          <w:szCs w:val="22"/>
        </w:rPr>
        <w:t>, </w:t>
      </w:r>
      <w:r w:rsidRPr="000A0DBB">
        <w:rPr>
          <w:rStyle w:val="Emphasis"/>
          <w:rFonts w:ascii="Arial" w:hAnsi="Arial" w:cs="Arial"/>
          <w:sz w:val="22"/>
          <w:szCs w:val="22"/>
        </w:rPr>
        <w:t>2</w:t>
      </w:r>
      <w:r w:rsidRPr="000A0DBB">
        <w:rPr>
          <w:rFonts w:ascii="Arial" w:hAnsi="Arial" w:cs="Arial"/>
          <w:sz w:val="22"/>
          <w:szCs w:val="22"/>
        </w:rPr>
        <w:t xml:space="preserve">(3), pp. pp.126–146. </w:t>
      </w:r>
      <w:hyperlink r:id="rId26" w:tgtFrame="_blank" w:history="1">
        <w:r w:rsidRPr="000A0DBB">
          <w:rPr>
            <w:rStyle w:val="Hyperlink"/>
            <w:rFonts w:ascii="Arial" w:hAnsi="Arial" w:cs="Arial"/>
            <w:sz w:val="22"/>
            <w:szCs w:val="22"/>
          </w:rPr>
          <w:t>https://puirp.com/index.php/research/article/view/61</w:t>
        </w:r>
      </w:hyperlink>
    </w:p>
    <w:p w14:paraId="6AEB2ABB"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Ghosh, S., Ness, S., and Salunkhe, S., 2024. The Role of AI-Enabled Chatbots in Omnichannel Customer Service. </w:t>
      </w:r>
      <w:r w:rsidRPr="000A0DBB">
        <w:rPr>
          <w:rStyle w:val="Emphasis"/>
          <w:rFonts w:ascii="Arial" w:hAnsi="Arial" w:cs="Arial"/>
          <w:sz w:val="22"/>
          <w:szCs w:val="22"/>
        </w:rPr>
        <w:t>Journal of Engineering Research and Reports</w:t>
      </w:r>
      <w:r w:rsidRPr="000A0DBB">
        <w:rPr>
          <w:rFonts w:ascii="Arial" w:hAnsi="Arial" w:cs="Arial"/>
          <w:sz w:val="22"/>
          <w:szCs w:val="22"/>
        </w:rPr>
        <w:t>, </w:t>
      </w:r>
      <w:r w:rsidRPr="000A0DBB">
        <w:rPr>
          <w:rStyle w:val="Emphasis"/>
          <w:rFonts w:ascii="Arial" w:hAnsi="Arial" w:cs="Arial"/>
          <w:sz w:val="22"/>
          <w:szCs w:val="22"/>
        </w:rPr>
        <w:t>26</w:t>
      </w:r>
      <w:r w:rsidRPr="000A0DBB">
        <w:rPr>
          <w:rFonts w:ascii="Arial" w:hAnsi="Arial" w:cs="Arial"/>
          <w:sz w:val="22"/>
          <w:szCs w:val="22"/>
        </w:rPr>
        <w:t xml:space="preserve">(6), pp. pp.327-345. </w:t>
      </w:r>
      <w:hyperlink r:id="rId27" w:tgtFrame="_blank" w:history="1">
        <w:r w:rsidRPr="000A0DBB">
          <w:rPr>
            <w:rStyle w:val="Hyperlink"/>
            <w:rFonts w:ascii="Arial" w:hAnsi="Arial" w:cs="Arial"/>
            <w:sz w:val="22"/>
            <w:szCs w:val="22"/>
          </w:rPr>
          <w:t>https://www.researchgate.net/profile/Stephanie-Ness-3/publication/381096092_The_Role_of_AI_Enabled_Chatbots_in_Omnichannel_Customer_Service/links/665c3492bc86444c7225a39c/The-Role-of-AI-Enabled-Chatbots-in-Omnichannel-Customer-Service.pdf?_tp=eyJjb250ZXh0Ijp7ImZpcnN0UGFnZSI6InB1YmxpY2F0aW9uIiwicGFnZSI6InB1YmxpY2F0aW9uIn19</w:t>
        </w:r>
      </w:hyperlink>
    </w:p>
    <w:p w14:paraId="5AD3375A"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 xml:space="preserve">Hadjitchoneva, J., Ruff, C., Ruiz, M., and Matheu, A. (2021) presented a case study on the integration of artificial intelligence in the online retail sector, focusing on the eBag supermarket. This study was presented at the </w:t>
      </w:r>
      <w:r w:rsidRPr="000A0DBB">
        <w:rPr>
          <w:rStyle w:val="Emphasis"/>
          <w:rFonts w:ascii="Arial" w:hAnsi="Arial" w:cs="Arial"/>
          <w:sz w:val="22"/>
          <w:szCs w:val="22"/>
        </w:rPr>
        <w:t>2021 16th Iberian Conference on Information Systems and Technologies (CISTI)</w:t>
      </w:r>
      <w:r w:rsidRPr="000A0DBB">
        <w:rPr>
          <w:rFonts w:ascii="Arial" w:hAnsi="Arial" w:cs="Arial"/>
          <w:sz w:val="22"/>
          <w:szCs w:val="22"/>
        </w:rPr>
        <w:t xml:space="preserve">. </w:t>
      </w:r>
      <w:hyperlink r:id="rId28" w:tgtFrame="_blank" w:history="1">
        <w:r w:rsidRPr="000A0DBB">
          <w:rPr>
            <w:rStyle w:val="Hyperlink"/>
            <w:rFonts w:ascii="Arial" w:hAnsi="Arial" w:cs="Arial"/>
            <w:sz w:val="22"/>
            <w:szCs w:val="22"/>
          </w:rPr>
          <w:t>https://doi.org/10.23919/CISTI52073.2021.9476484</w:t>
        </w:r>
      </w:hyperlink>
    </w:p>
    <w:p w14:paraId="73FF556E"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Hobor, L., Brcic, M., Polutnik, L., and Kapetanovic, A., 2025. Comparative Analysis of Modern Machine Learning Models for Retail Sales Forecasting. </w:t>
      </w:r>
      <w:r w:rsidRPr="000A0DBB">
        <w:rPr>
          <w:rStyle w:val="Emphasis"/>
          <w:rFonts w:ascii="Arial" w:hAnsi="Arial" w:cs="Arial"/>
          <w:sz w:val="22"/>
          <w:szCs w:val="22"/>
        </w:rPr>
        <w:t>arXiv preprint arXiv:2506.05941</w:t>
      </w:r>
      <w:r w:rsidRPr="000A0DBB">
        <w:rPr>
          <w:rFonts w:ascii="Arial" w:hAnsi="Arial" w:cs="Arial"/>
          <w:sz w:val="22"/>
          <w:szCs w:val="22"/>
        </w:rPr>
        <w:t xml:space="preserve">. </w:t>
      </w:r>
      <w:hyperlink r:id="rId29" w:tgtFrame="_blank" w:history="1">
        <w:r w:rsidRPr="000A0DBB">
          <w:rPr>
            <w:rStyle w:val="Hyperlink"/>
            <w:rFonts w:ascii="Arial" w:hAnsi="Arial" w:cs="Arial"/>
            <w:sz w:val="22"/>
            <w:szCs w:val="22"/>
          </w:rPr>
          <w:t>https://arxiv.org/pdf/2506.05941</w:t>
        </w:r>
      </w:hyperlink>
      <w:r w:rsidRPr="000A0DBB">
        <w:rPr>
          <w:rFonts w:ascii="Arial" w:hAnsi="Arial" w:cs="Arial"/>
          <w:sz w:val="22"/>
          <w:szCs w:val="22"/>
        </w:rPr>
        <w:t>?</w:t>
      </w:r>
    </w:p>
    <w:p w14:paraId="257D3FB8"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Khanal, S., Zhang, H., and Taeihagh, A., 2024. Building an AI ecosystem in a small nation: lessons from Singapore’s journey to the forefront of AI. </w:t>
      </w:r>
      <w:r w:rsidRPr="000A0DBB">
        <w:rPr>
          <w:rStyle w:val="Emphasis"/>
          <w:rFonts w:ascii="Arial" w:hAnsi="Arial" w:cs="Arial"/>
          <w:sz w:val="22"/>
          <w:szCs w:val="22"/>
        </w:rPr>
        <w:t>Humanities and Social Sciences Communications</w:t>
      </w:r>
      <w:r w:rsidRPr="000A0DBB">
        <w:rPr>
          <w:rFonts w:ascii="Arial" w:hAnsi="Arial" w:cs="Arial"/>
          <w:sz w:val="22"/>
          <w:szCs w:val="22"/>
        </w:rPr>
        <w:t>, </w:t>
      </w:r>
      <w:r w:rsidRPr="000A0DBB">
        <w:rPr>
          <w:rStyle w:val="Emphasis"/>
          <w:rFonts w:ascii="Arial" w:hAnsi="Arial" w:cs="Arial"/>
          <w:sz w:val="22"/>
          <w:szCs w:val="22"/>
        </w:rPr>
        <w:t>11</w:t>
      </w:r>
      <w:r w:rsidRPr="000A0DBB">
        <w:rPr>
          <w:rFonts w:ascii="Arial" w:hAnsi="Arial" w:cs="Arial"/>
          <w:sz w:val="22"/>
          <w:szCs w:val="22"/>
        </w:rPr>
        <w:t xml:space="preserve">(1), pp.1–12. </w:t>
      </w:r>
      <w:hyperlink r:id="rId30" w:tgtFrame="_blank" w:history="1">
        <w:r w:rsidRPr="000A0DBB">
          <w:rPr>
            <w:rStyle w:val="Hyperlink"/>
            <w:rFonts w:ascii="Arial" w:hAnsi="Arial" w:cs="Arial"/>
            <w:sz w:val="22"/>
            <w:szCs w:val="22"/>
          </w:rPr>
          <w:t>https://www.nature.com/articles/s41599-024-03289-7.pdf</w:t>
        </w:r>
      </w:hyperlink>
    </w:p>
    <w:p w14:paraId="510238C1"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lastRenderedPageBreak/>
        <w:t>Lim, W.M., 2025. What is qualitative research? An overview and guidelines. </w:t>
      </w:r>
      <w:r w:rsidRPr="000A0DBB">
        <w:rPr>
          <w:rStyle w:val="Emphasis"/>
          <w:rFonts w:ascii="Arial" w:hAnsi="Arial" w:cs="Arial"/>
          <w:sz w:val="22"/>
          <w:szCs w:val="22"/>
        </w:rPr>
        <w:t>Australasian Marketing Journal</w:t>
      </w:r>
      <w:r w:rsidRPr="000A0DBB">
        <w:rPr>
          <w:rFonts w:ascii="Arial" w:hAnsi="Arial" w:cs="Arial"/>
          <w:sz w:val="22"/>
          <w:szCs w:val="22"/>
        </w:rPr>
        <w:t>, </w:t>
      </w:r>
      <w:r w:rsidRPr="000A0DBB">
        <w:rPr>
          <w:rStyle w:val="Emphasis"/>
          <w:rFonts w:ascii="Arial" w:hAnsi="Arial" w:cs="Arial"/>
          <w:sz w:val="22"/>
          <w:szCs w:val="22"/>
        </w:rPr>
        <w:t>33</w:t>
      </w:r>
      <w:r w:rsidRPr="000A0DBB">
        <w:rPr>
          <w:rFonts w:ascii="Arial" w:hAnsi="Arial" w:cs="Arial"/>
          <w:sz w:val="22"/>
          <w:szCs w:val="22"/>
        </w:rPr>
        <w:t xml:space="preserve">(2), pp.199–229. </w:t>
      </w:r>
      <w:hyperlink r:id="rId31" w:tgtFrame="_blank" w:history="1">
        <w:r w:rsidRPr="000A0DBB">
          <w:rPr>
            <w:rStyle w:val="Hyperlink"/>
            <w:rFonts w:ascii="Arial" w:hAnsi="Arial" w:cs="Arial"/>
            <w:sz w:val="22"/>
            <w:szCs w:val="22"/>
          </w:rPr>
          <w:t>https://journals.sagepub.com/doi/10.1177/14413582241264619</w:t>
        </w:r>
      </w:hyperlink>
    </w:p>
    <w:p w14:paraId="5D4825D1"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 xml:space="preserve">Mhaskey, S.V., 2024. Integration of Artificial Intelligence (AI) in Enterprise Resource Planning (ERP) Systems: Opportunities, Challenges, and Implications. </w:t>
      </w:r>
      <w:r w:rsidRPr="000A0DBB">
        <w:rPr>
          <w:rStyle w:val="Emphasis"/>
          <w:rFonts w:ascii="Arial" w:hAnsi="Arial" w:cs="Arial"/>
          <w:sz w:val="22"/>
          <w:szCs w:val="22"/>
        </w:rPr>
        <w:t>International Journal of Computer Engineering in Research Trends, 11</w:t>
      </w:r>
      <w:r w:rsidRPr="000A0DBB">
        <w:rPr>
          <w:rFonts w:ascii="Arial" w:hAnsi="Arial" w:cs="Arial"/>
          <w:sz w:val="22"/>
          <w:szCs w:val="22"/>
        </w:rPr>
        <w:t xml:space="preserve">(12), pp. 1-9. </w:t>
      </w:r>
      <w:hyperlink r:id="rId32" w:tgtFrame="_blank" w:history="1">
        <w:r w:rsidRPr="000A0DBB">
          <w:rPr>
            <w:rStyle w:val="Hyperlink"/>
            <w:rFonts w:ascii="Arial" w:hAnsi="Arial" w:cs="Arial"/>
            <w:sz w:val="22"/>
            <w:szCs w:val="22"/>
          </w:rPr>
          <w:t>https://www.researchgate.net/profile/Sanjay_Vijay_Mhaskey/publication/387667312_Integration_of_Artificial_Intelligence_AI_in_Enterprise_Resource_Planning_ERP_Systems_Opportunities_Challenges_and_Implications/links/6776dce9fb9aff6eaa0121e3/Integration-of-Artificial-Intelligence-AI-in-Enterprise-Resource-Planning-ERP-Systems-Opportunities-Challenges-and-Implications.pdf</w:t>
        </w:r>
      </w:hyperlink>
    </w:p>
    <w:p w14:paraId="33DFBDBC"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Mohajan, H.K., 2020. Quantitative research: A successful investigation in natural and social sciences. </w:t>
      </w:r>
      <w:r w:rsidRPr="000A0DBB">
        <w:rPr>
          <w:rStyle w:val="Emphasis"/>
          <w:rFonts w:ascii="Arial" w:hAnsi="Arial" w:cs="Arial"/>
          <w:sz w:val="22"/>
          <w:szCs w:val="22"/>
        </w:rPr>
        <w:t>Journal of Economic Development, Environment and People</w:t>
      </w:r>
      <w:r w:rsidRPr="000A0DBB">
        <w:rPr>
          <w:rFonts w:ascii="Arial" w:hAnsi="Arial" w:cs="Arial"/>
          <w:sz w:val="22"/>
          <w:szCs w:val="22"/>
        </w:rPr>
        <w:t>, </w:t>
      </w:r>
      <w:r w:rsidRPr="000A0DBB">
        <w:rPr>
          <w:rStyle w:val="Emphasis"/>
          <w:rFonts w:ascii="Arial" w:hAnsi="Arial" w:cs="Arial"/>
          <w:sz w:val="22"/>
          <w:szCs w:val="22"/>
        </w:rPr>
        <w:t>9</w:t>
      </w:r>
      <w:r w:rsidRPr="000A0DBB">
        <w:rPr>
          <w:rFonts w:ascii="Arial" w:hAnsi="Arial" w:cs="Arial"/>
          <w:sz w:val="22"/>
          <w:szCs w:val="22"/>
        </w:rPr>
        <w:t xml:space="preserve">(4), pp. 50–79. </w:t>
      </w:r>
      <w:hyperlink r:id="rId33" w:tgtFrame="_blank" w:history="1">
        <w:r w:rsidRPr="000A0DBB">
          <w:rPr>
            <w:rStyle w:val="Hyperlink"/>
            <w:rFonts w:ascii="Arial" w:hAnsi="Arial" w:cs="Arial"/>
            <w:sz w:val="22"/>
            <w:szCs w:val="22"/>
          </w:rPr>
          <w:t>https://mpra.ub.uni-muenchen.de/105149/</w:t>
        </w:r>
      </w:hyperlink>
    </w:p>
    <w:p w14:paraId="297EA3F9"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Mohammadian, M., Bahrololoum, H., Andam, R., and Dehghani, A., 2024. Designing a Pattern for the Application of Artificial Intelligence in the Sports Goods Market. </w:t>
      </w:r>
      <w:r w:rsidRPr="000A0DBB">
        <w:rPr>
          <w:rStyle w:val="Emphasis"/>
          <w:rFonts w:ascii="Arial" w:hAnsi="Arial" w:cs="Arial"/>
          <w:sz w:val="22"/>
          <w:szCs w:val="22"/>
        </w:rPr>
        <w:t>Sports Business Journal, 5</w:t>
      </w:r>
      <w:r w:rsidRPr="000A0DBB">
        <w:rPr>
          <w:rFonts w:ascii="Arial" w:hAnsi="Arial" w:cs="Arial"/>
          <w:sz w:val="22"/>
          <w:szCs w:val="22"/>
        </w:rPr>
        <w:t xml:space="preserve">(2), pp. pp.119-139. </w:t>
      </w:r>
      <w:hyperlink r:id="rId34" w:tgtFrame="_blank" w:history="1">
        <w:r w:rsidRPr="000A0DBB">
          <w:rPr>
            <w:rStyle w:val="Hyperlink"/>
            <w:rFonts w:ascii="Arial" w:hAnsi="Arial" w:cs="Arial"/>
            <w:sz w:val="22"/>
            <w:szCs w:val="22"/>
          </w:rPr>
          <w:t>https://sbj.alzahra.ac.ir/article_8248_dc3f04d0fcc26fed66fb11b6e3c782be.pdf</w:t>
        </w:r>
      </w:hyperlink>
    </w:p>
    <w:p w14:paraId="7A6556A7" w14:textId="4D41044E"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Mohan, S., 2021. Artificial intelligence in retail. In </w:t>
      </w:r>
      <w:r w:rsidRPr="000A0DBB">
        <w:rPr>
          <w:rStyle w:val="Emphasis"/>
          <w:rFonts w:ascii="Arial" w:hAnsi="Arial" w:cs="Arial"/>
          <w:sz w:val="22"/>
          <w:szCs w:val="22"/>
        </w:rPr>
        <w:t>Demystifying AI for the Enterprise</w:t>
      </w:r>
      <w:r w:rsidRPr="000A0DBB">
        <w:rPr>
          <w:rFonts w:ascii="Arial" w:hAnsi="Arial" w:cs="Arial"/>
          <w:sz w:val="22"/>
          <w:szCs w:val="22"/>
        </w:rPr>
        <w:t> (pp. 193-222). Productivity Press.</w:t>
      </w:r>
      <w:r w:rsidR="001211E5">
        <w:rPr>
          <w:rFonts w:ascii="Arial" w:hAnsi="Arial" w:cs="Arial"/>
          <w:sz w:val="22"/>
          <w:szCs w:val="22"/>
        </w:rPr>
        <w:t xml:space="preserve"> </w:t>
      </w:r>
      <w:hyperlink r:id="rId35" w:history="1">
        <w:r w:rsidR="001211E5" w:rsidRPr="00211CC3">
          <w:rPr>
            <w:rStyle w:val="Hyperlink"/>
            <w:rFonts w:ascii="Arial" w:hAnsi="Arial" w:cs="Arial"/>
            <w:sz w:val="22"/>
            <w:szCs w:val="22"/>
          </w:rPr>
          <w:t>https://doi.org/10.4324/9781351032940</w:t>
        </w:r>
      </w:hyperlink>
      <w:r w:rsidR="001211E5">
        <w:rPr>
          <w:rFonts w:ascii="Arial" w:hAnsi="Arial" w:cs="Arial"/>
          <w:sz w:val="22"/>
          <w:szCs w:val="22"/>
        </w:rPr>
        <w:t xml:space="preserve"> </w:t>
      </w:r>
    </w:p>
    <w:p w14:paraId="1CBA44A6"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 xml:space="preserve">Moharrak, M., Nguyen, N.P., and Mogaji, E., 2024. Business environment and adoption of AI: Navigation for internationalisation by new ventures in emerging markets. </w:t>
      </w:r>
      <w:r w:rsidRPr="000A0DBB">
        <w:rPr>
          <w:rStyle w:val="Emphasis"/>
          <w:rFonts w:ascii="Arial" w:hAnsi="Arial" w:cs="Arial"/>
          <w:sz w:val="22"/>
          <w:szCs w:val="22"/>
        </w:rPr>
        <w:t>Thunderbird International Business Review</w:t>
      </w:r>
      <w:r w:rsidRPr="000A0DBB">
        <w:rPr>
          <w:rFonts w:ascii="Arial" w:hAnsi="Arial" w:cs="Arial"/>
          <w:sz w:val="22"/>
          <w:szCs w:val="22"/>
        </w:rPr>
        <w:t>, </w:t>
      </w:r>
      <w:r w:rsidRPr="000A0DBB">
        <w:rPr>
          <w:rStyle w:val="Emphasis"/>
          <w:rFonts w:ascii="Arial" w:hAnsi="Arial" w:cs="Arial"/>
          <w:sz w:val="22"/>
          <w:szCs w:val="22"/>
        </w:rPr>
        <w:t>66</w:t>
      </w:r>
      <w:r w:rsidRPr="000A0DBB">
        <w:rPr>
          <w:rFonts w:ascii="Arial" w:hAnsi="Arial" w:cs="Arial"/>
          <w:sz w:val="22"/>
          <w:szCs w:val="22"/>
        </w:rPr>
        <w:t xml:space="preserve">(4), pp.355–372. </w:t>
      </w:r>
      <w:hyperlink r:id="rId36" w:tgtFrame="_blank" w:history="1">
        <w:r w:rsidRPr="000A0DBB">
          <w:rPr>
            <w:rStyle w:val="Hyperlink"/>
            <w:rFonts w:ascii="Arial" w:hAnsi="Arial" w:cs="Arial"/>
            <w:sz w:val="22"/>
            <w:szCs w:val="22"/>
          </w:rPr>
          <w:t>https://onlinelibrary.wiley.com/doi/pdfdirect/10.1002/tie.22384</w:t>
        </w:r>
      </w:hyperlink>
    </w:p>
    <w:p w14:paraId="30E85113"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Muthukalyani, A.R., 2023. Unlocking accurate demand forecasting in retail supply chains with AI-driven predictive analytics. </w:t>
      </w:r>
      <w:r w:rsidRPr="000A0DBB">
        <w:rPr>
          <w:rStyle w:val="Emphasis"/>
          <w:rFonts w:ascii="Arial" w:hAnsi="Arial" w:cs="Arial"/>
          <w:sz w:val="22"/>
          <w:szCs w:val="22"/>
        </w:rPr>
        <w:t>Information Technology and Management</w:t>
      </w:r>
      <w:r w:rsidRPr="000A0DBB">
        <w:rPr>
          <w:rFonts w:ascii="Arial" w:hAnsi="Arial" w:cs="Arial"/>
          <w:sz w:val="22"/>
          <w:szCs w:val="22"/>
        </w:rPr>
        <w:t>, </w:t>
      </w:r>
      <w:r w:rsidRPr="000A0DBB">
        <w:rPr>
          <w:rStyle w:val="Emphasis"/>
          <w:rFonts w:ascii="Arial" w:hAnsi="Arial" w:cs="Arial"/>
          <w:sz w:val="22"/>
          <w:szCs w:val="22"/>
        </w:rPr>
        <w:t>14</w:t>
      </w:r>
      <w:r w:rsidRPr="000A0DBB">
        <w:rPr>
          <w:rFonts w:ascii="Arial" w:hAnsi="Arial" w:cs="Arial"/>
          <w:sz w:val="22"/>
          <w:szCs w:val="22"/>
        </w:rPr>
        <w:t xml:space="preserve">(2), pp.48-57. </w:t>
      </w:r>
      <w:hyperlink r:id="rId37" w:tgtFrame="_blank" w:history="1">
        <w:r w:rsidRPr="000A0DBB">
          <w:rPr>
            <w:rStyle w:val="Hyperlink"/>
            <w:rFonts w:ascii="Arial" w:hAnsi="Arial" w:cs="Arial"/>
            <w:sz w:val="22"/>
            <w:szCs w:val="22"/>
          </w:rPr>
          <w:t>https://iaeme.com/Home/article_id/IJITMIS_14_02_007</w:t>
        </w:r>
      </w:hyperlink>
    </w:p>
    <w:p w14:paraId="5B7B054A"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Onesi-Ozigagun, O., Ololade, Y.J., Eyo-Udo, N.L., and Oluwaseun, D., 2024. Data-driven decision-making: Shaping the future of business efficiency and customer engagement. </w:t>
      </w:r>
      <w:r w:rsidRPr="000A0DBB">
        <w:rPr>
          <w:rStyle w:val="Emphasis"/>
          <w:rFonts w:ascii="Arial" w:hAnsi="Arial" w:cs="Arial"/>
          <w:sz w:val="22"/>
          <w:szCs w:val="22"/>
        </w:rPr>
        <w:t>International Journal of Multidisciplinary Research Updates</w:t>
      </w:r>
      <w:r w:rsidRPr="000A0DBB">
        <w:rPr>
          <w:rFonts w:ascii="Arial" w:hAnsi="Arial" w:cs="Arial"/>
          <w:sz w:val="22"/>
          <w:szCs w:val="22"/>
        </w:rPr>
        <w:t>, </w:t>
      </w:r>
      <w:r w:rsidRPr="000A0DBB">
        <w:rPr>
          <w:rStyle w:val="Emphasis"/>
          <w:rFonts w:ascii="Arial" w:hAnsi="Arial" w:cs="Arial"/>
          <w:sz w:val="22"/>
          <w:szCs w:val="22"/>
        </w:rPr>
        <w:t>7</w:t>
      </w:r>
      <w:r w:rsidRPr="000A0DBB">
        <w:rPr>
          <w:rFonts w:ascii="Arial" w:hAnsi="Arial" w:cs="Arial"/>
          <w:sz w:val="22"/>
          <w:szCs w:val="22"/>
        </w:rPr>
        <w:t xml:space="preserve">(2), pp.19-29. </w:t>
      </w:r>
      <w:hyperlink r:id="rId38" w:tgtFrame="_blank" w:history="1">
        <w:r w:rsidRPr="000A0DBB">
          <w:rPr>
            <w:rStyle w:val="Hyperlink"/>
            <w:rFonts w:ascii="Arial" w:hAnsi="Arial" w:cs="Arial"/>
            <w:sz w:val="22"/>
            <w:szCs w:val="22"/>
          </w:rPr>
          <w:t>https://www.researchgate.net/profile/Nsisong-Eyo-Udo/publication/380207624_Data-driven_decision_making_Shaping_the_future_of_business_efficiency_and_customer_engagement/links/6798b37b645ef274a44ccd9a/Data-driven-decision-making-Shaping-the-future-of-business-efficiency-and-customer-engagement.pdf</w:t>
        </w:r>
      </w:hyperlink>
    </w:p>
    <w:p w14:paraId="1986DB5A"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Oosthuizen, K., Botha, E., Robertson, J., &amp; Montecchi, M. (2021). Artificial intelligence in retail: The AI-enabled value chain. </w:t>
      </w:r>
      <w:r w:rsidRPr="000A0DBB">
        <w:rPr>
          <w:rStyle w:val="Emphasis"/>
          <w:rFonts w:ascii="Arial" w:hAnsi="Arial" w:cs="Arial"/>
          <w:sz w:val="22"/>
          <w:szCs w:val="22"/>
        </w:rPr>
        <w:t>Australasian Marketing Journal</w:t>
      </w:r>
      <w:r w:rsidRPr="000A0DBB">
        <w:rPr>
          <w:rFonts w:ascii="Arial" w:hAnsi="Arial" w:cs="Arial"/>
          <w:sz w:val="22"/>
          <w:szCs w:val="22"/>
        </w:rPr>
        <w:t>, </w:t>
      </w:r>
      <w:r w:rsidRPr="000A0DBB">
        <w:rPr>
          <w:rStyle w:val="Emphasis"/>
          <w:rFonts w:ascii="Arial" w:hAnsi="Arial" w:cs="Arial"/>
          <w:sz w:val="22"/>
          <w:szCs w:val="22"/>
        </w:rPr>
        <w:t>29</w:t>
      </w:r>
      <w:r w:rsidRPr="000A0DBB">
        <w:rPr>
          <w:rFonts w:ascii="Arial" w:hAnsi="Arial" w:cs="Arial"/>
          <w:sz w:val="22"/>
          <w:szCs w:val="22"/>
        </w:rPr>
        <w:t xml:space="preserve">(3), 264-273. </w:t>
      </w:r>
      <w:hyperlink r:id="rId39" w:tgtFrame="_blank" w:history="1">
        <w:r w:rsidRPr="000A0DBB">
          <w:rPr>
            <w:rStyle w:val="Hyperlink"/>
            <w:rFonts w:ascii="Arial" w:hAnsi="Arial" w:cs="Arial"/>
            <w:sz w:val="22"/>
            <w:szCs w:val="22"/>
          </w:rPr>
          <w:t>https://scholar.sun.ac.za/server/api/core/bitstreams/b259eac8-ae99-490f-b3eb-ab49aebe9aef/content</w:t>
        </w:r>
      </w:hyperlink>
    </w:p>
    <w:p w14:paraId="6599BBA6"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Pakbin, M., Rahmati Ghofrani, Y., and Shahroodi, K., 2024. Forecasting Demand and Optimizing Product Ordering in the Supply Chain Using Artificial Intelligence. </w:t>
      </w:r>
      <w:r w:rsidRPr="000A0DBB">
        <w:rPr>
          <w:rStyle w:val="Emphasis"/>
          <w:rFonts w:ascii="Arial" w:hAnsi="Arial" w:cs="Arial"/>
          <w:sz w:val="22"/>
          <w:szCs w:val="22"/>
        </w:rPr>
        <w:t>International Journal of Knowledge Processing Studies</w:t>
      </w:r>
      <w:r w:rsidRPr="000A0DBB">
        <w:rPr>
          <w:rFonts w:ascii="Arial" w:hAnsi="Arial" w:cs="Arial"/>
          <w:sz w:val="22"/>
          <w:szCs w:val="22"/>
        </w:rPr>
        <w:t>, </w:t>
      </w:r>
      <w:r w:rsidRPr="000A0DBB">
        <w:rPr>
          <w:rStyle w:val="Emphasis"/>
          <w:rFonts w:ascii="Arial" w:hAnsi="Arial" w:cs="Arial"/>
          <w:sz w:val="22"/>
          <w:szCs w:val="22"/>
        </w:rPr>
        <w:t>4</w:t>
      </w:r>
      <w:r w:rsidRPr="000A0DBB">
        <w:rPr>
          <w:rFonts w:ascii="Arial" w:hAnsi="Arial" w:cs="Arial"/>
          <w:sz w:val="22"/>
          <w:szCs w:val="22"/>
        </w:rPr>
        <w:t xml:space="preserve">(4), pp.120-135. </w:t>
      </w:r>
      <w:hyperlink r:id="rId40" w:tgtFrame="_blank" w:history="1">
        <w:r w:rsidRPr="000A0DBB">
          <w:rPr>
            <w:rStyle w:val="Hyperlink"/>
            <w:rFonts w:ascii="Arial" w:hAnsi="Arial" w:cs="Arial"/>
            <w:sz w:val="22"/>
            <w:szCs w:val="22"/>
          </w:rPr>
          <w:t>https://kps.artahub.ir/article_208285_1d1f5cf16f2db836545dead0a99c62e7.pdf</w:t>
        </w:r>
      </w:hyperlink>
    </w:p>
    <w:p w14:paraId="55C0B2BC"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 xml:space="preserve">pMarketResearch, 2025. </w:t>
      </w:r>
      <w:r w:rsidRPr="000A0DBB">
        <w:rPr>
          <w:rStyle w:val="Emphasis"/>
          <w:rFonts w:ascii="Arial" w:hAnsi="Arial" w:cs="Arial"/>
          <w:sz w:val="22"/>
          <w:szCs w:val="22"/>
        </w:rPr>
        <w:t>Artificial intelligence in inventory management market</w:t>
      </w:r>
      <w:r w:rsidRPr="000A0DBB">
        <w:rPr>
          <w:rFonts w:ascii="Arial" w:hAnsi="Arial" w:cs="Arial"/>
          <w:sz w:val="22"/>
          <w:szCs w:val="22"/>
        </w:rPr>
        <w:t xml:space="preserve">. PW Consulting Information &amp; Electronics Research Center. </w:t>
      </w:r>
      <w:hyperlink r:id="rId41" w:tgtFrame="_blank" w:history="1">
        <w:r w:rsidRPr="000A0DBB">
          <w:rPr>
            <w:rStyle w:val="Hyperlink"/>
            <w:rFonts w:ascii="Arial" w:hAnsi="Arial" w:cs="Arial"/>
            <w:sz w:val="22"/>
            <w:szCs w:val="22"/>
          </w:rPr>
          <w:t>https://pmarketresearch.com/it/artificial-intelligence-in-inventory-management-market/</w:t>
        </w:r>
      </w:hyperlink>
    </w:p>
    <w:p w14:paraId="5C95B18F"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 xml:space="preserve">Quindimil, M. (2024) explored the role of artificial intelligence in international trade with a specific focus on Latin America. The paper discusses AI’s influence on trade policy and competitiveness and was published in the </w:t>
      </w:r>
      <w:r w:rsidRPr="000A0DBB">
        <w:rPr>
          <w:rStyle w:val="Emphasis"/>
          <w:rFonts w:ascii="Arial" w:hAnsi="Arial" w:cs="Arial"/>
          <w:sz w:val="22"/>
          <w:szCs w:val="22"/>
        </w:rPr>
        <w:t>Global Trade and Customs Journal</w:t>
      </w:r>
      <w:r w:rsidRPr="000A0DBB">
        <w:rPr>
          <w:rFonts w:ascii="Arial" w:hAnsi="Arial" w:cs="Arial"/>
          <w:sz w:val="22"/>
          <w:szCs w:val="22"/>
        </w:rPr>
        <w:t xml:space="preserve">. </w:t>
      </w:r>
      <w:hyperlink r:id="rId42" w:tgtFrame="_blank" w:history="1">
        <w:r w:rsidRPr="000A0DBB">
          <w:rPr>
            <w:rStyle w:val="Hyperlink"/>
            <w:rFonts w:ascii="Arial" w:hAnsi="Arial" w:cs="Arial"/>
            <w:sz w:val="22"/>
            <w:szCs w:val="22"/>
          </w:rPr>
          <w:t>https://doi.org/10.54648/gtcj2024084</w:t>
        </w:r>
      </w:hyperlink>
    </w:p>
    <w:p w14:paraId="75C99DED"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Rane, N., Choudhary, S.P., and Rane, J., 2024. Acceptance of artificial intelligence: Key factors, challenges, and implementation strategies. </w:t>
      </w:r>
      <w:r w:rsidRPr="000A0DBB">
        <w:rPr>
          <w:rStyle w:val="Emphasis"/>
          <w:rFonts w:ascii="Arial" w:hAnsi="Arial" w:cs="Arial"/>
          <w:sz w:val="22"/>
          <w:szCs w:val="22"/>
        </w:rPr>
        <w:t>Journal of Applied Artificial Intelligence</w:t>
      </w:r>
      <w:r w:rsidRPr="000A0DBB">
        <w:rPr>
          <w:rFonts w:ascii="Arial" w:hAnsi="Arial" w:cs="Arial"/>
          <w:sz w:val="22"/>
          <w:szCs w:val="22"/>
        </w:rPr>
        <w:t>, </w:t>
      </w:r>
      <w:r w:rsidRPr="000A0DBB">
        <w:rPr>
          <w:rStyle w:val="Emphasis"/>
          <w:rFonts w:ascii="Arial" w:hAnsi="Arial" w:cs="Arial"/>
          <w:sz w:val="22"/>
          <w:szCs w:val="22"/>
        </w:rPr>
        <w:t>5</w:t>
      </w:r>
      <w:r w:rsidRPr="000A0DBB">
        <w:rPr>
          <w:rFonts w:ascii="Arial" w:hAnsi="Arial" w:cs="Arial"/>
          <w:sz w:val="22"/>
          <w:szCs w:val="22"/>
        </w:rPr>
        <w:t xml:space="preserve">(2), pp. 50-70. </w:t>
      </w:r>
      <w:hyperlink r:id="rId43" w:tgtFrame="_blank" w:history="1">
        <w:r w:rsidRPr="000A0DBB">
          <w:rPr>
            <w:rStyle w:val="Hyperlink"/>
            <w:rFonts w:ascii="Arial" w:hAnsi="Arial" w:cs="Arial"/>
            <w:sz w:val="22"/>
            <w:szCs w:val="22"/>
          </w:rPr>
          <w:t>https://sabapub.com/index.php/jaai/article/download/1017/658</w:t>
        </w:r>
      </w:hyperlink>
    </w:p>
    <w:p w14:paraId="52BC8B47"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 xml:space="preserve">Rinawiyanti, E. D., Surjani, R. M., Hartono, M., Permatasari, E. P., and Chrisma, A. C. V. (2025) conducted mixed-method usability testing on AI-based supermarket applications, evaluating both user interface and user experience factors. Their research appears in the </w:t>
      </w:r>
      <w:r w:rsidRPr="000A0DBB">
        <w:rPr>
          <w:rStyle w:val="Emphasis"/>
          <w:rFonts w:ascii="Arial" w:hAnsi="Arial" w:cs="Arial"/>
          <w:sz w:val="22"/>
          <w:szCs w:val="22"/>
        </w:rPr>
        <w:t>Journal of Applied Data Sciences</w:t>
      </w:r>
      <w:r w:rsidRPr="000A0DBB">
        <w:rPr>
          <w:rFonts w:ascii="Arial" w:hAnsi="Arial" w:cs="Arial"/>
          <w:sz w:val="22"/>
          <w:szCs w:val="22"/>
        </w:rPr>
        <w:t xml:space="preserve">. </w:t>
      </w:r>
      <w:hyperlink r:id="rId44" w:tgtFrame="_blank" w:history="1">
        <w:r w:rsidRPr="000A0DBB">
          <w:rPr>
            <w:rStyle w:val="Hyperlink"/>
            <w:rFonts w:ascii="Arial" w:hAnsi="Arial" w:cs="Arial"/>
            <w:sz w:val="22"/>
            <w:szCs w:val="22"/>
          </w:rPr>
          <w:t>https://doi.org/10.47738/jads.v6i1.453</w:t>
        </w:r>
      </w:hyperlink>
    </w:p>
    <w:p w14:paraId="2637F823"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Taherdoost, H., 2021. Data collection methods and tools for research: a step-by-step guide to choose data collection technique for academic and business research projects. </w:t>
      </w:r>
      <w:r w:rsidRPr="000A0DBB">
        <w:rPr>
          <w:rStyle w:val="Emphasis"/>
          <w:rFonts w:ascii="Arial" w:hAnsi="Arial" w:cs="Arial"/>
          <w:sz w:val="22"/>
          <w:szCs w:val="22"/>
        </w:rPr>
        <w:t>International Journal of Academic Research in Management (IJARM)</w:t>
      </w:r>
      <w:r w:rsidRPr="000A0DBB">
        <w:rPr>
          <w:rFonts w:ascii="Arial" w:hAnsi="Arial" w:cs="Arial"/>
          <w:sz w:val="22"/>
          <w:szCs w:val="22"/>
        </w:rPr>
        <w:t>, </w:t>
      </w:r>
      <w:r w:rsidRPr="000A0DBB">
        <w:rPr>
          <w:rStyle w:val="Emphasis"/>
          <w:rFonts w:ascii="Arial" w:hAnsi="Arial" w:cs="Arial"/>
          <w:sz w:val="22"/>
          <w:szCs w:val="22"/>
        </w:rPr>
        <w:t>10</w:t>
      </w:r>
      <w:r w:rsidRPr="000A0DBB">
        <w:rPr>
          <w:rFonts w:ascii="Arial" w:hAnsi="Arial" w:cs="Arial"/>
          <w:sz w:val="22"/>
          <w:szCs w:val="22"/>
        </w:rPr>
        <w:t xml:space="preserve">(1), pp. 10-38. </w:t>
      </w:r>
      <w:hyperlink r:id="rId45" w:tgtFrame="_blank" w:history="1">
        <w:r w:rsidRPr="000A0DBB">
          <w:rPr>
            <w:rStyle w:val="Hyperlink"/>
            <w:rFonts w:ascii="Arial" w:hAnsi="Arial" w:cs="Arial"/>
            <w:sz w:val="22"/>
            <w:szCs w:val="22"/>
          </w:rPr>
          <w:t>https://hal.science/hal-03741847v1</w:t>
        </w:r>
      </w:hyperlink>
    </w:p>
    <w:p w14:paraId="4C372C48" w14:textId="77777777"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Thibault, R.T., Kovacs, M., Hardwicke, T.E., Sarafoglou, A., Ioannidis, J.P., and Munafò, M.R., 2023. Reducing bias in secondary data analysis via an Explore and Confirm Analysis Workflow (ECAW): A proposal and survey of observational researchers. </w:t>
      </w:r>
      <w:r w:rsidRPr="000A0DBB">
        <w:rPr>
          <w:rStyle w:val="Emphasis"/>
          <w:rFonts w:ascii="Arial" w:hAnsi="Arial" w:cs="Arial"/>
          <w:sz w:val="22"/>
          <w:szCs w:val="22"/>
        </w:rPr>
        <w:t>Royal Society Open Science</w:t>
      </w:r>
      <w:r w:rsidRPr="000A0DBB">
        <w:rPr>
          <w:rFonts w:ascii="Arial" w:hAnsi="Arial" w:cs="Arial"/>
          <w:sz w:val="22"/>
          <w:szCs w:val="22"/>
        </w:rPr>
        <w:t>, </w:t>
      </w:r>
      <w:r w:rsidRPr="000A0DBB">
        <w:rPr>
          <w:rStyle w:val="Emphasis"/>
          <w:rFonts w:ascii="Arial" w:hAnsi="Arial" w:cs="Arial"/>
          <w:sz w:val="22"/>
          <w:szCs w:val="22"/>
        </w:rPr>
        <w:t>10</w:t>
      </w:r>
      <w:r w:rsidRPr="000A0DBB">
        <w:rPr>
          <w:rFonts w:ascii="Arial" w:hAnsi="Arial" w:cs="Arial"/>
          <w:sz w:val="22"/>
          <w:szCs w:val="22"/>
        </w:rPr>
        <w:t xml:space="preserve">(10), p.230568. </w:t>
      </w:r>
      <w:hyperlink r:id="rId46" w:tgtFrame="_blank" w:history="1">
        <w:r w:rsidRPr="000A0DBB">
          <w:rPr>
            <w:rStyle w:val="Hyperlink"/>
            <w:rFonts w:ascii="Arial" w:hAnsi="Arial" w:cs="Arial"/>
            <w:sz w:val="22"/>
            <w:szCs w:val="22"/>
          </w:rPr>
          <w:t>https://royalsocietypublishing.org/doi/epdf/10.1098/rsos.230568</w:t>
        </w:r>
      </w:hyperlink>
    </w:p>
    <w:p w14:paraId="7BAAB0A0" w14:textId="77777777" w:rsidR="000A0DBB" w:rsidRPr="000A0DBB" w:rsidRDefault="000A0DBB" w:rsidP="001211E5">
      <w:pPr>
        <w:pStyle w:val="NormalWeb"/>
        <w:spacing w:before="0" w:beforeAutospacing="0" w:after="0" w:afterAutospacing="0" w:line="360" w:lineRule="auto"/>
        <w:ind w:left="720" w:hanging="720"/>
        <w:contextualSpacing/>
        <w:jc w:val="both"/>
        <w:rPr>
          <w:rFonts w:ascii="Arial" w:hAnsi="Arial" w:cs="Arial"/>
          <w:sz w:val="22"/>
          <w:szCs w:val="22"/>
        </w:rPr>
      </w:pPr>
      <w:r w:rsidRPr="000A0DBB">
        <w:rPr>
          <w:rFonts w:ascii="Arial" w:hAnsi="Arial" w:cs="Arial"/>
          <w:sz w:val="22"/>
          <w:szCs w:val="22"/>
        </w:rPr>
        <w:t>Tutak, M. and Brodny, J., 2022. Business digital maturity in Europe and its implication for open innovation. </w:t>
      </w:r>
      <w:r w:rsidRPr="000A0DBB">
        <w:rPr>
          <w:rStyle w:val="Emphasis"/>
          <w:rFonts w:ascii="Arial" w:hAnsi="Arial" w:cs="Arial"/>
          <w:sz w:val="22"/>
          <w:szCs w:val="22"/>
        </w:rPr>
        <w:t>Journal of Open Innovation: Technology, Market, and Complexity</w:t>
      </w:r>
      <w:r w:rsidRPr="000A0DBB">
        <w:rPr>
          <w:rFonts w:ascii="Arial" w:hAnsi="Arial" w:cs="Arial"/>
          <w:sz w:val="22"/>
          <w:szCs w:val="22"/>
        </w:rPr>
        <w:t>, </w:t>
      </w:r>
      <w:r w:rsidRPr="000A0DBB">
        <w:rPr>
          <w:rStyle w:val="Emphasis"/>
          <w:rFonts w:ascii="Arial" w:hAnsi="Arial" w:cs="Arial"/>
          <w:sz w:val="22"/>
          <w:szCs w:val="22"/>
        </w:rPr>
        <w:t>8</w:t>
      </w:r>
      <w:r w:rsidRPr="000A0DBB">
        <w:rPr>
          <w:rFonts w:ascii="Arial" w:hAnsi="Arial" w:cs="Arial"/>
          <w:sz w:val="22"/>
          <w:szCs w:val="22"/>
        </w:rPr>
        <w:t xml:space="preserve">(1), p.27. </w:t>
      </w:r>
      <w:hyperlink r:id="rId47" w:tgtFrame="_blank" w:history="1">
        <w:r w:rsidRPr="000A0DBB">
          <w:rPr>
            <w:rStyle w:val="Hyperlink"/>
            <w:rFonts w:ascii="Arial" w:hAnsi="Arial" w:cs="Arial"/>
            <w:sz w:val="22"/>
            <w:szCs w:val="22"/>
          </w:rPr>
          <w:t>https://www.mdpi.com/2199-8531/8/1/27/pdf?version=1642651696</w:t>
        </w:r>
      </w:hyperlink>
    </w:p>
    <w:p w14:paraId="5E46EE99" w14:textId="229BDFEE" w:rsidR="000A0DBB" w:rsidRPr="000A0DBB" w:rsidRDefault="000A0DBB" w:rsidP="001211E5">
      <w:pPr>
        <w:pStyle w:val="NormalWeb"/>
        <w:spacing w:before="0" w:beforeAutospacing="0" w:after="0" w:afterAutospacing="0" w:line="360" w:lineRule="auto"/>
        <w:ind w:left="720" w:hanging="720"/>
        <w:contextualSpacing/>
        <w:rPr>
          <w:rFonts w:ascii="Arial" w:hAnsi="Arial" w:cs="Arial"/>
          <w:sz w:val="22"/>
          <w:szCs w:val="22"/>
        </w:rPr>
      </w:pPr>
      <w:r w:rsidRPr="000A0DBB">
        <w:rPr>
          <w:rFonts w:ascii="Arial" w:hAnsi="Arial" w:cs="Arial"/>
          <w:sz w:val="22"/>
          <w:szCs w:val="22"/>
        </w:rPr>
        <w:t xml:space="preserve">Yee, L., Chui, M., Roberts, R., and Issler, M., 2024. </w:t>
      </w:r>
      <w:r w:rsidRPr="000A0DBB">
        <w:rPr>
          <w:rStyle w:val="Emphasis"/>
          <w:rFonts w:ascii="Arial" w:hAnsi="Arial" w:cs="Arial"/>
          <w:sz w:val="22"/>
          <w:szCs w:val="22"/>
        </w:rPr>
        <w:t>Technology trends outlook 2024: The top trends that will matter to business</w:t>
      </w:r>
      <w:r w:rsidRPr="000A0DBB">
        <w:rPr>
          <w:rFonts w:ascii="Arial" w:hAnsi="Arial" w:cs="Arial"/>
          <w:sz w:val="22"/>
          <w:szCs w:val="22"/>
        </w:rPr>
        <w:t xml:space="preserve">. McKinsey &amp; Company. </w:t>
      </w:r>
      <w:hyperlink r:id="rId48" w:tgtFrame="_blank" w:history="1">
        <w:r w:rsidRPr="000A0DBB">
          <w:rPr>
            <w:rStyle w:val="Hyperlink"/>
            <w:rFonts w:ascii="Arial" w:hAnsi="Arial" w:cs="Arial"/>
            <w:sz w:val="22"/>
            <w:szCs w:val="22"/>
          </w:rPr>
          <w:t>https://www.mckinsey.com/capabilities/mckinsey-digital/our-insights/the-top-trends-in-tech</w:t>
        </w:r>
      </w:hyperlink>
    </w:p>
    <w:p w14:paraId="623C42D0" w14:textId="77777777" w:rsidR="000A0DBB" w:rsidRPr="000A0DBB" w:rsidRDefault="000A0DBB" w:rsidP="001211E5">
      <w:pPr>
        <w:pStyle w:val="NormalWeb"/>
        <w:spacing w:before="0" w:beforeAutospacing="0" w:after="0" w:afterAutospacing="0" w:line="360" w:lineRule="auto"/>
        <w:ind w:left="720" w:hanging="720"/>
        <w:contextualSpacing/>
        <w:rPr>
          <w:rStyle w:val="Hyperlink"/>
          <w:rFonts w:ascii="Arial" w:hAnsi="Arial" w:cs="Arial"/>
          <w:sz w:val="22"/>
          <w:szCs w:val="22"/>
        </w:rPr>
      </w:pPr>
      <w:r w:rsidRPr="000A0DBB">
        <w:rPr>
          <w:rFonts w:ascii="Arial" w:hAnsi="Arial" w:cs="Arial"/>
          <w:sz w:val="22"/>
          <w:szCs w:val="22"/>
        </w:rPr>
        <w:t xml:space="preserve">Zhang, N., 2024. </w:t>
      </w:r>
      <w:r w:rsidRPr="000A0DBB">
        <w:rPr>
          <w:rStyle w:val="Emphasis"/>
          <w:rFonts w:ascii="Arial" w:hAnsi="Arial" w:cs="Arial"/>
          <w:sz w:val="22"/>
          <w:szCs w:val="22"/>
        </w:rPr>
        <w:t>Determinants of AI adoption for small and medium-sized enterprises (SMEs): Evidence from China</w:t>
      </w:r>
      <w:r w:rsidRPr="000A0DBB">
        <w:rPr>
          <w:rFonts w:ascii="Arial" w:hAnsi="Arial" w:cs="Arial"/>
          <w:sz w:val="22"/>
          <w:szCs w:val="22"/>
        </w:rPr>
        <w:t xml:space="preserve">. University of Applied Sciences. </w:t>
      </w:r>
      <w:hyperlink r:id="rId49" w:tgtFrame="_blank" w:history="1">
        <w:r w:rsidRPr="000A0DBB">
          <w:rPr>
            <w:rStyle w:val="Hyperlink"/>
            <w:rFonts w:ascii="Arial" w:hAnsi="Arial" w:cs="Arial"/>
            <w:sz w:val="22"/>
            <w:szCs w:val="22"/>
          </w:rPr>
          <w:t>https://www.theseus.fi/bitstream/handle/10024/874486/Zhang_Ningyu.pdf?sequence=2</w:t>
        </w:r>
      </w:hyperlink>
    </w:p>
    <w:p w14:paraId="3CDC2098" w14:textId="77777777" w:rsidR="000A0DBB" w:rsidRPr="000A0DBB" w:rsidRDefault="000A0DBB" w:rsidP="001211E5">
      <w:pPr>
        <w:spacing w:line="360" w:lineRule="auto"/>
        <w:ind w:left="720" w:hanging="720"/>
        <w:contextualSpacing/>
        <w:jc w:val="both"/>
        <w:rPr>
          <w:rFonts w:ascii="Arial" w:hAnsi="Arial" w:cs="Arial"/>
          <w:b/>
          <w:bCs/>
          <w:sz w:val="22"/>
          <w:szCs w:val="22"/>
        </w:rPr>
      </w:pPr>
      <w:r w:rsidRPr="000A0DBB">
        <w:rPr>
          <w:rFonts w:ascii="Arial" w:hAnsi="Arial" w:cs="Arial"/>
          <w:b/>
          <w:bCs/>
          <w:sz w:val="22"/>
          <w:szCs w:val="22"/>
        </w:rPr>
        <w:br w:type="page"/>
      </w:r>
    </w:p>
    <w:p w14:paraId="63DB4ACC" w14:textId="77777777" w:rsidR="000A0DBB" w:rsidRPr="001211E5" w:rsidRDefault="000A0DBB" w:rsidP="001211E5">
      <w:pPr>
        <w:pStyle w:val="Heading1"/>
        <w:spacing w:line="360" w:lineRule="auto"/>
        <w:rPr>
          <w:rFonts w:ascii="Arial" w:hAnsi="Arial" w:cs="Arial"/>
          <w:sz w:val="22"/>
          <w:szCs w:val="22"/>
        </w:rPr>
      </w:pPr>
      <w:bookmarkStart w:id="55" w:name="_Toc204707818"/>
      <w:r w:rsidRPr="001211E5">
        <w:rPr>
          <w:rFonts w:ascii="Arial" w:hAnsi="Arial" w:cs="Arial"/>
          <w:sz w:val="22"/>
          <w:szCs w:val="22"/>
        </w:rPr>
        <w:lastRenderedPageBreak/>
        <w:t>Literature Review List</w:t>
      </w:r>
      <w:bookmarkEnd w:id="55"/>
    </w:p>
    <w:tbl>
      <w:tblPr>
        <w:tblStyle w:val="TableGridLight"/>
        <w:tblW w:w="0" w:type="auto"/>
        <w:tblLayout w:type="fixed"/>
        <w:tblLook w:val="04A0" w:firstRow="1" w:lastRow="0" w:firstColumn="1" w:lastColumn="0" w:noHBand="0" w:noVBand="1"/>
      </w:tblPr>
      <w:tblGrid>
        <w:gridCol w:w="3168"/>
        <w:gridCol w:w="6074"/>
      </w:tblGrid>
      <w:tr w:rsidR="000A0DBB" w:rsidRPr="000A0DBB" w14:paraId="1466F355"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D15D4E" w14:textId="77777777" w:rsidR="000A0DBB" w:rsidRPr="000A0DBB" w:rsidRDefault="000A0DBB" w:rsidP="001211E5">
            <w:pPr>
              <w:spacing w:line="360" w:lineRule="auto"/>
              <w:jc w:val="both"/>
              <w:rPr>
                <w:rFonts w:ascii="Arial" w:eastAsia="Times New Roman" w:hAnsi="Arial" w:cs="Arial"/>
                <w:b/>
                <w:bCs/>
                <w:color w:val="000000" w:themeColor="text1"/>
              </w:rPr>
            </w:pPr>
            <w:r w:rsidRPr="000A0DBB">
              <w:rPr>
                <w:rFonts w:ascii="Arial" w:eastAsia="Times New Roman" w:hAnsi="Arial" w:cs="Arial"/>
                <w:b/>
                <w:bCs/>
                <w:color w:val="000000" w:themeColor="text1"/>
              </w:rPr>
              <w:t>Source</w:t>
            </w:r>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F57A6F" w14:textId="77777777" w:rsidR="000A0DBB" w:rsidRPr="000A0DBB" w:rsidRDefault="000A0DBB" w:rsidP="001211E5">
            <w:pPr>
              <w:spacing w:line="360" w:lineRule="auto"/>
              <w:jc w:val="both"/>
              <w:rPr>
                <w:rFonts w:ascii="Arial" w:eastAsia="Times New Roman" w:hAnsi="Arial" w:cs="Arial"/>
                <w:b/>
                <w:bCs/>
                <w:color w:val="000000" w:themeColor="text1"/>
              </w:rPr>
            </w:pPr>
            <w:r w:rsidRPr="000A0DBB">
              <w:rPr>
                <w:rFonts w:ascii="Arial" w:eastAsia="Times New Roman" w:hAnsi="Arial" w:cs="Arial"/>
                <w:b/>
                <w:bCs/>
                <w:color w:val="000000" w:themeColor="text1"/>
              </w:rPr>
              <w:t>Analysis</w:t>
            </w:r>
          </w:p>
        </w:tc>
      </w:tr>
      <w:tr w:rsidR="000A0DBB" w:rsidRPr="000A0DBB" w14:paraId="43FFE0E2"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91B2DC" w14:textId="77777777" w:rsidR="000A0DBB" w:rsidRPr="000A0DBB" w:rsidRDefault="000A0DBB" w:rsidP="001211E5">
            <w:pPr>
              <w:spacing w:line="360" w:lineRule="auto"/>
              <w:ind w:left="360"/>
              <w:jc w:val="both"/>
              <w:rPr>
                <w:rFonts w:ascii="Arial" w:eastAsia="Times New Roman" w:hAnsi="Arial" w:cs="Arial"/>
                <w:color w:val="000000" w:themeColor="text1"/>
              </w:rPr>
            </w:pPr>
            <w:r w:rsidRPr="000A0DBB">
              <w:rPr>
                <w:rFonts w:ascii="Arial" w:hAnsi="Arial" w:cs="Arial"/>
              </w:rPr>
              <w:t>Chen, J.S., Le, T.T.Y., and Florence, D., 2021. Usability and responsiveness of artificial intelligence chatbots on online customer experience in e-retailing. </w:t>
            </w:r>
            <w:r w:rsidRPr="000A0DBB">
              <w:rPr>
                <w:rStyle w:val="Emphasis"/>
                <w:rFonts w:ascii="Arial" w:hAnsi="Arial" w:cs="Arial"/>
              </w:rPr>
              <w:t>International Journal of Retail &amp; Distribution Management</w:t>
            </w:r>
            <w:r w:rsidRPr="000A0DBB">
              <w:rPr>
                <w:rFonts w:ascii="Arial" w:hAnsi="Arial" w:cs="Arial"/>
              </w:rPr>
              <w:t>, </w:t>
            </w:r>
            <w:r w:rsidRPr="000A0DBB">
              <w:rPr>
                <w:rStyle w:val="Emphasis"/>
                <w:rFonts w:ascii="Arial" w:hAnsi="Arial" w:cs="Arial"/>
              </w:rPr>
              <w:t>49</w:t>
            </w:r>
            <w:r w:rsidRPr="000A0DBB">
              <w:rPr>
                <w:rFonts w:ascii="Arial" w:hAnsi="Arial" w:cs="Arial"/>
              </w:rPr>
              <w:t xml:space="preserve">(11), pp.1512-1531. </w:t>
            </w:r>
            <w:hyperlink r:id="rId50" w:tgtFrame="_blank" w:history="1">
              <w:r w:rsidRPr="000A0DBB">
                <w:rPr>
                  <w:rStyle w:val="Hyperlink"/>
                  <w:rFonts w:ascii="Arial" w:hAnsi="Arial" w:cs="Arial"/>
                </w:rPr>
                <w:t>https://www.researchgate.net/profile/Tran-Thien-Y-Le/publication/355119367_Usability_and_responsiveness_of_artificial_intelligence_chatbot_on_online_customer_experience_in_e-retailing/links/617a0162eef53e51e1f72954/Usability-and-responsiveness-of-artificial-intelligence-chatbot-on-online-customer-experience-in-e-retailing.pdf</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87777E"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hAnsi="Arial" w:cs="Arial"/>
              </w:rPr>
              <w:t>The paper used AI chatbots to alter the online shopping experience and satisfaction in e-retailing by meshing the adoption of the technology acceptance and information system success models. The authors gathered 425 valid answers with the help of an online questionnaire; they also analysed data with SPSS and SmartPLS; finally, they considered personality as a moderator. The results indicated that the usability of chatbots had led to the promotion of extrinsic aspects of customer experience, whereas responsiveness resulted in the promotion of intrinsic ones. Moreover, online experience was positively associated with customer satisfaction, and personality moderated the association between usability and extrinsic values. As a result, this study provided empirical evidence, arguing that AI chatbots showed both practical and emotional effects on e-retail communication.</w:t>
            </w:r>
          </w:p>
        </w:tc>
      </w:tr>
      <w:tr w:rsidR="000A0DBB" w:rsidRPr="000A0DBB" w14:paraId="05CBD9DE"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631C36"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t>Chen, S.C. and Shang, S.S., 2021. Sustaining user experience in a smart system in the retail industry. </w:t>
            </w:r>
            <w:r w:rsidRPr="000A0DBB">
              <w:rPr>
                <w:rStyle w:val="Emphasis"/>
                <w:rFonts w:ascii="Arial" w:hAnsi="Arial" w:cs="Arial"/>
              </w:rPr>
              <w:t>Sustainability</w:t>
            </w:r>
            <w:r w:rsidRPr="000A0DBB">
              <w:rPr>
                <w:rFonts w:ascii="Arial" w:hAnsi="Arial" w:cs="Arial"/>
              </w:rPr>
              <w:t>, </w:t>
            </w:r>
            <w:r w:rsidRPr="000A0DBB">
              <w:rPr>
                <w:rStyle w:val="Emphasis"/>
                <w:rFonts w:ascii="Arial" w:hAnsi="Arial" w:cs="Arial"/>
              </w:rPr>
              <w:t>13</w:t>
            </w:r>
            <w:r w:rsidRPr="000A0DBB">
              <w:rPr>
                <w:rFonts w:ascii="Arial" w:hAnsi="Arial" w:cs="Arial"/>
              </w:rPr>
              <w:t xml:space="preserve">(9), p.5090. </w:t>
            </w:r>
            <w:hyperlink r:id="rId51" w:tgtFrame="_blank" w:history="1">
              <w:r w:rsidRPr="000A0DBB">
                <w:rPr>
                  <w:rStyle w:val="Hyperlink"/>
                  <w:rFonts w:ascii="Arial" w:hAnsi="Arial" w:cs="Arial"/>
                </w:rPr>
                <w:t>https://doi.org/10.3390/su13095090</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3E22DA"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hAnsi="Arial" w:cs="Arial"/>
              </w:rPr>
              <w:lastRenderedPageBreak/>
              <w:t xml:space="preserve">This paper discussed the size of intelligent systems in unmanned retail stores in maintaining user experience using AI and advanced monitoring behaviours. The authors used the design science method to generate main functions and action research to create a rule-based knowledge set. Then, they used the system in an autonomous store and continuously monitored in-store behaviours to polish the user </w:t>
            </w:r>
            <w:r w:rsidRPr="000A0DBB">
              <w:rPr>
                <w:rFonts w:ascii="Arial" w:hAnsi="Arial" w:cs="Arial"/>
              </w:rPr>
              <w:lastRenderedPageBreak/>
              <w:t>interface. Results showed that one-step repeated rule and function enhancement improved interactions and raised perceived convenience. The study thus offered theoretical implications related to the smooth application of AI-based innovative systems to shopping and the need to conduct constant user testing. It updated the knowledge base with newer information to ensure sustainable customer engagement.</w:t>
            </w:r>
          </w:p>
        </w:tc>
      </w:tr>
      <w:tr w:rsidR="000A0DBB" w:rsidRPr="000A0DBB" w14:paraId="164100CA"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71D6DD"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lastRenderedPageBreak/>
              <w:t>Rinawiyanti, E. D., Surjani, R. M., Hartono, M., Permatasari, E. P., &amp; Chrisma, A. C. V. (2025). Mixed Method Usability Testing for User Experience and User Interface of AI-Based Supermarket Applications. </w:t>
            </w:r>
            <w:r w:rsidRPr="000A0DBB">
              <w:rPr>
                <w:rStyle w:val="Emphasis"/>
                <w:rFonts w:ascii="Arial" w:hAnsi="Arial" w:cs="Arial"/>
              </w:rPr>
              <w:t>Journal of Applied Data Sciences</w:t>
            </w:r>
            <w:r w:rsidRPr="000A0DBB">
              <w:rPr>
                <w:rFonts w:ascii="Arial" w:hAnsi="Arial" w:cs="Arial"/>
              </w:rPr>
              <w:t>, </w:t>
            </w:r>
            <w:r w:rsidRPr="000A0DBB">
              <w:rPr>
                <w:rStyle w:val="Emphasis"/>
                <w:rFonts w:ascii="Arial" w:hAnsi="Arial" w:cs="Arial"/>
              </w:rPr>
              <w:t>6</w:t>
            </w:r>
            <w:r w:rsidRPr="000A0DBB">
              <w:rPr>
                <w:rFonts w:ascii="Arial" w:hAnsi="Arial" w:cs="Arial"/>
              </w:rPr>
              <w:t xml:space="preserve">(1), 483-495. </w:t>
            </w:r>
            <w:hyperlink r:id="rId52" w:tgtFrame="_blank" w:history="1">
              <w:r w:rsidRPr="000A0DBB">
                <w:rPr>
                  <w:rStyle w:val="Hyperlink"/>
                  <w:rFonts w:ascii="Arial" w:hAnsi="Arial" w:cs="Arial"/>
                </w:rPr>
                <w:t>https://doi.org/10.47738/jads.v6i1.453</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4CC57C"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hAnsi="Arial" w:cs="Arial"/>
              </w:rPr>
              <w:t>This study developed and experimented with an AI-driven supermarket app to improve user experience and interface by conducting a mixed-methods usability analysis. The authors created the app based on the users’ preferences; afterwards, they subjected it to quantitative testing, including Maze software and Nielsen-based questionnaires; finally, 80 percent of tasks were completed with a middle usability mark of 59 percent. In addition, learnability (85 percent), efficiency (80 percent), and memorability (83 percent) were rated high, and accuracy (60 percent) and satisfaction (50 percent) were rated high. Qualitative interviews and observations were performed, which revealed layout problems and feature deficiencies. As such, the paper proved that using quantitative measures alongside user stories provided a holistic outline of iterating retail app design.</w:t>
            </w:r>
          </w:p>
        </w:tc>
      </w:tr>
      <w:tr w:rsidR="000A0DBB" w:rsidRPr="000A0DBB" w14:paraId="41085578"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C7F795"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t>Quindimil, M. (2024). Artificial Intelligence and International Trade from a Latin American Perspective. </w:t>
            </w:r>
            <w:r w:rsidRPr="000A0DBB">
              <w:rPr>
                <w:rStyle w:val="Emphasis"/>
                <w:rFonts w:ascii="Arial" w:hAnsi="Arial" w:cs="Arial"/>
              </w:rPr>
              <w:t>Global Trade and Customs Journal</w:t>
            </w:r>
            <w:r w:rsidRPr="000A0DBB">
              <w:rPr>
                <w:rFonts w:ascii="Arial" w:hAnsi="Arial" w:cs="Arial"/>
              </w:rPr>
              <w:t>, </w:t>
            </w:r>
            <w:r w:rsidRPr="000A0DBB">
              <w:rPr>
                <w:rStyle w:val="Emphasis"/>
                <w:rFonts w:ascii="Arial" w:hAnsi="Arial" w:cs="Arial"/>
              </w:rPr>
              <w:t>19</w:t>
            </w:r>
            <w:r w:rsidRPr="000A0DBB">
              <w:rPr>
                <w:rFonts w:ascii="Arial" w:hAnsi="Arial" w:cs="Arial"/>
              </w:rPr>
              <w:t xml:space="preserve">(11/12). </w:t>
            </w:r>
            <w:hyperlink r:id="rId53" w:tgtFrame="_blank" w:history="1">
              <w:r w:rsidRPr="000A0DBB">
                <w:rPr>
                  <w:rStyle w:val="Hyperlink"/>
                  <w:rFonts w:ascii="Arial" w:hAnsi="Arial" w:cs="Arial"/>
                </w:rPr>
                <w:t>https://doi.org/10.54648/gtcj2024084</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7203CB"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hAnsi="Arial" w:cs="Arial"/>
              </w:rPr>
              <w:t xml:space="preserve">Given the regulatory obstacles and ethical dilemmas, the paper evaluated AI’s implications on international trade in the Latin American and Caribbean (LAC) region. The author explored the role of friction brought by the emerging use of AI, which includes data privacy and human rights implications that were not previously covered by the existing trade agreements. In addition, the paper also identified avenues of cost savings and efficiency but indicated constraints in infrastructure and skills on how the adoption of AI in developing economies was limited. As a result, non-restrictive regulatory modalities were also suggested to encourage foreign investment, enhance digital exports, and simplify cross-border data flows. Lastly, the paper suggested </w:t>
            </w:r>
            <w:r w:rsidRPr="000A0DBB">
              <w:rPr>
                <w:rFonts w:ascii="Arial" w:hAnsi="Arial" w:cs="Arial"/>
              </w:rPr>
              <w:lastRenderedPageBreak/>
              <w:t>that LAC states needed to lead in WTO negotiations and regional agreements to influence global digital governance principles and maximise the value of AI in trade.</w:t>
            </w:r>
          </w:p>
        </w:tc>
      </w:tr>
      <w:tr w:rsidR="000A0DBB" w:rsidRPr="000A0DBB" w14:paraId="41FC7744"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C3A472"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lastRenderedPageBreak/>
              <w:t>Espinoza, M.M.C. and Gal’Lino, M.A.C., 2024. Sustainability, Technology, and Communication in Retail Management: Challenges and Opportunities in Peru. </w:t>
            </w:r>
            <w:r w:rsidRPr="000A0DBB">
              <w:rPr>
                <w:rStyle w:val="Emphasis"/>
                <w:rFonts w:ascii="Arial" w:hAnsi="Arial" w:cs="Arial"/>
              </w:rPr>
              <w:t>The Palgrave Handbook of Sustainability in Fashion</w:t>
            </w:r>
            <w:r w:rsidRPr="000A0DBB">
              <w:rPr>
                <w:rFonts w:ascii="Arial" w:hAnsi="Arial" w:cs="Arial"/>
              </w:rPr>
              <w:t xml:space="preserve">, pp. 293-308. </w:t>
            </w:r>
            <w:hyperlink r:id="rId54" w:anchor="page=310" w:tgtFrame="_blank" w:history="1">
              <w:r w:rsidRPr="000A0DBB">
                <w:rPr>
                  <w:rStyle w:val="Hyperlink"/>
                  <w:rFonts w:ascii="Arial" w:hAnsi="Arial" w:cs="Arial"/>
                </w:rPr>
                <w:t>https://flore.unifi.it/bitstream/2158/1407080/2/978-3-031-69682-4.pdf#page=310</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88B109"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hAnsi="Arial" w:cs="Arial"/>
              </w:rPr>
              <w:t>The study explained how Peruvian fashion retailers incorporated sustainability, technology, and communication to streamline logistics and reach their consumers. The authors developed the identified strategies through extensive fieldwork and content analysis, in which practices integrating AI-driven inventory management with environmentally friendly practices were identified. Additionally, they analysed the communication levels among sustainability efforts of various companies, which exposed inadequacies in engaging the stakeholders. The results indicated that technology has worked regarding the operational efficiency of firms, but firms were unable to connect sustainability messages to consumer values. As a result, the study provided a guide on how fashion retailers can implement AI tools, such as predictive ordering and digital traceability, to ensure open communication regarding environmental efforts. Overall, the work shed light on the peculiarities and perspectives of AI and sustainable retail in Peru.</w:t>
            </w:r>
          </w:p>
        </w:tc>
      </w:tr>
      <w:tr w:rsidR="000A0DBB" w:rsidRPr="000A0DBB" w14:paraId="4618A438"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D78531C"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t>Hadjitchoneva, J., Ruff, C., Ruiz, M., and Matheu, A., 2021, June. The use of artificial intelligence in the online retail sector: the case of the eBag supermarket. In the </w:t>
            </w:r>
            <w:r w:rsidRPr="000A0DBB">
              <w:rPr>
                <w:rStyle w:val="Emphasis"/>
                <w:rFonts w:ascii="Arial" w:hAnsi="Arial" w:cs="Arial"/>
              </w:rPr>
              <w:t>2021 16th Iberian Conference on Information Systems and Technologies (CISTI)</w:t>
            </w:r>
            <w:r w:rsidRPr="000A0DBB">
              <w:rPr>
                <w:rFonts w:ascii="Arial" w:hAnsi="Arial" w:cs="Arial"/>
              </w:rPr>
              <w:t xml:space="preserve"> (pp. 1-8). IEEE. </w:t>
            </w:r>
            <w:hyperlink r:id="rId55" w:tgtFrame="_blank" w:history="1">
              <w:r w:rsidRPr="000A0DBB">
                <w:rPr>
                  <w:rStyle w:val="Hyperlink"/>
                  <w:rFonts w:ascii="Arial" w:hAnsi="Arial" w:cs="Arial"/>
                </w:rPr>
                <w:t>https://doi.org/10.23919/CISTI52073.2021.9476484</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18FFC2"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hAnsi="Arial" w:cs="Arial"/>
              </w:rPr>
              <w:t xml:space="preserve">A mixed-method approach was used to analyse the application of AI in the eBag online tech bazaar in Bulgaria using statistical Big Data methods (biplot) and semi-structured interviews with the people in charge of AI. The authors first collected performance data, and second, they used semi-structured interviews to answer the question of the role of AI in business model transformations. The results indicated that AI had streamlined the supply chain functions and customised the customer offers, eventually enhancing market performance. In addition, the study suggested innovation models that fit the situation of online grocery retail and prescribed best practices to combine AI with legacy systems. Finally, the study revealed that, through AI and big data analytics, even emerging market supermarkets, amid </w:t>
            </w:r>
            <w:r w:rsidRPr="000A0DBB">
              <w:rPr>
                <w:rFonts w:ascii="Arial" w:hAnsi="Arial" w:cs="Arial"/>
              </w:rPr>
              <w:lastRenderedPageBreak/>
              <w:t>resource-limiting situations, could emerge as competitively differentiated.</w:t>
            </w:r>
          </w:p>
        </w:tc>
      </w:tr>
      <w:tr w:rsidR="000A0DBB" w:rsidRPr="000A0DBB" w14:paraId="688DB8C0"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60E404"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lastRenderedPageBreak/>
              <w:t>Mohan, S., 2021. Artificial intelligence in retail. In </w:t>
            </w:r>
            <w:r w:rsidRPr="000A0DBB">
              <w:rPr>
                <w:rStyle w:val="Emphasis"/>
                <w:rFonts w:ascii="Arial" w:hAnsi="Arial" w:cs="Arial"/>
              </w:rPr>
              <w:t>Demystifying AI for the Enterprise</w:t>
            </w:r>
            <w:r w:rsidRPr="000A0DBB">
              <w:rPr>
                <w:rFonts w:ascii="Arial" w:hAnsi="Arial" w:cs="Arial"/>
              </w:rPr>
              <w:t> (pp. 193-222). Productivity Press.</w:t>
            </w:r>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1847F8"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hAnsi="Arial" w:cs="Arial"/>
              </w:rPr>
              <w:t>The study reviewed world, global, and regional AI/ML retail applications, focusing on geography-specific issues. Mohan initially traced the history of technological innovations in the retail field (the implementation of barcodes up to modern e-commerce). He stated that data availability made the AI/ML tools necessary. In addition, the author talked about how the developed markets emphasised automation and labour reduction among developing markets but struggled with infrastructure disparities and uneven adoption of e-commerce. Customer experience and satisfaction proved to be the important topics, and their case studies depicted personalised recommendations and demand prediction. The study provided practitioners with a fine-grained model of adopting AI in varied markets by emphasising local contexts represented by consumer behaviour and regulatory frameworks to be considered in retail innovations.</w:t>
            </w:r>
          </w:p>
        </w:tc>
      </w:tr>
      <w:tr w:rsidR="000A0DBB" w:rsidRPr="000A0DBB" w14:paraId="1D5D4240"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F59EC7" w14:textId="77777777" w:rsidR="000A0DBB" w:rsidRPr="000A0DBB" w:rsidRDefault="000A0DBB" w:rsidP="001211E5">
            <w:pPr>
              <w:spacing w:line="360" w:lineRule="auto"/>
              <w:ind w:left="360"/>
              <w:jc w:val="both"/>
              <w:rPr>
                <w:rFonts w:ascii="Arial" w:eastAsia="Times New Roman" w:hAnsi="Arial" w:cs="Arial"/>
                <w:color w:val="000000" w:themeColor="text1"/>
              </w:rPr>
            </w:pPr>
            <w:r w:rsidRPr="000A0DBB">
              <w:rPr>
                <w:rFonts w:ascii="Arial" w:hAnsi="Arial" w:cs="Arial"/>
              </w:rPr>
              <w:t>Awais, M., 2024. Optimising dynamic pricing through AI-powered real-time analytics: The influence of customer behaviour and market competition. </w:t>
            </w:r>
            <w:r w:rsidRPr="000A0DBB">
              <w:rPr>
                <w:rStyle w:val="Emphasis"/>
                <w:rFonts w:ascii="Arial" w:hAnsi="Arial" w:cs="Arial"/>
              </w:rPr>
              <w:t>Qlantic Journal of Social Sciences</w:t>
            </w:r>
            <w:r w:rsidRPr="000A0DBB">
              <w:rPr>
                <w:rFonts w:ascii="Arial" w:hAnsi="Arial" w:cs="Arial"/>
              </w:rPr>
              <w:t>, </w:t>
            </w:r>
            <w:r w:rsidRPr="000A0DBB">
              <w:rPr>
                <w:rStyle w:val="Emphasis"/>
                <w:rFonts w:ascii="Arial" w:hAnsi="Arial" w:cs="Arial"/>
              </w:rPr>
              <w:t>5</w:t>
            </w:r>
            <w:r w:rsidRPr="000A0DBB">
              <w:rPr>
                <w:rFonts w:ascii="Arial" w:hAnsi="Arial" w:cs="Arial"/>
              </w:rPr>
              <w:t xml:space="preserve">(3), pp. 99–108. </w:t>
            </w:r>
            <w:hyperlink r:id="rId56" w:tgtFrame="_blank" w:history="1">
              <w:r w:rsidRPr="000A0DBB">
                <w:rPr>
                  <w:rStyle w:val="Hyperlink"/>
                  <w:rFonts w:ascii="Arial" w:hAnsi="Arial" w:cs="Arial"/>
                </w:rPr>
                <w:t>https://qjss.com.pk/index.php/qjss/article/download/149/136/293</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D909E4"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t>This paper discusses the pricing aspect in Pakistan, where real-time analytics and AI-powered pricing put its competitors at a disadvantage as prices change according to market trends and customer behaviour. Through quantitative approaches, it is disclosed that AI use significantly improves pricing efficiency; however, the advantage wanes in high price-sensitive markets. Therefore, companies must balance the strategic use of AI and measuring the consumer response. The paper provides realistic advice to businesses that want to perfect real-time pricing, concentrating on rivalry volume and customer preference. Furthermore, it adds to the empirical literature on AI inclusion in business models, thereby setting the basis for additional studies concerning pricing decisions in different market circumstances.</w:t>
            </w:r>
          </w:p>
        </w:tc>
      </w:tr>
      <w:tr w:rsidR="000A0DBB" w:rsidRPr="000A0DBB" w14:paraId="3FFB3FDE"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C36399"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t xml:space="preserve">Badmus, O., Rajput, S.A., Arogundade, J.B., and Williams, M., 2024. AI-driven business analytics </w:t>
            </w:r>
            <w:r w:rsidRPr="000A0DBB">
              <w:rPr>
                <w:rFonts w:ascii="Arial" w:hAnsi="Arial" w:cs="Arial"/>
              </w:rPr>
              <w:lastRenderedPageBreak/>
              <w:t>and decision-making. </w:t>
            </w:r>
            <w:r w:rsidRPr="000A0DBB">
              <w:rPr>
                <w:rStyle w:val="Emphasis"/>
                <w:rFonts w:ascii="Arial" w:hAnsi="Arial" w:cs="Arial"/>
              </w:rPr>
              <w:t>World Journal of Advanced Research and Reviews</w:t>
            </w:r>
            <w:r w:rsidRPr="000A0DBB">
              <w:rPr>
                <w:rFonts w:ascii="Arial" w:hAnsi="Arial" w:cs="Arial"/>
              </w:rPr>
              <w:t>, </w:t>
            </w:r>
            <w:r w:rsidRPr="000A0DBB">
              <w:rPr>
                <w:rStyle w:val="Emphasis"/>
                <w:rFonts w:ascii="Arial" w:hAnsi="Arial" w:cs="Arial"/>
              </w:rPr>
              <w:t>24</w:t>
            </w:r>
            <w:r w:rsidRPr="000A0DBB">
              <w:rPr>
                <w:rFonts w:ascii="Arial" w:hAnsi="Arial" w:cs="Arial"/>
              </w:rPr>
              <w:t xml:space="preserve">(1), pp. 616–633. </w:t>
            </w:r>
            <w:hyperlink r:id="rId57" w:tgtFrame="_blank" w:history="1">
              <w:r w:rsidRPr="000A0DBB">
                <w:rPr>
                  <w:rStyle w:val="Hyperlink"/>
                  <w:rFonts w:ascii="Arial" w:hAnsi="Arial" w:cs="Arial"/>
                </w:rPr>
                <w:t>https://wjarr.com/sites/default/files/WJARR-2024-3093.pdf</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BD0AFF5"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lastRenderedPageBreak/>
              <w:t xml:space="preserve">This article investigates the role of AI and its application in business analytics globally and explains how organisations use AI-enabled business analytics to change the decision-making process. It elaborates on how AI integrates with BI </w:t>
            </w:r>
            <w:r w:rsidRPr="000A0DBB">
              <w:rPr>
                <w:rFonts w:ascii="Arial" w:hAnsi="Arial" w:cs="Arial"/>
              </w:rPr>
              <w:lastRenderedPageBreak/>
              <w:t>tools, especially in SAP environments. It also offers real-time insights that help improve supply chain management and effectiveness. The authors suggest that automation minimises human participation and increases the rate of forecasts; thus, enterprises can take proactive measures in the fast-paced markets. Such documents as project reports and case studies enable finding real evidence of profit or cost savings and resource optimisation. Nevertheless, it also highlights the need for strong data governance, integration planning of systems, and workforce preparedness such that AI-facilitated architectures can churn sustainable competitive advantages.</w:t>
            </w:r>
          </w:p>
        </w:tc>
      </w:tr>
      <w:tr w:rsidR="000A0DBB" w:rsidRPr="000A0DBB" w14:paraId="34E1448C"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CDF6DA" w14:textId="77777777" w:rsidR="000A0DBB" w:rsidRPr="000A0DBB" w:rsidRDefault="000A0DBB" w:rsidP="001211E5">
            <w:pPr>
              <w:spacing w:line="360" w:lineRule="auto"/>
              <w:ind w:left="360"/>
              <w:jc w:val="both"/>
              <w:rPr>
                <w:rFonts w:ascii="Arial" w:eastAsia="Times New Roman" w:hAnsi="Arial" w:cs="Arial"/>
                <w:color w:val="000000" w:themeColor="text1"/>
              </w:rPr>
            </w:pPr>
            <w:r w:rsidRPr="000A0DBB">
              <w:rPr>
                <w:rFonts w:ascii="Arial" w:hAnsi="Arial" w:cs="Arial"/>
              </w:rPr>
              <w:lastRenderedPageBreak/>
              <w:t xml:space="preserve">Cherukuri, B.R., 2024. AI-powered personalisation: How machine learning is shaping the future of user experience. </w:t>
            </w:r>
            <w:r w:rsidRPr="000A0DBB">
              <w:rPr>
                <w:rStyle w:val="Emphasis"/>
                <w:rFonts w:ascii="Arial" w:hAnsi="Arial" w:cs="Arial"/>
              </w:rPr>
              <w:t>International Journal of Science and Research Archive, 12</w:t>
            </w:r>
            <w:r w:rsidRPr="000A0DBB">
              <w:rPr>
                <w:rFonts w:ascii="Arial" w:hAnsi="Arial" w:cs="Arial"/>
              </w:rPr>
              <w:t xml:space="preserve">(01), pp.3111-3126. </w:t>
            </w:r>
            <w:hyperlink r:id="rId58" w:tgtFrame="_blank" w:history="1">
              <w:r w:rsidRPr="000A0DBB">
                <w:rPr>
                  <w:rStyle w:val="Hyperlink"/>
                  <w:rFonts w:ascii="Arial" w:hAnsi="Arial" w:cs="Arial"/>
                </w:rPr>
                <w:t>https://ijsra.net/sites/default/files/IJSRA-2024-0961.pdf</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83BC73"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t>This paper explores artificially intelligent-driven personalisation initiatives in e-commerce, social, and SaaS applications and presents how machine learning adapts user experiences. It describes how simple propensity engines have led to advanced predictive models providing content with features per individual preferences. Moreover, it addresses how AI can be used in targeted advertisement, dynamic pricing, and content management, thus improving customer activities and business performance. However, the author also points out interesting issues around data confidentiality, algorithmic bias, and ethical principles in deep data mining. Accordingly, even though personalisation leads to easier user experiences and higher customer loyalty, organisations must use transparent AI practices and data protection policies to avoid losing users’ trust and adhere to new regulations.</w:t>
            </w:r>
          </w:p>
        </w:tc>
      </w:tr>
      <w:tr w:rsidR="000A0DBB" w:rsidRPr="000A0DBB" w14:paraId="50680503"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0F6E40"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t xml:space="preserve">Dwivedi, Y.K., Hughes, L., Ismagilova, E., Aarts, G., Coombs, C., Crick, T., Duan, Y., Dwivedi, R., Edwards, J., Eirug, A., and Galanos, V., 2021. Artificial Intelligence (AI): Multidisciplinary </w:t>
            </w:r>
            <w:r w:rsidRPr="000A0DBB">
              <w:rPr>
                <w:rFonts w:ascii="Arial" w:hAnsi="Arial" w:cs="Arial"/>
              </w:rPr>
              <w:lastRenderedPageBreak/>
              <w:t>perspectives on emerging challenges, opportunities, and agenda for research, practice, and policy. </w:t>
            </w:r>
            <w:r w:rsidRPr="000A0DBB">
              <w:rPr>
                <w:rStyle w:val="Emphasis"/>
                <w:rFonts w:ascii="Arial" w:hAnsi="Arial" w:cs="Arial"/>
              </w:rPr>
              <w:t>International Journal of Information Management</w:t>
            </w:r>
            <w:r w:rsidRPr="000A0DBB">
              <w:rPr>
                <w:rFonts w:ascii="Arial" w:hAnsi="Arial" w:cs="Arial"/>
              </w:rPr>
              <w:t>, </w:t>
            </w:r>
            <w:r w:rsidRPr="000A0DBB">
              <w:rPr>
                <w:rStyle w:val="Emphasis"/>
                <w:rFonts w:ascii="Arial" w:hAnsi="Arial" w:cs="Arial"/>
              </w:rPr>
              <w:t>57</w:t>
            </w:r>
            <w:r w:rsidRPr="000A0DBB">
              <w:rPr>
                <w:rFonts w:ascii="Arial" w:hAnsi="Arial" w:cs="Arial"/>
              </w:rPr>
              <w:t xml:space="preserve">, p.101994. </w:t>
            </w:r>
            <w:hyperlink r:id="rId59" w:tgtFrame="_blank" w:history="1">
              <w:r w:rsidRPr="000A0DBB">
                <w:rPr>
                  <w:rStyle w:val="Hyperlink"/>
                  <w:rFonts w:ascii="Arial" w:hAnsi="Arial" w:cs="Arial"/>
                </w:rPr>
                <w:t>https://www.sciencedirect.com/science/article/abs/pii/S026840121930917X</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055A5B"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lastRenderedPageBreak/>
              <w:t xml:space="preserve">This interdisciplinary report shows a worldwide report of the transformative possibility of AI across sectors, including retail, by integrating the expert’s views in the business, government, and technology sectors. It follows the fast development of AI, especially related to autonomous decision-making, and explores its potential implications in supply chain and logistics areas. In addition, it defines areas of research and policy agendas to control the implications of </w:t>
            </w:r>
            <w:r w:rsidRPr="000A0DBB">
              <w:rPr>
                <w:rFonts w:ascii="Arial" w:hAnsi="Arial" w:cs="Arial"/>
              </w:rPr>
              <w:lastRenderedPageBreak/>
              <w:t>AI for society. The authors believe that developing a responsible AI should balance innovations and ethical protection; therefore, they introduce transparency, accountability, and cross-sector collaboration frameworks. In general, this work creates a comprehensive picture of the opportunities and challenges of AI, thus suggesting how practitioners and policymakers can formulate strategies that can determine the best product and minimise dangers.</w:t>
            </w:r>
          </w:p>
        </w:tc>
      </w:tr>
      <w:tr w:rsidR="000A0DBB" w:rsidRPr="000A0DBB" w14:paraId="08C8B4C0"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952785"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lastRenderedPageBreak/>
              <w:t>George, A.S., 2024. Bracing for the coming AI tsunami: Preparing the global workforce for displacement and inequality in the age of accelerating technological advancement. </w:t>
            </w:r>
            <w:r w:rsidRPr="000A0DBB">
              <w:rPr>
                <w:rStyle w:val="Emphasis"/>
                <w:rFonts w:ascii="Arial" w:hAnsi="Arial" w:cs="Arial"/>
              </w:rPr>
              <w:t>Partners Universal Innovative Research Publication</w:t>
            </w:r>
            <w:r w:rsidRPr="000A0DBB">
              <w:rPr>
                <w:rFonts w:ascii="Arial" w:hAnsi="Arial" w:cs="Arial"/>
              </w:rPr>
              <w:t>, </w:t>
            </w:r>
            <w:r w:rsidRPr="000A0DBB">
              <w:rPr>
                <w:rStyle w:val="Emphasis"/>
                <w:rFonts w:ascii="Arial" w:hAnsi="Arial" w:cs="Arial"/>
              </w:rPr>
              <w:t>2</w:t>
            </w:r>
            <w:r w:rsidRPr="000A0DBB">
              <w:rPr>
                <w:rFonts w:ascii="Arial" w:hAnsi="Arial" w:cs="Arial"/>
              </w:rPr>
              <w:t xml:space="preserve">(3), pp. 126–146. </w:t>
            </w:r>
            <w:hyperlink r:id="rId60" w:tgtFrame="_blank" w:history="1">
              <w:r w:rsidRPr="000A0DBB">
                <w:rPr>
                  <w:rStyle w:val="Hyperlink"/>
                  <w:rFonts w:ascii="Arial" w:hAnsi="Arial" w:cs="Arial"/>
                </w:rPr>
                <w:t>https://puirp.com/index.php/research/article/view/61</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19F495"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t>The paper cautions of an imminent global AI tsunami likely to drown retail jobs and uses IMF forecasts to reinforce how jobs will be lost. It records automation patterns in machine learning and evaluates the danger of jobs in developed and developing markets. Although up to 133 million AI-powered jobs can be created, the authors assert that net job losses will occur, particularly in low-skill jobs. As a result, they actively encourage urgent policy exercises, like retraining programs, transferable gains, and prejudice-observing tools, to help powerless employees. Further, the paper identifies disparities in which wealthy geographies enjoy unfair AI benefits; hence, it recommends that retail transformation arising out of AI should incorporate inclusive policies that will promote equal economic prosperity across nations.</w:t>
            </w:r>
          </w:p>
        </w:tc>
      </w:tr>
      <w:tr w:rsidR="000A0DBB" w:rsidRPr="000A0DBB" w14:paraId="0F48E65E"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CADB35" w14:textId="77777777" w:rsidR="000A0DBB" w:rsidRPr="000A0DBB" w:rsidRDefault="000A0DBB" w:rsidP="001211E5">
            <w:pPr>
              <w:spacing w:line="360" w:lineRule="auto"/>
              <w:ind w:left="360"/>
              <w:jc w:val="both"/>
              <w:rPr>
                <w:rFonts w:ascii="Arial" w:eastAsia="Times New Roman" w:hAnsi="Arial" w:cs="Arial"/>
                <w:color w:val="000000" w:themeColor="text1"/>
              </w:rPr>
            </w:pPr>
            <w:r w:rsidRPr="000A0DBB">
              <w:rPr>
                <w:rFonts w:ascii="Arial" w:hAnsi="Arial" w:cs="Arial"/>
              </w:rPr>
              <w:t>Ghosh, S., Ness, S., and Salunkhe, S., 2024. The Role of AI-Enabled Chatbots in Omnichannel Customer Service. </w:t>
            </w:r>
            <w:r w:rsidRPr="000A0DBB">
              <w:rPr>
                <w:rStyle w:val="Emphasis"/>
                <w:rFonts w:ascii="Arial" w:hAnsi="Arial" w:cs="Arial"/>
              </w:rPr>
              <w:t>Journal of Engineering Research and Reports</w:t>
            </w:r>
            <w:r w:rsidRPr="000A0DBB">
              <w:rPr>
                <w:rFonts w:ascii="Arial" w:hAnsi="Arial" w:cs="Arial"/>
              </w:rPr>
              <w:t>, </w:t>
            </w:r>
            <w:r w:rsidRPr="000A0DBB">
              <w:rPr>
                <w:rStyle w:val="Emphasis"/>
                <w:rFonts w:ascii="Arial" w:hAnsi="Arial" w:cs="Arial"/>
              </w:rPr>
              <w:t>26</w:t>
            </w:r>
            <w:r w:rsidRPr="000A0DBB">
              <w:rPr>
                <w:rFonts w:ascii="Arial" w:hAnsi="Arial" w:cs="Arial"/>
              </w:rPr>
              <w:t xml:space="preserve">(6), pp. 327-345. </w:t>
            </w:r>
            <w:hyperlink r:id="rId61" w:tgtFrame="_blank" w:history="1">
              <w:r w:rsidRPr="000A0DBB">
                <w:rPr>
                  <w:rStyle w:val="Hyperlink"/>
                  <w:rFonts w:ascii="Arial" w:hAnsi="Arial" w:cs="Arial"/>
                </w:rPr>
                <w:t>https://www.researchgate.net/profile/Stephanie-Ness-</w:t>
              </w:r>
              <w:r w:rsidRPr="000A0DBB">
                <w:rPr>
                  <w:rStyle w:val="Hyperlink"/>
                  <w:rFonts w:ascii="Arial" w:hAnsi="Arial" w:cs="Arial"/>
                </w:rPr>
                <w:lastRenderedPageBreak/>
                <w:t>3/publication/381096092_The_Role_of_AI_Enabled_Chatbots_in_Omnichannel_Customer_Service/links/665c3492bc86444c7225a39c/The-Role-of-AI-Enabled-Chatbots-in-Omnichannel-Customer-Service.pdf?_tp=eyJjb250ZXh0Ijp7ImZpcnN0UGFnZSI6InB1YmxpY2F0aW9uIiwicGFnZSI6InB1YmxpY2F0aW9uIn19</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482F3B"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lastRenderedPageBreak/>
              <w:t xml:space="preserve">This paper examines the role of AI-enabled chatbots in omnichannel customer service response amongst British and American retail stores and observes that machine learning and natural language processing support a smooth flow of interaction across web-based, application programming, and messaging platforms. It asserts that chatbots automate support procedures and provide personalised help, increasing satisfaction and commitment. Nonetheless, the authors mention ethical issues, some related to data security and fair algorithmicity, having to be overcome with transparent AI governance. For example, they suggest </w:t>
            </w:r>
            <w:r w:rsidRPr="000A0DBB">
              <w:rPr>
                <w:rFonts w:ascii="Arial" w:hAnsi="Arial" w:cs="Arial"/>
              </w:rPr>
              <w:lastRenderedPageBreak/>
              <w:t>encryption protocols and bias audits to retain consumer trust. Comprehensively, this paper has shown that chatbots are a significant advancement in the retail sector. However, organisations need a responsible AI structure to understand their full potential without affecting customer privacy and fairness.</w:t>
            </w:r>
          </w:p>
        </w:tc>
      </w:tr>
      <w:tr w:rsidR="000A0DBB" w:rsidRPr="000A0DBB" w14:paraId="66444D39"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BA6841" w14:textId="77777777" w:rsidR="000A0DBB" w:rsidRPr="000A0DBB" w:rsidRDefault="000A0DBB" w:rsidP="001211E5">
            <w:pPr>
              <w:spacing w:line="360" w:lineRule="auto"/>
              <w:ind w:left="360"/>
              <w:jc w:val="both"/>
              <w:rPr>
                <w:rFonts w:ascii="Arial" w:eastAsia="Times New Roman" w:hAnsi="Arial" w:cs="Arial"/>
                <w:color w:val="000000" w:themeColor="text1"/>
              </w:rPr>
            </w:pPr>
            <w:r w:rsidRPr="000A0DBB">
              <w:rPr>
                <w:rFonts w:ascii="Arial" w:hAnsi="Arial" w:cs="Arial"/>
              </w:rPr>
              <w:lastRenderedPageBreak/>
              <w:t>Muthukalyani, A.R., 2023. Unlocking accurate demand forecasting in retail supply chains with AI-driven predictive analytics. </w:t>
            </w:r>
            <w:r w:rsidRPr="000A0DBB">
              <w:rPr>
                <w:rStyle w:val="Emphasis"/>
                <w:rFonts w:ascii="Arial" w:hAnsi="Arial" w:cs="Arial"/>
              </w:rPr>
              <w:t>Information Technology and Management</w:t>
            </w:r>
            <w:r w:rsidRPr="000A0DBB">
              <w:rPr>
                <w:rFonts w:ascii="Arial" w:hAnsi="Arial" w:cs="Arial"/>
              </w:rPr>
              <w:t>, </w:t>
            </w:r>
            <w:r w:rsidRPr="000A0DBB">
              <w:rPr>
                <w:rStyle w:val="Emphasis"/>
                <w:rFonts w:ascii="Arial" w:hAnsi="Arial" w:cs="Arial"/>
              </w:rPr>
              <w:t>14</w:t>
            </w:r>
            <w:r w:rsidRPr="000A0DBB">
              <w:rPr>
                <w:rFonts w:ascii="Arial" w:hAnsi="Arial" w:cs="Arial"/>
              </w:rPr>
              <w:t xml:space="preserve">(2), pp.48-57. </w:t>
            </w:r>
            <w:hyperlink r:id="rId62" w:tgtFrame="_blank" w:history="1">
              <w:r w:rsidRPr="000A0DBB">
                <w:rPr>
                  <w:rStyle w:val="Hyperlink"/>
                  <w:rFonts w:ascii="Arial" w:hAnsi="Arial" w:cs="Arial"/>
                </w:rPr>
                <w:t>https://iaeme.com/Home/article_id/IJITMIS_14_02_007</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3E8A16"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t>The article deals with AI-powered predictive analytics in retail supply chains in India, specifically demand forecasting and inventory optimisation. It discusses machine learning and deep learning solutions that study large volumes of transactional data to determine consumption patterns and forecast demand variations. As a result, retailers may decrease the possibility of stockouts and overstock and increase turnover rates. With the use of case studies, the author explains how accurate predictions lead to increased levels of profitability and customer satisfaction. The paper, however, warns that the quality of data and incessant improvement of the model also play a pioneering role in preserving accuracy. Thus, it advises that strong data pipes with feedback loops should be created to revise predictive models. Comprehensively, the work provides a roadmap for implementing AI analytics to maximise supply chain operations in emerging economies.</w:t>
            </w:r>
          </w:p>
        </w:tc>
      </w:tr>
      <w:tr w:rsidR="000A0DBB" w:rsidRPr="000A0DBB" w14:paraId="4BA6995C"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5537EBD" w14:textId="77777777" w:rsidR="000A0DBB" w:rsidRPr="000A0DBB" w:rsidRDefault="000A0DBB" w:rsidP="001211E5">
            <w:pPr>
              <w:spacing w:line="360" w:lineRule="auto"/>
              <w:ind w:left="360"/>
              <w:jc w:val="both"/>
              <w:rPr>
                <w:rFonts w:ascii="Arial" w:eastAsia="Times New Roman" w:hAnsi="Arial" w:cs="Arial"/>
                <w:color w:val="000000" w:themeColor="text1"/>
              </w:rPr>
            </w:pPr>
            <w:r w:rsidRPr="000A0DBB">
              <w:rPr>
                <w:rFonts w:ascii="Arial" w:hAnsi="Arial" w:cs="Arial"/>
              </w:rPr>
              <w:t>Oosthuizen, K., Botha, E., Robertson, J., &amp; Montecchi, M. (2021). Artificial intelligence in retail: The AI-enabled value chain. </w:t>
            </w:r>
            <w:r w:rsidRPr="000A0DBB">
              <w:rPr>
                <w:rStyle w:val="Emphasis"/>
                <w:rFonts w:ascii="Arial" w:hAnsi="Arial" w:cs="Arial"/>
              </w:rPr>
              <w:t xml:space="preserve">Australasian </w:t>
            </w:r>
            <w:r w:rsidRPr="000A0DBB">
              <w:rPr>
                <w:rStyle w:val="Emphasis"/>
                <w:rFonts w:ascii="Arial" w:hAnsi="Arial" w:cs="Arial"/>
              </w:rPr>
              <w:lastRenderedPageBreak/>
              <w:t>Marketing Journal</w:t>
            </w:r>
            <w:r w:rsidRPr="000A0DBB">
              <w:rPr>
                <w:rFonts w:ascii="Arial" w:hAnsi="Arial" w:cs="Arial"/>
              </w:rPr>
              <w:t>, </w:t>
            </w:r>
            <w:r w:rsidRPr="000A0DBB">
              <w:rPr>
                <w:rStyle w:val="Emphasis"/>
                <w:rFonts w:ascii="Arial" w:hAnsi="Arial" w:cs="Arial"/>
              </w:rPr>
              <w:t>29</w:t>
            </w:r>
            <w:r w:rsidRPr="000A0DBB">
              <w:rPr>
                <w:rFonts w:ascii="Arial" w:hAnsi="Arial" w:cs="Arial"/>
              </w:rPr>
              <w:t xml:space="preserve">(3), 264-273. </w:t>
            </w:r>
            <w:hyperlink r:id="rId63" w:tgtFrame="_blank" w:history="1">
              <w:r w:rsidRPr="000A0DBB">
                <w:rPr>
                  <w:rStyle w:val="Hyperlink"/>
                  <w:rFonts w:ascii="Arial" w:hAnsi="Arial" w:cs="Arial"/>
                </w:rPr>
                <w:t>https://scholar.sun.ac.za/server/api/core/bitstreams/b259eac8-ae99-490f-b3eb-ab49aebe9aef/content</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31FC3D"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lastRenderedPageBreak/>
              <w:t>The research is a qualitative study based in the Australasian region studying how AI changes the retail value chain using the Leavitt Diamond model and the jobs-to-be-done theory. It contends that AI transforms linear activities into a circle of data-orientated processes where the knowledge leads to repeated advancements. Besides, the study suggests an AI-</w:t>
            </w:r>
            <w:r w:rsidRPr="000A0DBB">
              <w:rPr>
                <w:rFonts w:ascii="Arial" w:hAnsi="Arial" w:cs="Arial"/>
              </w:rPr>
              <w:lastRenderedPageBreak/>
              <w:t>enabled value chain model that includes structure, technology, tasks, and people dimensions. In four interconnected articles, the authors describe how outcomes-based innovation influences AI implementation on various levels, especially regarding inventory management and dealing with consumers. As a result, they have analysed eight imperatives of effective implementation of AI within the business, giving preference to organisational change and workforce upskilling. This research offers a full-scale road map that retailers may follow to undergo AI transformation holistically concerning technical and human aspects.</w:t>
            </w:r>
          </w:p>
        </w:tc>
      </w:tr>
      <w:tr w:rsidR="000A0DBB" w:rsidRPr="000A0DBB" w14:paraId="4E5A272B"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563929" w14:textId="77777777" w:rsidR="000A0DBB" w:rsidRPr="000A0DBB" w:rsidRDefault="000A0DBB" w:rsidP="001211E5">
            <w:pPr>
              <w:spacing w:line="360" w:lineRule="auto"/>
              <w:ind w:left="360"/>
              <w:jc w:val="both"/>
              <w:rPr>
                <w:rFonts w:ascii="Arial" w:eastAsia="Times New Roman" w:hAnsi="Arial" w:cs="Arial"/>
                <w:color w:val="000000" w:themeColor="text1"/>
              </w:rPr>
            </w:pPr>
            <w:r w:rsidRPr="000A0DBB">
              <w:rPr>
                <w:rFonts w:ascii="Arial" w:hAnsi="Arial" w:cs="Arial"/>
              </w:rPr>
              <w:lastRenderedPageBreak/>
              <w:t>Rane, N., Choudhary, S.P., and Rane, J., 2024. Acceptance of artificial intelligence: Key factors, challenges, and implementation strategies. </w:t>
            </w:r>
            <w:r w:rsidRPr="000A0DBB">
              <w:rPr>
                <w:rStyle w:val="Emphasis"/>
                <w:rFonts w:ascii="Arial" w:hAnsi="Arial" w:cs="Arial"/>
              </w:rPr>
              <w:t>Journal of Applied Artificial Intelligence</w:t>
            </w:r>
            <w:r w:rsidRPr="000A0DBB">
              <w:rPr>
                <w:rFonts w:ascii="Arial" w:hAnsi="Arial" w:cs="Arial"/>
              </w:rPr>
              <w:t>, </w:t>
            </w:r>
            <w:r w:rsidRPr="000A0DBB">
              <w:rPr>
                <w:rStyle w:val="Emphasis"/>
                <w:rFonts w:ascii="Arial" w:hAnsi="Arial" w:cs="Arial"/>
              </w:rPr>
              <w:t>5</w:t>
            </w:r>
            <w:r w:rsidRPr="000A0DBB">
              <w:rPr>
                <w:rFonts w:ascii="Arial" w:hAnsi="Arial" w:cs="Arial"/>
              </w:rPr>
              <w:t xml:space="preserve">(2), pp. 50-70. </w:t>
            </w:r>
            <w:hyperlink r:id="rId64" w:tgtFrame="_blank" w:history="1">
              <w:r w:rsidRPr="000A0DBB">
                <w:rPr>
                  <w:rStyle w:val="Hyperlink"/>
                  <w:rFonts w:ascii="Arial" w:hAnsi="Arial" w:cs="Arial"/>
                </w:rPr>
                <w:t>https://sabapub.com/index.php/jaai/article/download/1017/658</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DBB275"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t>The present paper explores influences on the acceptance of AI in retailing situations among Indian and UK-based companies by using the TOE framework to evaluate technological readiness, perceived usefulness, and organisational support. It mentions essential obstacles, including data privacy issues and employee rejection, and emphasises explainable AI to promote trust. In addition, the researchers note the regulatory and educational measures required to enhance acceptance, such as transparency activities and cross-sector collaboration. It, therefore, provides practical guidelines to practitioners on overcoming adoption obstacles, i.e., the use of holistic training programs and the development of governance systems. This paper explains how stakeholder involvement and policy systems promote responsible AI’s rapid integration and adoption in the retail marketplace.</w:t>
            </w:r>
          </w:p>
        </w:tc>
      </w:tr>
      <w:tr w:rsidR="000A0DBB" w:rsidRPr="000A0DBB" w14:paraId="0F1ACBCE"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9D6F6A" w14:textId="77777777" w:rsidR="000A0DBB" w:rsidRPr="000A0DBB" w:rsidRDefault="000A0DBB" w:rsidP="001211E5">
            <w:pPr>
              <w:spacing w:line="360" w:lineRule="auto"/>
              <w:ind w:left="360"/>
              <w:jc w:val="both"/>
              <w:rPr>
                <w:rFonts w:ascii="Arial" w:hAnsi="Arial" w:cs="Arial"/>
                <w:color w:val="000000" w:themeColor="text1"/>
              </w:rPr>
            </w:pPr>
            <w:r w:rsidRPr="000A0DBB">
              <w:rPr>
                <w:rFonts w:ascii="Arial" w:hAnsi="Arial" w:cs="Arial"/>
              </w:rPr>
              <w:t>Taherdoost, H., 2021. Data collection methods and tools for research: a step-by-step guide to choosing a data collection technique for academic and business research projects. </w:t>
            </w:r>
            <w:r w:rsidRPr="000A0DBB">
              <w:rPr>
                <w:rStyle w:val="Emphasis"/>
                <w:rFonts w:ascii="Arial" w:hAnsi="Arial" w:cs="Arial"/>
              </w:rPr>
              <w:t xml:space="preserve">International Journal of Academic </w:t>
            </w:r>
            <w:r w:rsidRPr="000A0DBB">
              <w:rPr>
                <w:rStyle w:val="Emphasis"/>
                <w:rFonts w:ascii="Arial" w:hAnsi="Arial" w:cs="Arial"/>
              </w:rPr>
              <w:lastRenderedPageBreak/>
              <w:t>Research in Management (IJARM)</w:t>
            </w:r>
            <w:r w:rsidRPr="000A0DBB">
              <w:rPr>
                <w:rFonts w:ascii="Arial" w:hAnsi="Arial" w:cs="Arial"/>
              </w:rPr>
              <w:t>, </w:t>
            </w:r>
            <w:r w:rsidRPr="000A0DBB">
              <w:rPr>
                <w:rStyle w:val="Emphasis"/>
                <w:rFonts w:ascii="Arial" w:hAnsi="Arial" w:cs="Arial"/>
              </w:rPr>
              <w:t>10</w:t>
            </w:r>
            <w:r w:rsidRPr="000A0DBB">
              <w:rPr>
                <w:rFonts w:ascii="Arial" w:hAnsi="Arial" w:cs="Arial"/>
              </w:rPr>
              <w:t xml:space="preserve">(1), pp. 10-38. </w:t>
            </w:r>
            <w:hyperlink r:id="rId65" w:tgtFrame="_blank" w:history="1">
              <w:r w:rsidRPr="000A0DBB">
                <w:rPr>
                  <w:rStyle w:val="Hyperlink"/>
                  <w:rFonts w:ascii="Arial" w:hAnsi="Arial" w:cs="Arial"/>
                </w:rPr>
                <w:t>https://hal.science/hal-03741847v1</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C82AB1"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lastRenderedPageBreak/>
              <w:t xml:space="preserve">This guide to data collection approaches is not retail-specific but establishes fundamental knowledge about conducting AI research in consumer markets. It goes through qualitative and quantitative methods typologically in a systematic way, outlining their benefits, limitations, and ethical issues, including surveys, interviews, and sensor data. Therefore, retail researchers can select the right data sources for AI, making the research methodologically sound. Moreover, the author underlines that data type should be consistent with the </w:t>
            </w:r>
            <w:r w:rsidRPr="000A0DBB">
              <w:rPr>
                <w:rFonts w:ascii="Arial" w:hAnsi="Arial" w:cs="Arial"/>
              </w:rPr>
              <w:lastRenderedPageBreak/>
              <w:t>research goals, which is essential to developing predictive models or personalisation algorithms. Therefore, the paper is a guiding reference for any researcher and practitioner forced to make tough decisions about data collection in AI-driven retail research, ensuring higher validity and reliability of the results.</w:t>
            </w:r>
          </w:p>
        </w:tc>
      </w:tr>
      <w:tr w:rsidR="000A0DBB" w:rsidRPr="000A0DBB" w14:paraId="5C0F20EE"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0948EC" w14:textId="77777777" w:rsidR="000A0DBB" w:rsidRPr="000A0DBB" w:rsidRDefault="000A0DBB" w:rsidP="001211E5">
            <w:pPr>
              <w:spacing w:line="360" w:lineRule="auto"/>
              <w:ind w:left="360"/>
              <w:jc w:val="both"/>
              <w:rPr>
                <w:rFonts w:ascii="Arial" w:eastAsia="Times New Roman" w:hAnsi="Arial" w:cs="Arial"/>
                <w:color w:val="000000" w:themeColor="text1"/>
              </w:rPr>
            </w:pPr>
            <w:r w:rsidRPr="000A0DBB">
              <w:rPr>
                <w:rFonts w:ascii="Arial" w:hAnsi="Arial" w:cs="Arial"/>
              </w:rPr>
              <w:lastRenderedPageBreak/>
              <w:t>Thibault, R.T., Kovacs, M., Hardwicke, T.E., Sarafoglou, A., Ioannidis, J.P., and Munafò, M.R., 2023. Reducing bias in secondary data analysis via an Explore and Confirm Analysis Workflow (ECAW): A proposal and survey of observational researchers. </w:t>
            </w:r>
            <w:r w:rsidRPr="000A0DBB">
              <w:rPr>
                <w:rStyle w:val="Emphasis"/>
                <w:rFonts w:ascii="Arial" w:hAnsi="Arial" w:cs="Arial"/>
              </w:rPr>
              <w:t>Royal Society Open Science</w:t>
            </w:r>
            <w:r w:rsidRPr="000A0DBB">
              <w:rPr>
                <w:rFonts w:ascii="Arial" w:hAnsi="Arial" w:cs="Arial"/>
              </w:rPr>
              <w:t>, </w:t>
            </w:r>
            <w:r w:rsidRPr="000A0DBB">
              <w:rPr>
                <w:rStyle w:val="Emphasis"/>
                <w:rFonts w:ascii="Arial" w:hAnsi="Arial" w:cs="Arial"/>
              </w:rPr>
              <w:t>10</w:t>
            </w:r>
            <w:r w:rsidRPr="000A0DBB">
              <w:rPr>
                <w:rFonts w:ascii="Arial" w:hAnsi="Arial" w:cs="Arial"/>
              </w:rPr>
              <w:t xml:space="preserve">(10), p.230568. </w:t>
            </w:r>
            <w:hyperlink r:id="rId66" w:tgtFrame="_blank" w:history="1">
              <w:r w:rsidRPr="000A0DBB">
                <w:rPr>
                  <w:rStyle w:val="Hyperlink"/>
                  <w:rFonts w:ascii="Arial" w:hAnsi="Arial" w:cs="Arial"/>
                </w:rPr>
                <w:t>https://royalsocietypublishing.org/doi/epdf/10.1098/rsos.230568</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3F4A39"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t>This article, published in the Royal Society, suggests an Explore-Confirm Analysis Workflow (ECAW) to minimise bias in the analysis of secondary retailing data as a case study on the data on ALSPAC. It describes how the researchers can obtain a subset of data to create analysis scripts before obtaining access to all data, reducing the exploratory bias. According to the survey answers of 103 researchers, there is a broad acceptance of ECAWs, despite some hesitating about implementing new workflows. By extension, the authors believe that ECAWs can improve the transparency and reproducibility of AI-based retail research studies using large datasets of observations. Moreover, they suggest standards for registering and rewards to encourage increased partnership, which adds to confidence in the results of AI analytics.</w:t>
            </w:r>
          </w:p>
        </w:tc>
      </w:tr>
      <w:tr w:rsidR="000A0DBB" w:rsidRPr="000A0DBB" w14:paraId="4F55B68C"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6F3B74" w14:textId="77777777" w:rsidR="000A0DBB" w:rsidRPr="000A0DBB" w:rsidRDefault="000A0DBB" w:rsidP="001211E5">
            <w:pPr>
              <w:spacing w:line="360" w:lineRule="auto"/>
              <w:ind w:left="360"/>
              <w:jc w:val="both"/>
              <w:rPr>
                <w:rFonts w:ascii="Arial" w:eastAsia="Times New Roman" w:hAnsi="Arial" w:cs="Arial"/>
              </w:rPr>
            </w:pPr>
            <w:r w:rsidRPr="000A0DBB">
              <w:rPr>
                <w:rFonts w:ascii="Arial" w:hAnsi="Arial" w:cs="Arial"/>
              </w:rPr>
              <w:t xml:space="preserve">Zhang, N., 2024. </w:t>
            </w:r>
            <w:r w:rsidRPr="000A0DBB">
              <w:rPr>
                <w:rStyle w:val="Emphasis"/>
                <w:rFonts w:ascii="Arial" w:hAnsi="Arial" w:cs="Arial"/>
              </w:rPr>
              <w:t>Determinants of AI adoption for small and medium-sized enterprises (SMEs): Evidence from China</w:t>
            </w:r>
            <w:r w:rsidRPr="000A0DBB">
              <w:rPr>
                <w:rFonts w:ascii="Arial" w:hAnsi="Arial" w:cs="Arial"/>
              </w:rPr>
              <w:t xml:space="preserve">. University of Applied Sciences. </w:t>
            </w:r>
            <w:hyperlink r:id="rId67" w:tgtFrame="_blank" w:history="1">
              <w:r w:rsidRPr="000A0DBB">
                <w:rPr>
                  <w:rStyle w:val="Hyperlink"/>
                  <w:rFonts w:ascii="Arial" w:hAnsi="Arial" w:cs="Arial"/>
                </w:rPr>
                <w:t>https://www.theseus.fi/bitstream/handle/10024/874486/Zhang_Ningyu.pdf?sequence=2</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48A7B0"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t xml:space="preserve">Focusing on Chinese SMEs, this thesis utilises the TOE framework to discover the AI adoption motivators and hindrances in the local retail setting. It also finds weaknesses like a lack of data infrastructure, budget constraints, and talent shortages with the help of qualitative interviewing. However, it also emphasises enhanced decision-making and operational efficiency improvement as other benefits. In response, Zhang suggests funding initiatives by the government, specific training of employees, and investments in infrastructure to stir AI integration. The project also states that external drivers (market competition and regulatory incentives) affect the organisation’s readiness. Comprehensively, the piece provides theoretical and </w:t>
            </w:r>
            <w:r w:rsidRPr="000A0DBB">
              <w:rPr>
                <w:rFonts w:ascii="Arial" w:hAnsi="Arial" w:cs="Arial"/>
              </w:rPr>
              <w:lastRenderedPageBreak/>
              <w:t>practitioner sources of information that can guide small retailers in China to take advantage of the AI technologies that are revolutionising Chinese retail.</w:t>
            </w:r>
          </w:p>
        </w:tc>
      </w:tr>
      <w:tr w:rsidR="000A0DBB" w:rsidRPr="000A0DBB" w14:paraId="6EADDE61"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48E7C3"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bookmarkStart w:id="56" w:name="_Hlk201081634"/>
            <w:r w:rsidRPr="000A0DBB">
              <w:rPr>
                <w:rFonts w:ascii="Arial" w:hAnsi="Arial" w:cs="Arial"/>
              </w:rPr>
              <w:lastRenderedPageBreak/>
              <w:t>Pakbin, M., Rahmati Ghofrani, Y., and Shahroodi, K., 2024. Forecasting Demand and Optimising Product Ordering in the Supply Chain Using Artificial Intelligence. </w:t>
            </w:r>
            <w:r w:rsidRPr="000A0DBB">
              <w:rPr>
                <w:rStyle w:val="Emphasis"/>
                <w:rFonts w:ascii="Arial" w:hAnsi="Arial" w:cs="Arial"/>
              </w:rPr>
              <w:t>International Journal of Knowledge Processing Studies</w:t>
            </w:r>
            <w:r w:rsidRPr="000A0DBB">
              <w:rPr>
                <w:rFonts w:ascii="Arial" w:hAnsi="Arial" w:cs="Arial"/>
              </w:rPr>
              <w:t>, </w:t>
            </w:r>
            <w:r w:rsidRPr="000A0DBB">
              <w:rPr>
                <w:rStyle w:val="Emphasis"/>
                <w:rFonts w:ascii="Arial" w:hAnsi="Arial" w:cs="Arial"/>
              </w:rPr>
              <w:t>4</w:t>
            </w:r>
            <w:r w:rsidRPr="000A0DBB">
              <w:rPr>
                <w:rFonts w:ascii="Arial" w:hAnsi="Arial" w:cs="Arial"/>
              </w:rPr>
              <w:t xml:space="preserve">(4), pp.120-135. </w:t>
            </w:r>
            <w:hyperlink r:id="rId68" w:tgtFrame="_blank" w:history="1">
              <w:r w:rsidRPr="000A0DBB">
                <w:rPr>
                  <w:rStyle w:val="Hyperlink"/>
                  <w:rFonts w:ascii="Arial" w:hAnsi="Arial" w:cs="Arial"/>
                </w:rPr>
                <w:t>https://kps.artahub.ir/article_208285_1d1f5cf16f2db836545dead0a99c62e7.pdf</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EFE194" w14:textId="77777777" w:rsidR="000A0DBB" w:rsidRPr="000A0DBB" w:rsidRDefault="000A0DBB" w:rsidP="001211E5">
            <w:pPr>
              <w:spacing w:line="360" w:lineRule="auto"/>
              <w:jc w:val="both"/>
              <w:rPr>
                <w:rFonts w:ascii="Arial" w:eastAsia="Times New Roman" w:hAnsi="Arial" w:cs="Arial"/>
                <w:color w:val="0E101A"/>
              </w:rPr>
            </w:pPr>
            <w:r w:rsidRPr="000A0DBB">
              <w:rPr>
                <w:rFonts w:ascii="Arial" w:hAnsi="Arial" w:cs="Arial"/>
              </w:rPr>
              <w:t>This paper established the use of AI in improving demand determination and product orders at the Kale Dairy Company of Iran. The authors initially used a fuzzy Delphi panel and semi-structured interviews to determine primary drivers—warehouse levels, past sales, customer changes, rival positions, and regulations. They then employed a multilayer perceptron neural network in MATLAB to produce demand forecasts. The predictions were relatively close to the values, thus indicating that average squared error values were acceptable with high levels of fluctuations in the market. Accordingly, the paper has revealed how inventory wastage and superfluous stock have been raised considerably using AI-driven forecasting. Hence, this study provided real-world suggestions on utilising AI to make accurate ordering choices and enhance customer satisfaction.</w:t>
            </w:r>
          </w:p>
        </w:tc>
      </w:tr>
      <w:tr w:rsidR="000A0DBB" w:rsidRPr="000A0DBB" w14:paraId="7F77F060"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39137F"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t>Du, S. and Xie, C., 2021. Paradoxes of artificial intelligence in consumer markets: Ethical challenges and opportunities. </w:t>
            </w:r>
            <w:r w:rsidRPr="000A0DBB">
              <w:rPr>
                <w:rStyle w:val="Emphasis"/>
                <w:rFonts w:ascii="Arial" w:hAnsi="Arial" w:cs="Arial"/>
              </w:rPr>
              <w:t>Journal of Business Research</w:t>
            </w:r>
            <w:r w:rsidRPr="000A0DBB">
              <w:rPr>
                <w:rFonts w:ascii="Arial" w:hAnsi="Arial" w:cs="Arial"/>
              </w:rPr>
              <w:t>, </w:t>
            </w:r>
            <w:r w:rsidRPr="000A0DBB">
              <w:rPr>
                <w:rStyle w:val="Emphasis"/>
                <w:rFonts w:ascii="Arial" w:hAnsi="Arial" w:cs="Arial"/>
              </w:rPr>
              <w:t>129</w:t>
            </w:r>
            <w:r w:rsidRPr="000A0DBB">
              <w:rPr>
                <w:rFonts w:ascii="Arial" w:hAnsi="Arial" w:cs="Arial"/>
              </w:rPr>
              <w:t xml:space="preserve">, pp. 961-974. </w:t>
            </w:r>
            <w:hyperlink r:id="rId69" w:tgtFrame="_blank" w:history="1">
              <w:r w:rsidRPr="000A0DBB">
                <w:rPr>
                  <w:rStyle w:val="Hyperlink"/>
                  <w:rFonts w:ascii="Arial" w:hAnsi="Arial" w:cs="Arial"/>
                </w:rPr>
                <w:t>https://doi.org/10.1016/j.jbusres.2020.08.024</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BADA3F5" w14:textId="77777777" w:rsidR="000A0DBB" w:rsidRPr="000A0DBB" w:rsidRDefault="000A0DBB" w:rsidP="001211E5">
            <w:pPr>
              <w:spacing w:line="360" w:lineRule="auto"/>
              <w:jc w:val="both"/>
              <w:rPr>
                <w:rFonts w:ascii="Arial" w:eastAsia="Calibri" w:hAnsi="Arial" w:cs="Arial"/>
                <w:color w:val="000000" w:themeColor="text1"/>
              </w:rPr>
            </w:pPr>
            <w:r w:rsidRPr="000A0DBB">
              <w:rPr>
                <w:rFonts w:ascii="Arial" w:hAnsi="Arial" w:cs="Arial"/>
              </w:rPr>
              <w:t>This paper explores ethical paradoxes related to AI products in consumer markets through a socio-technological approach. It defined three dimensions of AI products: multi-functionality, interactivity, and intelligence stage, and investigated their ethical consequences on the levels of product, consumer, and society. Additionally, the authors found central moral issues such as bias in algorithms, infringements of privacy, cybersecurity hazards, and effects on autonomy and employment. Hence, they recommended a CSR-focused framework based on stakeholder and institutional theories, which described how companies could implement responsible AI practices based on their product, organisational, and environmental settings. Lastly, the paper encouraged future inquiry into AI ethics and CSR, thus steering scholars and practitioners towards even-handed innovation that spared consumer well-being.</w:t>
            </w:r>
          </w:p>
        </w:tc>
      </w:tr>
      <w:tr w:rsidR="000A0DBB" w:rsidRPr="000A0DBB" w14:paraId="36F54063"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4D952D"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t xml:space="preserve">Onesi-Ozigagun, O., Ololade, Y.J., Eyo-Udo, </w:t>
            </w:r>
            <w:r w:rsidRPr="000A0DBB">
              <w:rPr>
                <w:rFonts w:ascii="Arial" w:hAnsi="Arial" w:cs="Arial"/>
              </w:rPr>
              <w:lastRenderedPageBreak/>
              <w:t>N.L., and Oluwaseun, D., 2024. Data-driven decision-making: Shaping the future of business efficiency and customer engagement. </w:t>
            </w:r>
            <w:r w:rsidRPr="000A0DBB">
              <w:rPr>
                <w:rStyle w:val="Emphasis"/>
                <w:rFonts w:ascii="Arial" w:hAnsi="Arial" w:cs="Arial"/>
              </w:rPr>
              <w:t>International Journal of Multidisciplinary Research Updates</w:t>
            </w:r>
            <w:r w:rsidRPr="000A0DBB">
              <w:rPr>
                <w:rFonts w:ascii="Arial" w:hAnsi="Arial" w:cs="Arial"/>
              </w:rPr>
              <w:t>, </w:t>
            </w:r>
            <w:r w:rsidRPr="000A0DBB">
              <w:rPr>
                <w:rStyle w:val="Emphasis"/>
                <w:rFonts w:ascii="Arial" w:hAnsi="Arial" w:cs="Arial"/>
              </w:rPr>
              <w:t>7</w:t>
            </w:r>
            <w:r w:rsidRPr="000A0DBB">
              <w:rPr>
                <w:rFonts w:ascii="Arial" w:hAnsi="Arial" w:cs="Arial"/>
              </w:rPr>
              <w:t xml:space="preserve">(2), pp.19-29. </w:t>
            </w:r>
            <w:hyperlink r:id="rId70" w:tgtFrame="_blank" w:history="1">
              <w:r w:rsidRPr="000A0DBB">
                <w:rPr>
                  <w:rStyle w:val="Hyperlink"/>
                  <w:rFonts w:ascii="Arial" w:hAnsi="Arial" w:cs="Arial"/>
                </w:rPr>
                <w:t>https://www.researchgate.net/profile/Nsisong-Eyo-Udo/publication/380207624_Data-driven_decision_making_Shaping_the_future_of_business_efficiency_and_customer_engagement/links/6798b37b645ef274a44ccd9a/Data-driven-decision-making-Shaping-the-future-of-business-efficiency-and-customer-engagement.pdf</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60B464" w14:textId="77777777" w:rsidR="000A0DBB" w:rsidRPr="000A0DBB" w:rsidRDefault="000A0DBB" w:rsidP="001211E5">
            <w:pPr>
              <w:spacing w:line="360" w:lineRule="auto"/>
              <w:jc w:val="both"/>
              <w:rPr>
                <w:rFonts w:ascii="Arial" w:eastAsia="Calibri" w:hAnsi="Arial" w:cs="Arial"/>
                <w:color w:val="000000" w:themeColor="text1"/>
              </w:rPr>
            </w:pPr>
            <w:r w:rsidRPr="000A0DBB">
              <w:rPr>
                <w:rFonts w:ascii="Arial" w:hAnsi="Arial" w:cs="Arial"/>
              </w:rPr>
              <w:lastRenderedPageBreak/>
              <w:t xml:space="preserve">The paper investigated how data-driven decision-making (DDDM) has revolutionised global enterprises’ business </w:t>
            </w:r>
            <w:r w:rsidRPr="000A0DBB">
              <w:rPr>
                <w:rFonts w:ascii="Arial" w:hAnsi="Arial" w:cs="Arial"/>
              </w:rPr>
              <w:lastRenderedPageBreak/>
              <w:t>efficiency and customer engagement. In examining the analytics applications, the authors revealed that predictive models, which included on-demand forecasting, had allowed organisations to balance stocks and reduce excess and undersupply. Moreover, they demonstrated how data insights on real-time observations have led to cost-cutting measures and efficiency in resource deployment. On the customer end, DDDM facilitated personalised marketing campaigns based on behavioural analysis that commanded better engagement and conversion. Nevertheless, the research warned about information privacy and security and promoted ethical models and strong governance. In general, the study highlighted the centrality of DDDM in gaining a competitive edge in data-intensive markets.</w:t>
            </w:r>
          </w:p>
        </w:tc>
      </w:tr>
      <w:tr w:rsidR="000A0DBB" w:rsidRPr="000A0DBB" w14:paraId="0597F746"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B3EA8E"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lastRenderedPageBreak/>
              <w:t>Dolganova, O.I., 2021. Improving customer experience with artificial intelligence by adhering to ethical principles. </w:t>
            </w:r>
            <w:r w:rsidRPr="000A0DBB">
              <w:rPr>
                <w:rStyle w:val="Emphasis"/>
                <w:rFonts w:ascii="Arial" w:hAnsi="Arial" w:cs="Arial"/>
              </w:rPr>
              <w:t>Бизнес-информатика</w:t>
            </w:r>
            <w:r w:rsidRPr="000A0DBB">
              <w:rPr>
                <w:rFonts w:ascii="Arial" w:hAnsi="Arial" w:cs="Arial"/>
              </w:rPr>
              <w:t>, </w:t>
            </w:r>
            <w:r w:rsidRPr="000A0DBB">
              <w:rPr>
                <w:rStyle w:val="Emphasis"/>
                <w:rFonts w:ascii="Arial" w:hAnsi="Arial" w:cs="Arial"/>
              </w:rPr>
              <w:t>15</w:t>
            </w:r>
            <w:r w:rsidRPr="000A0DBB">
              <w:rPr>
                <w:rFonts w:ascii="Arial" w:hAnsi="Arial" w:cs="Arial"/>
              </w:rPr>
              <w:t xml:space="preserve">(2 (eng)), pp.34-46. </w:t>
            </w:r>
            <w:hyperlink r:id="rId71" w:tgtFrame="_blank" w:history="1">
              <w:r w:rsidRPr="000A0DBB">
                <w:rPr>
                  <w:rStyle w:val="Hyperlink"/>
                  <w:rFonts w:ascii="Arial" w:hAnsi="Arial" w:cs="Arial"/>
                </w:rPr>
                <w:t>https://cyberleninka.ru/article/n/improving-customer-experience-with-artificial-intelligence-by-adhering-to-ethical-principles/pdf</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3A4C90" w14:textId="77777777" w:rsidR="000A0DBB" w:rsidRPr="000A0DBB" w:rsidRDefault="000A0DBB" w:rsidP="001211E5">
            <w:pPr>
              <w:spacing w:line="360" w:lineRule="auto"/>
              <w:jc w:val="both"/>
              <w:rPr>
                <w:rFonts w:ascii="Arial" w:eastAsia="Calibri" w:hAnsi="Arial" w:cs="Arial"/>
                <w:color w:val="000000" w:themeColor="text1"/>
              </w:rPr>
            </w:pPr>
            <w:r w:rsidRPr="000A0DBB">
              <w:rPr>
                <w:rFonts w:ascii="Arial" w:hAnsi="Arial" w:cs="Arial"/>
              </w:rPr>
              <w:t xml:space="preserve">Using Russian and international case studies, the paper discussed ethical principles that would enhance customer confidence in AI-mediated transactions. First, the author defined issues, such as low trust of users, poor experiences, and distaste over communicating with robots, and then synthesised the ethical guidelines to overcome them. In addition, the practical ways of implementing those principles were also systematised, such as transparency processes, bias reduction strategies, and privacy protections. As such, organisations that followed these ethics guidelines have had fewer fearful clients and greater confidence in AI. In general, the article made practical proposals to companies that wanted to reconcile technological innovation with the </w:t>
            </w:r>
            <w:r w:rsidRPr="000A0DBB">
              <w:rPr>
                <w:rFonts w:ascii="Arial" w:hAnsi="Arial" w:cs="Arial"/>
              </w:rPr>
              <w:lastRenderedPageBreak/>
              <w:t>responsible use of AI and strengthen customer experience and loyalty.</w:t>
            </w:r>
          </w:p>
        </w:tc>
      </w:tr>
      <w:tr w:rsidR="000A0DBB" w:rsidRPr="000A0DBB" w14:paraId="2D19F344" w14:textId="77777777" w:rsidTr="000A0DBB">
        <w:tc>
          <w:tcPr>
            <w:tcW w:w="31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F5EC6E" w14:textId="77777777" w:rsidR="000A0DBB" w:rsidRPr="000A0DBB" w:rsidRDefault="000A0DBB" w:rsidP="001211E5">
            <w:pPr>
              <w:spacing w:line="360" w:lineRule="auto"/>
              <w:ind w:left="360"/>
              <w:jc w:val="both"/>
              <w:rPr>
                <w:rFonts w:ascii="Arial" w:hAnsi="Arial" w:cs="Arial"/>
                <w:color w:val="000000" w:themeColor="text1"/>
                <w:shd w:val="clear" w:color="auto" w:fill="FFFFFF"/>
              </w:rPr>
            </w:pPr>
            <w:r w:rsidRPr="000A0DBB">
              <w:rPr>
                <w:rFonts w:ascii="Arial" w:hAnsi="Arial" w:cs="Arial"/>
              </w:rPr>
              <w:lastRenderedPageBreak/>
              <w:t>Mohammadian, M., Bahrololoum, H., Andam, R., and Dehghani, A., 2024. Designing a Pattern for the Application of Artificial Intelligence in the Sports Goods Market. </w:t>
            </w:r>
            <w:r w:rsidRPr="000A0DBB">
              <w:rPr>
                <w:rStyle w:val="Emphasis"/>
                <w:rFonts w:ascii="Arial" w:hAnsi="Arial" w:cs="Arial"/>
              </w:rPr>
              <w:t>Sports Business Journal, 5</w:t>
            </w:r>
            <w:r w:rsidRPr="000A0DBB">
              <w:rPr>
                <w:rFonts w:ascii="Arial" w:hAnsi="Arial" w:cs="Arial"/>
              </w:rPr>
              <w:t xml:space="preserve">(2), pp. 119-139. </w:t>
            </w:r>
            <w:hyperlink r:id="rId72" w:tgtFrame="_blank" w:history="1">
              <w:r w:rsidRPr="000A0DBB">
                <w:rPr>
                  <w:rStyle w:val="Hyperlink"/>
                  <w:rFonts w:ascii="Arial" w:hAnsi="Arial" w:cs="Arial"/>
                </w:rPr>
                <w:t>https://sbj.alzahra.ac.ir/article_8248_dc3f04d0fcc26fed66fb11b6e3c782be.pdf</w:t>
              </w:r>
            </w:hyperlink>
          </w:p>
        </w:tc>
        <w:tc>
          <w:tcPr>
            <w:tcW w:w="6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7C140C" w14:textId="77777777" w:rsidR="000A0DBB" w:rsidRPr="000A0DBB" w:rsidRDefault="000A0DBB" w:rsidP="001211E5">
            <w:pPr>
              <w:spacing w:line="360" w:lineRule="auto"/>
              <w:jc w:val="both"/>
              <w:rPr>
                <w:rFonts w:ascii="Arial" w:eastAsia="Calibri" w:hAnsi="Arial" w:cs="Arial"/>
                <w:color w:val="000000" w:themeColor="text1"/>
              </w:rPr>
            </w:pPr>
            <w:r w:rsidRPr="000A0DBB">
              <w:rPr>
                <w:rFonts w:ascii="Arial" w:hAnsi="Arial" w:cs="Arial"/>
              </w:rPr>
              <w:t>This research’s thematic analysis of expert interviews formulated an all-encompassing pattern in which AI can pervade the sports goods market. Purposive sampling involved 15 industry and technology experts, revealing nine of the most prominent dimensions of AI and 35 sub-dimensions, such as innovative equipment, training platforms, business intelligence, and value propositions. Also, the authors noted that AI automation had made tedious work more efficient and facilitated software customisation based on sports/goods. This meant that the emergent model offered a refined insight into how AI components can be used to innovate and increase operations efficiency in this niche industry. Thus, this work is a tactical guide that could help practitioners apply AI in product design, marketing, and HR processes.</w:t>
            </w:r>
          </w:p>
        </w:tc>
      </w:tr>
      <w:bookmarkEnd w:id="56"/>
    </w:tbl>
    <w:p w14:paraId="5796488D" w14:textId="77777777" w:rsidR="000A0DBB" w:rsidRPr="000A0DBB" w:rsidRDefault="000A0DBB" w:rsidP="001211E5">
      <w:pPr>
        <w:spacing w:line="360" w:lineRule="auto"/>
        <w:jc w:val="both"/>
        <w:rPr>
          <w:rFonts w:ascii="Arial" w:hAnsi="Arial" w:cs="Arial"/>
          <w:sz w:val="22"/>
          <w:szCs w:val="22"/>
        </w:rPr>
      </w:pPr>
    </w:p>
    <w:p w14:paraId="3B6A22B0" w14:textId="77777777" w:rsidR="000A0DBB" w:rsidRPr="000A0DBB" w:rsidRDefault="000A0DBB" w:rsidP="001211E5">
      <w:pPr>
        <w:spacing w:line="360" w:lineRule="auto"/>
        <w:jc w:val="both"/>
        <w:rPr>
          <w:rFonts w:ascii="Arial" w:hAnsi="Arial" w:cs="Arial"/>
          <w:sz w:val="22"/>
          <w:szCs w:val="22"/>
        </w:rPr>
      </w:pPr>
      <w:r w:rsidRPr="000A0DBB">
        <w:rPr>
          <w:rFonts w:ascii="Arial" w:hAnsi="Arial" w:cs="Arial"/>
          <w:sz w:val="22"/>
          <w:szCs w:val="22"/>
        </w:rPr>
        <w:br w:type="page"/>
      </w:r>
    </w:p>
    <w:p w14:paraId="71C18F21" w14:textId="77777777" w:rsidR="000A0DBB" w:rsidRPr="00945074" w:rsidRDefault="000A0DBB" w:rsidP="00945074">
      <w:pPr>
        <w:pStyle w:val="Heading1"/>
        <w:spacing w:line="360" w:lineRule="auto"/>
        <w:rPr>
          <w:rFonts w:ascii="Arial" w:hAnsi="Arial" w:cs="Arial"/>
          <w:sz w:val="22"/>
          <w:szCs w:val="22"/>
        </w:rPr>
      </w:pPr>
      <w:bookmarkStart w:id="57" w:name="_Toc204707819"/>
      <w:r w:rsidRPr="00945074">
        <w:rPr>
          <w:rFonts w:ascii="Arial" w:hAnsi="Arial" w:cs="Arial"/>
          <w:sz w:val="22"/>
          <w:szCs w:val="22"/>
        </w:rPr>
        <w:lastRenderedPageBreak/>
        <w:t>Appendix</w:t>
      </w:r>
      <w:bookmarkEnd w:id="57"/>
    </w:p>
    <w:p w14:paraId="299CD2FC" w14:textId="77777777" w:rsidR="000A0DBB" w:rsidRPr="00945074" w:rsidRDefault="000A0DBB" w:rsidP="00945074">
      <w:pPr>
        <w:pStyle w:val="Heading2"/>
        <w:spacing w:line="360" w:lineRule="auto"/>
        <w:rPr>
          <w:rFonts w:ascii="Arial" w:hAnsi="Arial" w:cs="Arial"/>
          <w:sz w:val="22"/>
          <w:szCs w:val="22"/>
        </w:rPr>
      </w:pPr>
      <w:bookmarkStart w:id="58" w:name="_Toc204707820"/>
      <w:r w:rsidRPr="00945074">
        <w:rPr>
          <w:rFonts w:ascii="Arial" w:hAnsi="Arial" w:cs="Arial"/>
          <w:sz w:val="22"/>
          <w:szCs w:val="22"/>
        </w:rPr>
        <w:t>Inventory Changes Before and After AI Implementation</w:t>
      </w:r>
      <w:bookmarkEnd w:id="58"/>
    </w:p>
    <w:tbl>
      <w:tblPr>
        <w:tblStyle w:val="GridTable3-Accent5"/>
        <w:tblW w:w="5000" w:type="pct"/>
        <w:tblLook w:val="04A0" w:firstRow="1" w:lastRow="0" w:firstColumn="1" w:lastColumn="0" w:noHBand="0" w:noVBand="1"/>
      </w:tblPr>
      <w:tblGrid>
        <w:gridCol w:w="620"/>
        <w:gridCol w:w="995"/>
        <w:gridCol w:w="671"/>
        <w:gridCol w:w="680"/>
        <w:gridCol w:w="655"/>
        <w:gridCol w:w="4280"/>
        <w:gridCol w:w="766"/>
        <w:gridCol w:w="353"/>
      </w:tblGrid>
      <w:tr w:rsidR="000A0DBB" w:rsidRPr="000A0DBB" w14:paraId="11B96C1E" w14:textId="77777777" w:rsidTr="000A0DBB">
        <w:trPr>
          <w:cnfStyle w:val="100000000000" w:firstRow="1" w:lastRow="0" w:firstColumn="0" w:lastColumn="0" w:oddVBand="0" w:evenVBand="0" w:oddHBand="0" w:evenHBand="0" w:firstRowFirstColumn="0" w:firstRowLastColumn="0" w:lastRowFirstColumn="0" w:lastRowLastColumn="0"/>
          <w:trHeight w:val="310"/>
        </w:trPr>
        <w:tc>
          <w:tcPr>
            <w:cnfStyle w:val="001000000100" w:firstRow="0" w:lastRow="0" w:firstColumn="1" w:lastColumn="0" w:oddVBand="0" w:evenVBand="0" w:oddHBand="0" w:evenHBand="0" w:firstRowFirstColumn="1" w:firstRowLastColumn="0" w:lastRowFirstColumn="0" w:lastRowLastColumn="0"/>
            <w:tcW w:w="285" w:type="pct"/>
            <w:noWrap/>
            <w:hideMark/>
          </w:tcPr>
          <w:p w14:paraId="0056D9E7"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Region</w:t>
            </w:r>
          </w:p>
        </w:tc>
        <w:tc>
          <w:tcPr>
            <w:tcW w:w="487" w:type="pct"/>
            <w:tcBorders>
              <w:bottom w:val="single" w:sz="4" w:space="0" w:color="D86DCB" w:themeColor="accent5" w:themeTint="99"/>
            </w:tcBorders>
            <w:noWrap/>
            <w:hideMark/>
          </w:tcPr>
          <w:p w14:paraId="1EF229EB"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Company Name</w:t>
            </w:r>
          </w:p>
        </w:tc>
        <w:tc>
          <w:tcPr>
            <w:tcW w:w="349" w:type="pct"/>
            <w:tcBorders>
              <w:bottom w:val="single" w:sz="4" w:space="0" w:color="D86DCB" w:themeColor="accent5" w:themeTint="99"/>
            </w:tcBorders>
            <w:noWrap/>
            <w:hideMark/>
          </w:tcPr>
          <w:p w14:paraId="4B3EDC49" w14:textId="77777777" w:rsidR="000A0DBB" w:rsidRPr="000A0DBB" w:rsidRDefault="000A0DBB" w:rsidP="001211E5">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Ticker/Exchange</w:t>
            </w:r>
          </w:p>
        </w:tc>
        <w:tc>
          <w:tcPr>
            <w:tcW w:w="345" w:type="pct"/>
            <w:tcBorders>
              <w:bottom w:val="single" w:sz="4" w:space="0" w:color="D86DCB" w:themeColor="accent5" w:themeTint="99"/>
            </w:tcBorders>
            <w:noWrap/>
            <w:hideMark/>
          </w:tcPr>
          <w:p w14:paraId="4595C26C"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P</w:t>
            </w:r>
            <w:r w:rsidRPr="000A0DBB">
              <w:rPr>
                <w:rFonts w:ascii="Arial" w:eastAsia="Times New Roman" w:hAnsi="Arial" w:cs="Arial"/>
                <w:b w:val="0"/>
                <w:bCs w:val="0"/>
                <w:color w:val="000000" w:themeColor="text1"/>
              </w:rPr>
              <w:t>ost</w:t>
            </w:r>
            <w:r w:rsidRPr="000A0DBB">
              <w:rPr>
                <w:rFonts w:ascii="Arial" w:eastAsia="Times New Roman" w:hAnsi="Arial" w:cs="Arial"/>
                <w:color w:val="000000" w:themeColor="text1"/>
              </w:rPr>
              <w:t>-AI Inventory</w:t>
            </w:r>
          </w:p>
        </w:tc>
        <w:tc>
          <w:tcPr>
            <w:tcW w:w="330" w:type="pct"/>
            <w:tcBorders>
              <w:bottom w:val="single" w:sz="4" w:space="0" w:color="D86DCB" w:themeColor="accent5" w:themeTint="99"/>
            </w:tcBorders>
            <w:noWrap/>
            <w:hideMark/>
          </w:tcPr>
          <w:p w14:paraId="1D508446"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P</w:t>
            </w:r>
            <w:r w:rsidRPr="000A0DBB">
              <w:rPr>
                <w:rFonts w:ascii="Arial" w:eastAsia="Times New Roman" w:hAnsi="Arial" w:cs="Arial"/>
                <w:b w:val="0"/>
                <w:bCs w:val="0"/>
                <w:color w:val="000000" w:themeColor="text1"/>
              </w:rPr>
              <w:t>re</w:t>
            </w:r>
            <w:r w:rsidRPr="000A0DBB">
              <w:rPr>
                <w:rFonts w:ascii="Arial" w:eastAsia="Times New Roman" w:hAnsi="Arial" w:cs="Arial"/>
                <w:color w:val="000000" w:themeColor="text1"/>
              </w:rPr>
              <w:t>-AI Inventory</w:t>
            </w:r>
          </w:p>
        </w:tc>
        <w:tc>
          <w:tcPr>
            <w:tcW w:w="2694" w:type="pct"/>
            <w:tcBorders>
              <w:bottom w:val="single" w:sz="4" w:space="0" w:color="D86DCB" w:themeColor="accent5" w:themeTint="99"/>
            </w:tcBorders>
            <w:noWrap/>
            <w:hideMark/>
          </w:tcPr>
          <w:p w14:paraId="34EF3F82"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Source</w:t>
            </w:r>
          </w:p>
        </w:tc>
        <w:tc>
          <w:tcPr>
            <w:tcW w:w="391" w:type="pct"/>
            <w:tcBorders>
              <w:bottom w:val="single" w:sz="4" w:space="0" w:color="D86DCB" w:themeColor="accent5" w:themeTint="99"/>
            </w:tcBorders>
            <w:noWrap/>
            <w:hideMark/>
          </w:tcPr>
          <w:p w14:paraId="59641C0B"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Change in Inventory</w:t>
            </w:r>
          </w:p>
        </w:tc>
        <w:tc>
          <w:tcPr>
            <w:tcW w:w="119" w:type="pct"/>
            <w:tcBorders>
              <w:bottom w:val="single" w:sz="4" w:space="0" w:color="D86DCB" w:themeColor="accent5" w:themeTint="99"/>
            </w:tcBorders>
            <w:noWrap/>
            <w:hideMark/>
          </w:tcPr>
          <w:p w14:paraId="7094A636"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Page</w:t>
            </w:r>
          </w:p>
        </w:tc>
      </w:tr>
      <w:tr w:rsidR="000A0DBB" w:rsidRPr="000A0DBB" w14:paraId="461E99D1"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1175702D" w14:textId="77777777" w:rsidR="000A0DBB" w:rsidRPr="000A0DBB" w:rsidRDefault="000A0DBB" w:rsidP="001211E5">
            <w:pPr>
              <w:spacing w:line="360" w:lineRule="auto"/>
              <w:jc w:val="both"/>
              <w:rPr>
                <w:rFonts w:ascii="Arial" w:eastAsia="Times New Roman" w:hAnsi="Arial" w:cs="Arial"/>
                <w:b/>
                <w:bCs/>
                <w:color w:val="000000" w:themeColor="text1"/>
              </w:rPr>
            </w:pPr>
            <w:r w:rsidRPr="000A0DBB">
              <w:rPr>
                <w:rFonts w:ascii="Arial" w:eastAsia="Times New Roman" w:hAnsi="Arial" w:cs="Arial"/>
                <w:b/>
                <w:bCs/>
                <w:color w:val="000000" w:themeColor="text1"/>
              </w:rPr>
              <w:t>North America</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15D277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b/>
                <w:bCs/>
              </w:rPr>
              <w:t>Francesca’s Holdings,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DBF03A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b/>
                <w:bCs/>
              </w:rPr>
              <w:t>FRAN/NASDAQ</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3FAE85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$34,768,000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BB03BE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$32,201,000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2F7E9A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https://last10k.com/sec-filings/fran/0001104659-20-074397.htm</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BCAD35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($2,567,000)</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F1A118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w:t>
            </w:r>
          </w:p>
        </w:tc>
      </w:tr>
      <w:tr w:rsidR="000A0DBB" w:rsidRPr="000A0DBB" w14:paraId="5BE521AE"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1EFFCEDB"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6AF589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Destination XL Group,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FE55E3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DXL/NASDAQ</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D5C058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$1,080,000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E4DB41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$866,000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6027CD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http://sec.gov/Archives/edgar/data/813298/000095017025042703/dxlg-20250201.htm</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87D386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($214,000)</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6EA770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w:t>
            </w:r>
          </w:p>
        </w:tc>
      </w:tr>
      <w:tr w:rsidR="000A0DBB" w:rsidRPr="000A0DBB" w14:paraId="2DEF9B5C"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0049FDC3"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198C46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Buckle,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CB2B35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BKE/NYSE</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E96699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$3,673,000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B5CC78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$4,228,000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15F567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https://www.sec.gov/Archives/edgar/data/885245/000088524522000009/bke-20220129.htm</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184032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$555,000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07970F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w:t>
            </w:r>
          </w:p>
        </w:tc>
      </w:tr>
      <w:tr w:rsidR="000A0DBB" w:rsidRPr="000A0DBB" w14:paraId="62E61C70"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5C27D3EA"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EF99A6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Boot Barn Holdings,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8A4B4C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BOOT/NYSE</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1B76CC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4D553F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70297E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https://s201.q4cdn.com/136683698/files/doc_financials/2024/ar/2024-annual-report.pdf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98B223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$105.6 million</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9AD280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44</w:t>
            </w:r>
          </w:p>
        </w:tc>
      </w:tr>
      <w:tr w:rsidR="000A0DBB" w:rsidRPr="000A0DBB" w14:paraId="636A0D27"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30DDEADA"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C8771D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Duluth Holdings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326BA8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DLTH/NASDAQ</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FCF28E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9603D6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C202DA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https://www.annualreports.com/HostedData/AnnualReports/PDF/NASDAQ_DLTH_2024.pdf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983161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$1.4 million</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4F418D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47</w:t>
            </w:r>
          </w:p>
        </w:tc>
      </w:tr>
      <w:tr w:rsidR="000A0DBB" w:rsidRPr="000A0DBB" w14:paraId="244DD061"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76878694"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842CDC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Fossil Group,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5DE433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FOSL/NASDAQ</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AC52D4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$15.1 million</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966111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$19.8 million</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BABAB8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https://www.annualreports.com/HostedData/AnnualReports/PDF/NASDAQ_FOSL_2024.pdf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3DF343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$182,900,000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4E3700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58</w:t>
            </w:r>
          </w:p>
        </w:tc>
      </w:tr>
      <w:tr w:rsidR="000A0DBB" w:rsidRPr="000A0DBB" w14:paraId="63D39462"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583FDB2D"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4C8213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Build</w:t>
            </w:r>
            <w:r w:rsidRPr="000A0DBB">
              <w:rPr>
                <w:rStyle w:val="Emphasis"/>
                <w:rFonts w:ascii="Arial" w:hAnsi="Arial" w:cs="Arial"/>
              </w:rPr>
              <w:noBreakHyphen/>
              <w:t>A</w:t>
            </w:r>
            <w:r w:rsidRPr="000A0DBB">
              <w:rPr>
                <w:rStyle w:val="Emphasis"/>
                <w:rFonts w:ascii="Arial" w:hAnsi="Arial" w:cs="Arial"/>
              </w:rPr>
              <w:noBreakHyphen/>
              <w:t xml:space="preserve">Bear </w:t>
            </w:r>
            <w:r w:rsidRPr="000A0DBB">
              <w:rPr>
                <w:rStyle w:val="Emphasis"/>
                <w:rFonts w:ascii="Arial" w:hAnsi="Arial" w:cs="Arial"/>
              </w:rPr>
              <w:lastRenderedPageBreak/>
              <w:t>Workshop,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CAE387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lastRenderedPageBreak/>
              <w:t>BBW/NYSE</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2B8AA4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$4.1 million</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16A6F5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$3.5 million</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B3D4F5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https://buildabear.gcs-web.com/node/20501/html</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A1A940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($600,000)</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8ACAF7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47</w:t>
            </w:r>
          </w:p>
        </w:tc>
      </w:tr>
      <w:tr w:rsidR="000A0DBB" w:rsidRPr="000A0DBB" w14:paraId="2A0DD177"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46F069FD"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01EE87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Rent</w:t>
            </w:r>
            <w:r w:rsidRPr="000A0DBB">
              <w:rPr>
                <w:rStyle w:val="Emphasis"/>
                <w:rFonts w:ascii="Arial" w:hAnsi="Arial" w:cs="Arial"/>
              </w:rPr>
              <w:noBreakHyphen/>
              <w:t>A</w:t>
            </w:r>
            <w:r w:rsidRPr="000A0DBB">
              <w:rPr>
                <w:rStyle w:val="Emphasis"/>
                <w:rFonts w:ascii="Arial" w:hAnsi="Arial" w:cs="Arial"/>
              </w:rPr>
              <w:noBreakHyphen/>
              <w:t>Center,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CC85FF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RCII/NASDAQ</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E15640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$3,375,453,000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5AC868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$3,522,453,000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6B235F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http://last10k.com/sec-filings/rcii</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DCD632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$147,000,000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B60C26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89</w:t>
            </w:r>
          </w:p>
        </w:tc>
      </w:tr>
      <w:tr w:rsidR="000A0DBB" w:rsidRPr="000A0DBB" w14:paraId="7EEE59C0"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6F298DFB"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838C88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Shoe Carnival,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5719D9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SCVL/NASDAQ</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2B671D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$438,000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C39CE0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$639,000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0A1874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https://s26.q4cdn.com/745852879/files/doc_financials/2024/ar/2024_SCVL_AnnualReport-_Digital2.pdf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FCEC8F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$201,000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B008B5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64</w:t>
            </w:r>
          </w:p>
        </w:tc>
      </w:tr>
      <w:tr w:rsidR="000A0DBB" w:rsidRPr="000A0DBB" w14:paraId="540EB8F4"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18F61017"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2D4071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Genesco Inc.</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B1FE04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GCO/NYSE</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0ECF4F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$1,356,000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D7E7F6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$1,235,000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8EA337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https://www.genesco.com/static-files/a3ddc51f-b73e-4083-9f81-d570683f6a8f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BC513C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($121,000)</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2939D8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70</w:t>
            </w:r>
          </w:p>
        </w:tc>
      </w:tr>
      <w:tr w:rsidR="000A0DBB" w:rsidRPr="000A0DBB" w14:paraId="52557A8E"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53DA46F9" w14:textId="77777777" w:rsidR="000A0DBB" w:rsidRPr="000A0DBB" w:rsidRDefault="000A0DBB" w:rsidP="001211E5">
            <w:pPr>
              <w:spacing w:line="360" w:lineRule="auto"/>
              <w:jc w:val="both"/>
              <w:rPr>
                <w:rFonts w:ascii="Arial" w:eastAsia="Times New Roman" w:hAnsi="Arial" w:cs="Arial"/>
                <w:b/>
                <w:bCs/>
                <w:color w:val="000000" w:themeColor="text1"/>
              </w:rPr>
            </w:pPr>
            <w:r w:rsidRPr="000A0DBB">
              <w:rPr>
                <w:rFonts w:ascii="Arial" w:eastAsia="Times New Roman" w:hAnsi="Arial" w:cs="Arial"/>
                <w:b/>
                <w:bCs/>
                <w:color w:val="000000" w:themeColor="text1"/>
              </w:rPr>
              <w:t>South America</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7E1B29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Arezzo &amp; Co.</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88D5FE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ARZZ3 / B3</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2A46C3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0</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8D96C2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$37,715.23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815ED2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https://api.mziq.com/mzfilemanager/v2/d/fd33176c-fa0e-44c6-98cd-7aadbaf534e9/8b0f0d61-4533-89c2-3a21-4f2e611b2d88?origin=1</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C37CFB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$43,355,400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428F54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62</w:t>
            </w:r>
          </w:p>
        </w:tc>
      </w:tr>
      <w:tr w:rsidR="000A0DBB" w:rsidRPr="000A0DBB" w14:paraId="08D6F3A2"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344B7F6A"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F63D99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Grupo Toky</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49ED4F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TOKYO / B3</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C5CC52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$7,736,542.43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E0500B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$951,262.02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0F9ADF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https://api.mziq.com/mzfilemanager/v2/d/fd33176c-fa0e-44c6-98cd-7aadbaf534e9/8b0f0d61-4533-89c2-3a21-4f2e611b2d88?origin=1</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592F69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$37,715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20B5C0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61</w:t>
            </w:r>
          </w:p>
        </w:tc>
      </w:tr>
      <w:tr w:rsidR="000A0DBB" w:rsidRPr="000A0DBB" w14:paraId="71563F54"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394D34F8"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1F5D18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d1000 Varejo Farma</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E73B82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DMVF3 / B3</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86C8C0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$51,105,029.64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744DCE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$34,463,877.37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7DB8D7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https://api.mziq.com/mzfilemanager/v2/d/3ca09921-ff49-47d4-b0b8-7cd43453a9aa/c13fe949-1cb5-3970-5575-5e5c7c04260d?origin=1</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CCFF31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($6,785,280)</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0AE7F4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39</w:t>
            </w:r>
          </w:p>
        </w:tc>
      </w:tr>
      <w:tr w:rsidR="000A0DBB" w:rsidRPr="000A0DBB" w14:paraId="5EAE3D6B"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14C866B0"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7183A7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Centauro</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786C5F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CTSA3 / B3</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866329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$140,353,869.07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3AF566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$128,377,414.74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892397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https://api.mziq.com/mzfilemanager/v2/d/a109071d-af0c-424c-b725-e8b40f89bb2a/9b76d83f-a69e-ce46-00f0-5d0499d4c411?origin=1</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CB406E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($16,641,152)</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1791F3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10</w:t>
            </w:r>
          </w:p>
        </w:tc>
      </w:tr>
      <w:tr w:rsidR="000A0DBB" w:rsidRPr="000A0DBB" w14:paraId="44D2FE60"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5D770890"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A905C3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Lojas Quero</w:t>
            </w:r>
            <w:r w:rsidRPr="000A0DBB">
              <w:rPr>
                <w:rStyle w:val="Emphasis"/>
                <w:rFonts w:ascii="Arial" w:hAnsi="Arial" w:cs="Arial"/>
              </w:rPr>
              <w:noBreakHyphen/>
              <w:t>Quero</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F2EBD5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LJQQ3 / B3</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F237DA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$518,113,000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F97C2C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$474,515,000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C187A6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https://finance.yahoo.com/quote/LJQQ3.SA/balance-sheet/</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21D868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($11,976,454)</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1BEEE9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w:t>
            </w:r>
          </w:p>
        </w:tc>
      </w:tr>
      <w:tr w:rsidR="000A0DBB" w:rsidRPr="000A0DBB" w14:paraId="2AED1202"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6D7590A6"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lastRenderedPageBreak/>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23B201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Hering</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14B393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HGTX3 / B3</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DDF06E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$37,327,000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01821B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$32,282,000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8D2F91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https://www.investing.com/equities/cia-hering-on-nm-balance-sheet</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0AAF8C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($43,598,000)</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A174CE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w:t>
            </w:r>
          </w:p>
        </w:tc>
      </w:tr>
      <w:tr w:rsidR="000A0DBB" w:rsidRPr="000A0DBB" w14:paraId="12E8DE10"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63D8937E"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69F2E8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Vivara</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3C8BE2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VIVA3 / B3</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73367C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$242,834,356.19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A2060E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$142,631,731.57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7327F8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https://api.mziq.com/mzfilemanager/v2/d/61a4df2d-a461-44d6-9128-da74058019db/9bb843b8-842a-b87f-64a2-7bc0ded3fbea?origin=1</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753DA7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($5,045,000)</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6F1522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w:t>
            </w:r>
          </w:p>
        </w:tc>
      </w:tr>
      <w:tr w:rsidR="000A0DBB" w:rsidRPr="000A0DBB" w14:paraId="7BB5C160"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0A9BBB05"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36272E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Grupo Éxito</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2DFCC3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EXITO / MIL</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EA9EC7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$599,785,405.67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7E24C1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$681,738,423.49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F8D7ED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https://www.grupoexito.com.co/es/periodic-year-end-report.pdf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2480DB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($100,202,625)</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14413B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205</w:t>
            </w:r>
          </w:p>
        </w:tc>
      </w:tr>
      <w:tr w:rsidR="000A0DBB" w:rsidRPr="000A0DBB" w14:paraId="29B74880"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06C874EB"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33A043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Ripley Corp.</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3C03ED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RIPLEY / SGO</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138ADC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$50,314.83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66F911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$47,814.70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11F265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https://s201.q4cdn.com/897468021/files/doc_financials/2024/ar/updated/RipleyCorpMemoriaIntegrada2024.pdf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30E5D1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$81,953,018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91585B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91</w:t>
            </w:r>
          </w:p>
        </w:tc>
      </w:tr>
      <w:tr w:rsidR="000A0DBB" w:rsidRPr="000A0DBB" w14:paraId="73337A6C"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77651583"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BF7399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Veste S.A. Estilo</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668A75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Private (Brazil)</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7E7FCC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$53,593,548.86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9D9787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$54,012,675.56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6F072E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https://api.mziq.com/mzfilemanager/v2/d/ef15981b-462b-458c-be30-7017417809f5/28a33331-f865-1be6-007e-8931609278cf?origin=1</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17609A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($2,500)</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85D027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25</w:t>
            </w:r>
          </w:p>
        </w:tc>
      </w:tr>
      <w:tr w:rsidR="000A0DBB" w:rsidRPr="000A0DBB" w14:paraId="1073E094"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18EC651E" w14:textId="77777777" w:rsidR="000A0DBB" w:rsidRPr="000A0DBB" w:rsidRDefault="000A0DBB" w:rsidP="001211E5">
            <w:pPr>
              <w:spacing w:line="360" w:lineRule="auto"/>
              <w:jc w:val="both"/>
              <w:rPr>
                <w:rFonts w:ascii="Arial" w:eastAsia="Times New Roman" w:hAnsi="Arial" w:cs="Arial"/>
                <w:b/>
                <w:bCs/>
                <w:color w:val="000000" w:themeColor="text1"/>
              </w:rPr>
            </w:pPr>
            <w:r w:rsidRPr="000A0DBB">
              <w:rPr>
                <w:rFonts w:ascii="Arial" w:eastAsia="Times New Roman" w:hAnsi="Arial" w:cs="Arial"/>
                <w:b/>
                <w:bCs/>
                <w:color w:val="000000" w:themeColor="text1"/>
              </w:rPr>
              <w:t>Asia/Pacific</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FEFE85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Lovisa Holdings Ltd</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1B0630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LOV/ASX</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6D3400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$44,779,286.10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14C59E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$39,216,949.90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922F64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https://cdn.shopify.com/s/files/1/0023/1512/4788/files/Lovisa_Holdings_Limited_Annual_Report_2024.pdf?v=1729636437</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D4F9E9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$419,127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284170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19</w:t>
            </w:r>
          </w:p>
        </w:tc>
      </w:tr>
      <w:tr w:rsidR="000A0DBB" w:rsidRPr="000A0DBB" w14:paraId="6F1E7B4B"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487B455D"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C20D21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Nick Scali Ltd.</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2284C8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NCK/ASX</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F0D2CF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$37,877,917.30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782C99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$35,599,865.25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F7D434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https://assets.nickscali.com/media/wysiwyg/pages/Annual_Reports/NS_Annual_Report_2024_Final.pdf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38A0FC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($10,184,115)</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28CD04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25</w:t>
            </w:r>
          </w:p>
        </w:tc>
      </w:tr>
      <w:tr w:rsidR="000A0DBB" w:rsidRPr="000A0DBB" w14:paraId="30E73FB8"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7F6CEE18"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0F71D9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Michael Hill International Ltd.</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337AC2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MHJ/ASX</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9D3729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$127,769,290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FE0B7D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$132,663,415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AF9A5E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https://investor.michaelhill.com/static-files/2d255409-2e89-408e-bfd3-9cadd7f6409b</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65E268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($5,562,336)</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4F89E8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12</w:t>
            </w:r>
          </w:p>
        </w:tc>
      </w:tr>
      <w:tr w:rsidR="000A0DBB" w:rsidRPr="000A0DBB" w14:paraId="2357C9EF"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32844E09"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8B2811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Baby Bunting Group Ltd</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30F36A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BBN/ASX</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9B19D8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$61,609,855.70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DF6437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$63,979,917.30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B867E1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https://www.annualreports.com/HostedData/AnnualReports/PDF/ASX_BBN_2024.pdf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19F7CF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($2,278,052)</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E88DB7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61</w:t>
            </w:r>
          </w:p>
        </w:tc>
      </w:tr>
      <w:tr w:rsidR="000A0DBB" w:rsidRPr="000A0DBB" w14:paraId="66D631AA"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79EA92AA"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lastRenderedPageBreak/>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709707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Adore Beauty Group Ltd</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02CE7B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ABY/ASX</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5C31B5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8FBF49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$1,171,327.25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4E2A72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https://www.adorebeautygroup.com.au/FormBuilder/_Resource/_module/AUcYAjx2TUKA830O4TTJng/file/annual-reports/Adore-Beauty-2024-Annual-Report.pdf</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634929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$4,894,125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9E9510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55</w:t>
            </w:r>
          </w:p>
        </w:tc>
      </w:tr>
      <w:tr w:rsidR="000A0DBB" w:rsidRPr="000A0DBB" w14:paraId="0E9FCD99"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423C2278"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8033C0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Adairs Ltd</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F22714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ADH/ASX</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7603BA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$54,647,799.75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41DD82D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$57,276,923.70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9F1074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https://cdn-api.markitdigital.com/apiman-gateway/ASX/asx-research/1.0/file/2924-02844311-3A649000</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5EB24B0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$2,370,062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8F5F40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78</w:t>
            </w:r>
          </w:p>
        </w:tc>
      </w:tr>
      <w:tr w:rsidR="000A0DBB" w:rsidRPr="000A0DBB" w14:paraId="3F0F6CD7"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239F0F45"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81995B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Eu Yan Sang International Ltd.</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892856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E06 / SGX</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81458B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$51,089,421.90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F9B78C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$53,955,490.05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A76765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https://www.investing.com/equities/eu-yan-sang-international-ltd-balance-sheet</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DA7AD7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$1,171,327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4B6ACC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w:t>
            </w:r>
          </w:p>
        </w:tc>
      </w:tr>
      <w:tr w:rsidR="000A0DBB" w:rsidRPr="000A0DBB" w14:paraId="4FA56D19"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4DCF5B6E"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6F3774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Old Chang Kee Ltd.</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534DE3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C14 / SGX</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83D35D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$773,916.49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F46BDB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$377,196.43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7E7E13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https://links.sgx.com/FileOpen/Annual%20Report%202024-OCK.ashx?App=Announcement&amp;FileID=809489</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5B760A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$2,629,124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704D67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88</w:t>
            </w:r>
          </w:p>
        </w:tc>
      </w:tr>
      <w:tr w:rsidR="000A0DBB" w:rsidRPr="000A0DBB" w14:paraId="523C8AF1" w14:textId="77777777" w:rsidTr="000A0DB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1857434F"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6BDDE6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Eslite Spectrum Corp.</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1D09F1C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2938 / TPE</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18E444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$22,041,916.38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9DD31F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$32,171,853.44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5D31EC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https://www.investing.com/equities/eslite-spectrum-balance-sheet</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F50CC2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$2,866,068 </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09B3CFE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w:t>
            </w:r>
          </w:p>
        </w:tc>
      </w:tr>
      <w:tr w:rsidR="000A0DBB" w:rsidRPr="000A0DBB" w14:paraId="3F7E6E22" w14:textId="77777777" w:rsidTr="000A0DBB">
        <w:trPr>
          <w:trHeight w:val="320"/>
        </w:trPr>
        <w:tc>
          <w:tcPr>
            <w:cnfStyle w:val="001000000000" w:firstRow="0" w:lastRow="0" w:firstColumn="1" w:lastColumn="0" w:oddVBand="0" w:evenVBand="0" w:oddHBand="0" w:evenHBand="0" w:firstRowFirstColumn="0" w:firstRowLastColumn="0" w:lastRowFirstColumn="0" w:lastRowLastColumn="0"/>
            <w:tcW w:w="285" w:type="pct"/>
            <w:tcBorders>
              <w:right w:val="single" w:sz="4" w:space="0" w:color="D86DCB" w:themeColor="accent5" w:themeTint="99"/>
            </w:tcBorders>
            <w:noWrap/>
            <w:hideMark/>
          </w:tcPr>
          <w:p w14:paraId="77AB2334" w14:textId="77777777" w:rsidR="000A0DBB" w:rsidRPr="000A0DBB" w:rsidRDefault="000A0DBB" w:rsidP="001211E5">
            <w:pPr>
              <w:spacing w:line="360" w:lineRule="auto"/>
              <w:jc w:val="both"/>
              <w:rPr>
                <w:rFonts w:ascii="Arial" w:eastAsia="Times New Roman" w:hAnsi="Arial" w:cs="Arial"/>
                <w:color w:val="000000" w:themeColor="text1"/>
              </w:rPr>
            </w:pPr>
            <w:r w:rsidRPr="000A0DBB">
              <w:rPr>
                <w:rFonts w:ascii="Arial" w:eastAsia="Times New Roman" w:hAnsi="Arial" w:cs="Arial"/>
                <w:color w:val="000000" w:themeColor="text1"/>
              </w:rPr>
              <w:t> </w:t>
            </w:r>
          </w:p>
        </w:tc>
        <w:tc>
          <w:tcPr>
            <w:tcW w:w="487"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B72720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Giordano International Ltd.</w:t>
            </w:r>
          </w:p>
        </w:tc>
        <w:tc>
          <w:tcPr>
            <w:tcW w:w="34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08E802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Style w:val="Emphasis"/>
                <w:rFonts w:ascii="Arial" w:hAnsi="Arial" w:cs="Arial"/>
              </w:rPr>
              <w:t>709 / HKEX</w:t>
            </w:r>
          </w:p>
        </w:tc>
        <w:tc>
          <w:tcPr>
            <w:tcW w:w="345"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25D6C51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$64,713.61 </w:t>
            </w:r>
          </w:p>
        </w:tc>
        <w:tc>
          <w:tcPr>
            <w:tcW w:w="330"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B52C48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 xml:space="preserve">$60,382.39 </w:t>
            </w:r>
          </w:p>
        </w:tc>
        <w:tc>
          <w:tcPr>
            <w:tcW w:w="2694"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7149BD4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https://finance.yahoo.com/quote/0709.HK/balance-sheet/</w:t>
            </w:r>
          </w:p>
        </w:tc>
        <w:tc>
          <w:tcPr>
            <w:tcW w:w="39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34EFA8B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($396,720)</w:t>
            </w:r>
          </w:p>
        </w:tc>
        <w:tc>
          <w:tcPr>
            <w:tcW w:w="11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noWrap/>
            <w:hideMark/>
          </w:tcPr>
          <w:p w14:paraId="6928061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0A0DBB">
              <w:rPr>
                <w:rFonts w:ascii="Arial" w:eastAsia="Times New Roman" w:hAnsi="Arial" w:cs="Arial"/>
                <w:color w:val="000000" w:themeColor="text1"/>
              </w:rPr>
              <w:t>-</w:t>
            </w:r>
          </w:p>
        </w:tc>
      </w:tr>
    </w:tbl>
    <w:p w14:paraId="7053D6A8" w14:textId="77777777" w:rsidR="000A0DBB" w:rsidRPr="000A0DBB" w:rsidRDefault="000A0DBB" w:rsidP="001211E5">
      <w:pPr>
        <w:spacing w:line="360" w:lineRule="auto"/>
        <w:jc w:val="both"/>
        <w:rPr>
          <w:rFonts w:ascii="Arial" w:hAnsi="Arial" w:cs="Arial"/>
          <w:sz w:val="22"/>
          <w:szCs w:val="22"/>
        </w:rPr>
      </w:pPr>
    </w:p>
    <w:p w14:paraId="5B5ECFBC" w14:textId="77777777" w:rsidR="000A0DBB" w:rsidRPr="000A0DBB" w:rsidRDefault="000A0DBB" w:rsidP="001211E5">
      <w:pPr>
        <w:spacing w:line="360" w:lineRule="auto"/>
        <w:jc w:val="both"/>
        <w:rPr>
          <w:rFonts w:ascii="Arial" w:hAnsi="Arial" w:cs="Arial"/>
          <w:sz w:val="22"/>
          <w:szCs w:val="22"/>
        </w:rPr>
      </w:pPr>
      <w:r w:rsidRPr="000A0DBB">
        <w:rPr>
          <w:rFonts w:ascii="Arial" w:hAnsi="Arial" w:cs="Arial"/>
          <w:sz w:val="22"/>
          <w:szCs w:val="22"/>
        </w:rPr>
        <w:br w:type="page"/>
      </w:r>
    </w:p>
    <w:p w14:paraId="5F543DEE" w14:textId="77777777" w:rsidR="000A0DBB" w:rsidRPr="00945074" w:rsidRDefault="000A0DBB" w:rsidP="00945074">
      <w:pPr>
        <w:pStyle w:val="Heading3"/>
        <w:spacing w:line="360" w:lineRule="auto"/>
        <w:rPr>
          <w:rFonts w:ascii="Arial" w:hAnsi="Arial" w:cs="Arial"/>
          <w:sz w:val="22"/>
          <w:szCs w:val="22"/>
        </w:rPr>
      </w:pPr>
      <w:bookmarkStart w:id="59" w:name="_Toc203834127"/>
      <w:bookmarkStart w:id="60" w:name="_Toc204707821"/>
      <w:r w:rsidRPr="00945074">
        <w:rPr>
          <w:rFonts w:ascii="Arial" w:hAnsi="Arial" w:cs="Arial"/>
          <w:sz w:val="22"/>
          <w:szCs w:val="22"/>
        </w:rPr>
        <w:lastRenderedPageBreak/>
        <w:t>MAPE, Stockout Rate, Inventory Carrying Cost</w:t>
      </w:r>
      <w:bookmarkEnd w:id="59"/>
      <w:bookmarkEnd w:id="60"/>
    </w:p>
    <w:tbl>
      <w:tblPr>
        <w:tblStyle w:val="ListTable7Colourful"/>
        <w:tblW w:w="0" w:type="auto"/>
        <w:tblLook w:val="04A0" w:firstRow="1" w:lastRow="0" w:firstColumn="1" w:lastColumn="0" w:noHBand="0" w:noVBand="1"/>
      </w:tblPr>
      <w:tblGrid>
        <w:gridCol w:w="1544"/>
        <w:gridCol w:w="6673"/>
        <w:gridCol w:w="803"/>
      </w:tblGrid>
      <w:tr w:rsidR="000A0DBB" w:rsidRPr="000A0DBB" w14:paraId="7D29E0E2" w14:textId="77777777" w:rsidTr="000A0DB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nil"/>
              <w:left w:val="nil"/>
            </w:tcBorders>
            <w:hideMark/>
          </w:tcPr>
          <w:p w14:paraId="3DD8BD1C" w14:textId="77777777" w:rsidR="000A0DBB" w:rsidRPr="000A0DBB" w:rsidRDefault="000A0DBB" w:rsidP="001211E5">
            <w:pPr>
              <w:spacing w:line="360" w:lineRule="auto"/>
              <w:jc w:val="both"/>
              <w:rPr>
                <w:rFonts w:ascii="Arial" w:eastAsia="Times New Roman" w:hAnsi="Arial" w:cs="Arial"/>
                <w:b/>
                <w:bCs/>
                <w:sz w:val="22"/>
              </w:rPr>
            </w:pPr>
            <w:r w:rsidRPr="000A0DBB">
              <w:rPr>
                <w:rFonts w:ascii="Arial" w:eastAsia="Times New Roman" w:hAnsi="Arial" w:cs="Arial"/>
                <w:b/>
                <w:bCs/>
                <w:sz w:val="22"/>
              </w:rPr>
              <w:t>Region</w:t>
            </w:r>
          </w:p>
        </w:tc>
        <w:tc>
          <w:tcPr>
            <w:tcW w:w="0" w:type="auto"/>
            <w:tcBorders>
              <w:top w:val="nil"/>
              <w:left w:val="nil"/>
              <w:right w:val="nil"/>
            </w:tcBorders>
            <w:hideMark/>
          </w:tcPr>
          <w:p w14:paraId="3EDBB95B"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sz w:val="22"/>
              </w:rPr>
            </w:pPr>
            <w:r w:rsidRPr="000A0DBB">
              <w:rPr>
                <w:rFonts w:ascii="Arial" w:eastAsia="Times New Roman" w:hAnsi="Arial" w:cs="Arial"/>
                <w:b/>
                <w:bCs/>
                <w:sz w:val="22"/>
              </w:rPr>
              <w:t>Metric</w:t>
            </w:r>
          </w:p>
        </w:tc>
        <w:tc>
          <w:tcPr>
            <w:tcW w:w="0" w:type="auto"/>
            <w:tcBorders>
              <w:top w:val="nil"/>
              <w:left w:val="nil"/>
              <w:right w:val="nil"/>
            </w:tcBorders>
            <w:hideMark/>
          </w:tcPr>
          <w:p w14:paraId="0E62BE44"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sz w:val="22"/>
              </w:rPr>
            </w:pPr>
            <w:r w:rsidRPr="000A0DBB">
              <w:rPr>
                <w:rFonts w:ascii="Arial" w:eastAsia="Times New Roman" w:hAnsi="Arial" w:cs="Arial"/>
                <w:b/>
                <w:bCs/>
                <w:sz w:val="22"/>
              </w:rPr>
              <w:t>Value</w:t>
            </w:r>
          </w:p>
        </w:tc>
      </w:tr>
      <w:tr w:rsidR="000A0DBB" w:rsidRPr="000A0DBB" w14:paraId="239CAE80"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4AA5486B" w14:textId="77777777" w:rsidR="000A0DBB" w:rsidRPr="000A0DBB" w:rsidRDefault="000A0DBB" w:rsidP="001211E5">
            <w:pPr>
              <w:spacing w:line="360" w:lineRule="auto"/>
              <w:jc w:val="both"/>
              <w:rPr>
                <w:rFonts w:ascii="Arial" w:eastAsia="Times New Roman" w:hAnsi="Arial" w:cs="Arial"/>
                <w:sz w:val="22"/>
              </w:rPr>
            </w:pPr>
            <w:r w:rsidRPr="000A0DBB">
              <w:rPr>
                <w:rFonts w:ascii="Arial" w:eastAsia="Times New Roman" w:hAnsi="Arial" w:cs="Arial"/>
                <w:sz w:val="22"/>
              </w:rPr>
              <w:t>Asia</w:t>
            </w:r>
          </w:p>
        </w:tc>
        <w:tc>
          <w:tcPr>
            <w:tcW w:w="0" w:type="auto"/>
            <w:hideMark/>
          </w:tcPr>
          <w:p w14:paraId="41D8168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Emphasis"/>
                <w:rFonts w:ascii="Arial" w:hAnsi="Arial" w:cs="Arial"/>
              </w:rPr>
              <w:t>Industry proxy (CPG in Asia) – Δ Forecast error (MAPE)</w:t>
            </w:r>
          </w:p>
        </w:tc>
        <w:tc>
          <w:tcPr>
            <w:tcW w:w="0" w:type="auto"/>
            <w:hideMark/>
          </w:tcPr>
          <w:p w14:paraId="19E5E55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–15%</w:t>
            </w:r>
          </w:p>
        </w:tc>
      </w:tr>
      <w:tr w:rsidR="000A0DBB" w:rsidRPr="000A0DBB" w14:paraId="31FC8C6D"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4CDF2131" w14:textId="77777777" w:rsidR="000A0DBB" w:rsidRPr="000A0DBB" w:rsidRDefault="000A0DBB" w:rsidP="001211E5">
            <w:pPr>
              <w:spacing w:line="360" w:lineRule="auto"/>
              <w:jc w:val="both"/>
              <w:rPr>
                <w:rFonts w:ascii="Arial" w:eastAsia="Times New Roman" w:hAnsi="Arial" w:cs="Arial"/>
                <w:sz w:val="22"/>
              </w:rPr>
            </w:pPr>
            <w:r w:rsidRPr="000A0DBB">
              <w:rPr>
                <w:rFonts w:ascii="Arial" w:eastAsia="Times New Roman" w:hAnsi="Arial" w:cs="Arial"/>
                <w:sz w:val="22"/>
              </w:rPr>
              <w:t>Asia</w:t>
            </w:r>
          </w:p>
        </w:tc>
        <w:tc>
          <w:tcPr>
            <w:tcW w:w="0" w:type="auto"/>
            <w:hideMark/>
          </w:tcPr>
          <w:p w14:paraId="2709339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Emphasis"/>
                <w:rFonts w:ascii="Arial" w:hAnsi="Arial" w:cs="Arial"/>
              </w:rPr>
              <w:t>Industry proxy (global avg applied to Asia) – Δ Stock out rate (lost sales)</w:t>
            </w:r>
          </w:p>
        </w:tc>
        <w:tc>
          <w:tcPr>
            <w:tcW w:w="0" w:type="auto"/>
            <w:hideMark/>
          </w:tcPr>
          <w:p w14:paraId="270CD2B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–65%</w:t>
            </w:r>
          </w:p>
        </w:tc>
      </w:tr>
      <w:tr w:rsidR="000A0DBB" w:rsidRPr="000A0DBB" w14:paraId="182B6075"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40A3F230" w14:textId="77777777" w:rsidR="000A0DBB" w:rsidRPr="000A0DBB" w:rsidRDefault="000A0DBB" w:rsidP="001211E5">
            <w:pPr>
              <w:spacing w:line="360" w:lineRule="auto"/>
              <w:jc w:val="both"/>
              <w:rPr>
                <w:rFonts w:ascii="Arial" w:eastAsia="Times New Roman" w:hAnsi="Arial" w:cs="Arial"/>
                <w:sz w:val="22"/>
              </w:rPr>
            </w:pPr>
            <w:r w:rsidRPr="000A0DBB">
              <w:rPr>
                <w:rFonts w:ascii="Arial" w:eastAsia="Times New Roman" w:hAnsi="Arial" w:cs="Arial"/>
                <w:sz w:val="22"/>
              </w:rPr>
              <w:t>Asia</w:t>
            </w:r>
          </w:p>
        </w:tc>
        <w:tc>
          <w:tcPr>
            <w:tcW w:w="0" w:type="auto"/>
            <w:hideMark/>
          </w:tcPr>
          <w:p w14:paraId="6C8EE4F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Emphasis"/>
                <w:rFonts w:ascii="Arial" w:hAnsi="Arial" w:cs="Arial"/>
              </w:rPr>
              <w:t>Industry proxy (CPG autonomous planning in Asia) – Δ Inventory carrying cost</w:t>
            </w:r>
          </w:p>
        </w:tc>
        <w:tc>
          <w:tcPr>
            <w:tcW w:w="0" w:type="auto"/>
            <w:hideMark/>
          </w:tcPr>
          <w:p w14:paraId="40F1D2A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–10%</w:t>
            </w:r>
          </w:p>
        </w:tc>
      </w:tr>
      <w:tr w:rsidR="000A0DBB" w:rsidRPr="000A0DBB" w14:paraId="1F4A0A83"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532031C8" w14:textId="77777777" w:rsidR="000A0DBB" w:rsidRPr="000A0DBB" w:rsidRDefault="000A0DBB" w:rsidP="001211E5">
            <w:pPr>
              <w:spacing w:line="360" w:lineRule="auto"/>
              <w:jc w:val="both"/>
              <w:rPr>
                <w:rFonts w:ascii="Arial" w:eastAsia="Times New Roman" w:hAnsi="Arial" w:cs="Arial"/>
                <w:sz w:val="22"/>
              </w:rPr>
            </w:pPr>
            <w:r w:rsidRPr="000A0DBB">
              <w:rPr>
                <w:rFonts w:ascii="Arial" w:eastAsia="Times New Roman" w:hAnsi="Arial" w:cs="Arial"/>
                <w:sz w:val="22"/>
              </w:rPr>
              <w:t>South America</w:t>
            </w:r>
          </w:p>
        </w:tc>
        <w:tc>
          <w:tcPr>
            <w:tcW w:w="0" w:type="auto"/>
            <w:hideMark/>
          </w:tcPr>
          <w:p w14:paraId="1522B83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Emphasis"/>
                <w:rFonts w:ascii="Arial" w:hAnsi="Arial" w:cs="Arial"/>
              </w:rPr>
              <w:t>Industry proxy (global average) – Δ Forecast error (MAPE)</w:t>
            </w:r>
          </w:p>
        </w:tc>
        <w:tc>
          <w:tcPr>
            <w:tcW w:w="0" w:type="auto"/>
            <w:hideMark/>
          </w:tcPr>
          <w:p w14:paraId="7002322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w:t>
            </w:r>
          </w:p>
        </w:tc>
      </w:tr>
      <w:tr w:rsidR="000A0DBB" w:rsidRPr="000A0DBB" w14:paraId="1AD2CEE6"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7681F411" w14:textId="77777777" w:rsidR="000A0DBB" w:rsidRPr="000A0DBB" w:rsidRDefault="000A0DBB" w:rsidP="001211E5">
            <w:pPr>
              <w:spacing w:line="360" w:lineRule="auto"/>
              <w:jc w:val="both"/>
              <w:rPr>
                <w:rFonts w:ascii="Arial" w:eastAsia="Times New Roman" w:hAnsi="Arial" w:cs="Arial"/>
                <w:sz w:val="22"/>
              </w:rPr>
            </w:pPr>
            <w:r w:rsidRPr="000A0DBB">
              <w:rPr>
                <w:rFonts w:ascii="Arial" w:eastAsia="Times New Roman" w:hAnsi="Arial" w:cs="Arial"/>
                <w:sz w:val="22"/>
              </w:rPr>
              <w:t>South America</w:t>
            </w:r>
          </w:p>
        </w:tc>
        <w:tc>
          <w:tcPr>
            <w:tcW w:w="0" w:type="auto"/>
            <w:hideMark/>
          </w:tcPr>
          <w:p w14:paraId="727D1E0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Emphasis"/>
                <w:rFonts w:ascii="Arial" w:hAnsi="Arial" w:cs="Arial"/>
              </w:rPr>
              <w:t>Industry proxy (global average) – Δ Stock out rate</w:t>
            </w:r>
          </w:p>
        </w:tc>
        <w:tc>
          <w:tcPr>
            <w:tcW w:w="0" w:type="auto"/>
            <w:hideMark/>
          </w:tcPr>
          <w:p w14:paraId="44F58A9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w:t>
            </w:r>
          </w:p>
        </w:tc>
      </w:tr>
      <w:tr w:rsidR="000A0DBB" w:rsidRPr="000A0DBB" w14:paraId="3B85833F"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245813B1" w14:textId="77777777" w:rsidR="000A0DBB" w:rsidRPr="000A0DBB" w:rsidRDefault="000A0DBB" w:rsidP="001211E5">
            <w:pPr>
              <w:spacing w:line="360" w:lineRule="auto"/>
              <w:jc w:val="both"/>
              <w:rPr>
                <w:rFonts w:ascii="Arial" w:eastAsia="Times New Roman" w:hAnsi="Arial" w:cs="Arial"/>
                <w:sz w:val="22"/>
              </w:rPr>
            </w:pPr>
            <w:r w:rsidRPr="000A0DBB">
              <w:rPr>
                <w:rFonts w:ascii="Arial" w:eastAsia="Times New Roman" w:hAnsi="Arial" w:cs="Arial"/>
                <w:sz w:val="22"/>
              </w:rPr>
              <w:t>South America</w:t>
            </w:r>
          </w:p>
        </w:tc>
        <w:tc>
          <w:tcPr>
            <w:tcW w:w="0" w:type="auto"/>
            <w:hideMark/>
          </w:tcPr>
          <w:p w14:paraId="61F8216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Emphasis"/>
                <w:rFonts w:ascii="Arial" w:hAnsi="Arial" w:cs="Arial"/>
              </w:rPr>
              <w:t>Industry proxy (global average) – Δ Inventory carrying cost</w:t>
            </w:r>
          </w:p>
        </w:tc>
        <w:tc>
          <w:tcPr>
            <w:tcW w:w="0" w:type="auto"/>
            <w:hideMark/>
          </w:tcPr>
          <w:p w14:paraId="072542E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–25%</w:t>
            </w:r>
          </w:p>
        </w:tc>
      </w:tr>
      <w:tr w:rsidR="000A0DBB" w:rsidRPr="000A0DBB" w14:paraId="4BB8ECEA"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0C08D91D" w14:textId="77777777" w:rsidR="000A0DBB" w:rsidRPr="000A0DBB" w:rsidRDefault="000A0DBB" w:rsidP="001211E5">
            <w:pPr>
              <w:spacing w:line="360" w:lineRule="auto"/>
              <w:jc w:val="both"/>
              <w:rPr>
                <w:rFonts w:ascii="Arial" w:eastAsia="Times New Roman" w:hAnsi="Arial" w:cs="Arial"/>
                <w:sz w:val="22"/>
              </w:rPr>
            </w:pPr>
            <w:r w:rsidRPr="000A0DBB">
              <w:rPr>
                <w:rFonts w:ascii="Arial" w:eastAsia="Times New Roman" w:hAnsi="Arial" w:cs="Arial"/>
                <w:sz w:val="22"/>
              </w:rPr>
              <w:t>North America</w:t>
            </w:r>
          </w:p>
        </w:tc>
        <w:tc>
          <w:tcPr>
            <w:tcW w:w="0" w:type="auto"/>
            <w:hideMark/>
          </w:tcPr>
          <w:p w14:paraId="4A7DDD1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Emphasis"/>
                <w:rFonts w:ascii="Arial" w:hAnsi="Arial" w:cs="Arial"/>
              </w:rPr>
              <w:t>Industry proxy (global avg., North America) – Δ Forecast error (MAPE)</w:t>
            </w:r>
          </w:p>
        </w:tc>
        <w:tc>
          <w:tcPr>
            <w:tcW w:w="0" w:type="auto"/>
            <w:hideMark/>
          </w:tcPr>
          <w:p w14:paraId="5998887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–40%</w:t>
            </w:r>
          </w:p>
        </w:tc>
      </w:tr>
      <w:tr w:rsidR="000A0DBB" w:rsidRPr="000A0DBB" w14:paraId="03486983"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1065AE1E" w14:textId="77777777" w:rsidR="000A0DBB" w:rsidRPr="000A0DBB" w:rsidRDefault="000A0DBB" w:rsidP="001211E5">
            <w:pPr>
              <w:spacing w:line="360" w:lineRule="auto"/>
              <w:jc w:val="both"/>
              <w:rPr>
                <w:rFonts w:ascii="Arial" w:eastAsia="Times New Roman" w:hAnsi="Arial" w:cs="Arial"/>
                <w:sz w:val="22"/>
              </w:rPr>
            </w:pPr>
            <w:r w:rsidRPr="000A0DBB">
              <w:rPr>
                <w:rFonts w:ascii="Arial" w:eastAsia="Times New Roman" w:hAnsi="Arial" w:cs="Arial"/>
                <w:sz w:val="22"/>
              </w:rPr>
              <w:t>North America</w:t>
            </w:r>
          </w:p>
        </w:tc>
        <w:tc>
          <w:tcPr>
            <w:tcW w:w="0" w:type="auto"/>
            <w:hideMark/>
          </w:tcPr>
          <w:p w14:paraId="27D577F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Emphasis"/>
                <w:rFonts w:ascii="Arial" w:hAnsi="Arial" w:cs="Arial"/>
              </w:rPr>
              <w:t>Industry proxy (global avg., North America) – Δ Stock out rate</w:t>
            </w:r>
          </w:p>
        </w:tc>
        <w:tc>
          <w:tcPr>
            <w:tcW w:w="0" w:type="auto"/>
            <w:hideMark/>
          </w:tcPr>
          <w:p w14:paraId="4367E1A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w:t>
            </w:r>
          </w:p>
        </w:tc>
      </w:tr>
      <w:tr w:rsidR="000A0DBB" w:rsidRPr="000A0DBB" w14:paraId="32A67612"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0C046FA7" w14:textId="77777777" w:rsidR="000A0DBB" w:rsidRPr="000A0DBB" w:rsidRDefault="000A0DBB" w:rsidP="001211E5">
            <w:pPr>
              <w:spacing w:line="360" w:lineRule="auto"/>
              <w:jc w:val="both"/>
              <w:rPr>
                <w:rFonts w:ascii="Arial" w:eastAsia="Times New Roman" w:hAnsi="Arial" w:cs="Arial"/>
                <w:sz w:val="22"/>
              </w:rPr>
            </w:pPr>
            <w:r w:rsidRPr="000A0DBB">
              <w:rPr>
                <w:rFonts w:ascii="Arial" w:eastAsia="Times New Roman" w:hAnsi="Arial" w:cs="Arial"/>
                <w:sz w:val="22"/>
              </w:rPr>
              <w:t>North America</w:t>
            </w:r>
          </w:p>
        </w:tc>
        <w:tc>
          <w:tcPr>
            <w:tcW w:w="0" w:type="auto"/>
            <w:hideMark/>
          </w:tcPr>
          <w:p w14:paraId="213C21D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Emphasis"/>
                <w:rFonts w:ascii="Arial" w:hAnsi="Arial" w:cs="Arial"/>
              </w:rPr>
              <w:t>Industry proxy (global avg., North America) – Δ Inventory carrying cost</w:t>
            </w:r>
          </w:p>
        </w:tc>
        <w:tc>
          <w:tcPr>
            <w:tcW w:w="0" w:type="auto"/>
            <w:hideMark/>
          </w:tcPr>
          <w:p w14:paraId="1AEA896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–20%</w:t>
            </w:r>
          </w:p>
        </w:tc>
      </w:tr>
    </w:tbl>
    <w:p w14:paraId="370C6878" w14:textId="77777777" w:rsidR="000A0DBB" w:rsidRPr="000A0DBB" w:rsidRDefault="000A0DBB" w:rsidP="001211E5">
      <w:pPr>
        <w:spacing w:line="360" w:lineRule="auto"/>
        <w:jc w:val="both"/>
        <w:rPr>
          <w:rFonts w:ascii="Arial" w:hAnsi="Arial" w:cs="Arial"/>
          <w:sz w:val="22"/>
          <w:szCs w:val="22"/>
        </w:rPr>
      </w:pPr>
    </w:p>
    <w:p w14:paraId="72109035" w14:textId="77777777" w:rsidR="000A0DBB" w:rsidRPr="000A0DBB" w:rsidRDefault="000A0DBB" w:rsidP="001211E5">
      <w:pPr>
        <w:spacing w:line="360" w:lineRule="auto"/>
        <w:jc w:val="both"/>
        <w:rPr>
          <w:rFonts w:ascii="Arial" w:hAnsi="Arial" w:cs="Arial"/>
          <w:sz w:val="22"/>
          <w:szCs w:val="22"/>
        </w:rPr>
      </w:pPr>
      <w:r w:rsidRPr="000A0DBB">
        <w:rPr>
          <w:rFonts w:ascii="Arial" w:hAnsi="Arial" w:cs="Arial"/>
          <w:sz w:val="22"/>
          <w:szCs w:val="22"/>
        </w:rPr>
        <w:br w:type="page"/>
      </w:r>
    </w:p>
    <w:p w14:paraId="007923DD" w14:textId="77777777" w:rsidR="000A0DBB" w:rsidRPr="00F8055A" w:rsidRDefault="000A0DBB" w:rsidP="00F8055A">
      <w:pPr>
        <w:pStyle w:val="Heading3"/>
        <w:spacing w:line="360" w:lineRule="auto"/>
        <w:rPr>
          <w:rFonts w:ascii="Arial" w:hAnsi="Arial" w:cs="Arial"/>
          <w:sz w:val="22"/>
          <w:szCs w:val="22"/>
        </w:rPr>
      </w:pPr>
      <w:bookmarkStart w:id="61" w:name="_Toc203834128"/>
      <w:bookmarkStart w:id="62" w:name="_Toc204707822"/>
      <w:r w:rsidRPr="00F8055A">
        <w:rPr>
          <w:rFonts w:ascii="Arial" w:hAnsi="Arial" w:cs="Arial"/>
          <w:sz w:val="22"/>
          <w:szCs w:val="22"/>
        </w:rPr>
        <w:lastRenderedPageBreak/>
        <w:t>Company MAPE Stockout</w:t>
      </w:r>
      <w:bookmarkEnd w:id="61"/>
      <w:bookmarkEnd w:id="62"/>
    </w:p>
    <w:tbl>
      <w:tblPr>
        <w:tblStyle w:val="GridTable6ColourfulAccent1"/>
        <w:tblW w:w="0" w:type="auto"/>
        <w:tblInd w:w="0" w:type="dxa"/>
        <w:tblLook w:val="04A0" w:firstRow="1" w:lastRow="0" w:firstColumn="1" w:lastColumn="0" w:noHBand="0" w:noVBand="1"/>
      </w:tblPr>
      <w:tblGrid>
        <w:gridCol w:w="974"/>
        <w:gridCol w:w="1027"/>
        <w:gridCol w:w="606"/>
        <w:gridCol w:w="795"/>
        <w:gridCol w:w="607"/>
        <w:gridCol w:w="607"/>
        <w:gridCol w:w="607"/>
        <w:gridCol w:w="607"/>
        <w:gridCol w:w="795"/>
        <w:gridCol w:w="795"/>
        <w:gridCol w:w="795"/>
        <w:gridCol w:w="795"/>
      </w:tblGrid>
      <w:tr w:rsidR="000A0DBB" w:rsidRPr="000A0DBB" w14:paraId="18E36F6F" w14:textId="77777777" w:rsidTr="000A0D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42618A42"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Region</w:t>
            </w:r>
          </w:p>
        </w:tc>
        <w:tc>
          <w:tcPr>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3301EFED"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Company Name</w:t>
            </w:r>
          </w:p>
        </w:tc>
        <w:tc>
          <w:tcPr>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6C5E3641" w14:textId="77777777" w:rsidR="000A0DBB" w:rsidRPr="000A0DBB" w:rsidRDefault="000A0DBB" w:rsidP="001211E5">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Δ MAPE (%)</w:t>
            </w:r>
          </w:p>
        </w:tc>
        <w:tc>
          <w:tcPr>
            <w:tcW w:w="793" w:type="dxa"/>
            <w:tcBorders>
              <w:top w:val="single" w:sz="4" w:space="0" w:color="45B0E1" w:themeColor="accent1" w:themeTint="99"/>
              <w:left w:val="single" w:sz="4" w:space="0" w:color="45B0E1" w:themeColor="accent1" w:themeTint="99"/>
              <w:right w:val="single" w:sz="4" w:space="0" w:color="45B0E1" w:themeColor="accent1" w:themeTint="99"/>
            </w:tcBorders>
            <w:hideMark/>
          </w:tcPr>
          <w:p w14:paraId="75544FAD" w14:textId="77777777" w:rsidR="000A0DBB" w:rsidRPr="000A0DBB" w:rsidRDefault="000A0DBB" w:rsidP="001211E5">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Δ Stockout Rate (%)</w:t>
            </w:r>
          </w:p>
        </w:tc>
        <w:tc>
          <w:tcPr>
            <w:tcW w:w="786" w:type="dxa"/>
            <w:tcBorders>
              <w:top w:val="single" w:sz="4" w:space="0" w:color="45B0E1" w:themeColor="accent1" w:themeTint="99"/>
              <w:left w:val="single" w:sz="4" w:space="0" w:color="45B0E1" w:themeColor="accent1" w:themeTint="99"/>
              <w:right w:val="single" w:sz="4" w:space="0" w:color="45B0E1" w:themeColor="accent1" w:themeTint="99"/>
            </w:tcBorders>
            <w:hideMark/>
          </w:tcPr>
          <w:p w14:paraId="3E8187A0"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MAPE Mean (%)</w:t>
            </w:r>
          </w:p>
        </w:tc>
        <w:tc>
          <w:tcPr>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0A3CCEA2"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MAPE SD (%)</w:t>
            </w:r>
          </w:p>
        </w:tc>
        <w:tc>
          <w:tcPr>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59CFD798"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MAPE Min (%)</w:t>
            </w:r>
          </w:p>
        </w:tc>
        <w:tc>
          <w:tcPr>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158ECBA5"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MAPE Max (%)</w:t>
            </w:r>
          </w:p>
        </w:tc>
        <w:tc>
          <w:tcPr>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22274239"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Stockout Mean (%)</w:t>
            </w:r>
          </w:p>
        </w:tc>
        <w:tc>
          <w:tcPr>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572450E8"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Stockout SD (%)</w:t>
            </w:r>
          </w:p>
        </w:tc>
        <w:tc>
          <w:tcPr>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2740CA12"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Stockout Min (%)</w:t>
            </w:r>
          </w:p>
        </w:tc>
        <w:tc>
          <w:tcPr>
            <w:tcW w:w="0" w:type="auto"/>
            <w:tcBorders>
              <w:top w:val="single" w:sz="4" w:space="0" w:color="45B0E1" w:themeColor="accent1" w:themeTint="99"/>
              <w:left w:val="single" w:sz="4" w:space="0" w:color="45B0E1" w:themeColor="accent1" w:themeTint="99"/>
              <w:right w:val="single" w:sz="4" w:space="0" w:color="45B0E1" w:themeColor="accent1" w:themeTint="99"/>
            </w:tcBorders>
            <w:hideMark/>
          </w:tcPr>
          <w:p w14:paraId="7B94DCB1" w14:textId="77777777" w:rsidR="000A0DBB" w:rsidRPr="000A0DBB" w:rsidRDefault="000A0DBB" w:rsidP="001211E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Stockout Max (%)</w:t>
            </w:r>
          </w:p>
        </w:tc>
      </w:tr>
      <w:tr w:rsidR="000A0DBB" w:rsidRPr="000A0DBB" w14:paraId="0103B6F0"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836B5D6"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5EABBA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Francesca’s Holdings,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92D67C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–38</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DF432E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–48</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C50FB4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9C4408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8EBAF2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4AAD1E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843F61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245BD4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87A571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86B8CC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7A7413B8"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68DBB1B"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64FAAD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Destination XL Group,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959C9A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–41</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4997E5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–52</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F91BFF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57DCB6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5F03CF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C601C8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E32915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4FDFEC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F24327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AB204E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488555CE"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225844F"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451BE5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Buckle,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EFEE75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–42</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3FCE99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–49</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89B080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E90904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AFC889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5106ED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279A05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F09598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4BCC97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98AAFC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78C9B021"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E399FBF"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3B2290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Boot Barn Holdings,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4DD6FD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–39</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E18C46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–51</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73384D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E7B719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0C166B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68EC23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DBE81B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08418D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6BA8AA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D664DF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4EB99479"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C76D30D"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58B9DA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Duluth Holdings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82CA46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–37</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3AAEF5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FAD794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D11B4D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B536A1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A1A6B0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288772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850194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3E70AF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19C92D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23D9EBF7"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081CE68"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ED84D9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Fossil Group,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B2468B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–43</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ED2722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A71053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CE14B9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A1EE14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DB5952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A278E4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A8ADBF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C2665B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818A0B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0FF47441"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A3E1CA6"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BDDF5C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Build-A-Bear Workshop,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D2BB01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–40</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00F041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–47</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B1C1CB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085EA0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C6FD0B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8A6722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475B1E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23591A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C208A4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764C55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1E6CE9EF"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01C9192"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3094B1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Rent-A-Centre,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693261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–42</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628638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–49</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67EBD2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72A96B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7E4003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0E9C1E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2C0BF6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77B3E8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E1BEF0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0AED6A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73EE5114"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3572A93"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lastRenderedPageBreak/>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2091E7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Shoe Carnival,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2E1DB7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–36</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DAD858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–52</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4E94ED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5822EB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E46636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D5FCF6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FA4F86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6DACB5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2B83B8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0D058E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6A051025"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8A965F4"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North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5B8F48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Genesco Inc.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389529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–42</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632D84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–49</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7A0F39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4ACC33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2CAD28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9FB56F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A43237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CB50DE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8E3708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860861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5494363F" w14:textId="77777777" w:rsidTr="000A0DBB">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F495BF1"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C591A1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Arezzo &amp; Co.</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14AF9F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–48</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4652EA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–33</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8BAE0E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452046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97F0BF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9FB50A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951366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BA03E2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D7CE48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B58467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61AB6F4B"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4F1E1C2"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E6EA54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Grupo Toky</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5C7211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–52</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34CF46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–37</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A47E73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37EB2E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EA2140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AE7D8D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B75964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912FF2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8D3617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04E29E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290CF437"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8D9764D"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99C2A9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d1000 Varejo Farma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71A825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–49</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F068F1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–36</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9ABE5C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29BED2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2E49D9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77DC5A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F15744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51BDB3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8B5584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0091F9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276C7A3C"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101A317"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6DAA3A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Centauro</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CC48ED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BA893C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–34</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D3A836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8CECF4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0F34CC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0D57B0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8DCDA3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BAC256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623CDC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69B85E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75F33E3C"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79A13B0"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CF1E9C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Lojas Quero Quero</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7A262E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–51</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BB8986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3BA62A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067A15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2A49BE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FFDFA5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D78792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1CD69F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06738E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2FE6EF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4E6365BC"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FA77B77"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7382B6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Hering</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0E681A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–47</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60814E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–38</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F1758E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DB9A3F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5D396E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1516F9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C32D2D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4D04E6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65D0D9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ADF2A3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459934C7"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642AA66"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68FE15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Vivara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8C5DCF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9B9E4D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B8BE28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07EC65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A8AC06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8042B5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2FFEB4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EF2FC2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ABF744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DDD808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45F5CA72"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18A9FCB"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E20FEF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Grupo Éxito</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2E344B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3D016A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–36</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1017C9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114FBE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D119BE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7978AF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BBC1F7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B0F24D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F05307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51FF48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395A6A37"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1644F9C"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04EBF2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Ripley Corp.</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8073C5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–52</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8A1C0E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–33</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07271A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17FDB2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1084BC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64EEF1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D367C13"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E42CC6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3A7792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ADFDE2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15A45918"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CA996F9"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South America</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111A3D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Veste S.A. Estilo</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CC8A4E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–48</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86B651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–36</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B1148F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12A0FD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5AF781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79EC5E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11BD81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43D864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7562EA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048D87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56D51B13"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CFAB2BA"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lastRenderedPageBreak/>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8A76E9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Lovisa Holdings Ltd</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A49D18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CF8C10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–63</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E11E2D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F39106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B370A4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991E49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CFB418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E0CEB1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0A3F3E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CCFB16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47FF9543"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87C8843"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C843C7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Nick Scali Ltd.</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80FAD8B"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–17</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C8175F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D96DDE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FCC56C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D29613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784384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670C55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F4EFBC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41F1B5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86A104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34B2B31B"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30E15E4"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E6A8A8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Michael Hill International Ltd.</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851D19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–15</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5E322B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–64</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5B7A68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17CD0B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C604C2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5576E0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625034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4FB4A2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7589D2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D91929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153C9521"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68DE860"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D18955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Baby Bunting Group Ltd</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326557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0A8AF4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–66</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259583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8990D0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2953BA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21E506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FFF7E5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79EEAA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69C1BA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DDD7E2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2D6A2080"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031BDFF"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F52C38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Adore Beauty Group Ltd</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5237DA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–16</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D98AD02"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–65</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532262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FEE8CB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D9A486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2D8D9D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42A8E1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F9AA30F"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A6E5CF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6F0C2B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459EE833"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B6D8F50"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51FCE7A"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Adairs Ltd</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040CCB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–15</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0F9D99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–66</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C1CC17C"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637752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8975C5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1BDA43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352619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A76EF37"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FC3F98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C47B2B0"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351A7A85"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C3EB355"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C72B6AC"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Eu Yan Sang International Ltd.</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7D6A27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022F7E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–64</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88E63B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9943FD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763001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C064C8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8B32519"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BA2F730"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5F1D4B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97B2A81"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345F8178"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3DB0A1F"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5201DE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Old Chang Kee Ltd.</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C2719A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–16</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310F2F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C46B86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01C9E0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4E8751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4E11D25"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B27DED9"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39CEC78"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62895E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E0C993D"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6EE00639" w14:textId="77777777" w:rsidTr="000A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EF696EF"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5092D75"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Style w:val="Strong"/>
                <w:rFonts w:ascii="Arial" w:hAnsi="Arial" w:cs="Arial"/>
              </w:rPr>
              <w:t>Eslite Spectrum Corp.</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C21CB28"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–15</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77B755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–65</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651E3E6"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EA0BF1A"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7D02C6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8442ABB"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A28346E"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3703A67"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37D3E1D"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6C496F4" w14:textId="77777777" w:rsidR="000A0DBB" w:rsidRPr="000A0DBB" w:rsidRDefault="000A0DBB" w:rsidP="001211E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r w:rsidR="000A0DBB" w:rsidRPr="000A0DBB" w14:paraId="007F79EE" w14:textId="77777777" w:rsidTr="000A0DBB">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35BB504" w14:textId="77777777" w:rsidR="000A0DBB" w:rsidRPr="000A0DBB" w:rsidRDefault="000A0DBB" w:rsidP="001211E5">
            <w:pPr>
              <w:spacing w:line="360" w:lineRule="auto"/>
              <w:jc w:val="both"/>
              <w:rPr>
                <w:rFonts w:ascii="Arial" w:eastAsia="Times New Roman" w:hAnsi="Arial" w:cs="Arial"/>
              </w:rPr>
            </w:pPr>
            <w:r w:rsidRPr="000A0DBB">
              <w:rPr>
                <w:rFonts w:ascii="Arial" w:eastAsia="Times New Roman" w:hAnsi="Arial" w:cs="Arial"/>
              </w:rPr>
              <w:lastRenderedPageBreak/>
              <w:t>Asia/Pacific</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03C1B1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Style w:val="Strong"/>
                <w:rFonts w:ascii="Arial" w:hAnsi="Arial" w:cs="Arial"/>
              </w:rPr>
              <w:t>Giordano International Ltd.</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CE91E5E"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–15</w:t>
            </w:r>
          </w:p>
        </w:tc>
        <w:tc>
          <w:tcPr>
            <w:tcW w:w="79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63EFF7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–66</w:t>
            </w:r>
          </w:p>
        </w:tc>
        <w:tc>
          <w:tcPr>
            <w:tcW w:w="78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9DC950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–35.0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E4D60D2"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14.83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9880BC4"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3382FE1"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D917DC3"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–50.07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192966F"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12.53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FA1C5B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–67</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C2AC976" w14:textId="77777777" w:rsidR="000A0DBB" w:rsidRPr="000A0DBB" w:rsidRDefault="000A0DBB" w:rsidP="001211E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0A0DBB">
              <w:rPr>
                <w:rFonts w:ascii="Arial" w:eastAsia="Times New Roman" w:hAnsi="Arial" w:cs="Arial"/>
              </w:rPr>
              <w:t>–31</w:t>
            </w:r>
          </w:p>
        </w:tc>
      </w:tr>
    </w:tbl>
    <w:p w14:paraId="35754C92" w14:textId="77777777" w:rsidR="000A0DBB" w:rsidRPr="000A0DBB" w:rsidRDefault="000A0DBB" w:rsidP="001211E5">
      <w:pPr>
        <w:spacing w:line="360" w:lineRule="auto"/>
        <w:jc w:val="both"/>
        <w:rPr>
          <w:rFonts w:ascii="Arial" w:hAnsi="Arial" w:cs="Arial"/>
          <w:sz w:val="22"/>
          <w:szCs w:val="22"/>
        </w:rPr>
      </w:pPr>
    </w:p>
    <w:p w14:paraId="70073DDA" w14:textId="77777777" w:rsidR="000A0DBB" w:rsidRPr="000A0DBB" w:rsidRDefault="000A0DBB" w:rsidP="001211E5">
      <w:pPr>
        <w:spacing w:line="360" w:lineRule="auto"/>
        <w:jc w:val="both"/>
        <w:rPr>
          <w:rFonts w:ascii="Arial" w:hAnsi="Arial" w:cs="Arial"/>
          <w:sz w:val="22"/>
          <w:szCs w:val="22"/>
        </w:rPr>
      </w:pPr>
    </w:p>
    <w:p w14:paraId="214C2DAC" w14:textId="77777777" w:rsidR="00FD3E9C" w:rsidRPr="000A0DBB" w:rsidRDefault="00FD3E9C" w:rsidP="001211E5">
      <w:pPr>
        <w:spacing w:line="360" w:lineRule="auto"/>
        <w:jc w:val="both"/>
        <w:rPr>
          <w:rFonts w:ascii="Arial" w:hAnsi="Arial" w:cs="Arial"/>
          <w:sz w:val="22"/>
          <w:szCs w:val="22"/>
        </w:rPr>
      </w:pPr>
    </w:p>
    <w:p w14:paraId="0280F5A8" w14:textId="77777777" w:rsidR="00FD3E9C" w:rsidRPr="000A0DBB" w:rsidRDefault="00FD3E9C" w:rsidP="001211E5">
      <w:pPr>
        <w:spacing w:line="360" w:lineRule="auto"/>
        <w:jc w:val="both"/>
        <w:rPr>
          <w:rFonts w:ascii="Arial" w:hAnsi="Arial" w:cs="Arial"/>
          <w:sz w:val="22"/>
          <w:szCs w:val="22"/>
        </w:rPr>
      </w:pPr>
    </w:p>
    <w:sectPr w:rsidR="00FD3E9C" w:rsidRPr="000A0DBB" w:rsidSect="00737E69">
      <w:footerReference w:type="even" r:id="rId73"/>
      <w:footerReference w:type="default" r:id="rId7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5028F" w14:textId="77777777" w:rsidR="003275CF" w:rsidRDefault="003275CF" w:rsidP="003275CF">
      <w:r>
        <w:separator/>
      </w:r>
    </w:p>
  </w:endnote>
  <w:endnote w:type="continuationSeparator" w:id="0">
    <w:p w14:paraId="0F4C15BD" w14:textId="77777777" w:rsidR="003275CF" w:rsidRDefault="003275CF" w:rsidP="0032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6861272"/>
      <w:docPartObj>
        <w:docPartGallery w:val="Page Numbers (Bottom of Page)"/>
        <w:docPartUnique/>
      </w:docPartObj>
    </w:sdtPr>
    <w:sdtEndPr>
      <w:rPr>
        <w:rStyle w:val="PageNumber"/>
      </w:rPr>
    </w:sdtEndPr>
    <w:sdtContent>
      <w:p w14:paraId="6B5101E8" w14:textId="77777777" w:rsidR="00FD3E9C" w:rsidRDefault="00FD3E9C" w:rsidP="003075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C31AE4" w14:textId="77777777" w:rsidR="00FD3E9C" w:rsidRDefault="00FD3E9C" w:rsidP="00FD3E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4773844"/>
      <w:docPartObj>
        <w:docPartGallery w:val="Page Numbers (Bottom of Page)"/>
        <w:docPartUnique/>
      </w:docPartObj>
    </w:sdtPr>
    <w:sdtEndPr>
      <w:rPr>
        <w:rStyle w:val="PageNumber"/>
      </w:rPr>
    </w:sdtEndPr>
    <w:sdtContent>
      <w:p w14:paraId="4314DCBA" w14:textId="77777777" w:rsidR="00FD3E9C" w:rsidRDefault="00FD3E9C" w:rsidP="003075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649B13" w14:textId="77777777" w:rsidR="00FD3E9C" w:rsidRDefault="00FD3E9C" w:rsidP="00FD3E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62663" w14:textId="77777777" w:rsidR="003275CF" w:rsidRDefault="003275CF" w:rsidP="003275CF">
      <w:r>
        <w:separator/>
      </w:r>
    </w:p>
  </w:footnote>
  <w:footnote w:type="continuationSeparator" w:id="0">
    <w:p w14:paraId="69436B4C" w14:textId="77777777" w:rsidR="003275CF" w:rsidRDefault="003275CF" w:rsidP="003275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725B"/>
    <w:multiLevelType w:val="hybridMultilevel"/>
    <w:tmpl w:val="A106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21B7F"/>
    <w:multiLevelType w:val="multilevel"/>
    <w:tmpl w:val="3726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A0840"/>
    <w:multiLevelType w:val="hybridMultilevel"/>
    <w:tmpl w:val="82068588"/>
    <w:lvl w:ilvl="0" w:tplc="CBE0D56A">
      <w:start w:val="1"/>
      <w:numFmt w:val="bullet"/>
      <w:lvlText w:val=""/>
      <w:lvlJc w:val="left"/>
      <w:pPr>
        <w:ind w:left="860" w:hanging="50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5443E38"/>
    <w:multiLevelType w:val="multilevel"/>
    <w:tmpl w:val="40DA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33938"/>
    <w:multiLevelType w:val="hybridMultilevel"/>
    <w:tmpl w:val="CB589DCC"/>
    <w:lvl w:ilvl="0" w:tplc="0C8A7DD8">
      <w:start w:val="1"/>
      <w:numFmt w:val="bullet"/>
      <w:lvlText w:val=""/>
      <w:lvlJc w:val="left"/>
      <w:pPr>
        <w:ind w:left="720" w:hanging="360"/>
      </w:pPr>
      <w:rPr>
        <w:rFonts w:ascii="Symbol" w:hAnsi="Symbol" w:hint="default"/>
      </w:rPr>
    </w:lvl>
    <w:lvl w:ilvl="1" w:tplc="2990FFE4" w:tentative="1">
      <w:start w:val="1"/>
      <w:numFmt w:val="bullet"/>
      <w:lvlText w:val="o"/>
      <w:lvlJc w:val="left"/>
      <w:pPr>
        <w:ind w:left="1440" w:hanging="360"/>
      </w:pPr>
      <w:rPr>
        <w:rFonts w:ascii="Courier New" w:hAnsi="Courier New" w:cs="Courier New" w:hint="default"/>
      </w:rPr>
    </w:lvl>
    <w:lvl w:ilvl="2" w:tplc="74EAB566" w:tentative="1">
      <w:start w:val="1"/>
      <w:numFmt w:val="bullet"/>
      <w:lvlText w:val=""/>
      <w:lvlJc w:val="left"/>
      <w:pPr>
        <w:ind w:left="2160" w:hanging="360"/>
      </w:pPr>
      <w:rPr>
        <w:rFonts w:ascii="Wingdings" w:hAnsi="Wingdings" w:hint="default"/>
      </w:rPr>
    </w:lvl>
    <w:lvl w:ilvl="3" w:tplc="945C21D2" w:tentative="1">
      <w:start w:val="1"/>
      <w:numFmt w:val="bullet"/>
      <w:lvlText w:val=""/>
      <w:lvlJc w:val="left"/>
      <w:pPr>
        <w:ind w:left="2880" w:hanging="360"/>
      </w:pPr>
      <w:rPr>
        <w:rFonts w:ascii="Symbol" w:hAnsi="Symbol" w:hint="default"/>
      </w:rPr>
    </w:lvl>
    <w:lvl w:ilvl="4" w:tplc="C5665DF8" w:tentative="1">
      <w:start w:val="1"/>
      <w:numFmt w:val="bullet"/>
      <w:lvlText w:val="o"/>
      <w:lvlJc w:val="left"/>
      <w:pPr>
        <w:ind w:left="3600" w:hanging="360"/>
      </w:pPr>
      <w:rPr>
        <w:rFonts w:ascii="Courier New" w:hAnsi="Courier New" w:cs="Courier New" w:hint="default"/>
      </w:rPr>
    </w:lvl>
    <w:lvl w:ilvl="5" w:tplc="47CE0722" w:tentative="1">
      <w:start w:val="1"/>
      <w:numFmt w:val="bullet"/>
      <w:lvlText w:val=""/>
      <w:lvlJc w:val="left"/>
      <w:pPr>
        <w:ind w:left="4320" w:hanging="360"/>
      </w:pPr>
      <w:rPr>
        <w:rFonts w:ascii="Wingdings" w:hAnsi="Wingdings" w:hint="default"/>
      </w:rPr>
    </w:lvl>
    <w:lvl w:ilvl="6" w:tplc="F8A0D59C" w:tentative="1">
      <w:start w:val="1"/>
      <w:numFmt w:val="bullet"/>
      <w:lvlText w:val=""/>
      <w:lvlJc w:val="left"/>
      <w:pPr>
        <w:ind w:left="5040" w:hanging="360"/>
      </w:pPr>
      <w:rPr>
        <w:rFonts w:ascii="Symbol" w:hAnsi="Symbol" w:hint="default"/>
      </w:rPr>
    </w:lvl>
    <w:lvl w:ilvl="7" w:tplc="717281DA" w:tentative="1">
      <w:start w:val="1"/>
      <w:numFmt w:val="bullet"/>
      <w:lvlText w:val="o"/>
      <w:lvlJc w:val="left"/>
      <w:pPr>
        <w:ind w:left="5760" w:hanging="360"/>
      </w:pPr>
      <w:rPr>
        <w:rFonts w:ascii="Courier New" w:hAnsi="Courier New" w:cs="Courier New" w:hint="default"/>
      </w:rPr>
    </w:lvl>
    <w:lvl w:ilvl="8" w:tplc="E71E0F7E" w:tentative="1">
      <w:start w:val="1"/>
      <w:numFmt w:val="bullet"/>
      <w:lvlText w:val=""/>
      <w:lvlJc w:val="left"/>
      <w:pPr>
        <w:ind w:left="6480" w:hanging="360"/>
      </w:pPr>
      <w:rPr>
        <w:rFonts w:ascii="Wingdings" w:hAnsi="Wingdings" w:hint="default"/>
      </w:rPr>
    </w:lvl>
  </w:abstractNum>
  <w:abstractNum w:abstractNumId="5" w15:restartNumberingAfterBreak="0">
    <w:nsid w:val="0B0E4550"/>
    <w:multiLevelType w:val="hybridMultilevel"/>
    <w:tmpl w:val="87BEE85C"/>
    <w:lvl w:ilvl="0" w:tplc="300A3DE2">
      <w:start w:val="1"/>
      <w:numFmt w:val="bullet"/>
      <w:lvlText w:val=""/>
      <w:lvlJc w:val="left"/>
      <w:pPr>
        <w:ind w:left="720" w:hanging="360"/>
      </w:pPr>
      <w:rPr>
        <w:rFonts w:ascii="Symbol" w:hAnsi="Symbol" w:hint="default"/>
      </w:rPr>
    </w:lvl>
    <w:lvl w:ilvl="1" w:tplc="692A0238" w:tentative="1">
      <w:start w:val="1"/>
      <w:numFmt w:val="bullet"/>
      <w:lvlText w:val="o"/>
      <w:lvlJc w:val="left"/>
      <w:pPr>
        <w:ind w:left="1440" w:hanging="360"/>
      </w:pPr>
      <w:rPr>
        <w:rFonts w:ascii="Courier New" w:hAnsi="Courier New" w:cs="Courier New" w:hint="default"/>
      </w:rPr>
    </w:lvl>
    <w:lvl w:ilvl="2" w:tplc="5DB66D9A" w:tentative="1">
      <w:start w:val="1"/>
      <w:numFmt w:val="bullet"/>
      <w:lvlText w:val=""/>
      <w:lvlJc w:val="left"/>
      <w:pPr>
        <w:ind w:left="2160" w:hanging="360"/>
      </w:pPr>
      <w:rPr>
        <w:rFonts w:ascii="Wingdings" w:hAnsi="Wingdings" w:hint="default"/>
      </w:rPr>
    </w:lvl>
    <w:lvl w:ilvl="3" w:tplc="3D1A97F2" w:tentative="1">
      <w:start w:val="1"/>
      <w:numFmt w:val="bullet"/>
      <w:lvlText w:val=""/>
      <w:lvlJc w:val="left"/>
      <w:pPr>
        <w:ind w:left="2880" w:hanging="360"/>
      </w:pPr>
      <w:rPr>
        <w:rFonts w:ascii="Symbol" w:hAnsi="Symbol" w:hint="default"/>
      </w:rPr>
    </w:lvl>
    <w:lvl w:ilvl="4" w:tplc="8EA82E28" w:tentative="1">
      <w:start w:val="1"/>
      <w:numFmt w:val="bullet"/>
      <w:lvlText w:val="o"/>
      <w:lvlJc w:val="left"/>
      <w:pPr>
        <w:ind w:left="3600" w:hanging="360"/>
      </w:pPr>
      <w:rPr>
        <w:rFonts w:ascii="Courier New" w:hAnsi="Courier New" w:cs="Courier New" w:hint="default"/>
      </w:rPr>
    </w:lvl>
    <w:lvl w:ilvl="5" w:tplc="13087646" w:tentative="1">
      <w:start w:val="1"/>
      <w:numFmt w:val="bullet"/>
      <w:lvlText w:val=""/>
      <w:lvlJc w:val="left"/>
      <w:pPr>
        <w:ind w:left="4320" w:hanging="360"/>
      </w:pPr>
      <w:rPr>
        <w:rFonts w:ascii="Wingdings" w:hAnsi="Wingdings" w:hint="default"/>
      </w:rPr>
    </w:lvl>
    <w:lvl w:ilvl="6" w:tplc="D50E0044" w:tentative="1">
      <w:start w:val="1"/>
      <w:numFmt w:val="bullet"/>
      <w:lvlText w:val=""/>
      <w:lvlJc w:val="left"/>
      <w:pPr>
        <w:ind w:left="5040" w:hanging="360"/>
      </w:pPr>
      <w:rPr>
        <w:rFonts w:ascii="Symbol" w:hAnsi="Symbol" w:hint="default"/>
      </w:rPr>
    </w:lvl>
    <w:lvl w:ilvl="7" w:tplc="696828AE" w:tentative="1">
      <w:start w:val="1"/>
      <w:numFmt w:val="bullet"/>
      <w:lvlText w:val="o"/>
      <w:lvlJc w:val="left"/>
      <w:pPr>
        <w:ind w:left="5760" w:hanging="360"/>
      </w:pPr>
      <w:rPr>
        <w:rFonts w:ascii="Courier New" w:hAnsi="Courier New" w:cs="Courier New" w:hint="default"/>
      </w:rPr>
    </w:lvl>
    <w:lvl w:ilvl="8" w:tplc="EC40F32C" w:tentative="1">
      <w:start w:val="1"/>
      <w:numFmt w:val="bullet"/>
      <w:lvlText w:val=""/>
      <w:lvlJc w:val="left"/>
      <w:pPr>
        <w:ind w:left="6480" w:hanging="360"/>
      </w:pPr>
      <w:rPr>
        <w:rFonts w:ascii="Wingdings" w:hAnsi="Wingdings" w:hint="default"/>
      </w:rPr>
    </w:lvl>
  </w:abstractNum>
  <w:abstractNum w:abstractNumId="6" w15:restartNumberingAfterBreak="0">
    <w:nsid w:val="0CD90FEB"/>
    <w:multiLevelType w:val="hybridMultilevel"/>
    <w:tmpl w:val="D6143998"/>
    <w:lvl w:ilvl="0" w:tplc="1A9C5380">
      <w:start w:val="1"/>
      <w:numFmt w:val="bullet"/>
      <w:lvlText w:val=""/>
      <w:lvlJc w:val="left"/>
      <w:pPr>
        <w:ind w:left="720" w:hanging="360"/>
      </w:pPr>
      <w:rPr>
        <w:rFonts w:ascii="Symbol" w:hAnsi="Symbol" w:hint="default"/>
      </w:rPr>
    </w:lvl>
    <w:lvl w:ilvl="1" w:tplc="B27482F6" w:tentative="1">
      <w:start w:val="1"/>
      <w:numFmt w:val="bullet"/>
      <w:lvlText w:val="o"/>
      <w:lvlJc w:val="left"/>
      <w:pPr>
        <w:ind w:left="1440" w:hanging="360"/>
      </w:pPr>
      <w:rPr>
        <w:rFonts w:ascii="Courier New" w:hAnsi="Courier New" w:cs="Courier New" w:hint="default"/>
      </w:rPr>
    </w:lvl>
    <w:lvl w:ilvl="2" w:tplc="7FE29D80" w:tentative="1">
      <w:start w:val="1"/>
      <w:numFmt w:val="bullet"/>
      <w:lvlText w:val=""/>
      <w:lvlJc w:val="left"/>
      <w:pPr>
        <w:ind w:left="2160" w:hanging="360"/>
      </w:pPr>
      <w:rPr>
        <w:rFonts w:ascii="Wingdings" w:hAnsi="Wingdings" w:hint="default"/>
      </w:rPr>
    </w:lvl>
    <w:lvl w:ilvl="3" w:tplc="C120828C" w:tentative="1">
      <w:start w:val="1"/>
      <w:numFmt w:val="bullet"/>
      <w:lvlText w:val=""/>
      <w:lvlJc w:val="left"/>
      <w:pPr>
        <w:ind w:left="2880" w:hanging="360"/>
      </w:pPr>
      <w:rPr>
        <w:rFonts w:ascii="Symbol" w:hAnsi="Symbol" w:hint="default"/>
      </w:rPr>
    </w:lvl>
    <w:lvl w:ilvl="4" w:tplc="C15EBFB2" w:tentative="1">
      <w:start w:val="1"/>
      <w:numFmt w:val="bullet"/>
      <w:lvlText w:val="o"/>
      <w:lvlJc w:val="left"/>
      <w:pPr>
        <w:ind w:left="3600" w:hanging="360"/>
      </w:pPr>
      <w:rPr>
        <w:rFonts w:ascii="Courier New" w:hAnsi="Courier New" w:cs="Courier New" w:hint="default"/>
      </w:rPr>
    </w:lvl>
    <w:lvl w:ilvl="5" w:tplc="A85694F8" w:tentative="1">
      <w:start w:val="1"/>
      <w:numFmt w:val="bullet"/>
      <w:lvlText w:val=""/>
      <w:lvlJc w:val="left"/>
      <w:pPr>
        <w:ind w:left="4320" w:hanging="360"/>
      </w:pPr>
      <w:rPr>
        <w:rFonts w:ascii="Wingdings" w:hAnsi="Wingdings" w:hint="default"/>
      </w:rPr>
    </w:lvl>
    <w:lvl w:ilvl="6" w:tplc="71346632" w:tentative="1">
      <w:start w:val="1"/>
      <w:numFmt w:val="bullet"/>
      <w:lvlText w:val=""/>
      <w:lvlJc w:val="left"/>
      <w:pPr>
        <w:ind w:left="5040" w:hanging="360"/>
      </w:pPr>
      <w:rPr>
        <w:rFonts w:ascii="Symbol" w:hAnsi="Symbol" w:hint="default"/>
      </w:rPr>
    </w:lvl>
    <w:lvl w:ilvl="7" w:tplc="1804D02E" w:tentative="1">
      <w:start w:val="1"/>
      <w:numFmt w:val="bullet"/>
      <w:lvlText w:val="o"/>
      <w:lvlJc w:val="left"/>
      <w:pPr>
        <w:ind w:left="5760" w:hanging="360"/>
      </w:pPr>
      <w:rPr>
        <w:rFonts w:ascii="Courier New" w:hAnsi="Courier New" w:cs="Courier New" w:hint="default"/>
      </w:rPr>
    </w:lvl>
    <w:lvl w:ilvl="8" w:tplc="EA708D1A" w:tentative="1">
      <w:start w:val="1"/>
      <w:numFmt w:val="bullet"/>
      <w:lvlText w:val=""/>
      <w:lvlJc w:val="left"/>
      <w:pPr>
        <w:ind w:left="6480" w:hanging="360"/>
      </w:pPr>
      <w:rPr>
        <w:rFonts w:ascii="Wingdings" w:hAnsi="Wingdings" w:hint="default"/>
      </w:rPr>
    </w:lvl>
  </w:abstractNum>
  <w:abstractNum w:abstractNumId="7" w15:restartNumberingAfterBreak="0">
    <w:nsid w:val="14215796"/>
    <w:multiLevelType w:val="hybridMultilevel"/>
    <w:tmpl w:val="D5584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5B1766"/>
    <w:multiLevelType w:val="multilevel"/>
    <w:tmpl w:val="91749A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3349B8"/>
    <w:multiLevelType w:val="multilevel"/>
    <w:tmpl w:val="1A6E7256"/>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7DD7392"/>
    <w:multiLevelType w:val="hybridMultilevel"/>
    <w:tmpl w:val="07B272F2"/>
    <w:lvl w:ilvl="0" w:tplc="6F187D8A">
      <w:start w:val="1"/>
      <w:numFmt w:val="bullet"/>
      <w:lvlText w:val=""/>
      <w:lvlJc w:val="left"/>
      <w:pPr>
        <w:ind w:left="720" w:hanging="360"/>
      </w:pPr>
      <w:rPr>
        <w:rFonts w:ascii="Symbol" w:hAnsi="Symbol" w:hint="default"/>
      </w:rPr>
    </w:lvl>
    <w:lvl w:ilvl="1" w:tplc="9A620750" w:tentative="1">
      <w:start w:val="1"/>
      <w:numFmt w:val="bullet"/>
      <w:lvlText w:val="o"/>
      <w:lvlJc w:val="left"/>
      <w:pPr>
        <w:ind w:left="1440" w:hanging="360"/>
      </w:pPr>
      <w:rPr>
        <w:rFonts w:ascii="Courier New" w:hAnsi="Courier New" w:cs="Courier New" w:hint="default"/>
      </w:rPr>
    </w:lvl>
    <w:lvl w:ilvl="2" w:tplc="EB467302" w:tentative="1">
      <w:start w:val="1"/>
      <w:numFmt w:val="bullet"/>
      <w:lvlText w:val=""/>
      <w:lvlJc w:val="left"/>
      <w:pPr>
        <w:ind w:left="2160" w:hanging="360"/>
      </w:pPr>
      <w:rPr>
        <w:rFonts w:ascii="Wingdings" w:hAnsi="Wingdings" w:hint="default"/>
      </w:rPr>
    </w:lvl>
    <w:lvl w:ilvl="3" w:tplc="73AE5B8C" w:tentative="1">
      <w:start w:val="1"/>
      <w:numFmt w:val="bullet"/>
      <w:lvlText w:val=""/>
      <w:lvlJc w:val="left"/>
      <w:pPr>
        <w:ind w:left="2880" w:hanging="360"/>
      </w:pPr>
      <w:rPr>
        <w:rFonts w:ascii="Symbol" w:hAnsi="Symbol" w:hint="default"/>
      </w:rPr>
    </w:lvl>
    <w:lvl w:ilvl="4" w:tplc="A0E291FE" w:tentative="1">
      <w:start w:val="1"/>
      <w:numFmt w:val="bullet"/>
      <w:lvlText w:val="o"/>
      <w:lvlJc w:val="left"/>
      <w:pPr>
        <w:ind w:left="3600" w:hanging="360"/>
      </w:pPr>
      <w:rPr>
        <w:rFonts w:ascii="Courier New" w:hAnsi="Courier New" w:cs="Courier New" w:hint="default"/>
      </w:rPr>
    </w:lvl>
    <w:lvl w:ilvl="5" w:tplc="44503B0A" w:tentative="1">
      <w:start w:val="1"/>
      <w:numFmt w:val="bullet"/>
      <w:lvlText w:val=""/>
      <w:lvlJc w:val="left"/>
      <w:pPr>
        <w:ind w:left="4320" w:hanging="360"/>
      </w:pPr>
      <w:rPr>
        <w:rFonts w:ascii="Wingdings" w:hAnsi="Wingdings" w:hint="default"/>
      </w:rPr>
    </w:lvl>
    <w:lvl w:ilvl="6" w:tplc="4488AA62" w:tentative="1">
      <w:start w:val="1"/>
      <w:numFmt w:val="bullet"/>
      <w:lvlText w:val=""/>
      <w:lvlJc w:val="left"/>
      <w:pPr>
        <w:ind w:left="5040" w:hanging="360"/>
      </w:pPr>
      <w:rPr>
        <w:rFonts w:ascii="Symbol" w:hAnsi="Symbol" w:hint="default"/>
      </w:rPr>
    </w:lvl>
    <w:lvl w:ilvl="7" w:tplc="15388B00" w:tentative="1">
      <w:start w:val="1"/>
      <w:numFmt w:val="bullet"/>
      <w:lvlText w:val="o"/>
      <w:lvlJc w:val="left"/>
      <w:pPr>
        <w:ind w:left="5760" w:hanging="360"/>
      </w:pPr>
      <w:rPr>
        <w:rFonts w:ascii="Courier New" w:hAnsi="Courier New" w:cs="Courier New" w:hint="default"/>
      </w:rPr>
    </w:lvl>
    <w:lvl w:ilvl="8" w:tplc="1A6E55C8" w:tentative="1">
      <w:start w:val="1"/>
      <w:numFmt w:val="bullet"/>
      <w:lvlText w:val=""/>
      <w:lvlJc w:val="left"/>
      <w:pPr>
        <w:ind w:left="6480" w:hanging="360"/>
      </w:pPr>
      <w:rPr>
        <w:rFonts w:ascii="Wingdings" w:hAnsi="Wingdings" w:hint="default"/>
      </w:rPr>
    </w:lvl>
  </w:abstractNum>
  <w:abstractNum w:abstractNumId="11" w15:restartNumberingAfterBreak="0">
    <w:nsid w:val="29125AE9"/>
    <w:multiLevelType w:val="multilevel"/>
    <w:tmpl w:val="B8C4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5B3141"/>
    <w:multiLevelType w:val="multilevel"/>
    <w:tmpl w:val="F410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984B0E"/>
    <w:multiLevelType w:val="multilevel"/>
    <w:tmpl w:val="2244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BF455B"/>
    <w:multiLevelType w:val="multilevel"/>
    <w:tmpl w:val="F410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D00DD5"/>
    <w:multiLevelType w:val="multilevel"/>
    <w:tmpl w:val="8BE2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034737"/>
    <w:multiLevelType w:val="hybridMultilevel"/>
    <w:tmpl w:val="6C72E91A"/>
    <w:lvl w:ilvl="0" w:tplc="1232847C">
      <w:start w:val="1"/>
      <w:numFmt w:val="decimal"/>
      <w:lvlText w:val="%1."/>
      <w:lvlJc w:val="left"/>
      <w:pPr>
        <w:ind w:left="1080" w:hanging="720"/>
      </w:pPr>
      <w:rPr>
        <w:rFonts w:hint="default"/>
      </w:rPr>
    </w:lvl>
    <w:lvl w:ilvl="1" w:tplc="F22E4F24" w:tentative="1">
      <w:start w:val="1"/>
      <w:numFmt w:val="lowerLetter"/>
      <w:lvlText w:val="%2."/>
      <w:lvlJc w:val="left"/>
      <w:pPr>
        <w:ind w:left="1440" w:hanging="360"/>
      </w:pPr>
    </w:lvl>
    <w:lvl w:ilvl="2" w:tplc="A3AA38FE" w:tentative="1">
      <w:start w:val="1"/>
      <w:numFmt w:val="lowerRoman"/>
      <w:lvlText w:val="%3."/>
      <w:lvlJc w:val="right"/>
      <w:pPr>
        <w:ind w:left="2160" w:hanging="180"/>
      </w:pPr>
    </w:lvl>
    <w:lvl w:ilvl="3" w:tplc="E54ADE2A" w:tentative="1">
      <w:start w:val="1"/>
      <w:numFmt w:val="decimal"/>
      <w:lvlText w:val="%4."/>
      <w:lvlJc w:val="left"/>
      <w:pPr>
        <w:ind w:left="2880" w:hanging="360"/>
      </w:pPr>
    </w:lvl>
    <w:lvl w:ilvl="4" w:tplc="8E222D24" w:tentative="1">
      <w:start w:val="1"/>
      <w:numFmt w:val="lowerLetter"/>
      <w:lvlText w:val="%5."/>
      <w:lvlJc w:val="left"/>
      <w:pPr>
        <w:ind w:left="3600" w:hanging="360"/>
      </w:pPr>
    </w:lvl>
    <w:lvl w:ilvl="5" w:tplc="41A02A12" w:tentative="1">
      <w:start w:val="1"/>
      <w:numFmt w:val="lowerRoman"/>
      <w:lvlText w:val="%6."/>
      <w:lvlJc w:val="right"/>
      <w:pPr>
        <w:ind w:left="4320" w:hanging="180"/>
      </w:pPr>
    </w:lvl>
    <w:lvl w:ilvl="6" w:tplc="4614F166" w:tentative="1">
      <w:start w:val="1"/>
      <w:numFmt w:val="decimal"/>
      <w:lvlText w:val="%7."/>
      <w:lvlJc w:val="left"/>
      <w:pPr>
        <w:ind w:left="5040" w:hanging="360"/>
      </w:pPr>
    </w:lvl>
    <w:lvl w:ilvl="7" w:tplc="820EE6BA" w:tentative="1">
      <w:start w:val="1"/>
      <w:numFmt w:val="lowerLetter"/>
      <w:lvlText w:val="%8."/>
      <w:lvlJc w:val="left"/>
      <w:pPr>
        <w:ind w:left="5760" w:hanging="360"/>
      </w:pPr>
    </w:lvl>
    <w:lvl w:ilvl="8" w:tplc="21669E1C" w:tentative="1">
      <w:start w:val="1"/>
      <w:numFmt w:val="lowerRoman"/>
      <w:lvlText w:val="%9."/>
      <w:lvlJc w:val="right"/>
      <w:pPr>
        <w:ind w:left="6480" w:hanging="180"/>
      </w:pPr>
    </w:lvl>
  </w:abstractNum>
  <w:abstractNum w:abstractNumId="17" w15:restartNumberingAfterBreak="0">
    <w:nsid w:val="32BB6402"/>
    <w:multiLevelType w:val="hybridMultilevel"/>
    <w:tmpl w:val="BA9EF266"/>
    <w:lvl w:ilvl="0" w:tplc="CBE0D56A">
      <w:start w:val="1"/>
      <w:numFmt w:val="bullet"/>
      <w:lvlText w:val=""/>
      <w:lvlJc w:val="left"/>
      <w:pPr>
        <w:ind w:left="780" w:hanging="360"/>
      </w:pPr>
      <w:rPr>
        <w:rFonts w:ascii="Symbol" w:hAnsi="Symbol" w:hint="default"/>
        <w:color w:val="auto"/>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18" w15:restartNumberingAfterBreak="0">
    <w:nsid w:val="35DB405D"/>
    <w:multiLevelType w:val="multilevel"/>
    <w:tmpl w:val="E4788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723E11"/>
    <w:multiLevelType w:val="multilevel"/>
    <w:tmpl w:val="D568A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7F331B"/>
    <w:multiLevelType w:val="hybridMultilevel"/>
    <w:tmpl w:val="B128C3AC"/>
    <w:lvl w:ilvl="0" w:tplc="D9B45766">
      <w:start w:val="1"/>
      <w:numFmt w:val="bullet"/>
      <w:lvlText w:val=""/>
      <w:lvlJc w:val="left"/>
      <w:pPr>
        <w:ind w:left="720" w:hanging="360"/>
      </w:pPr>
      <w:rPr>
        <w:rFonts w:ascii="Symbol" w:hAnsi="Symbol" w:hint="default"/>
      </w:rPr>
    </w:lvl>
    <w:lvl w:ilvl="1" w:tplc="71CCFBEA" w:tentative="1">
      <w:start w:val="1"/>
      <w:numFmt w:val="bullet"/>
      <w:lvlText w:val="o"/>
      <w:lvlJc w:val="left"/>
      <w:pPr>
        <w:ind w:left="1440" w:hanging="360"/>
      </w:pPr>
      <w:rPr>
        <w:rFonts w:ascii="Courier New" w:hAnsi="Courier New" w:cs="Courier New" w:hint="default"/>
      </w:rPr>
    </w:lvl>
    <w:lvl w:ilvl="2" w:tplc="EB3A949A" w:tentative="1">
      <w:start w:val="1"/>
      <w:numFmt w:val="bullet"/>
      <w:lvlText w:val=""/>
      <w:lvlJc w:val="left"/>
      <w:pPr>
        <w:ind w:left="2160" w:hanging="360"/>
      </w:pPr>
      <w:rPr>
        <w:rFonts w:ascii="Wingdings" w:hAnsi="Wingdings" w:hint="default"/>
      </w:rPr>
    </w:lvl>
    <w:lvl w:ilvl="3" w:tplc="6A56C33C" w:tentative="1">
      <w:start w:val="1"/>
      <w:numFmt w:val="bullet"/>
      <w:lvlText w:val=""/>
      <w:lvlJc w:val="left"/>
      <w:pPr>
        <w:ind w:left="2880" w:hanging="360"/>
      </w:pPr>
      <w:rPr>
        <w:rFonts w:ascii="Symbol" w:hAnsi="Symbol" w:hint="default"/>
      </w:rPr>
    </w:lvl>
    <w:lvl w:ilvl="4" w:tplc="6D4EC008" w:tentative="1">
      <w:start w:val="1"/>
      <w:numFmt w:val="bullet"/>
      <w:lvlText w:val="o"/>
      <w:lvlJc w:val="left"/>
      <w:pPr>
        <w:ind w:left="3600" w:hanging="360"/>
      </w:pPr>
      <w:rPr>
        <w:rFonts w:ascii="Courier New" w:hAnsi="Courier New" w:cs="Courier New" w:hint="default"/>
      </w:rPr>
    </w:lvl>
    <w:lvl w:ilvl="5" w:tplc="77768EB8" w:tentative="1">
      <w:start w:val="1"/>
      <w:numFmt w:val="bullet"/>
      <w:lvlText w:val=""/>
      <w:lvlJc w:val="left"/>
      <w:pPr>
        <w:ind w:left="4320" w:hanging="360"/>
      </w:pPr>
      <w:rPr>
        <w:rFonts w:ascii="Wingdings" w:hAnsi="Wingdings" w:hint="default"/>
      </w:rPr>
    </w:lvl>
    <w:lvl w:ilvl="6" w:tplc="A6047808" w:tentative="1">
      <w:start w:val="1"/>
      <w:numFmt w:val="bullet"/>
      <w:lvlText w:val=""/>
      <w:lvlJc w:val="left"/>
      <w:pPr>
        <w:ind w:left="5040" w:hanging="360"/>
      </w:pPr>
      <w:rPr>
        <w:rFonts w:ascii="Symbol" w:hAnsi="Symbol" w:hint="default"/>
      </w:rPr>
    </w:lvl>
    <w:lvl w:ilvl="7" w:tplc="5CEC1FF0" w:tentative="1">
      <w:start w:val="1"/>
      <w:numFmt w:val="bullet"/>
      <w:lvlText w:val="o"/>
      <w:lvlJc w:val="left"/>
      <w:pPr>
        <w:ind w:left="5760" w:hanging="360"/>
      </w:pPr>
      <w:rPr>
        <w:rFonts w:ascii="Courier New" w:hAnsi="Courier New" w:cs="Courier New" w:hint="default"/>
      </w:rPr>
    </w:lvl>
    <w:lvl w:ilvl="8" w:tplc="87BE2158" w:tentative="1">
      <w:start w:val="1"/>
      <w:numFmt w:val="bullet"/>
      <w:lvlText w:val=""/>
      <w:lvlJc w:val="left"/>
      <w:pPr>
        <w:ind w:left="6480" w:hanging="360"/>
      </w:pPr>
      <w:rPr>
        <w:rFonts w:ascii="Wingdings" w:hAnsi="Wingdings" w:hint="default"/>
      </w:rPr>
    </w:lvl>
  </w:abstractNum>
  <w:abstractNum w:abstractNumId="21" w15:restartNumberingAfterBreak="0">
    <w:nsid w:val="3BAC7BE6"/>
    <w:multiLevelType w:val="multilevel"/>
    <w:tmpl w:val="1432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7C13D6"/>
    <w:multiLevelType w:val="hybridMultilevel"/>
    <w:tmpl w:val="77D83D90"/>
    <w:lvl w:ilvl="0" w:tplc="96662B6A">
      <w:start w:val="1"/>
      <w:numFmt w:val="decimal"/>
      <w:lvlText w:val="%1."/>
      <w:lvlJc w:val="right"/>
      <w:pPr>
        <w:ind w:left="720" w:hanging="360"/>
      </w:pPr>
      <w:rPr>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CD31891"/>
    <w:multiLevelType w:val="multilevel"/>
    <w:tmpl w:val="F410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6576C8"/>
    <w:multiLevelType w:val="multilevel"/>
    <w:tmpl w:val="58AA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2E76626"/>
    <w:multiLevelType w:val="hybridMultilevel"/>
    <w:tmpl w:val="030663D8"/>
    <w:lvl w:ilvl="0" w:tplc="5288AF14">
      <w:start w:val="1"/>
      <w:numFmt w:val="decimal"/>
      <w:lvlText w:val="%1."/>
      <w:lvlJc w:val="left"/>
      <w:pPr>
        <w:ind w:left="720" w:hanging="360"/>
      </w:pPr>
    </w:lvl>
    <w:lvl w:ilvl="1" w:tplc="0862FED0" w:tentative="1">
      <w:start w:val="1"/>
      <w:numFmt w:val="lowerLetter"/>
      <w:lvlText w:val="%2."/>
      <w:lvlJc w:val="left"/>
      <w:pPr>
        <w:ind w:left="1440" w:hanging="360"/>
      </w:pPr>
    </w:lvl>
    <w:lvl w:ilvl="2" w:tplc="2A44DDFC" w:tentative="1">
      <w:start w:val="1"/>
      <w:numFmt w:val="lowerRoman"/>
      <w:lvlText w:val="%3."/>
      <w:lvlJc w:val="right"/>
      <w:pPr>
        <w:ind w:left="2160" w:hanging="180"/>
      </w:pPr>
    </w:lvl>
    <w:lvl w:ilvl="3" w:tplc="C54C7D14" w:tentative="1">
      <w:start w:val="1"/>
      <w:numFmt w:val="decimal"/>
      <w:lvlText w:val="%4."/>
      <w:lvlJc w:val="left"/>
      <w:pPr>
        <w:ind w:left="2880" w:hanging="360"/>
      </w:pPr>
    </w:lvl>
    <w:lvl w:ilvl="4" w:tplc="DCE835F6" w:tentative="1">
      <w:start w:val="1"/>
      <w:numFmt w:val="lowerLetter"/>
      <w:lvlText w:val="%5."/>
      <w:lvlJc w:val="left"/>
      <w:pPr>
        <w:ind w:left="3600" w:hanging="360"/>
      </w:pPr>
    </w:lvl>
    <w:lvl w:ilvl="5" w:tplc="9612AB9C" w:tentative="1">
      <w:start w:val="1"/>
      <w:numFmt w:val="lowerRoman"/>
      <w:lvlText w:val="%6."/>
      <w:lvlJc w:val="right"/>
      <w:pPr>
        <w:ind w:left="4320" w:hanging="180"/>
      </w:pPr>
    </w:lvl>
    <w:lvl w:ilvl="6" w:tplc="0C5C7E4E" w:tentative="1">
      <w:start w:val="1"/>
      <w:numFmt w:val="decimal"/>
      <w:lvlText w:val="%7."/>
      <w:lvlJc w:val="left"/>
      <w:pPr>
        <w:ind w:left="5040" w:hanging="360"/>
      </w:pPr>
    </w:lvl>
    <w:lvl w:ilvl="7" w:tplc="DC540796" w:tentative="1">
      <w:start w:val="1"/>
      <w:numFmt w:val="lowerLetter"/>
      <w:lvlText w:val="%8."/>
      <w:lvlJc w:val="left"/>
      <w:pPr>
        <w:ind w:left="5760" w:hanging="360"/>
      </w:pPr>
    </w:lvl>
    <w:lvl w:ilvl="8" w:tplc="4DA086EE" w:tentative="1">
      <w:start w:val="1"/>
      <w:numFmt w:val="lowerRoman"/>
      <w:lvlText w:val="%9."/>
      <w:lvlJc w:val="right"/>
      <w:pPr>
        <w:ind w:left="6480" w:hanging="180"/>
      </w:pPr>
    </w:lvl>
  </w:abstractNum>
  <w:abstractNum w:abstractNumId="26" w15:restartNumberingAfterBreak="0">
    <w:nsid w:val="4770616A"/>
    <w:multiLevelType w:val="multilevel"/>
    <w:tmpl w:val="F410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E14577"/>
    <w:multiLevelType w:val="multilevel"/>
    <w:tmpl w:val="73A4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8137AA"/>
    <w:multiLevelType w:val="hybridMultilevel"/>
    <w:tmpl w:val="5730505C"/>
    <w:lvl w:ilvl="0" w:tplc="692C56B0">
      <w:start w:val="1"/>
      <w:numFmt w:val="decimal"/>
      <w:lvlText w:val="%1."/>
      <w:lvlJc w:val="left"/>
      <w:pPr>
        <w:ind w:left="1080" w:hanging="720"/>
      </w:pPr>
      <w:rPr>
        <w:rFonts w:hint="default"/>
      </w:rPr>
    </w:lvl>
    <w:lvl w:ilvl="1" w:tplc="2CC85334" w:tentative="1">
      <w:start w:val="1"/>
      <w:numFmt w:val="lowerLetter"/>
      <w:lvlText w:val="%2."/>
      <w:lvlJc w:val="left"/>
      <w:pPr>
        <w:ind w:left="1440" w:hanging="360"/>
      </w:pPr>
    </w:lvl>
    <w:lvl w:ilvl="2" w:tplc="6AE67CC0" w:tentative="1">
      <w:start w:val="1"/>
      <w:numFmt w:val="lowerRoman"/>
      <w:lvlText w:val="%3."/>
      <w:lvlJc w:val="right"/>
      <w:pPr>
        <w:ind w:left="2160" w:hanging="180"/>
      </w:pPr>
    </w:lvl>
    <w:lvl w:ilvl="3" w:tplc="51163966" w:tentative="1">
      <w:start w:val="1"/>
      <w:numFmt w:val="decimal"/>
      <w:lvlText w:val="%4."/>
      <w:lvlJc w:val="left"/>
      <w:pPr>
        <w:ind w:left="2880" w:hanging="360"/>
      </w:pPr>
    </w:lvl>
    <w:lvl w:ilvl="4" w:tplc="6AB6636A" w:tentative="1">
      <w:start w:val="1"/>
      <w:numFmt w:val="lowerLetter"/>
      <w:lvlText w:val="%5."/>
      <w:lvlJc w:val="left"/>
      <w:pPr>
        <w:ind w:left="3600" w:hanging="360"/>
      </w:pPr>
    </w:lvl>
    <w:lvl w:ilvl="5" w:tplc="4628FE2E" w:tentative="1">
      <w:start w:val="1"/>
      <w:numFmt w:val="lowerRoman"/>
      <w:lvlText w:val="%6."/>
      <w:lvlJc w:val="right"/>
      <w:pPr>
        <w:ind w:left="4320" w:hanging="180"/>
      </w:pPr>
    </w:lvl>
    <w:lvl w:ilvl="6" w:tplc="CC86CE78" w:tentative="1">
      <w:start w:val="1"/>
      <w:numFmt w:val="decimal"/>
      <w:lvlText w:val="%7."/>
      <w:lvlJc w:val="left"/>
      <w:pPr>
        <w:ind w:left="5040" w:hanging="360"/>
      </w:pPr>
    </w:lvl>
    <w:lvl w:ilvl="7" w:tplc="797AA4C8" w:tentative="1">
      <w:start w:val="1"/>
      <w:numFmt w:val="lowerLetter"/>
      <w:lvlText w:val="%8."/>
      <w:lvlJc w:val="left"/>
      <w:pPr>
        <w:ind w:left="5760" w:hanging="360"/>
      </w:pPr>
    </w:lvl>
    <w:lvl w:ilvl="8" w:tplc="FAE24700" w:tentative="1">
      <w:start w:val="1"/>
      <w:numFmt w:val="lowerRoman"/>
      <w:lvlText w:val="%9."/>
      <w:lvlJc w:val="right"/>
      <w:pPr>
        <w:ind w:left="6480" w:hanging="180"/>
      </w:pPr>
    </w:lvl>
  </w:abstractNum>
  <w:abstractNum w:abstractNumId="29" w15:restartNumberingAfterBreak="0">
    <w:nsid w:val="541E5A11"/>
    <w:multiLevelType w:val="multilevel"/>
    <w:tmpl w:val="F410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761AE4"/>
    <w:multiLevelType w:val="multilevel"/>
    <w:tmpl w:val="A3B4BE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BE466F"/>
    <w:multiLevelType w:val="multilevel"/>
    <w:tmpl w:val="916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CB41F53"/>
    <w:multiLevelType w:val="hybridMultilevel"/>
    <w:tmpl w:val="D8F25088"/>
    <w:lvl w:ilvl="0" w:tplc="53460FE4">
      <w:numFmt w:val="bullet"/>
      <w:lvlText w:val="•"/>
      <w:lvlJc w:val="left"/>
      <w:pPr>
        <w:ind w:left="720" w:hanging="360"/>
      </w:pPr>
      <w:rPr>
        <w:rFonts w:ascii="Calibri" w:eastAsiaTheme="minorHAnsi" w:hAnsi="Calibri" w:cs="Calibri" w:hint="default"/>
      </w:rPr>
    </w:lvl>
    <w:lvl w:ilvl="1" w:tplc="F3580BAC" w:tentative="1">
      <w:start w:val="1"/>
      <w:numFmt w:val="bullet"/>
      <w:lvlText w:val="o"/>
      <w:lvlJc w:val="left"/>
      <w:pPr>
        <w:ind w:left="1440" w:hanging="360"/>
      </w:pPr>
      <w:rPr>
        <w:rFonts w:ascii="Courier New" w:hAnsi="Courier New" w:cs="Courier New" w:hint="default"/>
      </w:rPr>
    </w:lvl>
    <w:lvl w:ilvl="2" w:tplc="0F58100C" w:tentative="1">
      <w:start w:val="1"/>
      <w:numFmt w:val="bullet"/>
      <w:lvlText w:val=""/>
      <w:lvlJc w:val="left"/>
      <w:pPr>
        <w:ind w:left="2160" w:hanging="360"/>
      </w:pPr>
      <w:rPr>
        <w:rFonts w:ascii="Wingdings" w:hAnsi="Wingdings" w:hint="default"/>
      </w:rPr>
    </w:lvl>
    <w:lvl w:ilvl="3" w:tplc="1270ACD0" w:tentative="1">
      <w:start w:val="1"/>
      <w:numFmt w:val="bullet"/>
      <w:lvlText w:val=""/>
      <w:lvlJc w:val="left"/>
      <w:pPr>
        <w:ind w:left="2880" w:hanging="360"/>
      </w:pPr>
      <w:rPr>
        <w:rFonts w:ascii="Symbol" w:hAnsi="Symbol" w:hint="default"/>
      </w:rPr>
    </w:lvl>
    <w:lvl w:ilvl="4" w:tplc="20EEA008" w:tentative="1">
      <w:start w:val="1"/>
      <w:numFmt w:val="bullet"/>
      <w:lvlText w:val="o"/>
      <w:lvlJc w:val="left"/>
      <w:pPr>
        <w:ind w:left="3600" w:hanging="360"/>
      </w:pPr>
      <w:rPr>
        <w:rFonts w:ascii="Courier New" w:hAnsi="Courier New" w:cs="Courier New" w:hint="default"/>
      </w:rPr>
    </w:lvl>
    <w:lvl w:ilvl="5" w:tplc="DC425714" w:tentative="1">
      <w:start w:val="1"/>
      <w:numFmt w:val="bullet"/>
      <w:lvlText w:val=""/>
      <w:lvlJc w:val="left"/>
      <w:pPr>
        <w:ind w:left="4320" w:hanging="360"/>
      </w:pPr>
      <w:rPr>
        <w:rFonts w:ascii="Wingdings" w:hAnsi="Wingdings" w:hint="default"/>
      </w:rPr>
    </w:lvl>
    <w:lvl w:ilvl="6" w:tplc="36C0C536" w:tentative="1">
      <w:start w:val="1"/>
      <w:numFmt w:val="bullet"/>
      <w:lvlText w:val=""/>
      <w:lvlJc w:val="left"/>
      <w:pPr>
        <w:ind w:left="5040" w:hanging="360"/>
      </w:pPr>
      <w:rPr>
        <w:rFonts w:ascii="Symbol" w:hAnsi="Symbol" w:hint="default"/>
      </w:rPr>
    </w:lvl>
    <w:lvl w:ilvl="7" w:tplc="290AD77C" w:tentative="1">
      <w:start w:val="1"/>
      <w:numFmt w:val="bullet"/>
      <w:lvlText w:val="o"/>
      <w:lvlJc w:val="left"/>
      <w:pPr>
        <w:ind w:left="5760" w:hanging="360"/>
      </w:pPr>
      <w:rPr>
        <w:rFonts w:ascii="Courier New" w:hAnsi="Courier New" w:cs="Courier New" w:hint="default"/>
      </w:rPr>
    </w:lvl>
    <w:lvl w:ilvl="8" w:tplc="3AC020A8" w:tentative="1">
      <w:start w:val="1"/>
      <w:numFmt w:val="bullet"/>
      <w:lvlText w:val=""/>
      <w:lvlJc w:val="left"/>
      <w:pPr>
        <w:ind w:left="6480" w:hanging="360"/>
      </w:pPr>
      <w:rPr>
        <w:rFonts w:ascii="Wingdings" w:hAnsi="Wingdings" w:hint="default"/>
      </w:rPr>
    </w:lvl>
  </w:abstractNum>
  <w:abstractNum w:abstractNumId="33" w15:restartNumberingAfterBreak="0">
    <w:nsid w:val="5D195A35"/>
    <w:multiLevelType w:val="multilevel"/>
    <w:tmpl w:val="EE42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2906ED"/>
    <w:multiLevelType w:val="multilevel"/>
    <w:tmpl w:val="D568A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AC1E08"/>
    <w:multiLevelType w:val="hybridMultilevel"/>
    <w:tmpl w:val="A844D0A8"/>
    <w:lvl w:ilvl="0" w:tplc="224C2D78">
      <w:start w:val="1"/>
      <w:numFmt w:val="bullet"/>
      <w:lvlText w:val=""/>
      <w:lvlJc w:val="left"/>
      <w:pPr>
        <w:ind w:left="720" w:hanging="360"/>
      </w:pPr>
      <w:rPr>
        <w:rFonts w:ascii="Symbol" w:hAnsi="Symbol" w:hint="default"/>
      </w:rPr>
    </w:lvl>
    <w:lvl w:ilvl="1" w:tplc="CE9A83EA" w:tentative="1">
      <w:start w:val="1"/>
      <w:numFmt w:val="bullet"/>
      <w:lvlText w:val="o"/>
      <w:lvlJc w:val="left"/>
      <w:pPr>
        <w:ind w:left="1440" w:hanging="360"/>
      </w:pPr>
      <w:rPr>
        <w:rFonts w:ascii="Courier New" w:hAnsi="Courier New" w:cs="Courier New" w:hint="default"/>
      </w:rPr>
    </w:lvl>
    <w:lvl w:ilvl="2" w:tplc="35903192" w:tentative="1">
      <w:start w:val="1"/>
      <w:numFmt w:val="bullet"/>
      <w:lvlText w:val=""/>
      <w:lvlJc w:val="left"/>
      <w:pPr>
        <w:ind w:left="2160" w:hanging="360"/>
      </w:pPr>
      <w:rPr>
        <w:rFonts w:ascii="Wingdings" w:hAnsi="Wingdings" w:hint="default"/>
      </w:rPr>
    </w:lvl>
    <w:lvl w:ilvl="3" w:tplc="246C9874" w:tentative="1">
      <w:start w:val="1"/>
      <w:numFmt w:val="bullet"/>
      <w:lvlText w:val=""/>
      <w:lvlJc w:val="left"/>
      <w:pPr>
        <w:ind w:left="2880" w:hanging="360"/>
      </w:pPr>
      <w:rPr>
        <w:rFonts w:ascii="Symbol" w:hAnsi="Symbol" w:hint="default"/>
      </w:rPr>
    </w:lvl>
    <w:lvl w:ilvl="4" w:tplc="20AA9600" w:tentative="1">
      <w:start w:val="1"/>
      <w:numFmt w:val="bullet"/>
      <w:lvlText w:val="o"/>
      <w:lvlJc w:val="left"/>
      <w:pPr>
        <w:ind w:left="3600" w:hanging="360"/>
      </w:pPr>
      <w:rPr>
        <w:rFonts w:ascii="Courier New" w:hAnsi="Courier New" w:cs="Courier New" w:hint="default"/>
      </w:rPr>
    </w:lvl>
    <w:lvl w:ilvl="5" w:tplc="01E87446" w:tentative="1">
      <w:start w:val="1"/>
      <w:numFmt w:val="bullet"/>
      <w:lvlText w:val=""/>
      <w:lvlJc w:val="left"/>
      <w:pPr>
        <w:ind w:left="4320" w:hanging="360"/>
      </w:pPr>
      <w:rPr>
        <w:rFonts w:ascii="Wingdings" w:hAnsi="Wingdings" w:hint="default"/>
      </w:rPr>
    </w:lvl>
    <w:lvl w:ilvl="6" w:tplc="1C9E3BD8" w:tentative="1">
      <w:start w:val="1"/>
      <w:numFmt w:val="bullet"/>
      <w:lvlText w:val=""/>
      <w:lvlJc w:val="left"/>
      <w:pPr>
        <w:ind w:left="5040" w:hanging="360"/>
      </w:pPr>
      <w:rPr>
        <w:rFonts w:ascii="Symbol" w:hAnsi="Symbol" w:hint="default"/>
      </w:rPr>
    </w:lvl>
    <w:lvl w:ilvl="7" w:tplc="2E6A0A08" w:tentative="1">
      <w:start w:val="1"/>
      <w:numFmt w:val="bullet"/>
      <w:lvlText w:val="o"/>
      <w:lvlJc w:val="left"/>
      <w:pPr>
        <w:ind w:left="5760" w:hanging="360"/>
      </w:pPr>
      <w:rPr>
        <w:rFonts w:ascii="Courier New" w:hAnsi="Courier New" w:cs="Courier New" w:hint="default"/>
      </w:rPr>
    </w:lvl>
    <w:lvl w:ilvl="8" w:tplc="516ABDE2" w:tentative="1">
      <w:start w:val="1"/>
      <w:numFmt w:val="bullet"/>
      <w:lvlText w:val=""/>
      <w:lvlJc w:val="left"/>
      <w:pPr>
        <w:ind w:left="6480" w:hanging="360"/>
      </w:pPr>
      <w:rPr>
        <w:rFonts w:ascii="Wingdings" w:hAnsi="Wingdings" w:hint="default"/>
      </w:rPr>
    </w:lvl>
  </w:abstractNum>
  <w:abstractNum w:abstractNumId="36" w15:restartNumberingAfterBreak="0">
    <w:nsid w:val="6849072C"/>
    <w:multiLevelType w:val="multilevel"/>
    <w:tmpl w:val="94E6DD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BA7244"/>
    <w:multiLevelType w:val="hybridMultilevel"/>
    <w:tmpl w:val="E81643EE"/>
    <w:lvl w:ilvl="0" w:tplc="191EF186">
      <w:numFmt w:val="bullet"/>
      <w:lvlText w:val="•"/>
      <w:lvlJc w:val="left"/>
      <w:pPr>
        <w:ind w:left="720" w:hanging="360"/>
      </w:pPr>
      <w:rPr>
        <w:rFonts w:ascii="Calibri" w:eastAsiaTheme="minorHAnsi" w:hAnsi="Calibri" w:cs="Calibri" w:hint="default"/>
      </w:rPr>
    </w:lvl>
    <w:lvl w:ilvl="1" w:tplc="575E086C" w:tentative="1">
      <w:start w:val="1"/>
      <w:numFmt w:val="bullet"/>
      <w:lvlText w:val="o"/>
      <w:lvlJc w:val="left"/>
      <w:pPr>
        <w:ind w:left="1440" w:hanging="360"/>
      </w:pPr>
      <w:rPr>
        <w:rFonts w:ascii="Courier New" w:hAnsi="Courier New" w:cs="Courier New" w:hint="default"/>
      </w:rPr>
    </w:lvl>
    <w:lvl w:ilvl="2" w:tplc="87D8D6D8" w:tentative="1">
      <w:start w:val="1"/>
      <w:numFmt w:val="bullet"/>
      <w:lvlText w:val=""/>
      <w:lvlJc w:val="left"/>
      <w:pPr>
        <w:ind w:left="2160" w:hanging="360"/>
      </w:pPr>
      <w:rPr>
        <w:rFonts w:ascii="Wingdings" w:hAnsi="Wingdings" w:hint="default"/>
      </w:rPr>
    </w:lvl>
    <w:lvl w:ilvl="3" w:tplc="A078AD42" w:tentative="1">
      <w:start w:val="1"/>
      <w:numFmt w:val="bullet"/>
      <w:lvlText w:val=""/>
      <w:lvlJc w:val="left"/>
      <w:pPr>
        <w:ind w:left="2880" w:hanging="360"/>
      </w:pPr>
      <w:rPr>
        <w:rFonts w:ascii="Symbol" w:hAnsi="Symbol" w:hint="default"/>
      </w:rPr>
    </w:lvl>
    <w:lvl w:ilvl="4" w:tplc="420063AE" w:tentative="1">
      <w:start w:val="1"/>
      <w:numFmt w:val="bullet"/>
      <w:lvlText w:val="o"/>
      <w:lvlJc w:val="left"/>
      <w:pPr>
        <w:ind w:left="3600" w:hanging="360"/>
      </w:pPr>
      <w:rPr>
        <w:rFonts w:ascii="Courier New" w:hAnsi="Courier New" w:cs="Courier New" w:hint="default"/>
      </w:rPr>
    </w:lvl>
    <w:lvl w:ilvl="5" w:tplc="6C429786" w:tentative="1">
      <w:start w:val="1"/>
      <w:numFmt w:val="bullet"/>
      <w:lvlText w:val=""/>
      <w:lvlJc w:val="left"/>
      <w:pPr>
        <w:ind w:left="4320" w:hanging="360"/>
      </w:pPr>
      <w:rPr>
        <w:rFonts w:ascii="Wingdings" w:hAnsi="Wingdings" w:hint="default"/>
      </w:rPr>
    </w:lvl>
    <w:lvl w:ilvl="6" w:tplc="88E40036" w:tentative="1">
      <w:start w:val="1"/>
      <w:numFmt w:val="bullet"/>
      <w:lvlText w:val=""/>
      <w:lvlJc w:val="left"/>
      <w:pPr>
        <w:ind w:left="5040" w:hanging="360"/>
      </w:pPr>
      <w:rPr>
        <w:rFonts w:ascii="Symbol" w:hAnsi="Symbol" w:hint="default"/>
      </w:rPr>
    </w:lvl>
    <w:lvl w:ilvl="7" w:tplc="4F12F6E4" w:tentative="1">
      <w:start w:val="1"/>
      <w:numFmt w:val="bullet"/>
      <w:lvlText w:val="o"/>
      <w:lvlJc w:val="left"/>
      <w:pPr>
        <w:ind w:left="5760" w:hanging="360"/>
      </w:pPr>
      <w:rPr>
        <w:rFonts w:ascii="Courier New" w:hAnsi="Courier New" w:cs="Courier New" w:hint="default"/>
      </w:rPr>
    </w:lvl>
    <w:lvl w:ilvl="8" w:tplc="25929A26" w:tentative="1">
      <w:start w:val="1"/>
      <w:numFmt w:val="bullet"/>
      <w:lvlText w:val=""/>
      <w:lvlJc w:val="left"/>
      <w:pPr>
        <w:ind w:left="6480" w:hanging="360"/>
      </w:pPr>
      <w:rPr>
        <w:rFonts w:ascii="Wingdings" w:hAnsi="Wingdings" w:hint="default"/>
      </w:rPr>
    </w:lvl>
  </w:abstractNum>
  <w:abstractNum w:abstractNumId="38" w15:restartNumberingAfterBreak="0">
    <w:nsid w:val="75865E91"/>
    <w:multiLevelType w:val="multilevel"/>
    <w:tmpl w:val="4BB00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27161A"/>
    <w:multiLevelType w:val="multilevel"/>
    <w:tmpl w:val="458C6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DD6577"/>
    <w:multiLevelType w:val="multilevel"/>
    <w:tmpl w:val="9A1C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2A4654"/>
    <w:multiLevelType w:val="multilevel"/>
    <w:tmpl w:val="B0D8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EF1CA3"/>
    <w:multiLevelType w:val="hybridMultilevel"/>
    <w:tmpl w:val="B734E246"/>
    <w:lvl w:ilvl="0" w:tplc="75FE2824">
      <w:start w:val="1"/>
      <w:numFmt w:val="bullet"/>
      <w:lvlText w:val=""/>
      <w:lvlJc w:val="left"/>
      <w:pPr>
        <w:ind w:left="720" w:hanging="360"/>
      </w:pPr>
      <w:rPr>
        <w:rFonts w:ascii="Symbol" w:hAnsi="Symbol" w:hint="default"/>
      </w:rPr>
    </w:lvl>
    <w:lvl w:ilvl="1" w:tplc="4364E644" w:tentative="1">
      <w:start w:val="1"/>
      <w:numFmt w:val="bullet"/>
      <w:lvlText w:val="o"/>
      <w:lvlJc w:val="left"/>
      <w:pPr>
        <w:ind w:left="1440" w:hanging="360"/>
      </w:pPr>
      <w:rPr>
        <w:rFonts w:ascii="Courier New" w:hAnsi="Courier New" w:cs="Courier New" w:hint="default"/>
      </w:rPr>
    </w:lvl>
    <w:lvl w:ilvl="2" w:tplc="5DF60270" w:tentative="1">
      <w:start w:val="1"/>
      <w:numFmt w:val="bullet"/>
      <w:lvlText w:val=""/>
      <w:lvlJc w:val="left"/>
      <w:pPr>
        <w:ind w:left="2160" w:hanging="360"/>
      </w:pPr>
      <w:rPr>
        <w:rFonts w:ascii="Wingdings" w:hAnsi="Wingdings" w:hint="default"/>
      </w:rPr>
    </w:lvl>
    <w:lvl w:ilvl="3" w:tplc="F14EC078" w:tentative="1">
      <w:start w:val="1"/>
      <w:numFmt w:val="bullet"/>
      <w:lvlText w:val=""/>
      <w:lvlJc w:val="left"/>
      <w:pPr>
        <w:ind w:left="2880" w:hanging="360"/>
      </w:pPr>
      <w:rPr>
        <w:rFonts w:ascii="Symbol" w:hAnsi="Symbol" w:hint="default"/>
      </w:rPr>
    </w:lvl>
    <w:lvl w:ilvl="4" w:tplc="70A4D8B2" w:tentative="1">
      <w:start w:val="1"/>
      <w:numFmt w:val="bullet"/>
      <w:lvlText w:val="o"/>
      <w:lvlJc w:val="left"/>
      <w:pPr>
        <w:ind w:left="3600" w:hanging="360"/>
      </w:pPr>
      <w:rPr>
        <w:rFonts w:ascii="Courier New" w:hAnsi="Courier New" w:cs="Courier New" w:hint="default"/>
      </w:rPr>
    </w:lvl>
    <w:lvl w:ilvl="5" w:tplc="E31EA7EE" w:tentative="1">
      <w:start w:val="1"/>
      <w:numFmt w:val="bullet"/>
      <w:lvlText w:val=""/>
      <w:lvlJc w:val="left"/>
      <w:pPr>
        <w:ind w:left="4320" w:hanging="360"/>
      </w:pPr>
      <w:rPr>
        <w:rFonts w:ascii="Wingdings" w:hAnsi="Wingdings" w:hint="default"/>
      </w:rPr>
    </w:lvl>
    <w:lvl w:ilvl="6" w:tplc="C7521BD6" w:tentative="1">
      <w:start w:val="1"/>
      <w:numFmt w:val="bullet"/>
      <w:lvlText w:val=""/>
      <w:lvlJc w:val="left"/>
      <w:pPr>
        <w:ind w:left="5040" w:hanging="360"/>
      </w:pPr>
      <w:rPr>
        <w:rFonts w:ascii="Symbol" w:hAnsi="Symbol" w:hint="default"/>
      </w:rPr>
    </w:lvl>
    <w:lvl w:ilvl="7" w:tplc="35D202D8" w:tentative="1">
      <w:start w:val="1"/>
      <w:numFmt w:val="bullet"/>
      <w:lvlText w:val="o"/>
      <w:lvlJc w:val="left"/>
      <w:pPr>
        <w:ind w:left="5760" w:hanging="360"/>
      </w:pPr>
      <w:rPr>
        <w:rFonts w:ascii="Courier New" w:hAnsi="Courier New" w:cs="Courier New" w:hint="default"/>
      </w:rPr>
    </w:lvl>
    <w:lvl w:ilvl="8" w:tplc="56881536" w:tentative="1">
      <w:start w:val="1"/>
      <w:numFmt w:val="bullet"/>
      <w:lvlText w:val=""/>
      <w:lvlJc w:val="left"/>
      <w:pPr>
        <w:ind w:left="6480" w:hanging="360"/>
      </w:pPr>
      <w:rPr>
        <w:rFonts w:ascii="Wingdings" w:hAnsi="Wingdings" w:hint="default"/>
      </w:rPr>
    </w:lvl>
  </w:abstractNum>
  <w:num w:numId="1" w16cid:durableId="1353192863">
    <w:abstractNumId w:val="31"/>
  </w:num>
  <w:num w:numId="2" w16cid:durableId="160126353">
    <w:abstractNumId w:val="36"/>
  </w:num>
  <w:num w:numId="3" w16cid:durableId="270674076">
    <w:abstractNumId w:val="8"/>
  </w:num>
  <w:num w:numId="4" w16cid:durableId="2101901559">
    <w:abstractNumId w:val="30"/>
  </w:num>
  <w:num w:numId="5" w16cid:durableId="2020346988">
    <w:abstractNumId w:val="24"/>
  </w:num>
  <w:num w:numId="6" w16cid:durableId="1404599302">
    <w:abstractNumId w:val="13"/>
  </w:num>
  <w:num w:numId="7" w16cid:durableId="955678264">
    <w:abstractNumId w:val="20"/>
  </w:num>
  <w:num w:numId="8" w16cid:durableId="1574924658">
    <w:abstractNumId w:val="32"/>
  </w:num>
  <w:num w:numId="9" w16cid:durableId="1579360119">
    <w:abstractNumId w:val="37"/>
  </w:num>
  <w:num w:numId="10" w16cid:durableId="385643178">
    <w:abstractNumId w:val="35"/>
  </w:num>
  <w:num w:numId="11" w16cid:durableId="1271740551">
    <w:abstractNumId w:val="15"/>
  </w:num>
  <w:num w:numId="12" w16cid:durableId="1927952541">
    <w:abstractNumId w:val="42"/>
  </w:num>
  <w:num w:numId="13" w16cid:durableId="415592434">
    <w:abstractNumId w:val="5"/>
  </w:num>
  <w:num w:numId="14" w16cid:durableId="760025570">
    <w:abstractNumId w:val="39"/>
  </w:num>
  <w:num w:numId="15" w16cid:durableId="1017393741">
    <w:abstractNumId w:val="3"/>
  </w:num>
  <w:num w:numId="16" w16cid:durableId="1887333862">
    <w:abstractNumId w:val="40"/>
  </w:num>
  <w:num w:numId="17" w16cid:durableId="1432627803">
    <w:abstractNumId w:val="21"/>
  </w:num>
  <w:num w:numId="18" w16cid:durableId="927347272">
    <w:abstractNumId w:val="38"/>
  </w:num>
  <w:num w:numId="19" w16cid:durableId="1637103121">
    <w:abstractNumId w:val="18"/>
  </w:num>
  <w:num w:numId="20" w16cid:durableId="1545482416">
    <w:abstractNumId w:val="25"/>
  </w:num>
  <w:num w:numId="21" w16cid:durableId="146286169">
    <w:abstractNumId w:val="28"/>
  </w:num>
  <w:num w:numId="22" w16cid:durableId="496651988">
    <w:abstractNumId w:val="10"/>
  </w:num>
  <w:num w:numId="23" w16cid:durableId="1365252286">
    <w:abstractNumId w:val="16"/>
  </w:num>
  <w:num w:numId="24" w16cid:durableId="1076706991">
    <w:abstractNumId w:val="6"/>
  </w:num>
  <w:num w:numId="25" w16cid:durableId="933052710">
    <w:abstractNumId w:val="33"/>
  </w:num>
  <w:num w:numId="26" w16cid:durableId="199054953">
    <w:abstractNumId w:val="34"/>
  </w:num>
  <w:num w:numId="27" w16cid:durableId="2023122943">
    <w:abstractNumId w:val="4"/>
  </w:num>
  <w:num w:numId="28" w16cid:durableId="95448656">
    <w:abstractNumId w:val="1"/>
  </w:num>
  <w:num w:numId="29" w16cid:durableId="135951371">
    <w:abstractNumId w:val="27"/>
  </w:num>
  <w:num w:numId="30" w16cid:durableId="1441030830">
    <w:abstractNumId w:val="26"/>
  </w:num>
  <w:num w:numId="31" w16cid:durableId="1652322278">
    <w:abstractNumId w:val="41"/>
  </w:num>
  <w:num w:numId="32" w16cid:durableId="1023820879">
    <w:abstractNumId w:val="19"/>
  </w:num>
  <w:num w:numId="33" w16cid:durableId="1033576832">
    <w:abstractNumId w:val="14"/>
  </w:num>
  <w:num w:numId="34" w16cid:durableId="322978018">
    <w:abstractNumId w:val="29"/>
  </w:num>
  <w:num w:numId="35" w16cid:durableId="962153032">
    <w:abstractNumId w:val="7"/>
  </w:num>
  <w:num w:numId="36" w16cid:durableId="877664297">
    <w:abstractNumId w:val="12"/>
  </w:num>
  <w:num w:numId="37" w16cid:durableId="1865748287">
    <w:abstractNumId w:val="23"/>
  </w:num>
  <w:num w:numId="38" w16cid:durableId="1515726327">
    <w:abstractNumId w:val="11"/>
  </w:num>
  <w:num w:numId="39" w16cid:durableId="717977478">
    <w:abstractNumId w:val="0"/>
  </w:num>
  <w:num w:numId="40" w16cid:durableId="992097558">
    <w:abstractNumId w:val="9"/>
  </w:num>
  <w:num w:numId="41" w16cid:durableId="1152022500">
    <w:abstractNumId w:val="0"/>
  </w:num>
  <w:num w:numId="42" w16cid:durableId="16893320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46801744">
    <w:abstractNumId w:val="17"/>
  </w:num>
  <w:num w:numId="44" w16cid:durableId="1350372984">
    <w:abstractNumId w:val="17"/>
  </w:num>
  <w:num w:numId="45" w16cid:durableId="801727690">
    <w:abstractNumId w:val="2"/>
  </w:num>
  <w:num w:numId="46" w16cid:durableId="1868327677">
    <w:abstractNumId w:val="2"/>
  </w:num>
  <w:num w:numId="47" w16cid:durableId="1378091713">
    <w:abstractNumId w:val="22"/>
  </w:num>
  <w:num w:numId="48" w16cid:durableId="1151091968">
    <w:abstractNumId w:val="2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278"/>
    <w:rsid w:val="000069F8"/>
    <w:rsid w:val="00013815"/>
    <w:rsid w:val="0001726B"/>
    <w:rsid w:val="00020663"/>
    <w:rsid w:val="000207E4"/>
    <w:rsid w:val="00026E00"/>
    <w:rsid w:val="00036910"/>
    <w:rsid w:val="000431AB"/>
    <w:rsid w:val="000525A2"/>
    <w:rsid w:val="00052DF4"/>
    <w:rsid w:val="00054140"/>
    <w:rsid w:val="00055CE6"/>
    <w:rsid w:val="00057A99"/>
    <w:rsid w:val="00060434"/>
    <w:rsid w:val="00062959"/>
    <w:rsid w:val="00065115"/>
    <w:rsid w:val="00065FC0"/>
    <w:rsid w:val="00092DA8"/>
    <w:rsid w:val="000943E7"/>
    <w:rsid w:val="000A0617"/>
    <w:rsid w:val="000A0DBB"/>
    <w:rsid w:val="000A70CF"/>
    <w:rsid w:val="000B09F0"/>
    <w:rsid w:val="000B2186"/>
    <w:rsid w:val="000B39AD"/>
    <w:rsid w:val="000B562B"/>
    <w:rsid w:val="000C7192"/>
    <w:rsid w:val="000C7FD7"/>
    <w:rsid w:val="000D2C87"/>
    <w:rsid w:val="000D2E25"/>
    <w:rsid w:val="000D5732"/>
    <w:rsid w:val="000D68B7"/>
    <w:rsid w:val="000E1050"/>
    <w:rsid w:val="000E332E"/>
    <w:rsid w:val="000E5D69"/>
    <w:rsid w:val="000F0732"/>
    <w:rsid w:val="000F3F9F"/>
    <w:rsid w:val="001018C1"/>
    <w:rsid w:val="00106AFF"/>
    <w:rsid w:val="00110C35"/>
    <w:rsid w:val="00112E2C"/>
    <w:rsid w:val="001149B1"/>
    <w:rsid w:val="001211E5"/>
    <w:rsid w:val="00121580"/>
    <w:rsid w:val="00123684"/>
    <w:rsid w:val="00124199"/>
    <w:rsid w:val="00127823"/>
    <w:rsid w:val="00134A86"/>
    <w:rsid w:val="001449BB"/>
    <w:rsid w:val="00144A43"/>
    <w:rsid w:val="00147D33"/>
    <w:rsid w:val="00150867"/>
    <w:rsid w:val="001542DA"/>
    <w:rsid w:val="00160326"/>
    <w:rsid w:val="00162067"/>
    <w:rsid w:val="00162668"/>
    <w:rsid w:val="00177644"/>
    <w:rsid w:val="001919E1"/>
    <w:rsid w:val="001976AB"/>
    <w:rsid w:val="001A4535"/>
    <w:rsid w:val="001B2F84"/>
    <w:rsid w:val="001B6918"/>
    <w:rsid w:val="001B79C5"/>
    <w:rsid w:val="001C6005"/>
    <w:rsid w:val="001C6995"/>
    <w:rsid w:val="001E364F"/>
    <w:rsid w:val="001E60F5"/>
    <w:rsid w:val="001F3B03"/>
    <w:rsid w:val="001F3D75"/>
    <w:rsid w:val="001F60E7"/>
    <w:rsid w:val="00203F3F"/>
    <w:rsid w:val="00212162"/>
    <w:rsid w:val="002123B9"/>
    <w:rsid w:val="00212EA6"/>
    <w:rsid w:val="00220825"/>
    <w:rsid w:val="00223B42"/>
    <w:rsid w:val="00227A09"/>
    <w:rsid w:val="00232C7A"/>
    <w:rsid w:val="00236BF7"/>
    <w:rsid w:val="002557EA"/>
    <w:rsid w:val="0026763B"/>
    <w:rsid w:val="002703E0"/>
    <w:rsid w:val="002709EB"/>
    <w:rsid w:val="00272FF3"/>
    <w:rsid w:val="0027353C"/>
    <w:rsid w:val="00277053"/>
    <w:rsid w:val="00277F81"/>
    <w:rsid w:val="002806A0"/>
    <w:rsid w:val="002833D5"/>
    <w:rsid w:val="0028630B"/>
    <w:rsid w:val="002874F8"/>
    <w:rsid w:val="0029071F"/>
    <w:rsid w:val="002944AF"/>
    <w:rsid w:val="002A1AE2"/>
    <w:rsid w:val="002A3871"/>
    <w:rsid w:val="002A57AA"/>
    <w:rsid w:val="002A603D"/>
    <w:rsid w:val="002B39C1"/>
    <w:rsid w:val="002B748D"/>
    <w:rsid w:val="002C1B06"/>
    <w:rsid w:val="002C46D6"/>
    <w:rsid w:val="002C4A76"/>
    <w:rsid w:val="002E0959"/>
    <w:rsid w:val="002F41B3"/>
    <w:rsid w:val="002F768E"/>
    <w:rsid w:val="00307373"/>
    <w:rsid w:val="00310749"/>
    <w:rsid w:val="003136B4"/>
    <w:rsid w:val="00316968"/>
    <w:rsid w:val="0032654D"/>
    <w:rsid w:val="003275CF"/>
    <w:rsid w:val="00330558"/>
    <w:rsid w:val="0033088B"/>
    <w:rsid w:val="003342A7"/>
    <w:rsid w:val="003365BE"/>
    <w:rsid w:val="00345882"/>
    <w:rsid w:val="00346851"/>
    <w:rsid w:val="00350373"/>
    <w:rsid w:val="003514D7"/>
    <w:rsid w:val="003527D6"/>
    <w:rsid w:val="00354BD6"/>
    <w:rsid w:val="00355C39"/>
    <w:rsid w:val="003610EC"/>
    <w:rsid w:val="0036560F"/>
    <w:rsid w:val="00365F2E"/>
    <w:rsid w:val="0036744C"/>
    <w:rsid w:val="003723F4"/>
    <w:rsid w:val="00377C42"/>
    <w:rsid w:val="00382EA2"/>
    <w:rsid w:val="0038754A"/>
    <w:rsid w:val="003A049E"/>
    <w:rsid w:val="003A244B"/>
    <w:rsid w:val="003A7C09"/>
    <w:rsid w:val="003B1CBE"/>
    <w:rsid w:val="003B56D9"/>
    <w:rsid w:val="003B6BCB"/>
    <w:rsid w:val="003B745E"/>
    <w:rsid w:val="003E0D29"/>
    <w:rsid w:val="003E6AF0"/>
    <w:rsid w:val="003F10D9"/>
    <w:rsid w:val="003F13D5"/>
    <w:rsid w:val="003F1C6A"/>
    <w:rsid w:val="003F7F2B"/>
    <w:rsid w:val="0040072E"/>
    <w:rsid w:val="004079E3"/>
    <w:rsid w:val="004152B0"/>
    <w:rsid w:val="0042368A"/>
    <w:rsid w:val="00423B5E"/>
    <w:rsid w:val="0042466D"/>
    <w:rsid w:val="0043129A"/>
    <w:rsid w:val="004356CB"/>
    <w:rsid w:val="00444F93"/>
    <w:rsid w:val="00446CD8"/>
    <w:rsid w:val="004524D7"/>
    <w:rsid w:val="00453A50"/>
    <w:rsid w:val="00453CDB"/>
    <w:rsid w:val="00454B3E"/>
    <w:rsid w:val="004553ED"/>
    <w:rsid w:val="0046017C"/>
    <w:rsid w:val="00465BCC"/>
    <w:rsid w:val="00466A82"/>
    <w:rsid w:val="0047199F"/>
    <w:rsid w:val="00472923"/>
    <w:rsid w:val="00477D85"/>
    <w:rsid w:val="00477D89"/>
    <w:rsid w:val="00480222"/>
    <w:rsid w:val="00486BE7"/>
    <w:rsid w:val="00487030"/>
    <w:rsid w:val="00487540"/>
    <w:rsid w:val="004877CF"/>
    <w:rsid w:val="00490613"/>
    <w:rsid w:val="00492A47"/>
    <w:rsid w:val="004A60BE"/>
    <w:rsid w:val="004B31E9"/>
    <w:rsid w:val="004B4AB3"/>
    <w:rsid w:val="004C1E85"/>
    <w:rsid w:val="004C1ECE"/>
    <w:rsid w:val="004C63B8"/>
    <w:rsid w:val="004D15D1"/>
    <w:rsid w:val="004F07E6"/>
    <w:rsid w:val="004F45E6"/>
    <w:rsid w:val="004F5A76"/>
    <w:rsid w:val="005007B2"/>
    <w:rsid w:val="0050149D"/>
    <w:rsid w:val="00501547"/>
    <w:rsid w:val="005041CF"/>
    <w:rsid w:val="0051381F"/>
    <w:rsid w:val="005139E5"/>
    <w:rsid w:val="00514003"/>
    <w:rsid w:val="00526D3D"/>
    <w:rsid w:val="00527C48"/>
    <w:rsid w:val="005303FC"/>
    <w:rsid w:val="00533C21"/>
    <w:rsid w:val="00534487"/>
    <w:rsid w:val="00535A89"/>
    <w:rsid w:val="0055048C"/>
    <w:rsid w:val="00557B3E"/>
    <w:rsid w:val="00571E89"/>
    <w:rsid w:val="00577BE7"/>
    <w:rsid w:val="0058057B"/>
    <w:rsid w:val="005826D9"/>
    <w:rsid w:val="00586C41"/>
    <w:rsid w:val="00590AA8"/>
    <w:rsid w:val="005A21FC"/>
    <w:rsid w:val="005A26AD"/>
    <w:rsid w:val="005A495F"/>
    <w:rsid w:val="005A59A2"/>
    <w:rsid w:val="005A7004"/>
    <w:rsid w:val="005A7E5C"/>
    <w:rsid w:val="005E3873"/>
    <w:rsid w:val="005E4873"/>
    <w:rsid w:val="005F349D"/>
    <w:rsid w:val="006209DD"/>
    <w:rsid w:val="00623A31"/>
    <w:rsid w:val="00633D0A"/>
    <w:rsid w:val="006359E9"/>
    <w:rsid w:val="00640F6E"/>
    <w:rsid w:val="0065102F"/>
    <w:rsid w:val="00660F4A"/>
    <w:rsid w:val="00663CFB"/>
    <w:rsid w:val="0066443C"/>
    <w:rsid w:val="0067036F"/>
    <w:rsid w:val="006724DC"/>
    <w:rsid w:val="006812DD"/>
    <w:rsid w:val="00683DF4"/>
    <w:rsid w:val="00684EB4"/>
    <w:rsid w:val="0069334D"/>
    <w:rsid w:val="006A2536"/>
    <w:rsid w:val="006C00AF"/>
    <w:rsid w:val="006C3547"/>
    <w:rsid w:val="006C4FC3"/>
    <w:rsid w:val="006C6DC3"/>
    <w:rsid w:val="006C7C80"/>
    <w:rsid w:val="006D1F1D"/>
    <w:rsid w:val="006D6DBB"/>
    <w:rsid w:val="00711A99"/>
    <w:rsid w:val="0071275A"/>
    <w:rsid w:val="007167DA"/>
    <w:rsid w:val="00716A39"/>
    <w:rsid w:val="00717F41"/>
    <w:rsid w:val="007243B4"/>
    <w:rsid w:val="00725A53"/>
    <w:rsid w:val="00737E69"/>
    <w:rsid w:val="00742528"/>
    <w:rsid w:val="00742BF0"/>
    <w:rsid w:val="007434F1"/>
    <w:rsid w:val="00757AF9"/>
    <w:rsid w:val="00765BF4"/>
    <w:rsid w:val="0077012A"/>
    <w:rsid w:val="00776CF8"/>
    <w:rsid w:val="007822E8"/>
    <w:rsid w:val="0079051B"/>
    <w:rsid w:val="007B0368"/>
    <w:rsid w:val="007B429D"/>
    <w:rsid w:val="007B644F"/>
    <w:rsid w:val="007C1E46"/>
    <w:rsid w:val="007C587D"/>
    <w:rsid w:val="007C6BCB"/>
    <w:rsid w:val="007C6C53"/>
    <w:rsid w:val="007E5865"/>
    <w:rsid w:val="007E6597"/>
    <w:rsid w:val="007E66A1"/>
    <w:rsid w:val="007F06FD"/>
    <w:rsid w:val="007F23E9"/>
    <w:rsid w:val="007F6C58"/>
    <w:rsid w:val="007F781B"/>
    <w:rsid w:val="00802F6B"/>
    <w:rsid w:val="0080571E"/>
    <w:rsid w:val="00805A4C"/>
    <w:rsid w:val="008108EB"/>
    <w:rsid w:val="00823278"/>
    <w:rsid w:val="00827086"/>
    <w:rsid w:val="00837FF1"/>
    <w:rsid w:val="00841988"/>
    <w:rsid w:val="00865369"/>
    <w:rsid w:val="00865F21"/>
    <w:rsid w:val="00870976"/>
    <w:rsid w:val="00870E36"/>
    <w:rsid w:val="008725A2"/>
    <w:rsid w:val="00875FA5"/>
    <w:rsid w:val="008815C0"/>
    <w:rsid w:val="00885E89"/>
    <w:rsid w:val="008862BB"/>
    <w:rsid w:val="00887B78"/>
    <w:rsid w:val="00894DC9"/>
    <w:rsid w:val="008968AD"/>
    <w:rsid w:val="008A1E68"/>
    <w:rsid w:val="008A52B0"/>
    <w:rsid w:val="008B0F50"/>
    <w:rsid w:val="008B5FE1"/>
    <w:rsid w:val="008C3FB6"/>
    <w:rsid w:val="008C7D6E"/>
    <w:rsid w:val="008E27A8"/>
    <w:rsid w:val="008E44F8"/>
    <w:rsid w:val="008E6DB9"/>
    <w:rsid w:val="008E75EA"/>
    <w:rsid w:val="008F2435"/>
    <w:rsid w:val="008F4773"/>
    <w:rsid w:val="009001B2"/>
    <w:rsid w:val="009019BB"/>
    <w:rsid w:val="0091035D"/>
    <w:rsid w:val="00910C85"/>
    <w:rsid w:val="00912975"/>
    <w:rsid w:val="009203CF"/>
    <w:rsid w:val="00921FF1"/>
    <w:rsid w:val="00927303"/>
    <w:rsid w:val="009277AF"/>
    <w:rsid w:val="009300BB"/>
    <w:rsid w:val="0093172A"/>
    <w:rsid w:val="009343AD"/>
    <w:rsid w:val="009347DC"/>
    <w:rsid w:val="0093617D"/>
    <w:rsid w:val="00944113"/>
    <w:rsid w:val="00945074"/>
    <w:rsid w:val="00957938"/>
    <w:rsid w:val="00960095"/>
    <w:rsid w:val="009604D1"/>
    <w:rsid w:val="00961B86"/>
    <w:rsid w:val="009649C0"/>
    <w:rsid w:val="00967DAF"/>
    <w:rsid w:val="00976FCB"/>
    <w:rsid w:val="00987240"/>
    <w:rsid w:val="00990D9D"/>
    <w:rsid w:val="00994034"/>
    <w:rsid w:val="009A0406"/>
    <w:rsid w:val="009A0B49"/>
    <w:rsid w:val="009A0D23"/>
    <w:rsid w:val="009A5DB5"/>
    <w:rsid w:val="009A6D52"/>
    <w:rsid w:val="009B353D"/>
    <w:rsid w:val="009C7A9A"/>
    <w:rsid w:val="009D0DAF"/>
    <w:rsid w:val="009F03C8"/>
    <w:rsid w:val="009F17C5"/>
    <w:rsid w:val="00A03973"/>
    <w:rsid w:val="00A03EDA"/>
    <w:rsid w:val="00A07B0C"/>
    <w:rsid w:val="00A16305"/>
    <w:rsid w:val="00A2068D"/>
    <w:rsid w:val="00A24D08"/>
    <w:rsid w:val="00A309F5"/>
    <w:rsid w:val="00A36A87"/>
    <w:rsid w:val="00A409D7"/>
    <w:rsid w:val="00A43418"/>
    <w:rsid w:val="00A43BA4"/>
    <w:rsid w:val="00A46646"/>
    <w:rsid w:val="00A50B03"/>
    <w:rsid w:val="00A60EE1"/>
    <w:rsid w:val="00A66032"/>
    <w:rsid w:val="00A66699"/>
    <w:rsid w:val="00A724C2"/>
    <w:rsid w:val="00A73FF0"/>
    <w:rsid w:val="00A75266"/>
    <w:rsid w:val="00A82E57"/>
    <w:rsid w:val="00A85A3A"/>
    <w:rsid w:val="00A90E6D"/>
    <w:rsid w:val="00A9447D"/>
    <w:rsid w:val="00AA0806"/>
    <w:rsid w:val="00AA0A77"/>
    <w:rsid w:val="00AA133F"/>
    <w:rsid w:val="00AC3ABE"/>
    <w:rsid w:val="00AC3F97"/>
    <w:rsid w:val="00AC6374"/>
    <w:rsid w:val="00AD5E44"/>
    <w:rsid w:val="00AD657F"/>
    <w:rsid w:val="00AD72E1"/>
    <w:rsid w:val="00AE0E46"/>
    <w:rsid w:val="00AE3FE2"/>
    <w:rsid w:val="00AE4029"/>
    <w:rsid w:val="00AF1E3C"/>
    <w:rsid w:val="00AF62E3"/>
    <w:rsid w:val="00B15FD0"/>
    <w:rsid w:val="00B23ACF"/>
    <w:rsid w:val="00B34D7C"/>
    <w:rsid w:val="00B43324"/>
    <w:rsid w:val="00B438B2"/>
    <w:rsid w:val="00B43D5F"/>
    <w:rsid w:val="00B44078"/>
    <w:rsid w:val="00B528D9"/>
    <w:rsid w:val="00B531E7"/>
    <w:rsid w:val="00B539EC"/>
    <w:rsid w:val="00B659DB"/>
    <w:rsid w:val="00B72005"/>
    <w:rsid w:val="00B76356"/>
    <w:rsid w:val="00B918CF"/>
    <w:rsid w:val="00BA0252"/>
    <w:rsid w:val="00BA3C1E"/>
    <w:rsid w:val="00BB44A2"/>
    <w:rsid w:val="00BC0B07"/>
    <w:rsid w:val="00BD0F4F"/>
    <w:rsid w:val="00BF2C3E"/>
    <w:rsid w:val="00BF4F63"/>
    <w:rsid w:val="00C0001C"/>
    <w:rsid w:val="00C03945"/>
    <w:rsid w:val="00C10B29"/>
    <w:rsid w:val="00C1748D"/>
    <w:rsid w:val="00C26CF2"/>
    <w:rsid w:val="00C27BB8"/>
    <w:rsid w:val="00C3341F"/>
    <w:rsid w:val="00C362B6"/>
    <w:rsid w:val="00C4252E"/>
    <w:rsid w:val="00C4468F"/>
    <w:rsid w:val="00C5069F"/>
    <w:rsid w:val="00C5408B"/>
    <w:rsid w:val="00C63F36"/>
    <w:rsid w:val="00C6736C"/>
    <w:rsid w:val="00C70F8D"/>
    <w:rsid w:val="00C77DAA"/>
    <w:rsid w:val="00C86C04"/>
    <w:rsid w:val="00C9187C"/>
    <w:rsid w:val="00CB0F40"/>
    <w:rsid w:val="00CC4C24"/>
    <w:rsid w:val="00CC6C28"/>
    <w:rsid w:val="00CD58BD"/>
    <w:rsid w:val="00CD689A"/>
    <w:rsid w:val="00CF23B6"/>
    <w:rsid w:val="00CF7510"/>
    <w:rsid w:val="00D108CC"/>
    <w:rsid w:val="00D12784"/>
    <w:rsid w:val="00D14994"/>
    <w:rsid w:val="00D203B8"/>
    <w:rsid w:val="00D25050"/>
    <w:rsid w:val="00D3234C"/>
    <w:rsid w:val="00D34D7B"/>
    <w:rsid w:val="00D417BA"/>
    <w:rsid w:val="00D42CA8"/>
    <w:rsid w:val="00D4605A"/>
    <w:rsid w:val="00D50A2A"/>
    <w:rsid w:val="00D51139"/>
    <w:rsid w:val="00D518FB"/>
    <w:rsid w:val="00D52ED2"/>
    <w:rsid w:val="00D55B54"/>
    <w:rsid w:val="00D64071"/>
    <w:rsid w:val="00D647B2"/>
    <w:rsid w:val="00D66999"/>
    <w:rsid w:val="00D82D77"/>
    <w:rsid w:val="00D85CA8"/>
    <w:rsid w:val="00D908F4"/>
    <w:rsid w:val="00D94573"/>
    <w:rsid w:val="00D956D4"/>
    <w:rsid w:val="00DA7F43"/>
    <w:rsid w:val="00DB2F4A"/>
    <w:rsid w:val="00DB6DA3"/>
    <w:rsid w:val="00DB7F3E"/>
    <w:rsid w:val="00DC1430"/>
    <w:rsid w:val="00DD2B26"/>
    <w:rsid w:val="00DD3F51"/>
    <w:rsid w:val="00DD7140"/>
    <w:rsid w:val="00DE4090"/>
    <w:rsid w:val="00DE59B2"/>
    <w:rsid w:val="00DE63C4"/>
    <w:rsid w:val="00DF3CA5"/>
    <w:rsid w:val="00E02645"/>
    <w:rsid w:val="00E10C50"/>
    <w:rsid w:val="00E16F04"/>
    <w:rsid w:val="00E32417"/>
    <w:rsid w:val="00E41D70"/>
    <w:rsid w:val="00E43FDA"/>
    <w:rsid w:val="00E526A4"/>
    <w:rsid w:val="00E53D24"/>
    <w:rsid w:val="00E573FF"/>
    <w:rsid w:val="00E66794"/>
    <w:rsid w:val="00E7234D"/>
    <w:rsid w:val="00E77048"/>
    <w:rsid w:val="00E80C1B"/>
    <w:rsid w:val="00E83001"/>
    <w:rsid w:val="00E8663B"/>
    <w:rsid w:val="00E90973"/>
    <w:rsid w:val="00E90CC5"/>
    <w:rsid w:val="00E910FE"/>
    <w:rsid w:val="00EA5C32"/>
    <w:rsid w:val="00EB1AB1"/>
    <w:rsid w:val="00EB7350"/>
    <w:rsid w:val="00ED3333"/>
    <w:rsid w:val="00ED3B55"/>
    <w:rsid w:val="00ED5314"/>
    <w:rsid w:val="00ED733E"/>
    <w:rsid w:val="00ED7FF8"/>
    <w:rsid w:val="00EE077E"/>
    <w:rsid w:val="00EE2FD3"/>
    <w:rsid w:val="00EE5094"/>
    <w:rsid w:val="00EE662C"/>
    <w:rsid w:val="00EF4FDE"/>
    <w:rsid w:val="00F004A3"/>
    <w:rsid w:val="00F041A5"/>
    <w:rsid w:val="00F054C5"/>
    <w:rsid w:val="00F12E3C"/>
    <w:rsid w:val="00F201D8"/>
    <w:rsid w:val="00F2545E"/>
    <w:rsid w:val="00F26A0D"/>
    <w:rsid w:val="00F44316"/>
    <w:rsid w:val="00F56A1D"/>
    <w:rsid w:val="00F61A89"/>
    <w:rsid w:val="00F6342A"/>
    <w:rsid w:val="00F720FC"/>
    <w:rsid w:val="00F7333B"/>
    <w:rsid w:val="00F8055A"/>
    <w:rsid w:val="00F81498"/>
    <w:rsid w:val="00F83507"/>
    <w:rsid w:val="00F901E6"/>
    <w:rsid w:val="00F904DB"/>
    <w:rsid w:val="00F92632"/>
    <w:rsid w:val="00F93E30"/>
    <w:rsid w:val="00F9421C"/>
    <w:rsid w:val="00FA0DCC"/>
    <w:rsid w:val="00FA3C19"/>
    <w:rsid w:val="00FB3157"/>
    <w:rsid w:val="00FB5A1A"/>
    <w:rsid w:val="00FC1799"/>
    <w:rsid w:val="00FC338A"/>
    <w:rsid w:val="00FD3E9C"/>
    <w:rsid w:val="00FD4D5B"/>
    <w:rsid w:val="00FD7613"/>
    <w:rsid w:val="00FE3465"/>
    <w:rsid w:val="00FE36C0"/>
    <w:rsid w:val="00FF101B"/>
    <w:rsid w:val="00FF5326"/>
    <w:rsid w:val="00FF55B0"/>
    <w:rsid w:val="00FF7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87F80"/>
  <w15:chartTrackingRefBased/>
  <w15:docId w15:val="{B6C7E72F-E6E8-1043-BFC5-5B5104858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2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32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32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32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32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2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2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2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2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2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32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32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32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32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2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2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2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278"/>
    <w:rPr>
      <w:rFonts w:eastAsiaTheme="majorEastAsia" w:cstheme="majorBidi"/>
      <w:color w:val="272727" w:themeColor="text1" w:themeTint="D8"/>
    </w:rPr>
  </w:style>
  <w:style w:type="paragraph" w:styleId="Title">
    <w:name w:val="Title"/>
    <w:basedOn w:val="Normal"/>
    <w:next w:val="Normal"/>
    <w:link w:val="TitleChar"/>
    <w:uiPriority w:val="10"/>
    <w:qFormat/>
    <w:rsid w:val="008232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2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27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2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2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3278"/>
    <w:rPr>
      <w:i/>
      <w:iCs/>
      <w:color w:val="404040" w:themeColor="text1" w:themeTint="BF"/>
    </w:rPr>
  </w:style>
  <w:style w:type="paragraph" w:styleId="ListParagraph">
    <w:name w:val="List Paragraph"/>
    <w:basedOn w:val="Normal"/>
    <w:uiPriority w:val="34"/>
    <w:qFormat/>
    <w:rsid w:val="00823278"/>
    <w:pPr>
      <w:ind w:left="720"/>
      <w:contextualSpacing/>
    </w:pPr>
  </w:style>
  <w:style w:type="character" w:styleId="IntenseEmphasis">
    <w:name w:val="Intense Emphasis"/>
    <w:basedOn w:val="DefaultParagraphFont"/>
    <w:uiPriority w:val="21"/>
    <w:qFormat/>
    <w:rsid w:val="00823278"/>
    <w:rPr>
      <w:i/>
      <w:iCs/>
      <w:color w:val="0F4761" w:themeColor="accent1" w:themeShade="BF"/>
    </w:rPr>
  </w:style>
  <w:style w:type="paragraph" w:styleId="IntenseQuote">
    <w:name w:val="Intense Quote"/>
    <w:basedOn w:val="Normal"/>
    <w:next w:val="Normal"/>
    <w:link w:val="IntenseQuoteChar"/>
    <w:uiPriority w:val="30"/>
    <w:qFormat/>
    <w:rsid w:val="008232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278"/>
    <w:rPr>
      <w:i/>
      <w:iCs/>
      <w:color w:val="0F4761" w:themeColor="accent1" w:themeShade="BF"/>
    </w:rPr>
  </w:style>
  <w:style w:type="character" w:styleId="IntenseReference">
    <w:name w:val="Intense Reference"/>
    <w:basedOn w:val="DefaultParagraphFont"/>
    <w:uiPriority w:val="32"/>
    <w:qFormat/>
    <w:rsid w:val="00823278"/>
    <w:rPr>
      <w:b/>
      <w:bCs/>
      <w:smallCaps/>
      <w:color w:val="0F4761" w:themeColor="accent1" w:themeShade="BF"/>
      <w:spacing w:val="5"/>
    </w:rPr>
  </w:style>
  <w:style w:type="paragraph" w:styleId="NormalWeb">
    <w:name w:val="Normal (Web)"/>
    <w:basedOn w:val="Normal"/>
    <w:uiPriority w:val="99"/>
    <w:unhideWhenUsed/>
    <w:rsid w:val="00823278"/>
    <w:pPr>
      <w:spacing w:before="100" w:beforeAutospacing="1" w:after="100" w:afterAutospacing="1"/>
    </w:pPr>
    <w:rPr>
      <w:rFonts w:ascii="Times New Roman" w:eastAsiaTheme="minorEastAsia" w:hAnsi="Times New Roman" w:cs="Times New Roman"/>
      <w:kern w:val="0"/>
      <w:lang w:val="en-US"/>
      <w14:ligatures w14:val="none"/>
    </w:rPr>
  </w:style>
  <w:style w:type="character" w:styleId="Strong">
    <w:name w:val="Strong"/>
    <w:basedOn w:val="DefaultParagraphFont"/>
    <w:uiPriority w:val="22"/>
    <w:qFormat/>
    <w:rsid w:val="00823278"/>
    <w:rPr>
      <w:b/>
      <w:bCs/>
    </w:rPr>
  </w:style>
  <w:style w:type="paragraph" w:styleId="Header">
    <w:name w:val="header"/>
    <w:basedOn w:val="Normal"/>
    <w:link w:val="HeaderChar"/>
    <w:uiPriority w:val="99"/>
    <w:unhideWhenUsed/>
    <w:rsid w:val="00C3341F"/>
    <w:pPr>
      <w:tabs>
        <w:tab w:val="center" w:pos="4680"/>
        <w:tab w:val="right" w:pos="9360"/>
      </w:tabs>
    </w:pPr>
    <w:rPr>
      <w:kern w:val="0"/>
      <w:sz w:val="22"/>
      <w:szCs w:val="22"/>
      <w14:ligatures w14:val="none"/>
    </w:rPr>
  </w:style>
  <w:style w:type="character" w:customStyle="1" w:styleId="HeaderChar">
    <w:name w:val="Header Char"/>
    <w:basedOn w:val="DefaultParagraphFont"/>
    <w:link w:val="Header"/>
    <w:uiPriority w:val="99"/>
    <w:rsid w:val="00C3341F"/>
    <w:rPr>
      <w:kern w:val="0"/>
      <w:sz w:val="22"/>
      <w:szCs w:val="22"/>
      <w14:ligatures w14:val="none"/>
    </w:rPr>
  </w:style>
  <w:style w:type="paragraph" w:styleId="Footer">
    <w:name w:val="footer"/>
    <w:basedOn w:val="Normal"/>
    <w:link w:val="FooterChar"/>
    <w:uiPriority w:val="99"/>
    <w:unhideWhenUsed/>
    <w:rsid w:val="00C3341F"/>
    <w:pPr>
      <w:tabs>
        <w:tab w:val="center" w:pos="4680"/>
        <w:tab w:val="right" w:pos="9360"/>
      </w:tabs>
    </w:pPr>
    <w:rPr>
      <w:kern w:val="0"/>
      <w:sz w:val="22"/>
      <w:szCs w:val="22"/>
      <w14:ligatures w14:val="none"/>
    </w:rPr>
  </w:style>
  <w:style w:type="character" w:customStyle="1" w:styleId="FooterChar">
    <w:name w:val="Footer Char"/>
    <w:basedOn w:val="DefaultParagraphFont"/>
    <w:link w:val="Footer"/>
    <w:uiPriority w:val="99"/>
    <w:rsid w:val="00C3341F"/>
    <w:rPr>
      <w:kern w:val="0"/>
      <w:sz w:val="22"/>
      <w:szCs w:val="22"/>
      <w14:ligatures w14:val="none"/>
    </w:rPr>
  </w:style>
  <w:style w:type="character" w:styleId="Hyperlink">
    <w:name w:val="Hyperlink"/>
    <w:basedOn w:val="DefaultParagraphFont"/>
    <w:uiPriority w:val="99"/>
    <w:unhideWhenUsed/>
    <w:rsid w:val="00C3341F"/>
    <w:rPr>
      <w:color w:val="467886" w:themeColor="hyperlink"/>
      <w:u w:val="single"/>
    </w:rPr>
  </w:style>
  <w:style w:type="character" w:styleId="UnresolvedMention">
    <w:name w:val="Unresolved Mention"/>
    <w:basedOn w:val="DefaultParagraphFont"/>
    <w:uiPriority w:val="99"/>
    <w:semiHidden/>
    <w:unhideWhenUsed/>
    <w:rsid w:val="00C3341F"/>
    <w:rPr>
      <w:color w:val="605E5C"/>
      <w:shd w:val="clear" w:color="auto" w:fill="E1DFDD"/>
    </w:rPr>
  </w:style>
  <w:style w:type="table" w:styleId="PlainTable1">
    <w:name w:val="Plain Table 1"/>
    <w:basedOn w:val="TableNormal"/>
    <w:uiPriority w:val="41"/>
    <w:rsid w:val="00C3341F"/>
    <w:rPr>
      <w:sz w:val="22"/>
      <w:szCs w:val="22"/>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C3341F"/>
    <w:pPr>
      <w:spacing w:after="200"/>
    </w:pPr>
    <w:rPr>
      <w:i/>
      <w:iCs/>
      <w:color w:val="0E2841" w:themeColor="text2"/>
      <w:kern w:val="0"/>
      <w:sz w:val="18"/>
      <w:szCs w:val="18"/>
      <w14:ligatures w14:val="none"/>
    </w:rPr>
  </w:style>
  <w:style w:type="paragraph" w:styleId="TOCHeading">
    <w:name w:val="TOC Heading"/>
    <w:basedOn w:val="Heading1"/>
    <w:next w:val="Normal"/>
    <w:uiPriority w:val="39"/>
    <w:unhideWhenUsed/>
    <w:qFormat/>
    <w:rsid w:val="00C3341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5048C"/>
    <w:pPr>
      <w:tabs>
        <w:tab w:val="right" w:leader="dot" w:pos="9010"/>
      </w:tabs>
      <w:spacing w:after="100" w:line="259" w:lineRule="auto"/>
    </w:pPr>
    <w:rPr>
      <w:kern w:val="0"/>
      <w:sz w:val="22"/>
      <w:szCs w:val="22"/>
      <w14:ligatures w14:val="none"/>
    </w:rPr>
  </w:style>
  <w:style w:type="paragraph" w:styleId="TOC2">
    <w:name w:val="toc 2"/>
    <w:basedOn w:val="Normal"/>
    <w:next w:val="Normal"/>
    <w:autoRedefine/>
    <w:uiPriority w:val="39"/>
    <w:unhideWhenUsed/>
    <w:rsid w:val="00C3341F"/>
    <w:pPr>
      <w:spacing w:after="100" w:line="259" w:lineRule="auto"/>
      <w:ind w:left="220"/>
    </w:pPr>
    <w:rPr>
      <w:kern w:val="0"/>
      <w:sz w:val="22"/>
      <w:szCs w:val="22"/>
      <w14:ligatures w14:val="none"/>
    </w:rPr>
  </w:style>
  <w:style w:type="table" w:styleId="TableGrid">
    <w:name w:val="Table Grid"/>
    <w:basedOn w:val="TableNormal"/>
    <w:uiPriority w:val="39"/>
    <w:rsid w:val="00C3341F"/>
    <w:rPr>
      <w:kern w:val="0"/>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3341F"/>
    <w:rPr>
      <w:kern w:val="0"/>
      <w:sz w:val="22"/>
      <w:szCs w:val="22"/>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C3341F"/>
    <w:rPr>
      <w:i/>
      <w:iCs/>
    </w:rPr>
  </w:style>
  <w:style w:type="table" w:styleId="GridTable3-Accent5">
    <w:name w:val="Grid Table 3 Accent 5"/>
    <w:basedOn w:val="TableNormal"/>
    <w:uiPriority w:val="48"/>
    <w:rsid w:val="00C3341F"/>
    <w:rPr>
      <w:kern w:val="0"/>
      <w:sz w:val="22"/>
      <w:szCs w:val="22"/>
      <w:lang w:val="en-U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ListTable6ColourfulAccent3">
    <w:name w:val="List Table 6 Colorful Accent 3"/>
    <w:basedOn w:val="TableNormal"/>
    <w:uiPriority w:val="51"/>
    <w:rsid w:val="00C3341F"/>
    <w:rPr>
      <w:color w:val="124F1A" w:themeColor="accent3" w:themeShade="BF"/>
      <w:kern w:val="0"/>
      <w:sz w:val="22"/>
      <w:szCs w:val="22"/>
      <w:lang w:val="en-US"/>
      <w14:ligatures w14:val="none"/>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urfulAccent1">
    <w:name w:val="List Table 6 Colorful Accent 1"/>
    <w:basedOn w:val="TableNormal"/>
    <w:uiPriority w:val="51"/>
    <w:rsid w:val="00C3341F"/>
    <w:rPr>
      <w:color w:val="0F4761" w:themeColor="accent1" w:themeShade="BF"/>
      <w:kern w:val="0"/>
      <w:sz w:val="22"/>
      <w:szCs w:val="22"/>
      <w:lang w:val="en-US"/>
      <w14:ligatures w14:val="none"/>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urful">
    <w:name w:val="List Table 6 Colorful"/>
    <w:basedOn w:val="TableNormal"/>
    <w:uiPriority w:val="51"/>
    <w:rsid w:val="00C3341F"/>
    <w:rPr>
      <w:color w:val="000000" w:themeColor="text1"/>
      <w:kern w:val="0"/>
      <w:sz w:val="22"/>
      <w:szCs w:val="22"/>
      <w:lang w:val="en-US"/>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4">
    <w:name w:val="List Table 6 Colorful Accent 4"/>
    <w:basedOn w:val="TableNormal"/>
    <w:uiPriority w:val="51"/>
    <w:rsid w:val="00C3341F"/>
    <w:rPr>
      <w:color w:val="0B769F" w:themeColor="accent4" w:themeShade="BF"/>
      <w:kern w:val="0"/>
      <w:sz w:val="22"/>
      <w:szCs w:val="22"/>
      <w:lang w:val="en-US"/>
      <w14:ligatures w14:val="none"/>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urfulAccent5">
    <w:name w:val="List Table 6 Colorful Accent 5"/>
    <w:basedOn w:val="TableNormal"/>
    <w:uiPriority w:val="51"/>
    <w:rsid w:val="00C3341F"/>
    <w:rPr>
      <w:color w:val="77206D" w:themeColor="accent5" w:themeShade="BF"/>
      <w:kern w:val="0"/>
      <w:sz w:val="22"/>
      <w:szCs w:val="22"/>
      <w:lang w:val="en-US"/>
      <w14:ligatures w14:val="none"/>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6">
    <w:name w:val="List Table 6 Colorful Accent 6"/>
    <w:basedOn w:val="TableNormal"/>
    <w:uiPriority w:val="51"/>
    <w:rsid w:val="00C3341F"/>
    <w:rPr>
      <w:color w:val="3A7C22" w:themeColor="accent6" w:themeShade="BF"/>
      <w:kern w:val="0"/>
      <w:sz w:val="22"/>
      <w:szCs w:val="22"/>
      <w:lang w:val="en-US"/>
      <w14:ligatures w14:val="none"/>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urful">
    <w:name w:val="List Table 7 Colorful"/>
    <w:basedOn w:val="TableNormal"/>
    <w:uiPriority w:val="52"/>
    <w:rsid w:val="00C3341F"/>
    <w:rPr>
      <w:color w:val="000000" w:themeColor="text1"/>
      <w:kern w:val="0"/>
      <w:sz w:val="22"/>
      <w:szCs w:val="22"/>
      <w:lang w:val="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3">
    <w:name w:val="toc 3"/>
    <w:basedOn w:val="Normal"/>
    <w:next w:val="Normal"/>
    <w:autoRedefine/>
    <w:uiPriority w:val="39"/>
    <w:unhideWhenUsed/>
    <w:rsid w:val="00C3341F"/>
    <w:pPr>
      <w:spacing w:after="100" w:line="259" w:lineRule="auto"/>
      <w:ind w:left="440"/>
    </w:pPr>
    <w:rPr>
      <w:kern w:val="0"/>
      <w:sz w:val="22"/>
      <w:szCs w:val="22"/>
      <w14:ligatures w14:val="none"/>
    </w:rPr>
  </w:style>
  <w:style w:type="character" w:styleId="PageNumber">
    <w:name w:val="page number"/>
    <w:basedOn w:val="DefaultParagraphFont"/>
    <w:uiPriority w:val="99"/>
    <w:semiHidden/>
    <w:unhideWhenUsed/>
    <w:rsid w:val="00C3341F"/>
  </w:style>
  <w:style w:type="paragraph" w:styleId="TableofFigures">
    <w:name w:val="table of figures"/>
    <w:basedOn w:val="Normal"/>
    <w:next w:val="Normal"/>
    <w:uiPriority w:val="99"/>
    <w:unhideWhenUsed/>
    <w:rsid w:val="00C3341F"/>
  </w:style>
  <w:style w:type="character" w:styleId="FollowedHyperlink">
    <w:name w:val="FollowedHyperlink"/>
    <w:basedOn w:val="DefaultParagraphFont"/>
    <w:uiPriority w:val="99"/>
    <w:semiHidden/>
    <w:unhideWhenUsed/>
    <w:rsid w:val="00FD3E9C"/>
    <w:rPr>
      <w:color w:val="96607D" w:themeColor="followedHyperlink"/>
      <w:u w:val="single"/>
    </w:rPr>
  </w:style>
  <w:style w:type="paragraph" w:customStyle="1" w:styleId="msonormal0">
    <w:name w:val="msonormal"/>
    <w:basedOn w:val="Normal"/>
    <w:uiPriority w:val="99"/>
    <w:rsid w:val="00FD3E9C"/>
    <w:pPr>
      <w:spacing w:before="100" w:beforeAutospacing="1" w:after="100" w:afterAutospacing="1"/>
    </w:pPr>
    <w:rPr>
      <w:rFonts w:ascii="Times New Roman" w:eastAsia="Times New Roman" w:hAnsi="Times New Roman" w:cs="Times New Roman"/>
      <w:kern w:val="0"/>
      <w14:ligatures w14:val="none"/>
    </w:rPr>
  </w:style>
  <w:style w:type="table" w:styleId="GridTable6Colourful">
    <w:name w:val="Grid Table 6 Colorful"/>
    <w:basedOn w:val="TableNormal"/>
    <w:uiPriority w:val="51"/>
    <w:rsid w:val="00FD3E9C"/>
    <w:rPr>
      <w:color w:val="000000" w:themeColor="text1"/>
      <w:kern w:val="0"/>
      <w:sz w:val="22"/>
      <w:szCs w:val="22"/>
      <w:lang w:val="en-US"/>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FD3E9C"/>
    <w:rPr>
      <w:color w:val="0F4761" w:themeColor="accent1" w:themeShade="BF"/>
      <w:kern w:val="0"/>
      <w:sz w:val="22"/>
      <w:szCs w:val="22"/>
      <w:lang w:val="en-US"/>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2">
    <w:name w:val="Grid Table 6 Colorful Accent 2"/>
    <w:basedOn w:val="TableNormal"/>
    <w:uiPriority w:val="51"/>
    <w:rsid w:val="00FD3E9C"/>
    <w:rPr>
      <w:color w:val="BF4E14" w:themeColor="accent2" w:themeShade="BF"/>
      <w:kern w:val="0"/>
      <w:sz w:val="22"/>
      <w:szCs w:val="22"/>
      <w:lang w:val="en-US"/>
      <w14:ligatures w14:val="none"/>
    </w:rPr>
    <w:tblPr>
      <w:tblStyleRowBandSize w:val="1"/>
      <w:tblStyleColBandSize w:val="1"/>
      <w:tblInd w:w="0" w:type="nil"/>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3">
    <w:name w:val="Grid Table 6 Colorful Accent 3"/>
    <w:basedOn w:val="TableNormal"/>
    <w:uiPriority w:val="51"/>
    <w:rsid w:val="00FD3E9C"/>
    <w:rPr>
      <w:color w:val="124F1A" w:themeColor="accent3" w:themeShade="BF"/>
      <w:kern w:val="0"/>
      <w:sz w:val="22"/>
      <w:szCs w:val="22"/>
      <w:lang w:val="en-US"/>
      <w14:ligatures w14:val="none"/>
    </w:rPr>
    <w:tblPr>
      <w:tblStyleRowBandSize w:val="1"/>
      <w:tblStyleColBandSize w:val="1"/>
      <w:tblInd w:w="0" w:type="nil"/>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urfulAccent4">
    <w:name w:val="Grid Table 6 Colorful Accent 4"/>
    <w:basedOn w:val="TableNormal"/>
    <w:uiPriority w:val="51"/>
    <w:rsid w:val="00FD3E9C"/>
    <w:rPr>
      <w:color w:val="0B769F" w:themeColor="accent4" w:themeShade="BF"/>
      <w:kern w:val="0"/>
      <w:sz w:val="22"/>
      <w:szCs w:val="22"/>
      <w:lang w:val="en-US"/>
      <w14:ligatures w14:val="none"/>
    </w:rPr>
    <w:tblPr>
      <w:tblStyleRowBandSize w:val="1"/>
      <w:tblStyleColBandSize w:val="1"/>
      <w:tblInd w:w="0" w:type="nil"/>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katex-mathml">
    <w:name w:val="katex-mathml"/>
    <w:basedOn w:val="DefaultParagraphFont"/>
    <w:rsid w:val="000A0DBB"/>
  </w:style>
  <w:style w:type="character" w:customStyle="1" w:styleId="mord">
    <w:name w:val="mord"/>
    <w:basedOn w:val="DefaultParagraphFont"/>
    <w:rsid w:val="000A0DBB"/>
  </w:style>
  <w:style w:type="character" w:customStyle="1" w:styleId="mrel">
    <w:name w:val="mrel"/>
    <w:basedOn w:val="DefaultParagraphFont"/>
    <w:rsid w:val="000A0DBB"/>
  </w:style>
  <w:style w:type="character" w:customStyle="1" w:styleId="mopen">
    <w:name w:val="mopen"/>
    <w:basedOn w:val="DefaultParagraphFont"/>
    <w:rsid w:val="000A0DBB"/>
  </w:style>
  <w:style w:type="character" w:customStyle="1" w:styleId="mpunct">
    <w:name w:val="mpunct"/>
    <w:basedOn w:val="DefaultParagraphFont"/>
    <w:rsid w:val="000A0DBB"/>
  </w:style>
  <w:style w:type="character" w:customStyle="1" w:styleId="mclose">
    <w:name w:val="mclose"/>
    <w:basedOn w:val="DefaultParagraphFont"/>
    <w:rsid w:val="000A0DBB"/>
  </w:style>
  <w:style w:type="character" w:customStyle="1" w:styleId="vlist-s">
    <w:name w:val="vlist-s"/>
    <w:basedOn w:val="DefaultParagraphFont"/>
    <w:rsid w:val="000A0DBB"/>
  </w:style>
  <w:style w:type="paragraph" w:styleId="NoSpacing">
    <w:name w:val="No Spacing"/>
    <w:uiPriority w:val="1"/>
    <w:qFormat/>
    <w:rsid w:val="00550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52352">
      <w:bodyDiv w:val="1"/>
      <w:marLeft w:val="0"/>
      <w:marRight w:val="0"/>
      <w:marTop w:val="0"/>
      <w:marBottom w:val="0"/>
      <w:divBdr>
        <w:top w:val="none" w:sz="0" w:space="0" w:color="auto"/>
        <w:left w:val="none" w:sz="0" w:space="0" w:color="auto"/>
        <w:bottom w:val="none" w:sz="0" w:space="0" w:color="auto"/>
        <w:right w:val="none" w:sz="0" w:space="0" w:color="auto"/>
      </w:divBdr>
    </w:div>
    <w:div w:id="28989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irp.com/index.php/research/article/view/61" TargetMode="External"/><Relationship Id="rId21" Type="http://schemas.openxmlformats.org/officeDocument/2006/relationships/hyperlink" Target="https://ijsra.net/sites/default/files/IJSRA-2024-0961.pdf" TargetMode="External"/><Relationship Id="rId42" Type="http://schemas.openxmlformats.org/officeDocument/2006/relationships/hyperlink" Target="https://doi.org/10.54648/gtcj2024084" TargetMode="External"/><Relationship Id="rId47" Type="http://schemas.openxmlformats.org/officeDocument/2006/relationships/hyperlink" Target="https://www.mdpi.com/2199-8531/8/1/27/pdf?version=1642651696" TargetMode="External"/><Relationship Id="rId63" Type="http://schemas.openxmlformats.org/officeDocument/2006/relationships/hyperlink" Target="https://scholar.sun.ac.za/server/api/core/bitstreams/b259eac8-ae99-490f-b3eb-ab49aebe9aef/content" TargetMode="External"/><Relationship Id="rId68" Type="http://schemas.openxmlformats.org/officeDocument/2006/relationships/hyperlink" Target="https://kps.artahub.ir/article_208285_1d1f5cf16f2db836545dead0a99c62e7.pdf" TargetMode="External"/><Relationship Id="rId2" Type="http://schemas.openxmlformats.org/officeDocument/2006/relationships/numbering" Target="numbering.xml"/><Relationship Id="rId16" Type="http://schemas.openxmlformats.org/officeDocument/2006/relationships/hyperlink" Target="https://arxiv.org/pdf/2410.15369" TargetMode="External"/><Relationship Id="rId29" Type="http://schemas.openxmlformats.org/officeDocument/2006/relationships/hyperlink" Target="https://arxiv.org/pdf/2506.05941" TargetMode="External"/><Relationship Id="rId11" Type="http://schemas.openxmlformats.org/officeDocument/2006/relationships/hyperlink" Target="https://www.uber.com/en-GB/blog/vouchers-to-enhance-customer-experiences/" TargetMode="External"/><Relationship Id="rId24" Type="http://schemas.openxmlformats.org/officeDocument/2006/relationships/hyperlink" Target="https://www.sciencedirect.com/science/article/abs/pii/S026840121930917X" TargetMode="External"/><Relationship Id="rId32" Type="http://schemas.openxmlformats.org/officeDocument/2006/relationships/hyperlink" Target="https://www.researchgate.net/profile/Sanjay_Vijay_Mhaskey/publication/387667312_Integration_of_Artificial_Intelligence_AI_in_Enterprise_Resource_Planning_ERP_Systems_Opportunities_Challenges_and_Implications/links/6776dce9fb9aff6eaa0121e3/Integration-of-Artificial-Intelligence-AI-in-Enterprise-Resource-Planning-ERP-Systems-Opportunities-Challenges-and-Implications.pdf" TargetMode="External"/><Relationship Id="rId37" Type="http://schemas.openxmlformats.org/officeDocument/2006/relationships/hyperlink" Target="https://iaeme.com/Home/article_id/IJITMIS_14_02_007" TargetMode="External"/><Relationship Id="rId40" Type="http://schemas.openxmlformats.org/officeDocument/2006/relationships/hyperlink" Target="https://kps.artahub.ir/article_208285_1d1f5cf16f2db836545dead0a99c62e7.pdf" TargetMode="External"/><Relationship Id="rId45" Type="http://schemas.openxmlformats.org/officeDocument/2006/relationships/hyperlink" Target="https://hal.science/hal-03741847v1" TargetMode="External"/><Relationship Id="rId53" Type="http://schemas.openxmlformats.org/officeDocument/2006/relationships/hyperlink" Target="https://doi.org/10.54648/gtcj2024084" TargetMode="External"/><Relationship Id="rId58" Type="http://schemas.openxmlformats.org/officeDocument/2006/relationships/hyperlink" Target="https://ijsra.net/sites/default/files/IJSRA-2024-0961.pdf" TargetMode="External"/><Relationship Id="rId66" Type="http://schemas.openxmlformats.org/officeDocument/2006/relationships/hyperlink" Target="https://royalsocietypublishing.org/doi/epdf/10.1098/rsos.230568" TargetMode="External"/><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www.researchgate.net/profile/Stephanie-Ness-3/publication/381096092_The_Role_of_AI_Enabled_Chatbots_in_Omnichannel_Customer_Service/links/665c3492bc86444c7225a39c/The-Role-of-AI-Enabled-Chatbots-in-Omnichannel-Customer-Service.pdf?_tp=eyJjb250ZXh0Ijp7ImZpcnN0UGFnZSI6InB1YmxpY2F0aW9uIiwicGFnZSI6InB1YmxpY2F0aW9uIn19" TargetMode="External"/><Relationship Id="rId19" Type="http://schemas.openxmlformats.org/officeDocument/2006/relationships/hyperlink" Target="https://www.researchgate.net/profile/Tran-Thien-Y-Le/publication/355119367_Usability_and_responsiveness_of_artificial_intelligence_chatbot_on_online_customer_experience_in_e-retailing/links/617a0162eef53e51e1f72954/Usability-and-responsiveness-of-artificial-intelligence-chatbot-on-online-customer-experience-in-e-retailing.pdf" TargetMode="External"/><Relationship Id="rId14" Type="http://schemas.openxmlformats.org/officeDocument/2006/relationships/image" Target="media/image5.png"/><Relationship Id="rId22" Type="http://schemas.openxmlformats.org/officeDocument/2006/relationships/hyperlink" Target="https://cyberleninka.ru/article/n/improving-customer-experience-with-artificial-intelligence-by-adhering-to-ethical-principles/pdf" TargetMode="External"/><Relationship Id="rId27" Type="http://schemas.openxmlformats.org/officeDocument/2006/relationships/hyperlink" Target="https://www.researchgate.net/profile/Stephanie-Ness-3/publication/381096092_The_Role_of_AI_Enabled_Chatbots_in_Omnichannel_Customer_Service/links/665c3492bc86444c7225a39c/The-Role-of-AI-Enabled-Chatbots-in-Omnichannel-Customer-Service.pdf?_tp=eyJjb250ZXh0Ijp7ImZpcnN0UGFnZSI6InB1YmxpY2F0aW9uIiwicGFnZSI6InB1YmxpY2F0aW9uIn19" TargetMode="External"/><Relationship Id="rId30" Type="http://schemas.openxmlformats.org/officeDocument/2006/relationships/hyperlink" Target="https://www.nature.com/articles/s41599-024-03289-7.pdf" TargetMode="External"/><Relationship Id="rId35" Type="http://schemas.openxmlformats.org/officeDocument/2006/relationships/hyperlink" Target="https://doi.org/10.4324/9781351032940" TargetMode="External"/><Relationship Id="rId43" Type="http://schemas.openxmlformats.org/officeDocument/2006/relationships/hyperlink" Target="https://sabapub.com/index.php/jaai/article/download/1017/658" TargetMode="External"/><Relationship Id="rId48" Type="http://schemas.openxmlformats.org/officeDocument/2006/relationships/hyperlink" Target="https://www.mckinsey.com/capabilities/mckinsey-digital/our-insights/the-top-trends-in-tech" TargetMode="External"/><Relationship Id="rId56" Type="http://schemas.openxmlformats.org/officeDocument/2006/relationships/hyperlink" Target="https://qjss.com.pk/index.php/qjss/article/download/149/136/293" TargetMode="External"/><Relationship Id="rId64" Type="http://schemas.openxmlformats.org/officeDocument/2006/relationships/hyperlink" Target="https://sabapub.com/index.php/jaai/article/download/1017/658" TargetMode="External"/><Relationship Id="rId69" Type="http://schemas.openxmlformats.org/officeDocument/2006/relationships/hyperlink" Target="https://doi.org/10.1016/j.jbusres.2020.08.024" TargetMode="External"/><Relationship Id="rId8" Type="http://schemas.openxmlformats.org/officeDocument/2006/relationships/image" Target="media/image1.png"/><Relationship Id="rId51" Type="http://schemas.openxmlformats.org/officeDocument/2006/relationships/hyperlink" Target="https://doi.org/10.3390/su13095090" TargetMode="External"/><Relationship Id="rId72" Type="http://schemas.openxmlformats.org/officeDocument/2006/relationships/hyperlink" Target="https://sbj.alzahra.ac.ir/article_8248_dc3f04d0fcc26fed66fb11b6e3c782be.pdf"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qjss.com.pk/index.php/qjss/article/download/149/136/293" TargetMode="External"/><Relationship Id="rId25" Type="http://schemas.openxmlformats.org/officeDocument/2006/relationships/hyperlink" Target="https://flore.unifi.it/bitstream/2158/1407080/2/978-3-031-69682-4.pdf" TargetMode="External"/><Relationship Id="rId33" Type="http://schemas.openxmlformats.org/officeDocument/2006/relationships/hyperlink" Target="https://mpra.ub.uni-muenchen.de/105149/" TargetMode="External"/><Relationship Id="rId38" Type="http://schemas.openxmlformats.org/officeDocument/2006/relationships/hyperlink" Target="https://www.researchgate.net/profile/Nsisong-Eyo-Udo/publication/380207624_Data-driven_decision_making_Shaping_the_future_of_business_efficiency_and_customer_engagement/links/6798b37b645ef274a44ccd9a/Data-driven-decision-making-Shaping-the-future-of-business-efficiency-and-customer-engagement.pdf" TargetMode="External"/><Relationship Id="rId46" Type="http://schemas.openxmlformats.org/officeDocument/2006/relationships/hyperlink" Target="https://royalsocietypublishing.org/doi/epdf/10.1098/rsos.230568" TargetMode="External"/><Relationship Id="rId59" Type="http://schemas.openxmlformats.org/officeDocument/2006/relationships/hyperlink" Target="https://www.sciencedirect.com/science/article/abs/pii/S026840121930917X" TargetMode="External"/><Relationship Id="rId67" Type="http://schemas.openxmlformats.org/officeDocument/2006/relationships/hyperlink" Target="https://www.theseus.fi/bitstream/handle/10024/874486/Zhang_Ningyu.pdf?sequence=2" TargetMode="External"/><Relationship Id="rId20" Type="http://schemas.openxmlformats.org/officeDocument/2006/relationships/hyperlink" Target="https://doi.org/10.3390/su13095090" TargetMode="External"/><Relationship Id="rId41" Type="http://schemas.openxmlformats.org/officeDocument/2006/relationships/hyperlink" Target="https://pmarketresearch.com/it/artificial-intelligence-in-inventory-management-market/" TargetMode="External"/><Relationship Id="rId54" Type="http://schemas.openxmlformats.org/officeDocument/2006/relationships/hyperlink" Target="https://flore.unifi.it/bitstream/2158/1407080/2/978-3-031-69682-4.pdf" TargetMode="External"/><Relationship Id="rId62" Type="http://schemas.openxmlformats.org/officeDocument/2006/relationships/hyperlink" Target="https://iaeme.com/Home/article_id/IJITMIS_14_02_007" TargetMode="External"/><Relationship Id="rId70" Type="http://schemas.openxmlformats.org/officeDocument/2006/relationships/hyperlink" Target="https://www.researchgate.net/profile/Nsisong-Eyo-Udo/publication/380207624_Data-driven_decision_making_Shaping_the_future_of_business_efficiency_and_customer_engagement/links/6798b37b645ef274a44ccd9a/Data-driven-decision-making-Shaping-the-future-of-business-efficiency-and-customer-engagement.pdf"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1016/j.jbusres.2020.08.024" TargetMode="External"/><Relationship Id="rId28" Type="http://schemas.openxmlformats.org/officeDocument/2006/relationships/hyperlink" Target="https://doi.org/10.23919/CISTI52073.2021.9476484" TargetMode="External"/><Relationship Id="rId36" Type="http://schemas.openxmlformats.org/officeDocument/2006/relationships/hyperlink" Target="https://onlinelibrary.wiley.com/doi/pdfdirect/10.1002/tie.22384" TargetMode="External"/><Relationship Id="rId49" Type="http://schemas.openxmlformats.org/officeDocument/2006/relationships/hyperlink" Target="https://www.theseus.fi/bitstream/handle/10024/874486/Zhang_Ningyu.pdf?sequence=2" TargetMode="External"/><Relationship Id="rId57" Type="http://schemas.openxmlformats.org/officeDocument/2006/relationships/hyperlink" Target="https://wjarr.com/sites/default/files/WJARR-2024-3093.pdf" TargetMode="External"/><Relationship Id="rId10" Type="http://schemas.openxmlformats.org/officeDocument/2006/relationships/image" Target="media/image2.png"/><Relationship Id="rId31" Type="http://schemas.openxmlformats.org/officeDocument/2006/relationships/hyperlink" Target="https://journals.sagepub.com/doi/10.1177/14413582241264619" TargetMode="External"/><Relationship Id="rId44" Type="http://schemas.openxmlformats.org/officeDocument/2006/relationships/hyperlink" Target="https://doi.org/10.47738/jads.v6i1.453" TargetMode="External"/><Relationship Id="rId52" Type="http://schemas.openxmlformats.org/officeDocument/2006/relationships/hyperlink" Target="https://doi.org/10.47738/jads.v6i1.453" TargetMode="External"/><Relationship Id="rId60" Type="http://schemas.openxmlformats.org/officeDocument/2006/relationships/hyperlink" Target="https://puirp.com/index.php/research/article/view/61" TargetMode="External"/><Relationship Id="rId65" Type="http://schemas.openxmlformats.org/officeDocument/2006/relationships/hyperlink" Target="https://hal.science/hal-03741847v1"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goid.ai/blog/netflix-ai" TargetMode="External"/><Relationship Id="rId13" Type="http://schemas.openxmlformats.org/officeDocument/2006/relationships/image" Target="media/image4.png"/><Relationship Id="rId18" Type="http://schemas.openxmlformats.org/officeDocument/2006/relationships/hyperlink" Target="https://wjarr.com/sites/default/files/WJARR-2024-3093.pdf" TargetMode="External"/><Relationship Id="rId39" Type="http://schemas.openxmlformats.org/officeDocument/2006/relationships/hyperlink" Target="https://scholar.sun.ac.za/server/api/core/bitstreams/b259eac8-ae99-490f-b3eb-ab49aebe9aef/content" TargetMode="External"/><Relationship Id="rId34" Type="http://schemas.openxmlformats.org/officeDocument/2006/relationships/hyperlink" Target="https://sbj.alzahra.ac.ir/article_8248_dc3f04d0fcc26fed66fb11b6e3c782be.pdf" TargetMode="External"/><Relationship Id="rId50" Type="http://schemas.openxmlformats.org/officeDocument/2006/relationships/hyperlink" Target="https://www.researchgate.net/profile/Tran-Thien-Y-Le/publication/355119367_Usability_and_responsiveness_of_artificial_intelligence_chatbot_on_online_customer_experience_in_e-retailing/links/617a0162eef53e51e1f72954/Usability-and-responsiveness-of-artificial-intelligence-chatbot-on-online-customer-experience-in-e-retailing.pdf" TargetMode="External"/><Relationship Id="rId55" Type="http://schemas.openxmlformats.org/officeDocument/2006/relationships/hyperlink" Target="https://doi.org/10.23919/CISTI52073.2021.9476484"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cyberleninka.ru/article/n/improving-customer-experience-with-artificial-intelligence-by-adhering-to-ethical-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137CD-47EB-FA42-8E15-DC878221E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1</Pages>
  <Words>18165</Words>
  <Characters>103541</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614</cp:revision>
  <dcterms:created xsi:type="dcterms:W3CDTF">2025-07-12T20:02:00Z</dcterms:created>
  <dcterms:modified xsi:type="dcterms:W3CDTF">2025-07-29T18:00:00Z</dcterms:modified>
</cp:coreProperties>
</file>