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color w:val="00000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1824355</wp:posOffset>
            </wp:positionH>
            <wp:positionV relativeFrom="paragraph">
              <wp:posOffset>38100</wp:posOffset>
            </wp:positionV>
            <wp:extent cx="3093720" cy="114808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3093720" cy="1148080"/>
                    </a:xfrm>
                    <a:prstGeom prst="rect"/>
                    <a:ln/>
                  </pic:spPr>
                </pic:pic>
              </a:graphicData>
            </a:graphic>
          </wp:anchor>
        </w:drawing>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pStyle w:val="Heading1"/>
        <w:jc w:val="center"/>
        <w:rPr>
          <w:sz w:val="22"/>
          <w:szCs w:val="22"/>
        </w:rPr>
      </w:pPr>
      <w:bookmarkStart w:colFirst="0" w:colLast="0" w:name="_evxryt59grxf" w:id="0"/>
      <w:bookmarkEnd w:id="0"/>
      <w:r w:rsidDel="00000000" w:rsidR="00000000" w:rsidRPr="00000000">
        <w:rPr>
          <w:sz w:val="22"/>
          <w:szCs w:val="22"/>
          <w:rtl w:val="0"/>
        </w:rPr>
        <w:t xml:space="preserve">LEVEL 7 ASSESSMENT</w:t>
      </w:r>
    </w:p>
    <w:p w:rsidR="00000000" w:rsidDel="00000000" w:rsidP="00000000" w:rsidRDefault="00000000" w:rsidRPr="00000000" w14:paraId="0000000C">
      <w:pPr>
        <w:spacing w:after="100" w:line="360" w:lineRule="auto"/>
        <w:jc w:val="center"/>
        <w:rPr>
          <w:rFonts w:ascii="Arial" w:cs="Arial" w:eastAsia="Arial" w:hAnsi="Arial"/>
          <w:color w:val="000000"/>
        </w:rPr>
      </w:pPr>
      <w:r w:rsidDel="00000000" w:rsidR="00000000" w:rsidRPr="00000000">
        <w:rPr>
          <w:rFonts w:ascii="Arial" w:cs="Arial" w:eastAsia="Arial" w:hAnsi="Arial"/>
          <w:b w:val="1"/>
          <w:bCs w:val="1"/>
          <w:color w:val="000000"/>
          <w:rtl w:val="0"/>
        </w:rPr>
        <w:t xml:space="preserve">Social Epidemiology and Public Health Development (LCHS7000)</w:t>
      </w:r>
      <w:r w:rsidDel="00000000" w:rsidR="00000000" w:rsidRPr="00000000">
        <w:rPr>
          <w:rtl w:val="0"/>
        </w:rPr>
      </w:r>
    </w:p>
    <w:p w:rsidR="00000000" w:rsidDel="00000000" w:rsidP="00000000" w:rsidRDefault="00000000" w:rsidRPr="00000000" w14:paraId="0000000D">
      <w:pPr>
        <w:spacing w:after="400" w:line="360" w:lineRule="auto"/>
        <w:jc w:val="center"/>
        <w:rPr>
          <w:rFonts w:ascii="Arial" w:cs="Arial" w:eastAsia="Arial" w:hAnsi="Arial"/>
          <w:i w:val="1"/>
          <w:iCs w:val="1"/>
          <w:color w:val="000000"/>
        </w:rPr>
      </w:pPr>
      <w:r w:rsidDel="00000000" w:rsidR="00000000" w:rsidRPr="00000000">
        <w:rPr>
          <w:rFonts w:ascii="Arial" w:cs="Arial" w:eastAsia="Arial" w:hAnsi="Arial"/>
          <w:i w:val="1"/>
          <w:iCs w:val="1"/>
          <w:color w:val="000000"/>
          <w:rtl w:val="0"/>
        </w:rPr>
        <w:t xml:space="preserve">MSc Public Health and Social Care in Practice</w:t>
      </w:r>
    </w:p>
    <w:p w:rsidR="00000000" w:rsidDel="00000000" w:rsidP="00000000" w:rsidRDefault="00000000" w:rsidRPr="00000000" w14:paraId="0000000E">
      <w:pPr>
        <w:spacing w:line="360" w:lineRule="auto"/>
        <w:jc w:val="center"/>
        <w:rPr>
          <w:rFonts w:ascii="Arial" w:cs="Arial" w:eastAsia="Arial" w:hAnsi="Arial"/>
          <w:color w:val="000000"/>
        </w:rPr>
      </w:pPr>
      <w:bookmarkStart w:colFirst="0" w:colLast="0" w:name="_w9i39vrhkeqr" w:id="1"/>
      <w:bookmarkEnd w:id="1"/>
      <w:r w:rsidDel="00000000" w:rsidR="00000000" w:rsidRPr="00000000">
        <w:rPr>
          <w:rFonts w:ascii="Arial" w:cs="Arial" w:eastAsia="Arial" w:hAnsi="Arial"/>
          <w:b w:val="1"/>
          <w:bCs w:val="1"/>
          <w:color w:val="000000"/>
          <w:rtl w:val="0"/>
        </w:rPr>
        <w:t xml:space="preserve">Submitted By: </w:t>
      </w:r>
      <w:r w:rsidDel="00000000" w:rsidR="00000000" w:rsidRPr="00000000">
        <w:rPr>
          <w:rFonts w:ascii="Arial" w:cs="Arial" w:eastAsia="Arial" w:hAnsi="Arial"/>
          <w:color w:val="000000"/>
          <w:rtl w:val="0"/>
        </w:rPr>
        <w:t xml:space="preserve">Krupa Patni</w:t>
      </w:r>
    </w:p>
    <w:p w:rsidR="00000000" w:rsidDel="00000000" w:rsidP="00000000" w:rsidRDefault="00000000" w:rsidRPr="00000000" w14:paraId="0000000F">
      <w:pPr>
        <w:spacing w:line="360" w:lineRule="auto"/>
        <w:jc w:val="center"/>
        <w:rPr>
          <w:rFonts w:ascii="Arial" w:cs="Arial" w:eastAsia="Arial" w:hAnsi="Arial"/>
          <w:color w:val="000000"/>
        </w:rPr>
      </w:pPr>
      <w:r w:rsidDel="00000000" w:rsidR="00000000" w:rsidRPr="00000000">
        <w:rPr>
          <w:rFonts w:ascii="Arial" w:cs="Arial" w:eastAsia="Arial" w:hAnsi="Arial"/>
          <w:b w:val="1"/>
          <w:bCs w:val="1"/>
          <w:color w:val="000000"/>
          <w:rtl w:val="0"/>
        </w:rPr>
        <w:t xml:space="preserve">Student ID: </w:t>
      </w:r>
      <w:r w:rsidDel="00000000" w:rsidR="00000000" w:rsidRPr="00000000">
        <w:rPr>
          <w:rFonts w:ascii="Arial" w:cs="Arial" w:eastAsia="Arial" w:hAnsi="Arial"/>
          <w:color w:val="000000"/>
          <w:rtl w:val="0"/>
        </w:rPr>
        <w:t xml:space="preserve">2525352</w:t>
      </w:r>
    </w:p>
    <w:p w:rsidR="00000000" w:rsidDel="00000000" w:rsidP="00000000" w:rsidRDefault="00000000" w:rsidRPr="00000000" w14:paraId="00000010">
      <w:pPr>
        <w:spacing w:line="360" w:lineRule="auto"/>
        <w:jc w:val="center"/>
        <w:rPr>
          <w:rFonts w:ascii="Arial" w:cs="Arial" w:eastAsia="Arial" w:hAnsi="Arial"/>
          <w:color w:val="000000"/>
        </w:rPr>
      </w:pPr>
      <w:r w:rsidDel="00000000" w:rsidR="00000000" w:rsidRPr="00000000">
        <w:rPr>
          <w:rFonts w:ascii="Arial" w:cs="Arial" w:eastAsia="Arial" w:hAnsi="Arial"/>
          <w:b w:val="1"/>
          <w:bCs w:val="1"/>
          <w:color w:val="000000"/>
          <w:rtl w:val="0"/>
        </w:rPr>
        <w:t xml:space="preserve">Wordcount: </w:t>
      </w:r>
      <w:r w:rsidDel="00000000" w:rsidR="00000000" w:rsidRPr="00000000">
        <w:rPr>
          <w:rFonts w:ascii="Arial" w:cs="Arial" w:eastAsia="Arial" w:hAnsi="Arial"/>
          <w:color w:val="000000"/>
          <w:rtl w:val="0"/>
        </w:rPr>
        <w:t xml:space="preserve">2548</w:t>
      </w:r>
    </w:p>
    <w:p w:rsidR="00000000" w:rsidDel="00000000" w:rsidP="00000000" w:rsidRDefault="00000000" w:rsidRPr="00000000" w14:paraId="00000011">
      <w:pPr>
        <w:spacing w:line="360" w:lineRule="auto"/>
        <w:jc w:val="center"/>
        <w:rPr>
          <w:rFonts w:ascii="Arial" w:cs="Arial" w:eastAsia="Arial" w:hAnsi="Arial"/>
        </w:rPr>
      </w:pPr>
      <w:r w:rsidDel="00000000" w:rsidR="00000000" w:rsidRPr="00000000">
        <w:rPr>
          <w:rFonts w:ascii="Arial" w:cs="Arial" w:eastAsia="Arial" w:hAnsi="Arial"/>
          <w:b w:val="1"/>
          <w:bCs w:val="1"/>
          <w:rtl w:val="0"/>
        </w:rPr>
        <w:t xml:space="preserve">Lecturer: </w:t>
      </w:r>
      <w:r w:rsidDel="00000000" w:rsidR="00000000" w:rsidRPr="00000000">
        <w:rPr>
          <w:rFonts w:ascii="Arial" w:cs="Arial" w:eastAsia="Arial" w:hAnsi="Arial"/>
          <w:color w:val="1d2125"/>
          <w:sz w:val="24"/>
          <w:szCs w:val="24"/>
          <w:rtl w:val="0"/>
        </w:rPr>
        <w:t xml:space="preserve">Muhammad Aliyu</w:t>
      </w:r>
      <w:r w:rsidDel="00000000" w:rsidR="00000000" w:rsidRPr="00000000">
        <w:rPr>
          <w:rtl w:val="0"/>
        </w:rPr>
      </w:r>
    </w:p>
    <w:p w:rsidR="00000000" w:rsidDel="00000000" w:rsidP="00000000" w:rsidRDefault="00000000" w:rsidRPr="00000000" w14:paraId="00000012">
      <w:pPr>
        <w:spacing w:after="400" w:line="360" w:lineRule="auto"/>
        <w:jc w:val="center"/>
        <w:rPr>
          <w:rFonts w:ascii="Arial" w:cs="Arial" w:eastAsia="Arial" w:hAnsi="Arial"/>
          <w:color w:val="000000"/>
        </w:rPr>
      </w:pPr>
      <w:r w:rsidDel="00000000" w:rsidR="00000000" w:rsidRPr="00000000">
        <w:rPr>
          <w:rtl w:val="0"/>
        </w:rPr>
      </w:r>
    </w:p>
    <w:p w:rsidR="00000000" w:rsidDel="00000000" w:rsidP="00000000" w:rsidRDefault="00000000" w:rsidRPr="00000000" w14:paraId="00000013">
      <w:pPr>
        <w:spacing w:after="400" w:line="360" w:lineRule="auto"/>
        <w:jc w:val="center"/>
        <w:rPr>
          <w:rFonts w:ascii="Arial" w:cs="Arial" w:eastAsia="Arial" w:hAnsi="Arial"/>
          <w:color w:val="000000"/>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rFonts w:ascii="Arial" w:cs="Arial" w:eastAsia="Arial" w:hAnsi="Arial"/>
          <w:color w:val="000000"/>
        </w:rPr>
      </w:pPr>
      <w:r w:rsidDel="00000000" w:rsidR="00000000" w:rsidRPr="00000000">
        <w:rPr>
          <w:rtl w:val="0"/>
        </w:rPr>
      </w:r>
    </w:p>
    <w:p w:rsidR="00000000" w:rsidDel="00000000" w:rsidP="00000000" w:rsidRDefault="00000000" w:rsidRPr="00000000" w14:paraId="00000028">
      <w:pPr>
        <w:rPr>
          <w:rFonts w:ascii="Arial" w:cs="Arial" w:eastAsia="Arial" w:hAnsi="Arial"/>
          <w:color w:val="000000"/>
        </w:rPr>
      </w:pPr>
      <w:r w:rsidDel="00000000" w:rsidR="00000000" w:rsidRPr="00000000">
        <w:rPr>
          <w:rtl w:val="0"/>
        </w:rPr>
      </w:r>
    </w:p>
    <w:p w:rsidR="00000000" w:rsidDel="00000000" w:rsidP="00000000" w:rsidRDefault="00000000" w:rsidRPr="00000000" w14:paraId="00000029">
      <w:pPr>
        <w:rPr>
          <w:rFonts w:ascii="Arial" w:cs="Arial" w:eastAsia="Arial" w:hAnsi="Arial"/>
          <w:color w:val="000000"/>
        </w:rPr>
      </w:pPr>
      <w:r w:rsidDel="00000000" w:rsidR="00000000" w:rsidRPr="00000000">
        <w:rPr>
          <w:rtl w:val="0"/>
        </w:rPr>
      </w:r>
    </w:p>
    <w:p w:rsidR="00000000" w:rsidDel="00000000" w:rsidP="00000000" w:rsidRDefault="00000000" w:rsidRPr="00000000" w14:paraId="0000002A">
      <w:pPr>
        <w:rPr>
          <w:rFonts w:ascii="Arial" w:cs="Arial" w:eastAsia="Arial" w:hAnsi="Arial"/>
          <w:color w:val="000000"/>
        </w:rPr>
      </w:pPr>
      <w:r w:rsidDel="00000000" w:rsidR="00000000" w:rsidRPr="00000000">
        <w:rPr>
          <w:rtl w:val="0"/>
        </w:rPr>
      </w:r>
    </w:p>
    <w:p w:rsidR="00000000" w:rsidDel="00000000" w:rsidP="00000000" w:rsidRDefault="00000000" w:rsidRPr="00000000" w14:paraId="0000002B">
      <w:pPr>
        <w:rPr>
          <w:rFonts w:ascii="Arial" w:cs="Arial" w:eastAsia="Arial" w:hAnsi="Arial"/>
          <w:color w:val="000000"/>
        </w:rPr>
      </w:pPr>
      <w:r w:rsidDel="00000000" w:rsidR="00000000" w:rsidRPr="00000000">
        <w:rPr>
          <w:rtl w:val="0"/>
        </w:rPr>
      </w:r>
    </w:p>
    <w:p w:rsidR="00000000" w:rsidDel="00000000" w:rsidP="00000000" w:rsidRDefault="00000000" w:rsidRPr="00000000" w14:paraId="0000002C">
      <w:pPr>
        <w:rPr>
          <w:rFonts w:ascii="Arial" w:cs="Arial" w:eastAsia="Arial" w:hAnsi="Arial"/>
          <w:color w:val="000000"/>
        </w:rPr>
      </w:pPr>
      <w:r w:rsidDel="00000000" w:rsidR="00000000" w:rsidRPr="00000000">
        <w:rPr>
          <w:rtl w:val="0"/>
        </w:rPr>
      </w:r>
    </w:p>
    <w:p w:rsidR="00000000" w:rsidDel="00000000" w:rsidP="00000000" w:rsidRDefault="00000000" w:rsidRPr="00000000" w14:paraId="0000002D">
      <w:pPr>
        <w:rPr>
          <w:rFonts w:ascii="Arial" w:cs="Arial" w:eastAsia="Arial" w:hAnsi="Arial"/>
          <w:color w:val="000000"/>
        </w:rPr>
      </w:pPr>
      <w:r w:rsidDel="00000000" w:rsidR="00000000" w:rsidRPr="00000000">
        <w:rPr>
          <w:rtl w:val="0"/>
        </w:rPr>
      </w:r>
    </w:p>
    <w:p w:rsidR="00000000" w:rsidDel="00000000" w:rsidP="00000000" w:rsidRDefault="00000000" w:rsidRPr="00000000" w14:paraId="0000002E">
      <w:pPr>
        <w:rPr>
          <w:rFonts w:ascii="Arial" w:cs="Arial" w:eastAsia="Arial" w:hAnsi="Arial"/>
          <w:color w:val="000000"/>
        </w:rPr>
      </w:pPr>
      <w:r w:rsidDel="00000000" w:rsidR="00000000" w:rsidRPr="00000000">
        <w:rPr>
          <w:rtl w:val="0"/>
        </w:rPr>
      </w:r>
    </w:p>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1288182026"/>
        <w:docPartObj>
          <w:docPartGallery w:val="Table of Contents"/>
          <w:docPartUnique w:val="1"/>
        </w:docPartObj>
      </w:sdtPr>
      <w:sdtContent>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evxryt59grxf">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_Toc236857833</w:t>
            </w:r>
          </w:hyperlink>
          <w:hyperlink w:anchor="_oebo5xbpf6c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 Social Epidemiological Analysis</w:t>
              <w:tab/>
              <w:t xml:space="preserve">3</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optj7z2znwv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Racial Divide: An Analysis of Ethnic Health Inequality in the United Kingdom</w:t>
              <w:tab/>
              <w:t xml:space="preserve">3</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43anvy2tqxt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dhf7jr4dkr9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Contextual Background and Underlying Factors</w:t>
              <w:tab/>
              <w:t xml:space="preserve">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e2f00sdfu2l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Cardiovascular disease</w:t>
              <w:tab/>
              <w:t xml:space="preserve">3</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28qmqtctpjy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Severe mental illness and compulsory detention</w:t>
              <w:tab/>
              <w:t xml:space="preserve">3</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y7mi45ft2sw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Maternal mortality</w:t>
              <w:tab/>
              <w:t xml:space="preserve">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tnv34sh1r7p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Poverty and low income</w:t>
              <w:tab/>
              <w:t xml:space="preserve">4</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ey1koyc3g7j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Housing deprivation and overcrowding</w:t>
              <w:tab/>
              <w:t xml:space="preserve">4</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r3elyqwbas2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Racism and discrimination</w:t>
              <w:tab/>
              <w:t xml:space="preserve">4</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2vb2wzv8hlx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National Response to Reduce Health Inequalities</w:t>
              <w:tab/>
              <w:t xml:space="preserve">5</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x654f82mbku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Organisations that Support the Chosen Group</w:t>
              <w:tab/>
              <w:t xml:space="preserve">5</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l8wy0k72pnl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wr11vw44nko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 Epidemiological Analysis</w:t>
              <w:tab/>
              <w:t xml:space="preserve">6</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iwrgk4slokc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Type 2 Diabetes Mellitus in the London Borough of Newham: An Epidemiological Report</w:t>
              <w:tab/>
              <w:t xml:space="preserve">6</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56cu9m8e00e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22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2tclrvpmk2b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Main Body</w:t>
              <w:tab/>
              <w:t xml:space="preserve">7</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e2n87nklawr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Public health measures across the 3 P's</w:t>
              <w:tab/>
              <w:t xml:space="preserve">7</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nni29e58g3s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Determinants and risk factors</w:t>
              <w:tab/>
              <w:t xml:space="preserve">7</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5bvkzmkults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Epidemiological studies and health needs assessment</w:t>
              <w:tab/>
              <w:t xml:space="preserve">8</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kh14cahg3vm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Monitoring and surveillance</w:t>
              <w:tab/>
              <w:t xml:space="preserve">8</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5585wlvb6le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Public health impact</w:t>
              <w:tab/>
              <w:t xml:space="preserve">8</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a3ihbl471k8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Intervention design and evaluation</w:t>
              <w:tab/>
              <w:t xml:space="preserve">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44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3lvdqc5rlv1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Strengths and weaknesses of the epidemiological approach</w:t>
              <w:tab/>
              <w:t xml:space="preserve">9</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628"/>
            </w:tabs>
            <w:spacing w:after="10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p9k5xmwwosn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w:t>
              <w:tab/>
              <w:t xml:space="preserve">10</w:t>
            </w:r>
          </w:hyperlink>
          <w:r w:rsidDel="00000000" w:rsidR="00000000" w:rsidRPr="00000000">
            <w:rPr>
              <w:rtl w:val="0"/>
            </w:rPr>
          </w:r>
        </w:p>
        <w:p w:rsidR="00000000" w:rsidDel="00000000" w:rsidP="00000000" w:rsidRDefault="00000000" w:rsidRPr="00000000" w14:paraId="0000004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rFonts w:ascii="Arial" w:cs="Arial" w:eastAsia="Arial" w:hAnsi="Arial"/>
          <w:color w:val="000000"/>
        </w:rPr>
      </w:pPr>
      <w:r w:rsidDel="00000000" w:rsidR="00000000" w:rsidRPr="00000000">
        <w:rPr>
          <w:rtl w:val="0"/>
        </w:rPr>
      </w:r>
    </w:p>
    <w:p w:rsidR="00000000" w:rsidDel="00000000" w:rsidP="00000000" w:rsidRDefault="00000000" w:rsidRPr="00000000" w14:paraId="0000004C">
      <w:pPr>
        <w:rPr>
          <w:rFonts w:ascii="Arial" w:cs="Arial" w:eastAsia="Arial" w:hAnsi="Arial"/>
          <w:color w:val="000000"/>
        </w:rPr>
      </w:pPr>
      <w:r w:rsidDel="00000000" w:rsidR="00000000" w:rsidRPr="00000000">
        <w:rPr>
          <w:rtl w:val="0"/>
        </w:rPr>
      </w:r>
    </w:p>
    <w:p w:rsidR="00000000" w:rsidDel="00000000" w:rsidP="00000000" w:rsidRDefault="00000000" w:rsidRPr="00000000" w14:paraId="0000004D">
      <w:pPr>
        <w:rPr>
          <w:rFonts w:ascii="Arial" w:cs="Arial" w:eastAsia="Arial" w:hAnsi="Arial"/>
          <w:color w:val="000000"/>
        </w:rPr>
      </w:pPr>
      <w:r w:rsidDel="00000000" w:rsidR="00000000" w:rsidRPr="00000000">
        <w:rPr>
          <w:rtl w:val="0"/>
        </w:rPr>
      </w:r>
    </w:p>
    <w:p w:rsidR="00000000" w:rsidDel="00000000" w:rsidP="00000000" w:rsidRDefault="00000000" w:rsidRPr="00000000" w14:paraId="0000004E">
      <w:pPr>
        <w:rPr>
          <w:rFonts w:ascii="Arial" w:cs="Arial" w:eastAsia="Arial" w:hAnsi="Arial"/>
          <w:color w:val="000000"/>
        </w:rPr>
      </w:pPr>
      <w:r w:rsidDel="00000000" w:rsidR="00000000" w:rsidRPr="00000000">
        <w:rPr>
          <w:rtl w:val="0"/>
        </w:rPr>
      </w:r>
    </w:p>
    <w:p w:rsidR="00000000" w:rsidDel="00000000" w:rsidP="00000000" w:rsidRDefault="00000000" w:rsidRPr="00000000" w14:paraId="0000004F">
      <w:pPr>
        <w:rPr>
          <w:rFonts w:ascii="Arial" w:cs="Arial" w:eastAsia="Arial" w:hAnsi="Arial"/>
          <w:color w:val="000000"/>
        </w:rPr>
      </w:pPr>
      <w:r w:rsidDel="00000000" w:rsidR="00000000" w:rsidRPr="00000000">
        <w:rPr>
          <w:rtl w:val="0"/>
        </w:rPr>
      </w:r>
    </w:p>
    <w:p w:rsidR="00000000" w:rsidDel="00000000" w:rsidP="00000000" w:rsidRDefault="00000000" w:rsidRPr="00000000" w14:paraId="00000050">
      <w:pPr>
        <w:rPr>
          <w:rFonts w:ascii="Arial" w:cs="Arial" w:eastAsia="Arial" w:hAnsi="Arial"/>
          <w:color w:val="000000"/>
        </w:rPr>
      </w:pPr>
      <w:r w:rsidDel="00000000" w:rsidR="00000000" w:rsidRPr="00000000">
        <w:rPr>
          <w:rtl w:val="0"/>
        </w:rPr>
      </w:r>
    </w:p>
    <w:p w:rsidR="00000000" w:rsidDel="00000000" w:rsidP="00000000" w:rsidRDefault="00000000" w:rsidRPr="00000000" w14:paraId="00000051">
      <w:pPr>
        <w:rPr>
          <w:rFonts w:ascii="Arial" w:cs="Arial" w:eastAsia="Arial" w:hAnsi="Arial"/>
          <w:color w:val="000000"/>
        </w:rPr>
      </w:pPr>
      <w:r w:rsidDel="00000000" w:rsidR="00000000" w:rsidRPr="00000000">
        <w:rPr>
          <w:rtl w:val="0"/>
        </w:rPr>
      </w:r>
    </w:p>
    <w:p w:rsidR="00000000" w:rsidDel="00000000" w:rsidP="00000000" w:rsidRDefault="00000000" w:rsidRPr="00000000" w14:paraId="00000052">
      <w:pPr>
        <w:rPr>
          <w:rFonts w:ascii="Arial" w:cs="Arial" w:eastAsia="Arial" w:hAnsi="Arial"/>
          <w:color w:val="000000"/>
        </w:rPr>
      </w:pPr>
      <w:r w:rsidDel="00000000" w:rsidR="00000000" w:rsidRPr="00000000">
        <w:rPr>
          <w:rtl w:val="0"/>
        </w:rPr>
      </w:r>
    </w:p>
    <w:p w:rsidR="00000000" w:rsidDel="00000000" w:rsidP="00000000" w:rsidRDefault="00000000" w:rsidRPr="00000000" w14:paraId="00000053">
      <w:pPr>
        <w:rPr>
          <w:rFonts w:ascii="Arial" w:cs="Arial" w:eastAsia="Arial" w:hAnsi="Arial"/>
          <w:color w:val="000000"/>
        </w:rPr>
      </w:pPr>
      <w:r w:rsidDel="00000000" w:rsidR="00000000" w:rsidRPr="00000000">
        <w:rPr>
          <w:rtl w:val="0"/>
        </w:rPr>
      </w:r>
    </w:p>
    <w:p w:rsidR="00000000" w:rsidDel="00000000" w:rsidP="00000000" w:rsidRDefault="00000000" w:rsidRPr="00000000" w14:paraId="00000054">
      <w:pPr>
        <w:rPr>
          <w:rFonts w:ascii="Arial" w:cs="Arial" w:eastAsia="Arial" w:hAnsi="Arial"/>
          <w:color w:val="000000"/>
        </w:rPr>
      </w:pPr>
      <w:r w:rsidDel="00000000" w:rsidR="00000000" w:rsidRPr="00000000">
        <w:rPr>
          <w:rtl w:val="0"/>
        </w:rPr>
      </w:r>
    </w:p>
    <w:p w:rsidR="00000000" w:rsidDel="00000000" w:rsidP="00000000" w:rsidRDefault="00000000" w:rsidRPr="00000000" w14:paraId="00000055">
      <w:pPr>
        <w:rPr>
          <w:rFonts w:ascii="Arial" w:cs="Arial" w:eastAsia="Arial" w:hAnsi="Arial"/>
          <w:color w:val="000000"/>
        </w:rPr>
      </w:pPr>
      <w:r w:rsidDel="00000000" w:rsidR="00000000" w:rsidRPr="00000000">
        <w:rPr>
          <w:rtl w:val="0"/>
        </w:rPr>
      </w:r>
    </w:p>
    <w:p w:rsidR="00000000" w:rsidDel="00000000" w:rsidP="00000000" w:rsidRDefault="00000000" w:rsidRPr="00000000" w14:paraId="00000056">
      <w:pPr>
        <w:rPr>
          <w:rFonts w:ascii="Arial" w:cs="Arial" w:eastAsia="Arial" w:hAnsi="Arial"/>
          <w:color w:val="000000"/>
        </w:rPr>
      </w:pPr>
      <w:r w:rsidDel="00000000" w:rsidR="00000000" w:rsidRPr="00000000">
        <w:rPr>
          <w:rtl w:val="0"/>
        </w:rPr>
      </w:r>
    </w:p>
    <w:p w:rsidR="00000000" w:rsidDel="00000000" w:rsidP="00000000" w:rsidRDefault="00000000" w:rsidRPr="00000000" w14:paraId="00000057">
      <w:pPr>
        <w:rPr>
          <w:rFonts w:ascii="Arial" w:cs="Arial" w:eastAsia="Arial" w:hAnsi="Arial"/>
          <w:color w:val="000000"/>
        </w:rPr>
      </w:pPr>
      <w:r w:rsidDel="00000000" w:rsidR="00000000" w:rsidRPr="00000000">
        <w:rPr>
          <w:rtl w:val="0"/>
        </w:rPr>
      </w:r>
    </w:p>
    <w:p w:rsidR="00000000" w:rsidDel="00000000" w:rsidP="00000000" w:rsidRDefault="00000000" w:rsidRPr="00000000" w14:paraId="00000058">
      <w:pPr>
        <w:rPr>
          <w:rFonts w:ascii="Arial" w:cs="Arial" w:eastAsia="Arial" w:hAnsi="Arial"/>
          <w:color w:val="000000"/>
        </w:rPr>
      </w:pPr>
      <w:r w:rsidDel="00000000" w:rsidR="00000000" w:rsidRPr="00000000">
        <w:rPr>
          <w:rtl w:val="0"/>
        </w:rPr>
      </w:r>
    </w:p>
    <w:p w:rsidR="00000000" w:rsidDel="00000000" w:rsidP="00000000" w:rsidRDefault="00000000" w:rsidRPr="00000000" w14:paraId="00000059">
      <w:pPr>
        <w:rPr>
          <w:rFonts w:ascii="Arial" w:cs="Arial" w:eastAsia="Arial" w:hAnsi="Arial"/>
          <w:color w:val="000000"/>
        </w:rPr>
      </w:pPr>
      <w:r w:rsidDel="00000000" w:rsidR="00000000" w:rsidRPr="00000000">
        <w:rPr>
          <w:rtl w:val="0"/>
        </w:rPr>
      </w:r>
    </w:p>
    <w:p w:rsidR="00000000" w:rsidDel="00000000" w:rsidP="00000000" w:rsidRDefault="00000000" w:rsidRPr="00000000" w14:paraId="0000005A">
      <w:pPr>
        <w:rPr>
          <w:rFonts w:ascii="Arial" w:cs="Arial" w:eastAsia="Arial" w:hAnsi="Arial"/>
          <w:color w:val="000000"/>
        </w:rPr>
      </w:pPr>
      <w:r w:rsidDel="00000000" w:rsidR="00000000" w:rsidRPr="00000000">
        <w:rPr>
          <w:rtl w:val="0"/>
        </w:rPr>
      </w:r>
    </w:p>
    <w:p w:rsidR="00000000" w:rsidDel="00000000" w:rsidP="00000000" w:rsidRDefault="00000000" w:rsidRPr="00000000" w14:paraId="0000005B">
      <w:pPr>
        <w:rPr>
          <w:rFonts w:ascii="Arial" w:cs="Arial" w:eastAsia="Arial" w:hAnsi="Arial"/>
          <w:color w:val="000000"/>
        </w:rPr>
      </w:pPr>
      <w:r w:rsidDel="00000000" w:rsidR="00000000" w:rsidRPr="00000000">
        <w:rPr>
          <w:rtl w:val="0"/>
        </w:rPr>
      </w:r>
    </w:p>
    <w:p w:rsidR="00000000" w:rsidDel="00000000" w:rsidP="00000000" w:rsidRDefault="00000000" w:rsidRPr="00000000" w14:paraId="0000005C">
      <w:pPr>
        <w:rPr>
          <w:rFonts w:ascii="Arial" w:cs="Arial" w:eastAsia="Arial" w:hAnsi="Arial"/>
          <w:color w:val="000000"/>
        </w:rPr>
      </w:pPr>
      <w:r w:rsidDel="00000000" w:rsidR="00000000" w:rsidRPr="00000000">
        <w:rPr>
          <w:rtl w:val="0"/>
        </w:rPr>
      </w:r>
    </w:p>
    <w:p w:rsidR="00000000" w:rsidDel="00000000" w:rsidP="00000000" w:rsidRDefault="00000000" w:rsidRPr="00000000" w14:paraId="0000005D">
      <w:pPr>
        <w:pStyle w:val="Heading1"/>
        <w:rPr/>
      </w:pPr>
      <w:bookmarkStart w:colFirst="0" w:colLast="0" w:name="_oebo5xbpf6cv" w:id="2"/>
      <w:bookmarkEnd w:id="2"/>
      <w:r w:rsidDel="00000000" w:rsidR="00000000" w:rsidRPr="00000000">
        <w:rPr>
          <w:rtl w:val="0"/>
        </w:rPr>
        <w:t xml:space="preserve">Task 1: Social Epidemiological Analysis</w:t>
      </w:r>
    </w:p>
    <w:p w:rsidR="00000000" w:rsidDel="00000000" w:rsidP="00000000" w:rsidRDefault="00000000" w:rsidRPr="00000000" w14:paraId="0000005E">
      <w:pPr>
        <w:pStyle w:val="Heading2"/>
        <w:rPr/>
      </w:pPr>
      <w:bookmarkStart w:colFirst="0" w:colLast="0" w:name="_optj7z2znwvf" w:id="3"/>
      <w:bookmarkEnd w:id="3"/>
      <w:r w:rsidDel="00000000" w:rsidR="00000000" w:rsidRPr="00000000">
        <w:rPr>
          <w:rtl w:val="0"/>
        </w:rPr>
        <w:t xml:space="preserve">Racial Divide: An Analysis of Ethnic Health Inequality in the United Kingdom</w:t>
      </w:r>
    </w:p>
    <w:p w:rsidR="00000000" w:rsidDel="00000000" w:rsidP="00000000" w:rsidRDefault="00000000" w:rsidRPr="00000000" w14:paraId="0000005F">
      <w:pPr>
        <w:pStyle w:val="Heading3"/>
        <w:rPr/>
      </w:pPr>
      <w:bookmarkStart w:colFirst="0" w:colLast="0" w:name="_43anvy2tqxt1" w:id="4"/>
      <w:bookmarkEnd w:id="4"/>
      <w:r w:rsidDel="00000000" w:rsidR="00000000" w:rsidRPr="00000000">
        <w:rPr>
          <w:rtl w:val="0"/>
        </w:rPr>
        <w:t xml:space="preserve">Introduction</w:t>
      </w:r>
    </w:p>
    <w:p w:rsidR="00000000" w:rsidDel="00000000" w:rsidP="00000000" w:rsidRDefault="00000000" w:rsidRPr="00000000" w14:paraId="00000060">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This report is on Black, Asian and other minority ethnic people living in the UK who are particularly starkly affected by some of the largest and most enduring inequalities in the UK. Health is determined by the interaction between ethnicity and racism, poverty, migration history and unequal access to care, and not just by biology. Minority ethnic communities are also likely to be living in deprived areas, having less secure employment and to be discriminated against in accessing housing and health services (Joseph Rowntree Foundation, 2026). These factors act as risk factors toward poorer outcomes and visit a structural racism within health systems. The next sections look at three disease areas, three social issues bringing this inequality, and the responses at national and charitable levels.</w:t>
      </w:r>
    </w:p>
    <w:p w:rsidR="00000000" w:rsidDel="00000000" w:rsidP="00000000" w:rsidRDefault="00000000" w:rsidRPr="00000000" w14:paraId="00000061">
      <w:pPr>
        <w:pStyle w:val="Heading2"/>
        <w:rPr/>
      </w:pPr>
      <w:bookmarkStart w:colFirst="0" w:colLast="0" w:name="_dhf7jr4dkr9e" w:id="5"/>
      <w:bookmarkEnd w:id="5"/>
      <w:r w:rsidDel="00000000" w:rsidR="00000000" w:rsidRPr="00000000">
        <w:rPr>
          <w:rtl w:val="0"/>
        </w:rPr>
        <w:t xml:space="preserve">Contextual Background and Underlying Factors</w:t>
      </w:r>
    </w:p>
    <w:p w:rsidR="00000000" w:rsidDel="00000000" w:rsidP="00000000" w:rsidRDefault="00000000" w:rsidRPr="00000000" w14:paraId="00000062">
      <w:pPr>
        <w:pStyle w:val="Heading3"/>
        <w:rPr/>
      </w:pPr>
      <w:bookmarkStart w:colFirst="0" w:colLast="0" w:name="_e2f00sdfu2lp" w:id="6"/>
      <w:bookmarkEnd w:id="6"/>
      <w:r w:rsidDel="00000000" w:rsidR="00000000" w:rsidRPr="00000000">
        <w:rPr>
          <w:rtl w:val="0"/>
        </w:rPr>
        <w:t xml:space="preserve">Cardiovascular disease</w:t>
      </w:r>
    </w:p>
    <w:p w:rsidR="00000000" w:rsidDel="00000000" w:rsidP="00000000" w:rsidRDefault="00000000" w:rsidRPr="00000000" w14:paraId="00000063">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There is also some variation in mortality rates for CHD between the ethnic groups; the rate for South Asian people is up to 40% higher than for White people, but the rate for Black Africans and Caribbean people is lower than for Whites and the rate for stroke and hypertension is higher than for White people. In addressing another important cardiovascular disease in Bangladesh, a cohort study conducted nationally from 2020 to 2024 revealed a higher prevalence of coronary disease in the Bangladeshi, Indian and Pakistani populations, whereas African and Caribbean populations had a higher prevalence of hypertensive disease (Nafilyan et al., 2025). A role is played, but the British Heart Foundation emphasises that inequities in access to cardiac care are a significant contributor to the disparity (Boyes Turner, 2024). Increasing rates of earlier screening and monitoring by ethnicity can help address this inequity.</w:t>
      </w:r>
    </w:p>
    <w:p w:rsidR="00000000" w:rsidDel="00000000" w:rsidP="00000000" w:rsidRDefault="00000000" w:rsidRPr="00000000" w14:paraId="00000064">
      <w:pPr>
        <w:pStyle w:val="Heading3"/>
        <w:rPr/>
      </w:pPr>
      <w:bookmarkStart w:colFirst="0" w:colLast="0" w:name="_28qmqtctpjyw" w:id="7"/>
      <w:bookmarkEnd w:id="7"/>
      <w:r w:rsidDel="00000000" w:rsidR="00000000" w:rsidRPr="00000000">
        <w:rPr>
          <w:rtl w:val="0"/>
        </w:rPr>
        <w:t xml:space="preserve">Severe mental illness and compulsory detention</w:t>
      </w:r>
    </w:p>
    <w:p w:rsidR="00000000" w:rsidDel="00000000" w:rsidP="00000000" w:rsidRDefault="00000000" w:rsidRPr="00000000" w14:paraId="00000065">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Black ethnic groups are detained at approximately 3.5 times the rate of White  frequently by Police or Emergency Contact and not as a routine referral under the Mental Health Act (The King's Fund, 2024). This pattern is generally consistent and it is not entirely accounted for by diagnosis alone, as confirmed by a systematic review (Barnett et al., 2019). This can be attributed to delayed help-seeking due to stigma, inadequate culturally responsive Early Intervention and institutional racism within early intervention pathways (Halvorsrud et al., 2019). To decrease coercive treatment pathways, reform in the Act is required and culturally competent crisis support services must be invested.</w:t>
      </w:r>
    </w:p>
    <w:p w:rsidR="00000000" w:rsidDel="00000000" w:rsidP="00000000" w:rsidRDefault="00000000" w:rsidRPr="00000000" w14:paraId="00000066">
      <w:pPr>
        <w:pStyle w:val="Heading3"/>
        <w:rPr/>
      </w:pPr>
      <w:bookmarkStart w:colFirst="0" w:colLast="0" w:name="_y7mi45ft2sww" w:id="8"/>
      <w:bookmarkEnd w:id="8"/>
      <w:r w:rsidDel="00000000" w:rsidR="00000000" w:rsidRPr="00000000">
        <w:rPr>
          <w:rtl w:val="0"/>
        </w:rPr>
        <w:t xml:space="preserve">Maternal mortality</w:t>
      </w:r>
    </w:p>
    <w:p w:rsidR="00000000" w:rsidDel="00000000" w:rsidP="00000000" w:rsidRDefault="00000000" w:rsidRPr="00000000" w14:paraId="00000067">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Black women in the UK are nearly three times more likely to die during or soon after pregnancy than White women, while Asian women are at a lower but still significant extra risk of death (MBRRACE-UK, 2024). This is further exacerbated by deprivation, with women in the most deprived areas being approximately twice as likely of death as women in the least deprived areas (Women and Equalities Committee, 2023). They have included poorer care diagnoses and an indifference to their symptoms by a clinician, language barriers and delayed diagnosis of pre-eclampsia and sepsis (Birthrights, 2024). The MBRRACE-UK's suggested responses include continuity of carer models and for any maternity staff to be aware of any necessary bias training.</w:t>
      </w:r>
    </w:p>
    <w:p w:rsidR="00000000" w:rsidDel="00000000" w:rsidP="00000000" w:rsidRDefault="00000000" w:rsidRPr="00000000" w14:paraId="00000068">
      <w:pPr>
        <w:pStyle w:val="Heading3"/>
        <w:rPr/>
      </w:pPr>
      <w:bookmarkStart w:colFirst="0" w:colLast="0" w:name="_tnv34sh1r7pm" w:id="9"/>
      <w:bookmarkEnd w:id="9"/>
      <w:r w:rsidDel="00000000" w:rsidR="00000000" w:rsidRPr="00000000">
        <w:rPr>
          <w:rtl w:val="0"/>
        </w:rPr>
        <w:t xml:space="preserve">Poverty and low income</w:t>
      </w:r>
    </w:p>
    <w:p w:rsidR="00000000" w:rsidDel="00000000" w:rsidP="00000000" w:rsidRDefault="00000000" w:rsidRPr="00000000" w14:paraId="00000069">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More than half of Bangladeshi households and approximately half of Pakistani households have an income below the poverty line as compared to 18% of White British households, which is also found to be deeper and more persistent poverty (Joseph Rowntree Foundation, 2026). Poverty limits access to healthy foods, quality housing, and preventive medical care and has been found to be closely associated with cardiovascular disease and diabetes. Pakistani and Bangladeshi workers are also more likely to be in in-work poverty, and employment does not prevent Pakistani and Bangladeshi people from being poor (Joseph Rowntree Foundation, 2022). This requires measures towards social security, housing allowances and employment support, attributes of which should be negotiated and recognized in the framework of the structural discrimination.</w:t>
      </w:r>
    </w:p>
    <w:p w:rsidR="00000000" w:rsidDel="00000000" w:rsidP="00000000" w:rsidRDefault="00000000" w:rsidRPr="00000000" w14:paraId="0000006A">
      <w:pPr>
        <w:pStyle w:val="Heading3"/>
        <w:rPr/>
      </w:pPr>
      <w:bookmarkStart w:colFirst="0" w:colLast="0" w:name="_ey1koyc3g7jw" w:id="10"/>
      <w:bookmarkEnd w:id="10"/>
      <w:r w:rsidDel="00000000" w:rsidR="00000000" w:rsidRPr="00000000">
        <w:rPr>
          <w:rtl w:val="0"/>
        </w:rPr>
        <w:t xml:space="preserve">Housing deprivation and overcrowding</w:t>
      </w:r>
    </w:p>
    <w:p w:rsidR="00000000" w:rsidDel="00000000" w:rsidP="00000000" w:rsidRDefault="00000000" w:rsidRPr="00000000" w14:paraId="0000006B">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 proportion of adults living in overcrowded homes in Pakistan and Black African and Black Other households is more than nine times higher than among White British adults, with some minority ethnic households spending more than twice as much of their income on housing as White British and other ethnic households (Resolution Foundation cited in Big Issue, 2025). The Welsh Government (2022) cite the following concerns relating to overcrowding: respiratory infections, poor mental wellbeing, increased rates of childhood illnesses and increased rates of COVID-19 deaths. This is due to both rental discrimination and a lack of social housing (LSE Blogs, 2017). There has been a national call for an inquiry into housing discrimination.</w:t>
      </w:r>
    </w:p>
    <w:p w:rsidR="00000000" w:rsidDel="00000000" w:rsidP="00000000" w:rsidRDefault="00000000" w:rsidRPr="00000000" w14:paraId="0000006C">
      <w:pPr>
        <w:pStyle w:val="Heading3"/>
        <w:rPr/>
      </w:pPr>
      <w:bookmarkStart w:colFirst="0" w:colLast="0" w:name="_r3elyqwbas2k" w:id="11"/>
      <w:bookmarkEnd w:id="11"/>
      <w:r w:rsidDel="00000000" w:rsidR="00000000" w:rsidRPr="00000000">
        <w:rPr>
          <w:rtl w:val="0"/>
        </w:rPr>
        <w:t xml:space="preserve">Racism and discrimination</w:t>
      </w:r>
    </w:p>
    <w:p w:rsidR="00000000" w:rsidDel="00000000" w:rsidP="00000000" w:rsidRDefault="00000000" w:rsidRPr="00000000" w14:paraId="0000006D">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A UK cohort study found one in five minority ethnic adults experienced racial discrimination and those who did were twice as likely to have poorer mental and self-rated health two years later, after accounting for income and education. Racism can be direct (unfair treatment in services and in employment) or indirect (disadvantaged communities in housing and employment). It is one of the least visible, but most damaging contributors to ethnic health inequality, as it is under-reported. Training to address racism is generally recommended as well as routine ethnicity-based monitoring of outcomes.</w:t>
      </w:r>
    </w:p>
    <w:p w:rsidR="00000000" w:rsidDel="00000000" w:rsidP="00000000" w:rsidRDefault="00000000" w:rsidRPr="00000000" w14:paraId="0000006E">
      <w:pPr>
        <w:spacing w:after="160"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Table 1. Racism and discrimination Statistics</w:t>
      </w:r>
    </w:p>
    <w:tbl>
      <w:tblPr>
        <w:tblStyle w:val="Table1"/>
        <w:tblW w:w="955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68"/>
        <w:gridCol w:w="2430"/>
        <w:gridCol w:w="5760"/>
        <w:tblGridChange w:id="0">
          <w:tblGrid>
            <w:gridCol w:w="1368"/>
            <w:gridCol w:w="2430"/>
            <w:gridCol w:w="5760"/>
          </w:tblGrid>
        </w:tblGridChange>
      </w:tblGrid>
      <w:tr>
        <w:trPr>
          <w:cantSplit w:val="0"/>
          <w:trHeight w:val="548" w:hRule="atLeast"/>
          <w:tblHeader w:val="0"/>
        </w:trPr>
        <w:tc>
          <w:tcPr>
            <w:shd w:fill="92d050" w:val="clear"/>
          </w:tcPr>
          <w:p w:rsidR="00000000" w:rsidDel="00000000" w:rsidP="00000000" w:rsidRDefault="00000000" w:rsidRPr="00000000" w14:paraId="0000006F">
            <w:pPr>
              <w:spacing w:line="36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Category</w:t>
            </w:r>
            <w:r w:rsidDel="00000000" w:rsidR="00000000" w:rsidRPr="00000000">
              <w:rPr>
                <w:rtl w:val="0"/>
              </w:rPr>
            </w:r>
          </w:p>
        </w:tc>
        <w:tc>
          <w:tcPr>
            <w:shd w:fill="92d050" w:val="clear"/>
          </w:tcPr>
          <w:p w:rsidR="00000000" w:rsidDel="00000000" w:rsidP="00000000" w:rsidRDefault="00000000" w:rsidRPr="00000000" w14:paraId="00000070">
            <w:pPr>
              <w:spacing w:line="36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Issue</w:t>
            </w:r>
            <w:r w:rsidDel="00000000" w:rsidR="00000000" w:rsidRPr="00000000">
              <w:rPr>
                <w:rtl w:val="0"/>
              </w:rPr>
            </w:r>
          </w:p>
        </w:tc>
        <w:tc>
          <w:tcPr>
            <w:shd w:fill="92d050" w:val="clear"/>
          </w:tcPr>
          <w:p w:rsidR="00000000" w:rsidDel="00000000" w:rsidP="00000000" w:rsidRDefault="00000000" w:rsidRPr="00000000" w14:paraId="00000071">
            <w:pPr>
              <w:spacing w:line="36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Key statistic</w:t>
            </w:r>
            <w:r w:rsidDel="00000000" w:rsidR="00000000" w:rsidRPr="00000000">
              <w:rPr>
                <w:rtl w:val="0"/>
              </w:rPr>
            </w:r>
          </w:p>
        </w:tc>
      </w:tr>
      <w:tr>
        <w:trPr>
          <w:cantSplit w:val="0"/>
          <w:tblHeader w:val="0"/>
        </w:trPr>
        <w:tc>
          <w:tcPr>
            <w:shd w:fill="92d050" w:val="clear"/>
          </w:tcPr>
          <w:p w:rsidR="00000000" w:rsidDel="00000000" w:rsidP="00000000" w:rsidRDefault="00000000" w:rsidRPr="00000000" w14:paraId="00000072">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Disease</w:t>
            </w:r>
          </w:p>
        </w:tc>
        <w:tc>
          <w:tcPr/>
          <w:p w:rsidR="00000000" w:rsidDel="00000000" w:rsidP="00000000" w:rsidRDefault="00000000" w:rsidRPr="00000000" w14:paraId="00000073">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Severe mental illness / detention</w:t>
            </w:r>
          </w:p>
        </w:tc>
        <w:tc>
          <w:tcPr/>
          <w:p w:rsidR="00000000" w:rsidDel="00000000" w:rsidP="00000000" w:rsidRDefault="00000000" w:rsidRPr="00000000" w14:paraId="00000074">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Black detention rate under MHA 3.5x White rate, 2022/23 (King's Fund, 2024)</w:t>
            </w:r>
          </w:p>
        </w:tc>
      </w:tr>
      <w:tr>
        <w:trPr>
          <w:cantSplit w:val="0"/>
          <w:tblHeader w:val="0"/>
        </w:trPr>
        <w:tc>
          <w:tcPr>
            <w:shd w:fill="92d050" w:val="clear"/>
          </w:tcPr>
          <w:p w:rsidR="00000000" w:rsidDel="00000000" w:rsidP="00000000" w:rsidRDefault="00000000" w:rsidRPr="00000000" w14:paraId="00000075">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Disease</w:t>
            </w:r>
          </w:p>
        </w:tc>
        <w:tc>
          <w:tcPr/>
          <w:p w:rsidR="00000000" w:rsidDel="00000000" w:rsidP="00000000" w:rsidRDefault="00000000" w:rsidRPr="00000000" w14:paraId="00000076">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Maternal mortality</w:t>
            </w:r>
          </w:p>
        </w:tc>
        <w:tc>
          <w:tcPr/>
          <w:p w:rsidR="00000000" w:rsidDel="00000000" w:rsidP="00000000" w:rsidRDefault="00000000" w:rsidRPr="00000000" w14:paraId="00000077">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Black women 3x more likely to die in pregnancy, 2020-22 (MBRRACE-UK, 2024)</w:t>
            </w:r>
          </w:p>
        </w:tc>
      </w:tr>
      <w:tr>
        <w:trPr>
          <w:cantSplit w:val="0"/>
          <w:tblHeader w:val="0"/>
        </w:trPr>
        <w:tc>
          <w:tcPr>
            <w:shd w:fill="92d050" w:val="clear"/>
          </w:tcPr>
          <w:p w:rsidR="00000000" w:rsidDel="00000000" w:rsidP="00000000" w:rsidRDefault="00000000" w:rsidRPr="00000000" w14:paraId="00000078">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Social</w:t>
            </w:r>
          </w:p>
        </w:tc>
        <w:tc>
          <w:tcPr/>
          <w:p w:rsidR="00000000" w:rsidDel="00000000" w:rsidP="00000000" w:rsidRDefault="00000000" w:rsidRPr="00000000" w14:paraId="00000079">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Poverty and low income</w:t>
            </w:r>
          </w:p>
        </w:tc>
        <w:tc>
          <w:tcPr/>
          <w:p w:rsidR="00000000" w:rsidDel="00000000" w:rsidP="00000000" w:rsidRDefault="00000000" w:rsidRPr="00000000" w14:paraId="0000007A">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53% Bangladeshi, 49% Pakistani households in poverty vs 18% White (JRF, 2026)</w:t>
            </w:r>
          </w:p>
        </w:tc>
      </w:tr>
      <w:tr>
        <w:trPr>
          <w:cantSplit w:val="0"/>
          <w:tblHeader w:val="0"/>
        </w:trPr>
        <w:tc>
          <w:tcPr>
            <w:shd w:fill="92d050" w:val="clear"/>
          </w:tcPr>
          <w:p w:rsidR="00000000" w:rsidDel="00000000" w:rsidP="00000000" w:rsidRDefault="00000000" w:rsidRPr="00000000" w14:paraId="0000007B">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Social</w:t>
            </w:r>
          </w:p>
        </w:tc>
        <w:tc>
          <w:tcPr/>
          <w:p w:rsidR="00000000" w:rsidDel="00000000" w:rsidP="00000000" w:rsidRDefault="00000000" w:rsidRPr="00000000" w14:paraId="0000007C">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Housing overcrowding</w:t>
            </w:r>
          </w:p>
        </w:tc>
        <w:tc>
          <w:tcPr/>
          <w:p w:rsidR="00000000" w:rsidDel="00000000" w:rsidP="00000000" w:rsidRDefault="00000000" w:rsidRPr="00000000" w14:paraId="0000007D">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Pakistani/Black African adults 9x more likely to be overcrowded (Resolution Foundation, 2025)</w:t>
            </w:r>
          </w:p>
        </w:tc>
      </w:tr>
    </w:tbl>
    <w:p w:rsidR="00000000" w:rsidDel="00000000" w:rsidP="00000000" w:rsidRDefault="00000000" w:rsidRPr="00000000" w14:paraId="0000007E">
      <w:pPr>
        <w:spacing w:after="20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7F">
      <w:pPr>
        <w:spacing w:after="60" w:before="120" w:line="360" w:lineRule="auto"/>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640779" cy="3230089"/>
            <wp:effectExtent b="0" l="0" r="0" t="0"/>
            <wp:docPr id="3" name="image3.png"/>
            <a:graphic>
              <a:graphicData uri="http://schemas.openxmlformats.org/drawingml/2006/picture">
                <pic:pic>
                  <pic:nvPicPr>
                    <pic:cNvPr id="0" name="image3.png"/>
                    <pic:cNvPicPr preferRelativeResize="0"/>
                  </pic:nvPicPr>
                  <pic:blipFill>
                    <a:blip r:embed="rId7"/>
                    <a:srcRect b="0" l="0" r="0" t="8161"/>
                    <a:stretch>
                      <a:fillRect/>
                    </a:stretch>
                  </pic:blipFill>
                  <pic:spPr>
                    <a:xfrm>
                      <a:off x="0" y="0"/>
                      <a:ext cx="5640779" cy="3230089"/>
                    </a:xfrm>
                    <a:prstGeom prst="rect"/>
                    <a:ln/>
                  </pic:spPr>
                </pic:pic>
              </a:graphicData>
            </a:graphic>
          </wp:inline>
        </w:drawing>
      </w:r>
      <w:r w:rsidDel="00000000" w:rsidR="00000000" w:rsidRPr="00000000">
        <w:rPr>
          <w:rtl w:val="0"/>
        </w:rPr>
      </w:r>
    </w:p>
    <w:p w:rsidR="00000000" w:rsidDel="00000000" w:rsidP="00000000" w:rsidRDefault="00000000" w:rsidRPr="00000000" w14:paraId="00000080">
      <w:pPr>
        <w:spacing w:after="200" w:line="360" w:lineRule="auto"/>
        <w:rPr>
          <w:rFonts w:ascii="Arial" w:cs="Arial" w:eastAsia="Arial" w:hAnsi="Arial"/>
          <w:b w:val="1"/>
          <w:bCs w:val="1"/>
          <w:color w:val="000000"/>
        </w:rPr>
      </w:pPr>
      <w:r w:rsidDel="00000000" w:rsidR="00000000" w:rsidRPr="00000000">
        <w:rPr>
          <w:rFonts w:ascii="Arial" w:cs="Arial" w:eastAsia="Arial" w:hAnsi="Arial"/>
          <w:b w:val="1"/>
          <w:bCs w:val="1"/>
          <w:i w:val="1"/>
          <w:iCs w:val="1"/>
          <w:color w:val="000000"/>
          <w:rtl w:val="0"/>
        </w:rPr>
        <w:t xml:space="preserve">Figure 1: Selected ethnic health inequality indicators, UK (Wilkinson et al., 2019; The King's Fund, 2024; MBRRACE-UK, 2024; Joseph Rowntree Foundation, 2026; Resolution Foundation, cited in Big Issue, 2025)</w:t>
      </w:r>
      <w:r w:rsidDel="00000000" w:rsidR="00000000" w:rsidRPr="00000000">
        <w:rPr>
          <w:rtl w:val="0"/>
        </w:rPr>
      </w:r>
    </w:p>
    <w:p w:rsidR="00000000" w:rsidDel="00000000" w:rsidP="00000000" w:rsidRDefault="00000000" w:rsidRPr="00000000" w14:paraId="00000081">
      <w:pPr>
        <w:pStyle w:val="Heading3"/>
        <w:rPr/>
      </w:pPr>
      <w:bookmarkStart w:colFirst="0" w:colLast="0" w:name="_2vb2wzv8hlx3" w:id="12"/>
      <w:bookmarkEnd w:id="12"/>
      <w:r w:rsidDel="00000000" w:rsidR="00000000" w:rsidRPr="00000000">
        <w:rPr>
          <w:rtl w:val="0"/>
        </w:rPr>
        <w:t xml:space="preserve">National Response to Reduce Health Inequalities</w:t>
      </w:r>
    </w:p>
    <w:p w:rsidR="00000000" w:rsidDel="00000000" w:rsidP="00000000" w:rsidRDefault="00000000" w:rsidRPr="00000000" w14:paraId="00000082">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Two national-level responses are provided which are illustrative of the government and NHS response. First, NHS England introduced the NHS Race and Health Observatory in 2021 as part of the Core20PLUS5 quality framework which prioritises spending on the most deprived 20% of the population and inclusion groups, including minority ethnic communities, across five priority areas, including maternity and severe mental illness (NHS England, 2025). This has led to research on enhancing ethnicity data quality and sickle cell care. Second, the NHS England's Maternity Disparities Taskforce has established targets to reduce the ethnic differences in maternal outcomes, focusing on continuity of carer and improved ethnicity data recording, building on the findings from MBRRACE-UK (2024). Both demonstrate more data and evidence-informed action, but without the explicit identification of racism as a driver of these, change will remain constrained (NHS Race and Health Observatory, 2025).</w:t>
      </w:r>
    </w:p>
    <w:p w:rsidR="00000000" w:rsidDel="00000000" w:rsidP="00000000" w:rsidRDefault="00000000" w:rsidRPr="00000000" w14:paraId="00000083">
      <w:pPr>
        <w:pStyle w:val="Heading3"/>
        <w:rPr/>
      </w:pPr>
      <w:bookmarkStart w:colFirst="0" w:colLast="0" w:name="_x654f82mbkuf" w:id="13"/>
      <w:bookmarkEnd w:id="13"/>
      <w:r w:rsidDel="00000000" w:rsidR="00000000" w:rsidRPr="00000000">
        <w:rPr>
          <w:rtl w:val="0"/>
        </w:rPr>
        <w:t xml:space="preserve">Organisations that Support the Chosen Group</w:t>
      </w:r>
    </w:p>
    <w:p w:rsidR="00000000" w:rsidDel="00000000" w:rsidP="00000000" w:rsidRDefault="00000000" w:rsidRPr="00000000" w14:paraId="00000084">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 Race Equality Foundation is a national charity, founded in 1987, which works to address racial inequalities in health, housing and social care for Bame (Black, Asian and minority ethnic) communities (Race Equality Foundation, n.d.). It has a broader remit to collect evidence of discrimination and to inform its work with bodies including NHS England (Race Equality Foundation, 2023) with practical guidance, training and policy advice. It seeks to address disparities in access to services, enhance practitioner cultural competence, and gather evidence about racial health inequality. One recent example is its leadership of the London Anti-Racism Collaboration for Health, which created the London Race Equity Maturity Index to measure progress towards the NHS organisations' goal of tackling racial inequities (Race Equality Foundation, 2024). A partnership with charity Myeloma UK to raise awareness about cancer symptoms amongst the Black community demonstrates the potential of a charity to bring together research, awareness and direct engagement (Myeloma UK, 2024).</w:t>
      </w:r>
    </w:p>
    <w:p w:rsidR="00000000" w:rsidDel="00000000" w:rsidP="00000000" w:rsidRDefault="00000000" w:rsidRPr="00000000" w14:paraId="00000085">
      <w:pPr>
        <w:pStyle w:val="Heading2"/>
        <w:rPr/>
      </w:pPr>
      <w:bookmarkStart w:colFirst="0" w:colLast="0" w:name="_l8wy0k72pnlj" w:id="14"/>
      <w:bookmarkEnd w:id="14"/>
      <w:r w:rsidDel="00000000" w:rsidR="00000000" w:rsidRPr="00000000">
        <w:rPr>
          <w:rtl w:val="0"/>
        </w:rPr>
        <w:t xml:space="preserve">Conclusion</w:t>
      </w:r>
    </w:p>
    <w:p w:rsidR="00000000" w:rsidDel="00000000" w:rsidP="00000000" w:rsidRDefault="00000000" w:rsidRPr="00000000" w14:paraId="00000086">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Ethnic health inequality in the UK is caused by disease specific inequalities (excess of cardiovascular disease, compulsory mental health detention and maternal mortality) and poverty, poor housing and racism. All of these factors reinforce one another and, action on healthcare access alone is not enough to bridge the gap. There is increasing recognition through programmes like Core20PLUS5 and the Maternity Disparities Taskforce, and evidence is produced by charities like the Race Equality Foundation and services are held to account. Racism and deprivation must be addressed as a public health problem rather than as an incidental to clinical care for progress to follow.</w:t>
      </w:r>
    </w:p>
    <w:p w:rsidR="00000000" w:rsidDel="00000000" w:rsidP="00000000" w:rsidRDefault="00000000" w:rsidRPr="00000000" w14:paraId="00000087">
      <w:pPr>
        <w:pStyle w:val="Heading1"/>
        <w:rPr/>
      </w:pPr>
      <w:bookmarkStart w:colFirst="0" w:colLast="0" w:name="_wr11vw44nkof" w:id="15"/>
      <w:bookmarkEnd w:id="15"/>
      <w:r w:rsidDel="00000000" w:rsidR="00000000" w:rsidRPr="00000000">
        <w:rPr>
          <w:rtl w:val="0"/>
        </w:rPr>
        <w:t xml:space="preserve">Task 2: Epidemiological Analysis</w:t>
      </w:r>
    </w:p>
    <w:p w:rsidR="00000000" w:rsidDel="00000000" w:rsidP="00000000" w:rsidRDefault="00000000" w:rsidRPr="00000000" w14:paraId="00000088">
      <w:pPr>
        <w:pStyle w:val="Heading2"/>
        <w:rPr/>
      </w:pPr>
      <w:bookmarkStart w:colFirst="0" w:colLast="0" w:name="_iwrgk4slokcd" w:id="16"/>
      <w:bookmarkEnd w:id="16"/>
      <w:r w:rsidDel="00000000" w:rsidR="00000000" w:rsidRPr="00000000">
        <w:rPr>
          <w:rtl w:val="0"/>
        </w:rPr>
        <w:t xml:space="preserve">Type 2 Diabetes Mellitus in the London Borough of Newham: An Epidemiological Report</w:t>
      </w:r>
    </w:p>
    <w:p w:rsidR="00000000" w:rsidDel="00000000" w:rsidP="00000000" w:rsidRDefault="00000000" w:rsidRPr="00000000" w14:paraId="00000089">
      <w:pPr>
        <w:pStyle w:val="Heading2"/>
        <w:rPr/>
      </w:pPr>
      <w:bookmarkStart w:colFirst="0" w:colLast="0" w:name="_56cu9m8e00e4" w:id="17"/>
      <w:bookmarkEnd w:id="17"/>
      <w:r w:rsidDel="00000000" w:rsidR="00000000" w:rsidRPr="00000000">
        <w:rPr>
          <w:rtl w:val="0"/>
        </w:rPr>
        <w:t xml:space="preserve">Introduction</w:t>
      </w:r>
    </w:p>
    <w:p w:rsidR="00000000" w:rsidDel="00000000" w:rsidP="00000000" w:rsidRDefault="00000000" w:rsidRPr="00000000" w14:paraId="0000008A">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Insulin resistance or a relative deficiency in insulin production results in a chronically elevated blood glucose level in individuals with type 2 diabetes mellitus (World Health Organization, 2023). It goes untreated and leads to cardiovascular disease, chronic kidney disease, retinopathy, amputation and early death, as well as psychological burden and – in some cultures – stigma at diagnosis (International Diabetes Federation, 2025). In 2024, it is estimated that 589 million adults were living with diabetes worldwide, approximately 1 in 9 adults, with an estimated 43% of these people not yet diagnosed and almost 90% in low and middle income countries (IDF, 2025). In the UK, there are at least 5 million people who have been diagnosed with diabetes, of which approximately 90% are diagnosed with Type 2 diabetes and there is an estimated 1.3 million undiagnosed (Diabetes UK, 2025). This report concentrates on the borough of Newham in the east of London, which is highly ethnically diverse, and is one of the most deprived in the UK with an estimated prevalence of Type 2 diabetes in the range of 6–8%, which is approximately double the national average of 2–4% (Gelding, Bassenge and Vora, 2003).</w:t>
      </w:r>
    </w:p>
    <w:p w:rsidR="00000000" w:rsidDel="00000000" w:rsidP="00000000" w:rsidRDefault="00000000" w:rsidRPr="00000000" w14:paraId="0000008B">
      <w:pPr>
        <w:pStyle w:val="Heading2"/>
        <w:rPr/>
      </w:pPr>
      <w:bookmarkStart w:colFirst="0" w:colLast="0" w:name="_2tclrvpmk2br" w:id="18"/>
      <w:bookmarkEnd w:id="18"/>
      <w:r w:rsidDel="00000000" w:rsidR="00000000" w:rsidRPr="00000000">
        <w:rPr>
          <w:rtl w:val="0"/>
        </w:rPr>
        <w:t xml:space="preserve">Main Body</w:t>
      </w:r>
    </w:p>
    <w:p w:rsidR="00000000" w:rsidDel="00000000" w:rsidP="00000000" w:rsidRDefault="00000000" w:rsidRPr="00000000" w14:paraId="0000008C">
      <w:pPr>
        <w:pStyle w:val="Heading3"/>
        <w:rPr/>
      </w:pPr>
      <w:bookmarkStart w:colFirst="0" w:colLast="0" w:name="_e2n87nklawre" w:id="19"/>
      <w:bookmarkEnd w:id="19"/>
      <w:r w:rsidDel="00000000" w:rsidR="00000000" w:rsidRPr="00000000">
        <w:rPr>
          <w:rtl w:val="0"/>
        </w:rPr>
        <w:t xml:space="preserve">Public health measures across the 3 P's</w:t>
      </w:r>
    </w:p>
    <w:p w:rsidR="00000000" w:rsidDel="00000000" w:rsidP="00000000" w:rsidRDefault="00000000" w:rsidRPr="00000000" w14:paraId="0000008D">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Responses can be recognised at primary, secondary and tertiary prevention. Primary prevention – healthy weight campaigns and the NHS Health Check, delivered to adults (aged 40-74) who may be at risk and before they experience symptoms (NHS Digital, 2019). Secondary prevention focuses on the NHS Diabetes Prevention Programme, which provides lifestyle education for individuals with hyperglycaemia but not diabetes, aimed at delaying the onset of diabetes. Tertiary prevention is the organised care of people who have been diagnosed, which includes the nine annual NHS care processes tracked on the National Diabetes Audit, and local clinics based on the community diabetes model developed in the borough of Newham (Gelding, Bassenge and Vora, 2003).</w:t>
      </w:r>
    </w:p>
    <w:p w:rsidR="00000000" w:rsidDel="00000000" w:rsidP="00000000" w:rsidRDefault="00000000" w:rsidRPr="00000000" w14:paraId="0000008E">
      <w:pPr>
        <w:pStyle w:val="Heading3"/>
        <w:rPr/>
      </w:pPr>
      <w:bookmarkStart w:colFirst="0" w:colLast="0" w:name="_nni29e58g3s9" w:id="20"/>
      <w:bookmarkEnd w:id="20"/>
      <w:r w:rsidDel="00000000" w:rsidR="00000000" w:rsidRPr="00000000">
        <w:rPr>
          <w:rtl w:val="0"/>
        </w:rPr>
        <w:t xml:space="preserve">Determinants and risk factors</w:t>
      </w:r>
    </w:p>
    <w:p w:rsidR="00000000" w:rsidDel="00000000" w:rsidP="00000000" w:rsidRDefault="00000000" w:rsidRPr="00000000" w14:paraId="0000008F">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Excess weight and poor diet, inactivity are modifiable risk factors for depression, whereas other factors such as age, family history and ethnicity are not. (World Health Organization, 2023) Ethnicity is relevant in Newham because the prevalence of diabetes is higher in South Asian and three times higher African origin than in White, because at a lower body mass index (BMI) insulin resistance is higher (Diabetes.co.uk, 2023). The borough of Newham is also one of the most income deprived in England and deprivation is independently associated with increased prevalence and undiagnosed cases.(Office for Health Improvement and Disparities, 2019).</w:t>
      </w:r>
    </w:p>
    <w:p w:rsidR="00000000" w:rsidDel="00000000" w:rsidP="00000000" w:rsidRDefault="00000000" w:rsidRPr="00000000" w14:paraId="00000090">
      <w:pPr>
        <w:spacing w:after="160"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Table 2. Risk factor and Relevance to Newham population</w:t>
      </w:r>
    </w:p>
    <w:tbl>
      <w:tblPr>
        <w:tblStyle w:val="Table2"/>
        <w:tblW w:w="9828.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88"/>
        <w:gridCol w:w="7740"/>
        <w:tblGridChange w:id="0">
          <w:tblGrid>
            <w:gridCol w:w="2088"/>
            <w:gridCol w:w="7740"/>
          </w:tblGrid>
        </w:tblGridChange>
      </w:tblGrid>
      <w:tr>
        <w:trPr>
          <w:cantSplit w:val="0"/>
          <w:tblHeader w:val="0"/>
        </w:trPr>
        <w:tc>
          <w:tcPr>
            <w:shd w:fill="92d050" w:val="clear"/>
          </w:tcPr>
          <w:p w:rsidR="00000000" w:rsidDel="00000000" w:rsidP="00000000" w:rsidRDefault="00000000" w:rsidRPr="00000000" w14:paraId="00000091">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Risk factor</w:t>
            </w:r>
          </w:p>
        </w:tc>
        <w:tc>
          <w:tcPr>
            <w:shd w:fill="92d050" w:val="clear"/>
          </w:tcPr>
          <w:p w:rsidR="00000000" w:rsidDel="00000000" w:rsidP="00000000" w:rsidRDefault="00000000" w:rsidRPr="00000000" w14:paraId="00000092">
            <w:pPr>
              <w:spacing w:line="360" w:lineRule="auto"/>
              <w:rPr>
                <w:rFonts w:ascii="Arial" w:cs="Arial" w:eastAsia="Arial" w:hAnsi="Arial"/>
                <w:color w:val="000000"/>
              </w:rPr>
            </w:pPr>
            <w:r w:rsidDel="00000000" w:rsidR="00000000" w:rsidRPr="00000000">
              <w:rPr>
                <w:rFonts w:ascii="Arial" w:cs="Arial" w:eastAsia="Arial" w:hAnsi="Arial"/>
                <w:b w:val="1"/>
                <w:bCs w:val="1"/>
                <w:color w:val="000000"/>
                <w:rtl w:val="0"/>
              </w:rPr>
              <w:t xml:space="preserve">Relevance to Newham population</w:t>
            </w:r>
            <w:r w:rsidDel="00000000" w:rsidR="00000000" w:rsidRPr="00000000">
              <w:rPr>
                <w:rtl w:val="0"/>
              </w:rPr>
            </w:r>
          </w:p>
        </w:tc>
      </w:tr>
      <w:tr>
        <w:trPr>
          <w:cantSplit w:val="0"/>
          <w:tblHeader w:val="0"/>
        </w:trPr>
        <w:tc>
          <w:tcPr>
            <w:shd w:fill="92d050" w:val="clear"/>
          </w:tcPr>
          <w:p w:rsidR="00000000" w:rsidDel="00000000" w:rsidP="00000000" w:rsidRDefault="00000000" w:rsidRPr="00000000" w14:paraId="00000093">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Ethnicity</w:t>
            </w:r>
          </w:p>
        </w:tc>
        <w:tc>
          <w:tcPr/>
          <w:p w:rsidR="00000000" w:rsidDel="00000000" w:rsidP="00000000" w:rsidRDefault="00000000" w:rsidRPr="00000000" w14:paraId="00000094">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South Asian risk up to 6x, Black African/Caribbean ~3x White; Newham has a high South Asian/Black population share (Diabetes.co.uk, 2023)</w:t>
            </w:r>
          </w:p>
        </w:tc>
      </w:tr>
      <w:tr>
        <w:trPr>
          <w:cantSplit w:val="0"/>
          <w:tblHeader w:val="0"/>
        </w:trPr>
        <w:tc>
          <w:tcPr>
            <w:shd w:fill="92d050" w:val="clear"/>
          </w:tcPr>
          <w:p w:rsidR="00000000" w:rsidDel="00000000" w:rsidP="00000000" w:rsidRDefault="00000000" w:rsidRPr="00000000" w14:paraId="00000095">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Deprivation</w:t>
            </w:r>
          </w:p>
        </w:tc>
        <w:tc>
          <w:tcPr/>
          <w:p w:rsidR="00000000" w:rsidDel="00000000" w:rsidP="00000000" w:rsidRDefault="00000000" w:rsidRPr="00000000" w14:paraId="00000096">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Newham is among England's most deprived boroughs; prevalence and undiagnosis are higher in deprived deciles (OHID Fingertips, 2019)</w:t>
            </w:r>
          </w:p>
        </w:tc>
      </w:tr>
      <w:tr>
        <w:trPr>
          <w:cantSplit w:val="0"/>
          <w:tblHeader w:val="0"/>
        </w:trPr>
        <w:tc>
          <w:tcPr>
            <w:shd w:fill="92d050" w:val="clear"/>
          </w:tcPr>
          <w:p w:rsidR="00000000" w:rsidDel="00000000" w:rsidP="00000000" w:rsidRDefault="00000000" w:rsidRPr="00000000" w14:paraId="00000097">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Obesity/inactivity</w:t>
            </w:r>
          </w:p>
        </w:tc>
        <w:tc>
          <w:tcPr/>
          <w:p w:rsidR="00000000" w:rsidDel="00000000" w:rsidP="00000000" w:rsidRDefault="00000000" w:rsidRPr="00000000" w14:paraId="00000098">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Strongest modifiable risk factors; more prevalent in deprived, dense urban areas</w:t>
            </w:r>
          </w:p>
        </w:tc>
      </w:tr>
      <w:tr>
        <w:trPr>
          <w:cantSplit w:val="0"/>
          <w:tblHeader w:val="0"/>
        </w:trPr>
        <w:tc>
          <w:tcPr>
            <w:shd w:fill="92d050" w:val="clear"/>
          </w:tcPr>
          <w:p w:rsidR="00000000" w:rsidDel="00000000" w:rsidP="00000000" w:rsidRDefault="00000000" w:rsidRPr="00000000" w14:paraId="00000099">
            <w:pPr>
              <w:spacing w:line="360" w:lineRule="auto"/>
              <w:rPr>
                <w:rFonts w:ascii="Arial" w:cs="Arial" w:eastAsia="Arial" w:hAnsi="Arial"/>
                <w:b w:val="1"/>
                <w:bCs w:val="1"/>
                <w:color w:val="000000"/>
              </w:rPr>
            </w:pPr>
            <w:r w:rsidDel="00000000" w:rsidR="00000000" w:rsidRPr="00000000">
              <w:rPr>
                <w:rFonts w:ascii="Arial" w:cs="Arial" w:eastAsia="Arial" w:hAnsi="Arial"/>
                <w:b w:val="1"/>
                <w:bCs w:val="1"/>
                <w:color w:val="000000"/>
                <w:rtl w:val="0"/>
              </w:rPr>
              <w:t xml:space="preserve">Age/family history</w:t>
            </w:r>
          </w:p>
        </w:tc>
        <w:tc>
          <w:tcPr/>
          <w:p w:rsidR="00000000" w:rsidDel="00000000" w:rsidP="00000000" w:rsidRDefault="00000000" w:rsidRPr="00000000" w14:paraId="0000009A">
            <w:pPr>
              <w:spacing w:line="360" w:lineRule="auto"/>
              <w:rPr>
                <w:rFonts w:ascii="Arial" w:cs="Arial" w:eastAsia="Arial" w:hAnsi="Arial"/>
                <w:color w:val="000000"/>
              </w:rPr>
            </w:pPr>
            <w:r w:rsidDel="00000000" w:rsidR="00000000" w:rsidRPr="00000000">
              <w:rPr>
                <w:rFonts w:ascii="Arial" w:cs="Arial" w:eastAsia="Arial" w:hAnsi="Arial"/>
                <w:color w:val="000000"/>
                <w:rtl w:val="0"/>
              </w:rPr>
              <w:t xml:space="preserve">Risk rises sharply from age 40; family history compounds genetic susceptibility</w:t>
            </w:r>
          </w:p>
        </w:tc>
      </w:tr>
    </w:tbl>
    <w:p w:rsidR="00000000" w:rsidDel="00000000" w:rsidP="00000000" w:rsidRDefault="00000000" w:rsidRPr="00000000" w14:paraId="0000009B">
      <w:pPr>
        <w:spacing w:after="20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9C">
      <w:pPr>
        <w:spacing w:after="60" w:before="120" w:line="360" w:lineRule="auto"/>
        <w:rPr>
          <w:rFonts w:ascii="Arial" w:cs="Arial" w:eastAsia="Arial" w:hAnsi="Arial"/>
          <w:color w:val="000000"/>
        </w:rPr>
      </w:pPr>
      <w:r w:rsidDel="00000000" w:rsidR="00000000" w:rsidRPr="00000000">
        <w:rPr>
          <w:rFonts w:ascii="Arial" w:cs="Arial" w:eastAsia="Arial" w:hAnsi="Arial"/>
          <w:color w:val="000000"/>
        </w:rPr>
        <w:drawing>
          <wp:inline distB="0" distT="0" distL="0" distR="0">
            <wp:extent cx="5769268" cy="3205148"/>
            <wp:effectExtent b="0" l="0" r="0" t="0"/>
            <wp:docPr id="2" name="image2.png"/>
            <a:graphic>
              <a:graphicData uri="http://schemas.openxmlformats.org/drawingml/2006/picture">
                <pic:pic>
                  <pic:nvPicPr>
                    <pic:cNvPr id="0" name="image2.png"/>
                    <pic:cNvPicPr preferRelativeResize="0"/>
                  </pic:nvPicPr>
                  <pic:blipFill>
                    <a:blip r:embed="rId8"/>
                    <a:srcRect b="0" l="0" r="0" t="8157"/>
                    <a:stretch>
                      <a:fillRect/>
                    </a:stretch>
                  </pic:blipFill>
                  <pic:spPr>
                    <a:xfrm>
                      <a:off x="0" y="0"/>
                      <a:ext cx="5769268" cy="3205148"/>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spacing w:after="200" w:line="360" w:lineRule="auto"/>
        <w:rPr>
          <w:rFonts w:ascii="Arial" w:cs="Arial" w:eastAsia="Arial" w:hAnsi="Arial"/>
          <w:b w:val="1"/>
          <w:bCs w:val="1"/>
          <w:color w:val="000000"/>
        </w:rPr>
      </w:pPr>
      <w:r w:rsidDel="00000000" w:rsidR="00000000" w:rsidRPr="00000000">
        <w:rPr>
          <w:rFonts w:ascii="Arial" w:cs="Arial" w:eastAsia="Arial" w:hAnsi="Arial"/>
          <w:b w:val="1"/>
          <w:bCs w:val="1"/>
          <w:i w:val="1"/>
          <w:iCs w:val="1"/>
          <w:color w:val="000000"/>
          <w:rtl w:val="0"/>
        </w:rPr>
        <w:t xml:space="preserve">Figure 2: Estimated Type 2 diabetes prevalence by ethnicity, illustrating the disparity underlying Newham's elevated borough level rate (Diabetes.co.uk, 2023; Gelding, Bassenge and Vora, 2003)</w:t>
      </w:r>
      <w:r w:rsidDel="00000000" w:rsidR="00000000" w:rsidRPr="00000000">
        <w:rPr>
          <w:rtl w:val="0"/>
        </w:rPr>
      </w:r>
    </w:p>
    <w:p w:rsidR="00000000" w:rsidDel="00000000" w:rsidP="00000000" w:rsidRDefault="00000000" w:rsidRPr="00000000" w14:paraId="0000009E">
      <w:pPr>
        <w:pStyle w:val="Heading3"/>
        <w:rPr/>
      </w:pPr>
      <w:bookmarkStart w:colFirst="0" w:colLast="0" w:name="_5bvkzmkultsb" w:id="21"/>
      <w:bookmarkEnd w:id="21"/>
      <w:r w:rsidDel="00000000" w:rsidR="00000000" w:rsidRPr="00000000">
        <w:rPr>
          <w:rtl w:val="0"/>
        </w:rPr>
        <w:t xml:space="preserve">Epidemiological studies and health needs assessment</w:t>
      </w:r>
    </w:p>
    <w:p w:rsidR="00000000" w:rsidDel="00000000" w:rsidP="00000000" w:rsidRDefault="00000000" w:rsidRPr="00000000" w14:paraId="0000009F">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 Joint Strategic Needs Assessment for Newham and the OHID Fingertips profile provide estimates of the prevalence of common conditions in routine general practice and hospital data, the proportion of people with undiagnosed conditions and wards of greatest need (Office for Health Improvement and Disparities, 2019). This approach to health needs assessment allows commissioners to focus on the South Asian, African and Caribbean communities, deprived wards and the older population, where there is highest prevalence and complications. Gelding, Bassenge and Vora (2003) have described the programme for the redesign of diabetes services in Newham, which involved local epidemiological evidence leading to a shift from hospital clinical to community and primary care services, enhancing access and cost effectiveness.</w:t>
      </w:r>
    </w:p>
    <w:p w:rsidR="00000000" w:rsidDel="00000000" w:rsidP="00000000" w:rsidRDefault="00000000" w:rsidRPr="00000000" w14:paraId="000000A0">
      <w:pPr>
        <w:pStyle w:val="Heading3"/>
        <w:rPr/>
      </w:pPr>
      <w:bookmarkStart w:colFirst="0" w:colLast="0" w:name="_kh14cahg3vmj" w:id="22"/>
      <w:bookmarkEnd w:id="22"/>
      <w:r w:rsidDel="00000000" w:rsidR="00000000" w:rsidRPr="00000000">
        <w:rPr>
          <w:rtl w:val="0"/>
        </w:rPr>
        <w:t xml:space="preserve">Monitoring and surveillance</w:t>
      </w:r>
    </w:p>
    <w:p w:rsidR="00000000" w:rsidDel="00000000" w:rsidP="00000000" w:rsidRDefault="00000000" w:rsidRPr="00000000" w14:paraId="000000A1">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There are multiple systems in place to track Type 2 Diabetes on the local level. The National Diabetes Audit was launched in 2003 and collects primary care information about care processes from nearly 98% of eligible practices in England, providing a comprehensive picture of the quality of diagnosis and care, overall (National Institute for Health and Care Research, 2023). The NHS Health Check acts as an opportunistic case finding process and a higher practice level is associated with the number of new diagnosis (Chang et al., 2015). The IDF Diabetes Atlas gives comparative data, enabling Newham's data to be compared with other global regions (International Diabetes Federation, 2025).</w:t>
      </w:r>
    </w:p>
    <w:p w:rsidR="00000000" w:rsidDel="00000000" w:rsidP="00000000" w:rsidRDefault="00000000" w:rsidRPr="00000000" w14:paraId="000000A2">
      <w:pPr>
        <w:pStyle w:val="Heading3"/>
        <w:rPr/>
      </w:pPr>
      <w:bookmarkStart w:colFirst="0" w:colLast="0" w:name="_5585wlvb6le1" w:id="23"/>
      <w:bookmarkEnd w:id="23"/>
      <w:r w:rsidDel="00000000" w:rsidR="00000000" w:rsidRPr="00000000">
        <w:rPr>
          <w:rtl w:val="0"/>
        </w:rPr>
        <w:t xml:space="preserve">Public health impact</w:t>
      </w:r>
    </w:p>
    <w:p w:rsidR="00000000" w:rsidDel="00000000" w:rsidP="00000000" w:rsidRDefault="00000000" w:rsidRPr="00000000" w14:paraId="000000A3">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In the short term, poorly managed diabetes increases the risk of hyperglycaemic episodes and infections, and may increase the risk of urgent care use. Long term, it increases the likelihood of cardiovascular and kidney disease, blindness and amputation, and is estimated to have caused an additional 3.4 million deaths globally in 2024 (International Diabetes Federation, 2025). In 2024, the estimated cost of diabetes globally is 1.015 trillion USD, an increase of 338% over seventeen years, indicating an increasing impact on health systems, including the NHS services in the boroughs with the highest prevalence of diabetes (IDF, 2025).</w:t>
      </w:r>
    </w:p>
    <w:p w:rsidR="00000000" w:rsidDel="00000000" w:rsidP="00000000" w:rsidRDefault="00000000" w:rsidRPr="00000000" w14:paraId="000000A4">
      <w:pPr>
        <w:pStyle w:val="Heading3"/>
        <w:rPr/>
      </w:pPr>
      <w:bookmarkStart w:colFirst="0" w:colLast="0" w:name="_a3ihbl471k8m" w:id="24"/>
      <w:bookmarkEnd w:id="24"/>
      <w:r w:rsidDel="00000000" w:rsidR="00000000" w:rsidRPr="00000000">
        <w:rPr>
          <w:rtl w:val="0"/>
        </w:rPr>
        <w:t xml:space="preserve">Intervention design and evaluation</w:t>
      </w:r>
    </w:p>
    <w:p w:rsidR="00000000" w:rsidDel="00000000" w:rsidP="00000000" w:rsidRDefault="00000000" w:rsidRPr="00000000" w14:paraId="000000A5">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The appropriate intervention for Newham is a larger scale NHS Diabetes Prevention Programme, available in translated materials and available at community venues and places of worship, with trained people who are from the local community and can help overcome language and cultural barriers. Evaluation could be based on the national DIPLOMA programme which found that the Programme was associated with a national reduction of the incidence of Type 2 diabetes at the population level through a difference in differences analysis, using national data from the National Diabetes Audit (McManus et al., 2022). A local evaluation could assess HbA1c trends and/or new diagnosis rates in Newham practices before and after delivery, plus the qualitative feedback, to determine if it is reducing the ethnic outcome gap.</w:t>
      </w:r>
    </w:p>
    <w:p w:rsidR="00000000" w:rsidDel="00000000" w:rsidP="00000000" w:rsidRDefault="00000000" w:rsidRPr="00000000" w14:paraId="000000A6">
      <w:pPr>
        <w:pStyle w:val="Heading3"/>
        <w:rPr/>
      </w:pPr>
      <w:bookmarkStart w:colFirst="0" w:colLast="0" w:name="_3lvdqc5rlv16" w:id="25"/>
      <w:bookmarkEnd w:id="25"/>
      <w:r w:rsidDel="00000000" w:rsidR="00000000" w:rsidRPr="00000000">
        <w:rPr>
          <w:rtl w:val="0"/>
        </w:rPr>
        <w:t xml:space="preserve">Strengths and weaknesses of the epidemiological approach</w:t>
      </w:r>
    </w:p>
    <w:p w:rsidR="00000000" w:rsidDel="00000000" w:rsidP="00000000" w:rsidRDefault="00000000" w:rsidRPr="00000000" w14:paraId="000000A7">
      <w:pPr>
        <w:spacing w:after="160" w:line="360" w:lineRule="auto"/>
        <w:rPr>
          <w:rFonts w:ascii="Arial" w:cs="Arial" w:eastAsia="Arial" w:hAnsi="Arial"/>
          <w:color w:val="000000"/>
        </w:rPr>
      </w:pPr>
      <w:r w:rsidDel="00000000" w:rsidR="00000000" w:rsidRPr="00000000">
        <w:rPr>
          <w:rFonts w:ascii="Arial" w:cs="Arial" w:eastAsia="Arial" w:hAnsi="Arial"/>
          <w:color w:val="000000"/>
          <w:rtl w:val="0"/>
        </w:rPr>
        <w:t xml:space="preserve">This is a strategy with obvious benefits. Routine data includes data from the National Diabetes Audit which captures virtually the whole practice population, thus avoiding the selection issue and allowing data to be used for real world evaluations including DIPLOMA (National Institute for Health and Care Research, 2023). The bad news, though, is that there are weaknesses, too. There is a high proportion of people with undiagnosed Type 2 diabetes in the UK (estimated at 1.3 million) and routine data underestimates true prevalence, particularly in settings with poor access (Diabetes UK, 2025). NHS records may not provide comprehensive data on ethnicity, which restricts the ability to explore ethnicity across a range of areas, such as in Newham (NHS England, 2025). Unmeasured confounding can influence difference in differences designs, and assessments during the pandemic were more self-reported, and thus are susceptible to bias. Estimates of newham should be used as a guide to how to allocate resources, not as a precise estimate of burden.</w:t>
      </w:r>
    </w:p>
    <w:p w:rsidR="00000000" w:rsidDel="00000000" w:rsidP="00000000" w:rsidRDefault="00000000" w:rsidRPr="00000000" w14:paraId="000000A8">
      <w:pPr>
        <w:spacing w:after="16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A9">
      <w:pPr>
        <w:spacing w:after="16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AA">
      <w:pPr>
        <w:spacing w:after="16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AB">
      <w:pPr>
        <w:spacing w:after="16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AC">
      <w:pPr>
        <w:spacing w:after="16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AD">
      <w:pPr>
        <w:spacing w:after="160" w:line="360" w:lineRule="auto"/>
        <w:rPr>
          <w:rFonts w:ascii="Arial" w:cs="Arial" w:eastAsia="Arial" w:hAnsi="Arial"/>
          <w:color w:val="000000"/>
        </w:rPr>
      </w:pPr>
      <w:r w:rsidDel="00000000" w:rsidR="00000000" w:rsidRPr="00000000">
        <w:rPr>
          <w:rtl w:val="0"/>
        </w:rPr>
      </w:r>
    </w:p>
    <w:p w:rsidR="00000000" w:rsidDel="00000000" w:rsidP="00000000" w:rsidRDefault="00000000" w:rsidRPr="00000000" w14:paraId="000000AE">
      <w:pPr>
        <w:pStyle w:val="Heading1"/>
        <w:rPr>
          <w:sz w:val="22"/>
          <w:szCs w:val="22"/>
        </w:rPr>
      </w:pPr>
      <w:bookmarkStart w:colFirst="0" w:colLast="0" w:name="_p9k5xmwwosnb" w:id="26"/>
      <w:bookmarkEnd w:id="26"/>
      <w:r w:rsidDel="00000000" w:rsidR="00000000" w:rsidRPr="00000000">
        <w:rPr>
          <w:sz w:val="22"/>
          <w:szCs w:val="22"/>
          <w:rtl w:val="0"/>
        </w:rPr>
        <w:t xml:space="preserve">Reference </w:t>
      </w:r>
    </w:p>
    <w:p w:rsidR="00000000" w:rsidDel="00000000" w:rsidP="00000000" w:rsidRDefault="00000000" w:rsidRPr="00000000" w14:paraId="000000AF">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Barnett, P., Mackay, E., Matthews, H., Gate, R., Greenwood, H., Ariyo, K., Bhui, K., Halvorsrud, K., Pilling, S., and  Smith, S. (2019). Ethnic variations in compulsory detention under the Mental Health Act: a systematic review and meta-analysis of international data. </w:t>
      </w:r>
      <w:r w:rsidDel="00000000" w:rsidR="00000000" w:rsidRPr="00000000">
        <w:rPr>
          <w:rFonts w:ascii="Arial" w:cs="Arial" w:eastAsia="Arial" w:hAnsi="Arial"/>
          <w:i w:val="1"/>
          <w:iCs w:val="1"/>
          <w:color w:val="000000"/>
          <w:rtl w:val="0"/>
        </w:rPr>
        <w:t xml:space="preserve">The lancet. Psychiatry</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iCs w:val="1"/>
          <w:color w:val="000000"/>
          <w:rtl w:val="0"/>
        </w:rPr>
        <w:t xml:space="preserve">6</w:t>
      </w:r>
      <w:r w:rsidDel="00000000" w:rsidR="00000000" w:rsidRPr="00000000">
        <w:rPr>
          <w:rFonts w:ascii="Arial" w:cs="Arial" w:eastAsia="Arial" w:hAnsi="Arial"/>
          <w:color w:val="000000"/>
          <w:rtl w:val="0"/>
        </w:rPr>
        <w:t xml:space="preserve">(4), 305–317. </w:t>
      </w:r>
      <w:hyperlink r:id="rId9">
        <w:r w:rsidDel="00000000" w:rsidR="00000000" w:rsidRPr="00000000">
          <w:rPr>
            <w:rFonts w:ascii="Arial" w:cs="Arial" w:eastAsia="Arial" w:hAnsi="Arial"/>
            <w:color w:val="0563c1"/>
            <w:u w:val="single"/>
            <w:rtl w:val="0"/>
          </w:rPr>
          <w:t xml:space="preserve">https://doi.org/10.1016/S2215-0366(19)30027-6</w:t>
        </w:r>
      </w:hyperlink>
      <w:r w:rsidDel="00000000" w:rsidR="00000000" w:rsidRPr="00000000">
        <w:rPr>
          <w:rtl w:val="0"/>
        </w:rPr>
      </w:r>
    </w:p>
    <w:p w:rsidR="00000000" w:rsidDel="00000000" w:rsidP="00000000" w:rsidRDefault="00000000" w:rsidRPr="00000000" w14:paraId="000000B0">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Big Issue (2025) Is UK's housing system racist? Calls for inquiry as study reveals ethnic minorities pay more for less. Available at: </w:t>
      </w:r>
      <w:hyperlink r:id="rId10">
        <w:r w:rsidDel="00000000" w:rsidR="00000000" w:rsidRPr="00000000">
          <w:rPr>
            <w:rFonts w:ascii="Arial" w:cs="Arial" w:eastAsia="Arial" w:hAnsi="Arial"/>
            <w:color w:val="0563c1"/>
            <w:u w:val="single"/>
            <w:rtl w:val="0"/>
          </w:rPr>
          <w:t xml:space="preserve">https://www.bigissue.com/news/housing/uk-housing-system-racism/</w:t>
        </w:r>
      </w:hyperlink>
      <w:r w:rsidDel="00000000" w:rsidR="00000000" w:rsidRPr="00000000">
        <w:rPr>
          <w:rFonts w:ascii="Arial" w:cs="Arial" w:eastAsia="Arial" w:hAnsi="Arial"/>
          <w:color w:val="000000"/>
          <w:rtl w:val="0"/>
        </w:rPr>
        <w:t xml:space="preserve"> </w:t>
      </w:r>
    </w:p>
    <w:p w:rsidR="00000000" w:rsidDel="00000000" w:rsidP="00000000" w:rsidRDefault="00000000" w:rsidRPr="00000000" w14:paraId="000000B1">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Birthrights (2024) Latest MBRRACE report highlights worrying increase in maternal mortality rate. Available at: </w:t>
      </w:r>
      <w:hyperlink r:id="rId11">
        <w:r w:rsidDel="00000000" w:rsidR="00000000" w:rsidRPr="00000000">
          <w:rPr>
            <w:rFonts w:ascii="Arial" w:cs="Arial" w:eastAsia="Arial" w:hAnsi="Arial"/>
            <w:color w:val="0563c1"/>
            <w:u w:val="single"/>
            <w:rtl w:val="0"/>
          </w:rPr>
          <w:t xml:space="preserve">https://birthrights.org.uk/2024/10/10/latest-mmbrace-report-highlights-worrying-increase-in-maternal-mortality-rate/</w:t>
        </w:r>
      </w:hyperlink>
      <w:r w:rsidDel="00000000" w:rsidR="00000000" w:rsidRPr="00000000">
        <w:rPr>
          <w:rtl w:val="0"/>
        </w:rPr>
      </w:r>
    </w:p>
    <w:p w:rsidR="00000000" w:rsidDel="00000000" w:rsidP="00000000" w:rsidRDefault="00000000" w:rsidRPr="00000000" w14:paraId="000000B2">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Boyes Turner (2024) Inequalities in cardiovascular care: BHF report on heart disease in the UK. Available at: </w:t>
      </w:r>
      <w:hyperlink r:id="rId12">
        <w:r w:rsidDel="00000000" w:rsidR="00000000" w:rsidRPr="00000000">
          <w:rPr>
            <w:rFonts w:ascii="Arial" w:cs="Arial" w:eastAsia="Arial" w:hAnsi="Arial"/>
            <w:color w:val="0563c1"/>
            <w:u w:val="single"/>
            <w:rtl w:val="0"/>
          </w:rPr>
          <w:t xml:space="preserve">https://www.boyesturnerclaims.com/news/bhf-highlights-cvd-risks-women-and-ethnic-groups</w:t>
        </w:r>
      </w:hyperlink>
      <w:r w:rsidDel="00000000" w:rsidR="00000000" w:rsidRPr="00000000">
        <w:rPr>
          <w:rtl w:val="0"/>
        </w:rPr>
      </w:r>
    </w:p>
    <w:p w:rsidR="00000000" w:rsidDel="00000000" w:rsidP="00000000" w:rsidRDefault="00000000" w:rsidRPr="00000000" w14:paraId="000000B3">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British Heart Foundation (2025) Cardiovascular inequalities in England: an analysis. Available at: </w:t>
      </w:r>
      <w:hyperlink r:id="rId13">
        <w:r w:rsidDel="00000000" w:rsidR="00000000" w:rsidRPr="00000000">
          <w:rPr>
            <w:rFonts w:ascii="Arial" w:cs="Arial" w:eastAsia="Arial" w:hAnsi="Arial"/>
            <w:color w:val="0563c1"/>
            <w:u w:val="single"/>
            <w:rtl w:val="0"/>
          </w:rPr>
          <w:t xml:space="preserve">https://www.bhf.org.uk/what-we-do/our-research/heart-statistics/health-inequalities-research/cardiovascular-inequalities-in-england-an-analysis</w:t>
        </w:r>
      </w:hyperlink>
      <w:r w:rsidDel="00000000" w:rsidR="00000000" w:rsidRPr="00000000">
        <w:rPr>
          <w:rtl w:val="0"/>
        </w:rPr>
      </w:r>
    </w:p>
    <w:p w:rsidR="00000000" w:rsidDel="00000000" w:rsidP="00000000" w:rsidRDefault="00000000" w:rsidRPr="00000000" w14:paraId="000000B4">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Chang, K. C., Soljak, M., Lee, J. T., Woringer, M., Johnston, D., Khunti, K., Majeed, A., and Millett, C. (2015). Coverage of a national cardiovascular risk assessment and management programme (NHS Health Check): Retrospective database study. </w:t>
      </w:r>
      <w:r w:rsidDel="00000000" w:rsidR="00000000" w:rsidRPr="00000000">
        <w:rPr>
          <w:rFonts w:ascii="Arial" w:cs="Arial" w:eastAsia="Arial" w:hAnsi="Arial"/>
          <w:i w:val="1"/>
          <w:iCs w:val="1"/>
          <w:color w:val="000000"/>
          <w:rtl w:val="0"/>
        </w:rPr>
        <w:t xml:space="preserve">Preventive medicine</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iCs w:val="1"/>
          <w:color w:val="000000"/>
          <w:rtl w:val="0"/>
        </w:rPr>
        <w:t xml:space="preserve">78</w:t>
      </w:r>
      <w:r w:rsidDel="00000000" w:rsidR="00000000" w:rsidRPr="00000000">
        <w:rPr>
          <w:rFonts w:ascii="Arial" w:cs="Arial" w:eastAsia="Arial" w:hAnsi="Arial"/>
          <w:color w:val="000000"/>
          <w:rtl w:val="0"/>
        </w:rPr>
        <w:t xml:space="preserve">, 1–8. </w:t>
      </w:r>
      <w:hyperlink r:id="rId14">
        <w:r w:rsidDel="00000000" w:rsidR="00000000" w:rsidRPr="00000000">
          <w:rPr>
            <w:rFonts w:ascii="Arial" w:cs="Arial" w:eastAsia="Arial" w:hAnsi="Arial"/>
            <w:color w:val="0563c1"/>
            <w:u w:val="single"/>
            <w:rtl w:val="0"/>
          </w:rPr>
          <w:t xml:space="preserve">https://doi.org/10.1016/j.ypmed.2015.05.022</w:t>
        </w:r>
      </w:hyperlink>
      <w:r w:rsidDel="00000000" w:rsidR="00000000" w:rsidRPr="00000000">
        <w:rPr>
          <w:rtl w:val="0"/>
        </w:rPr>
      </w:r>
    </w:p>
    <w:p w:rsidR="00000000" w:rsidDel="00000000" w:rsidP="00000000" w:rsidRDefault="00000000" w:rsidRPr="00000000" w14:paraId="000000B5">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Das-Munshi, J., Bhugra, D., &amp; Crawford, M. J. (2018). Ethnic minority inequalities in access to treatments for schizophrenia and schizoaffective disorders: findings from a nationally representative cross-sectional study. </w:t>
      </w:r>
      <w:r w:rsidDel="00000000" w:rsidR="00000000" w:rsidRPr="00000000">
        <w:rPr>
          <w:rFonts w:ascii="Arial" w:cs="Arial" w:eastAsia="Arial" w:hAnsi="Arial"/>
          <w:i w:val="1"/>
          <w:iCs w:val="1"/>
          <w:color w:val="000000"/>
          <w:rtl w:val="0"/>
        </w:rPr>
        <w:t xml:space="preserve">BMC medicine</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iCs w:val="1"/>
          <w:color w:val="000000"/>
          <w:rtl w:val="0"/>
        </w:rPr>
        <w:t xml:space="preserve">16</w:t>
      </w:r>
      <w:r w:rsidDel="00000000" w:rsidR="00000000" w:rsidRPr="00000000">
        <w:rPr>
          <w:rFonts w:ascii="Arial" w:cs="Arial" w:eastAsia="Arial" w:hAnsi="Arial"/>
          <w:color w:val="000000"/>
          <w:rtl w:val="0"/>
        </w:rPr>
        <w:t xml:space="preserve">(1), 55. </w:t>
      </w:r>
      <w:hyperlink r:id="rId15">
        <w:r w:rsidDel="00000000" w:rsidR="00000000" w:rsidRPr="00000000">
          <w:rPr>
            <w:rFonts w:ascii="Arial" w:cs="Arial" w:eastAsia="Arial" w:hAnsi="Arial"/>
            <w:color w:val="0563c1"/>
            <w:u w:val="single"/>
            <w:rtl w:val="0"/>
          </w:rPr>
          <w:t xml:space="preserve">https://doi.org/10.1186/s12916-018-1035-5</w:t>
        </w:r>
      </w:hyperlink>
      <w:r w:rsidDel="00000000" w:rsidR="00000000" w:rsidRPr="00000000">
        <w:rPr>
          <w:rtl w:val="0"/>
        </w:rPr>
      </w:r>
    </w:p>
    <w:p w:rsidR="00000000" w:rsidDel="00000000" w:rsidP="00000000" w:rsidRDefault="00000000" w:rsidRPr="00000000" w14:paraId="000000B6">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Diabetes UK (2025) How many people in the UK have diabetes? Available at: </w:t>
      </w:r>
      <w:hyperlink r:id="rId16">
        <w:r w:rsidDel="00000000" w:rsidR="00000000" w:rsidRPr="00000000">
          <w:rPr>
            <w:rFonts w:ascii="Arial" w:cs="Arial" w:eastAsia="Arial" w:hAnsi="Arial"/>
            <w:color w:val="0563c1"/>
            <w:u w:val="single"/>
            <w:rtl w:val="0"/>
          </w:rPr>
          <w:t xml:space="preserve">https://www.diabetes.org.uk/about-us/about-the-charity/our-strategy/statistics</w:t>
        </w:r>
      </w:hyperlink>
      <w:r w:rsidDel="00000000" w:rsidR="00000000" w:rsidRPr="00000000">
        <w:rPr>
          <w:rtl w:val="0"/>
        </w:rPr>
      </w:r>
    </w:p>
    <w:p w:rsidR="00000000" w:rsidDel="00000000" w:rsidP="00000000" w:rsidRDefault="00000000" w:rsidRPr="00000000" w14:paraId="000000B7">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Diabetes.co.uk (2023) Diabetes prevalence. Available at: </w:t>
      </w:r>
      <w:hyperlink r:id="rId17">
        <w:r w:rsidDel="00000000" w:rsidR="00000000" w:rsidRPr="00000000">
          <w:rPr>
            <w:rFonts w:ascii="Arial" w:cs="Arial" w:eastAsia="Arial" w:hAnsi="Arial"/>
            <w:color w:val="0563c1"/>
            <w:u w:val="single"/>
            <w:rtl w:val="0"/>
          </w:rPr>
          <w:t xml:space="preserve">https://www.diabetes.co.uk/diabetes-prevalence.html</w:t>
        </w:r>
      </w:hyperlink>
      <w:r w:rsidDel="00000000" w:rsidR="00000000" w:rsidRPr="00000000">
        <w:rPr>
          <w:rtl w:val="0"/>
        </w:rPr>
      </w:r>
    </w:p>
    <w:p w:rsidR="00000000" w:rsidDel="00000000" w:rsidP="00000000" w:rsidRDefault="00000000" w:rsidRPr="00000000" w14:paraId="000000B8">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Gelding, S. V., Vijayaraghavan, S., Davison, C., and Chowdhury, T. A. (2005). Community diabetes: an East London perspective. </w:t>
      </w:r>
      <w:r w:rsidDel="00000000" w:rsidR="00000000" w:rsidRPr="00000000">
        <w:rPr>
          <w:rFonts w:ascii="Arial" w:cs="Arial" w:eastAsia="Arial" w:hAnsi="Arial"/>
          <w:i w:val="1"/>
          <w:iCs w:val="1"/>
          <w:color w:val="000000"/>
          <w:rtl w:val="0"/>
        </w:rPr>
        <w:t xml:space="preserve">Journal of the Royal Society of Medicine</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iCs w:val="1"/>
          <w:color w:val="000000"/>
          <w:rtl w:val="0"/>
        </w:rPr>
        <w:t xml:space="preserve">98</w:t>
      </w:r>
      <w:r w:rsidDel="00000000" w:rsidR="00000000" w:rsidRPr="00000000">
        <w:rPr>
          <w:rFonts w:ascii="Arial" w:cs="Arial" w:eastAsia="Arial" w:hAnsi="Arial"/>
          <w:color w:val="000000"/>
          <w:rtl w:val="0"/>
        </w:rPr>
        <w:t xml:space="preserve">(3), 96–100. </w:t>
      </w:r>
      <w:hyperlink r:id="rId18">
        <w:r w:rsidDel="00000000" w:rsidR="00000000" w:rsidRPr="00000000">
          <w:rPr>
            <w:rFonts w:ascii="Arial" w:cs="Arial" w:eastAsia="Arial" w:hAnsi="Arial"/>
            <w:color w:val="0563c1"/>
            <w:u w:val="single"/>
            <w:rtl w:val="0"/>
          </w:rPr>
          <w:t xml:space="preserve">https://doi.org/10.1177/014107680509800303</w:t>
        </w:r>
      </w:hyperlink>
      <w:r w:rsidDel="00000000" w:rsidR="00000000" w:rsidRPr="00000000">
        <w:rPr>
          <w:rtl w:val="0"/>
        </w:rPr>
      </w:r>
    </w:p>
    <w:p w:rsidR="00000000" w:rsidDel="00000000" w:rsidP="00000000" w:rsidRDefault="00000000" w:rsidRPr="00000000" w14:paraId="000000B9">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Halvorsrud, K., Nazroo, J., Otis, M., Brown Hajdukova, E., and Bhui, K. (2019) Ethnic inequalities in the incidence of diagnosis of severe mental illness in England: a systematic review and new meta-analyses for non-affective and affective psychoses. </w:t>
      </w:r>
      <w:r w:rsidDel="00000000" w:rsidR="00000000" w:rsidRPr="00000000">
        <w:rPr>
          <w:rFonts w:ascii="Arial" w:cs="Arial" w:eastAsia="Arial" w:hAnsi="Arial"/>
          <w:i w:val="1"/>
          <w:iCs w:val="1"/>
          <w:color w:val="000000"/>
          <w:rtl w:val="0"/>
        </w:rPr>
        <w:t xml:space="preserve">Social Psychiatry and Psychiatric Epidemiology</w:t>
      </w:r>
      <w:r w:rsidDel="00000000" w:rsidR="00000000" w:rsidRPr="00000000">
        <w:rPr>
          <w:rFonts w:ascii="Arial" w:cs="Arial" w:eastAsia="Arial" w:hAnsi="Arial"/>
          <w:color w:val="000000"/>
          <w:rtl w:val="0"/>
        </w:rPr>
        <w:t xml:space="preserve"> 54, (11) 1311–1323. </w:t>
      </w:r>
      <w:hyperlink r:id="rId19">
        <w:r w:rsidDel="00000000" w:rsidR="00000000" w:rsidRPr="00000000">
          <w:rPr>
            <w:rFonts w:ascii="Arial" w:cs="Arial" w:eastAsia="Arial" w:hAnsi="Arial"/>
            <w:color w:val="0563c1"/>
            <w:u w:val="single"/>
            <w:rtl w:val="0"/>
          </w:rPr>
          <w:t xml:space="preserve">https://doi.org/10.1007/s00127-019-01758-y</w:t>
        </w:r>
      </w:hyperlink>
      <w:r w:rsidDel="00000000" w:rsidR="00000000" w:rsidRPr="00000000">
        <w:rPr>
          <w:rtl w:val="0"/>
        </w:rPr>
      </w:r>
    </w:p>
    <w:p w:rsidR="00000000" w:rsidDel="00000000" w:rsidP="00000000" w:rsidRDefault="00000000" w:rsidRPr="00000000" w14:paraId="000000BA">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International Diabetes Federation (2025) Global diabetes data and insights. Available at: </w:t>
      </w:r>
      <w:hyperlink r:id="rId20">
        <w:r w:rsidDel="00000000" w:rsidR="00000000" w:rsidRPr="00000000">
          <w:rPr>
            <w:rFonts w:ascii="Arial" w:cs="Arial" w:eastAsia="Arial" w:hAnsi="Arial"/>
            <w:color w:val="0563c1"/>
            <w:u w:val="single"/>
            <w:rtl w:val="0"/>
          </w:rPr>
          <w:t xml:space="preserve">https://diabetesatlas.org/data-by-location/global/</w:t>
        </w:r>
      </w:hyperlink>
      <w:r w:rsidDel="00000000" w:rsidR="00000000" w:rsidRPr="00000000">
        <w:rPr>
          <w:rtl w:val="0"/>
        </w:rPr>
      </w:r>
    </w:p>
    <w:p w:rsidR="00000000" w:rsidDel="00000000" w:rsidP="00000000" w:rsidRDefault="00000000" w:rsidRPr="00000000" w14:paraId="000000BB">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Joseph Rowntree Foundation (2022) Race and ethnicity. Available at: </w:t>
      </w:r>
      <w:hyperlink r:id="rId21">
        <w:r w:rsidDel="00000000" w:rsidR="00000000" w:rsidRPr="00000000">
          <w:rPr>
            <w:rFonts w:ascii="Arial" w:cs="Arial" w:eastAsia="Arial" w:hAnsi="Arial"/>
            <w:color w:val="0563c1"/>
            <w:u w:val="single"/>
            <w:rtl w:val="0"/>
          </w:rPr>
          <w:t xml:space="preserve">https://www.jrf.org.uk/race-and-ethnicity</w:t>
        </w:r>
      </w:hyperlink>
      <w:r w:rsidDel="00000000" w:rsidR="00000000" w:rsidRPr="00000000">
        <w:rPr>
          <w:rtl w:val="0"/>
        </w:rPr>
      </w:r>
    </w:p>
    <w:p w:rsidR="00000000" w:rsidDel="00000000" w:rsidP="00000000" w:rsidRDefault="00000000" w:rsidRPr="00000000" w14:paraId="000000BC">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Joseph Rowntree Foundation (2026) Ethnicity. Available at: </w:t>
      </w:r>
      <w:hyperlink r:id="rId22">
        <w:r w:rsidDel="00000000" w:rsidR="00000000" w:rsidRPr="00000000">
          <w:rPr>
            <w:rFonts w:ascii="Arial" w:cs="Arial" w:eastAsia="Arial" w:hAnsi="Arial"/>
            <w:color w:val="0563c1"/>
            <w:u w:val="single"/>
            <w:rtl w:val="0"/>
          </w:rPr>
          <w:t xml:space="preserve">https://www.jrf.org.uk/uk-poverty-statistics/ethnicity</w:t>
        </w:r>
      </w:hyperlink>
      <w:r w:rsidDel="00000000" w:rsidR="00000000" w:rsidRPr="00000000">
        <w:rPr>
          <w:rtl w:val="0"/>
        </w:rPr>
      </w:r>
    </w:p>
    <w:p w:rsidR="00000000" w:rsidDel="00000000" w:rsidP="00000000" w:rsidRDefault="00000000" w:rsidRPr="00000000" w14:paraId="000000BD">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Joseph Rowntree Foundation (2026) UK Poverty 2026: the essential guide to understanding poverty in the UK. Available at: </w:t>
      </w:r>
      <w:hyperlink r:id="rId23">
        <w:r w:rsidDel="00000000" w:rsidR="00000000" w:rsidRPr="00000000">
          <w:rPr>
            <w:rFonts w:ascii="Arial" w:cs="Arial" w:eastAsia="Arial" w:hAnsi="Arial"/>
            <w:color w:val="0563c1"/>
            <w:u w:val="single"/>
            <w:rtl w:val="0"/>
          </w:rPr>
          <w:t xml:space="preserve">https://www.jrf.org.uk/uk-poverty-2026-the-essential-guide-to-understanding-poverty-in-the-uk</w:t>
        </w:r>
      </w:hyperlink>
      <w:r w:rsidDel="00000000" w:rsidR="00000000" w:rsidRPr="00000000">
        <w:rPr>
          <w:rtl w:val="0"/>
        </w:rPr>
      </w:r>
    </w:p>
    <w:p w:rsidR="00000000" w:rsidDel="00000000" w:rsidP="00000000" w:rsidRDefault="00000000" w:rsidRPr="00000000" w14:paraId="000000BE">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LSE Blogs (2017) Racial discrimination in UK housing has a long history and deep roots. Available at: </w:t>
      </w:r>
      <w:hyperlink r:id="rId24">
        <w:r w:rsidDel="00000000" w:rsidR="00000000" w:rsidRPr="00000000">
          <w:rPr>
            <w:rFonts w:ascii="Arial" w:cs="Arial" w:eastAsia="Arial" w:hAnsi="Arial"/>
            <w:color w:val="0563c1"/>
            <w:u w:val="single"/>
            <w:rtl w:val="0"/>
          </w:rPr>
          <w:t xml:space="preserve">https://blogs.lse.ac.uk/politicsandpolicy/racial-discrimination-in-housing/</w:t>
        </w:r>
      </w:hyperlink>
      <w:r w:rsidDel="00000000" w:rsidR="00000000" w:rsidRPr="00000000">
        <w:rPr>
          <w:rtl w:val="0"/>
        </w:rPr>
      </w:r>
    </w:p>
    <w:p w:rsidR="00000000" w:rsidDel="00000000" w:rsidP="00000000" w:rsidRDefault="00000000" w:rsidRPr="00000000" w14:paraId="000000BF">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MBRRACE-UK (2024) Maternal mortality 2020-2022. National Perinatal Epidemiology Unit, University of Oxford. Available at: </w:t>
      </w:r>
      <w:hyperlink r:id="rId25">
        <w:r w:rsidDel="00000000" w:rsidR="00000000" w:rsidRPr="00000000">
          <w:rPr>
            <w:rFonts w:ascii="Arial" w:cs="Arial" w:eastAsia="Arial" w:hAnsi="Arial"/>
            <w:color w:val="0563c1"/>
            <w:u w:val="single"/>
            <w:rtl w:val="0"/>
          </w:rPr>
          <w:t xml:space="preserve">https://www.npeu.ox.ac.uk/mbrrace-uk/data-brief/maternal-mortality-2020-2022</w:t>
        </w:r>
      </w:hyperlink>
      <w:r w:rsidDel="00000000" w:rsidR="00000000" w:rsidRPr="00000000">
        <w:rPr>
          <w:rtl w:val="0"/>
        </w:rPr>
      </w:r>
    </w:p>
    <w:p w:rsidR="00000000" w:rsidDel="00000000" w:rsidP="00000000" w:rsidRDefault="00000000" w:rsidRPr="00000000" w14:paraId="000000C0">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McManus, E., Meacock, R., Parkinson, B., and Sutton, M. (2022). Population level impact of the NHS Diabetes Prevention Programme on incidence of type 2 diabetes in England: An observational study. </w:t>
      </w:r>
      <w:r w:rsidDel="00000000" w:rsidR="00000000" w:rsidRPr="00000000">
        <w:rPr>
          <w:rFonts w:ascii="Arial" w:cs="Arial" w:eastAsia="Arial" w:hAnsi="Arial"/>
          <w:i w:val="1"/>
          <w:iCs w:val="1"/>
          <w:color w:val="000000"/>
          <w:rtl w:val="0"/>
        </w:rPr>
        <w:t xml:space="preserve">The Lancet regional health. Europe</w:t>
      </w: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i w:val="1"/>
          <w:iCs w:val="1"/>
          <w:color w:val="000000"/>
          <w:rtl w:val="0"/>
        </w:rPr>
        <w:t xml:space="preserve">19</w:t>
      </w:r>
      <w:r w:rsidDel="00000000" w:rsidR="00000000" w:rsidRPr="00000000">
        <w:rPr>
          <w:rFonts w:ascii="Arial" w:cs="Arial" w:eastAsia="Arial" w:hAnsi="Arial"/>
          <w:color w:val="000000"/>
          <w:rtl w:val="0"/>
        </w:rPr>
        <w:t xml:space="preserve">, 100420. </w:t>
      </w:r>
      <w:hyperlink r:id="rId26">
        <w:r w:rsidDel="00000000" w:rsidR="00000000" w:rsidRPr="00000000">
          <w:rPr>
            <w:rFonts w:ascii="Arial" w:cs="Arial" w:eastAsia="Arial" w:hAnsi="Arial"/>
            <w:color w:val="0563c1"/>
            <w:u w:val="single"/>
            <w:rtl w:val="0"/>
          </w:rPr>
          <w:t xml:space="preserve">https://doi.org/10.1016/j.lanepe.2022.100420</w:t>
        </w:r>
      </w:hyperlink>
      <w:r w:rsidDel="00000000" w:rsidR="00000000" w:rsidRPr="00000000">
        <w:rPr>
          <w:rtl w:val="0"/>
        </w:rPr>
      </w:r>
    </w:p>
    <w:p w:rsidR="00000000" w:rsidDel="00000000" w:rsidP="00000000" w:rsidRDefault="00000000" w:rsidRPr="00000000" w14:paraId="000000C1">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Myeloma UK (2024) Myeloma UK and the Race Equality Foundation partnership. Available at: </w:t>
      </w:r>
      <w:hyperlink r:id="rId27">
        <w:r w:rsidDel="00000000" w:rsidR="00000000" w:rsidRPr="00000000">
          <w:rPr>
            <w:rFonts w:ascii="Arial" w:cs="Arial" w:eastAsia="Arial" w:hAnsi="Arial"/>
            <w:color w:val="0563c1"/>
            <w:u w:val="single"/>
            <w:rtl w:val="0"/>
          </w:rPr>
          <w:t xml:space="preserve">https://www.myeloma.org.uk/news/myeloma-uk-and-the-race-equality-foundation-partnership/</w:t>
        </w:r>
      </w:hyperlink>
      <w:r w:rsidDel="00000000" w:rsidR="00000000" w:rsidRPr="00000000">
        <w:rPr>
          <w:rtl w:val="0"/>
        </w:rPr>
      </w:r>
    </w:p>
    <w:p w:rsidR="00000000" w:rsidDel="00000000" w:rsidP="00000000" w:rsidRDefault="00000000" w:rsidRPr="00000000" w14:paraId="000000C2">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Nafilyan, V., Morgan, J., Mathur, R., et al. (2025) 'Burden of cardiovascular diseases in England (2020-24): a national cohort using electronic health records data', The Lancet Public Health. Available at: </w:t>
      </w:r>
      <w:hyperlink r:id="rId28">
        <w:r w:rsidDel="00000000" w:rsidR="00000000" w:rsidRPr="00000000">
          <w:rPr>
            <w:rFonts w:ascii="Arial" w:cs="Arial" w:eastAsia="Arial" w:hAnsi="Arial"/>
            <w:color w:val="0563c1"/>
            <w:u w:val="single"/>
            <w:rtl w:val="0"/>
          </w:rPr>
          <w:t xml:space="preserve">https://www.thelancet.com/journals/lanpub/article/PIIS2468-2667(25)00163-X/fulltext</w:t>
        </w:r>
      </w:hyperlink>
      <w:r w:rsidDel="00000000" w:rsidR="00000000" w:rsidRPr="00000000">
        <w:rPr>
          <w:rtl w:val="0"/>
        </w:rPr>
      </w:r>
    </w:p>
    <w:p w:rsidR="00000000" w:rsidDel="00000000" w:rsidP="00000000" w:rsidRDefault="00000000" w:rsidRPr="00000000" w14:paraId="000000C3">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National Institute for Health and Care Research (2023) The effectiveness and cost-effectiveness of the NHS Diabetes Prevention Programme (NHS-DPP): the DIPLOMA long-term multimethod assessment. Available at: </w:t>
      </w:r>
      <w:hyperlink r:id="rId29">
        <w:r w:rsidDel="00000000" w:rsidR="00000000" w:rsidRPr="00000000">
          <w:rPr>
            <w:rFonts w:ascii="Arial" w:cs="Arial" w:eastAsia="Arial" w:hAnsi="Arial"/>
            <w:color w:val="0563c1"/>
            <w:u w:val="single"/>
            <w:rtl w:val="0"/>
          </w:rPr>
          <w:t xml:space="preserve">https://www.ncbi.nlm.nih.gov/books/NBK614155/</w:t>
        </w:r>
      </w:hyperlink>
      <w:r w:rsidDel="00000000" w:rsidR="00000000" w:rsidRPr="00000000">
        <w:rPr>
          <w:rtl w:val="0"/>
        </w:rPr>
      </w:r>
    </w:p>
    <w:p w:rsidR="00000000" w:rsidDel="00000000" w:rsidP="00000000" w:rsidRDefault="00000000" w:rsidRPr="00000000" w14:paraId="000000C4">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NHS Digital (2019) E09000025 Newham health profile. Fingertips. Available at: </w:t>
      </w:r>
      <w:hyperlink r:id="rId30">
        <w:r w:rsidDel="00000000" w:rsidR="00000000" w:rsidRPr="00000000">
          <w:rPr>
            <w:rFonts w:ascii="Arial" w:cs="Arial" w:eastAsia="Arial" w:hAnsi="Arial"/>
            <w:color w:val="0563c1"/>
            <w:u w:val="single"/>
            <w:rtl w:val="0"/>
          </w:rPr>
          <w:t xml:space="preserve">https://fingertips.phe.org.uk/static-reports/health-profiles/2019/e09000025.html?area-name=newham</w:t>
        </w:r>
      </w:hyperlink>
      <w:r w:rsidDel="00000000" w:rsidR="00000000" w:rsidRPr="00000000">
        <w:rPr>
          <w:rtl w:val="0"/>
        </w:rPr>
      </w:r>
    </w:p>
    <w:p w:rsidR="00000000" w:rsidDel="00000000" w:rsidP="00000000" w:rsidRDefault="00000000" w:rsidRPr="00000000" w14:paraId="000000C5">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NHS England (2025) Annual report on NHS England's work on healthcare inequalities and the NHS Race and Health Observatory. Available at: </w:t>
      </w:r>
      <w:hyperlink r:id="rId31">
        <w:r w:rsidDel="00000000" w:rsidR="00000000" w:rsidRPr="00000000">
          <w:rPr>
            <w:rFonts w:ascii="Arial" w:cs="Arial" w:eastAsia="Arial" w:hAnsi="Arial"/>
            <w:color w:val="0563c1"/>
            <w:u w:val="single"/>
            <w:rtl w:val="0"/>
          </w:rPr>
          <w:t xml:space="preserve">https://www.england.nhs.uk/long-read/annual-report-on-nhs-englands-work-on-healthcare-inequalities-and-the-nhs-race-and-health-observatory/</w:t>
        </w:r>
      </w:hyperlink>
      <w:r w:rsidDel="00000000" w:rsidR="00000000" w:rsidRPr="00000000">
        <w:rPr>
          <w:rtl w:val="0"/>
        </w:rPr>
      </w:r>
    </w:p>
    <w:p w:rsidR="00000000" w:rsidDel="00000000" w:rsidP="00000000" w:rsidRDefault="00000000" w:rsidRPr="00000000" w14:paraId="000000C6">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NHS Race and Health Observatory (2025) NHS Race and Health Observatory response to the Major Conditions Strategy. Available at: </w:t>
      </w:r>
      <w:hyperlink r:id="rId32">
        <w:r w:rsidDel="00000000" w:rsidR="00000000" w:rsidRPr="00000000">
          <w:rPr>
            <w:rFonts w:ascii="Arial" w:cs="Arial" w:eastAsia="Arial" w:hAnsi="Arial"/>
            <w:color w:val="0563c1"/>
            <w:u w:val="single"/>
            <w:rtl w:val="0"/>
          </w:rPr>
          <w:t xml:space="preserve">https://nhsrho.org/news/nhs-race-and-health-observatory-response-to-the-major-conditions-strategy-case-for-change-and-our-strategic-framework/</w:t>
        </w:r>
      </w:hyperlink>
      <w:r w:rsidDel="00000000" w:rsidR="00000000" w:rsidRPr="00000000">
        <w:rPr>
          <w:rtl w:val="0"/>
        </w:rPr>
      </w:r>
    </w:p>
    <w:p w:rsidR="00000000" w:rsidDel="00000000" w:rsidP="00000000" w:rsidRDefault="00000000" w:rsidRPr="00000000" w14:paraId="000000C7">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Office for Health Improvement and Disparities (2019) Diabetes profile. Fingertips. Available at: </w:t>
      </w:r>
      <w:hyperlink r:id="rId33">
        <w:r w:rsidDel="00000000" w:rsidR="00000000" w:rsidRPr="00000000">
          <w:rPr>
            <w:rFonts w:ascii="Arial" w:cs="Arial" w:eastAsia="Arial" w:hAnsi="Arial"/>
            <w:color w:val="0563c1"/>
            <w:u w:val="single"/>
            <w:rtl w:val="0"/>
          </w:rPr>
          <w:t xml:space="preserve">https://fingertips.phe.org.uk/profile/diabetes-ft</w:t>
        </w:r>
      </w:hyperlink>
      <w:r w:rsidDel="00000000" w:rsidR="00000000" w:rsidRPr="00000000">
        <w:rPr>
          <w:rtl w:val="0"/>
        </w:rPr>
      </w:r>
    </w:p>
    <w:p w:rsidR="00000000" w:rsidDel="00000000" w:rsidP="00000000" w:rsidRDefault="00000000" w:rsidRPr="00000000" w14:paraId="000000C8">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Race Equality Foundation (2023) Written evidence submitted by the Race Equality Foundation (MRS0335). Available at: </w:t>
      </w:r>
      <w:hyperlink r:id="rId34">
        <w:r w:rsidDel="00000000" w:rsidR="00000000" w:rsidRPr="00000000">
          <w:rPr>
            <w:rFonts w:ascii="Arial" w:cs="Arial" w:eastAsia="Arial" w:hAnsi="Arial"/>
            <w:color w:val="0563c1"/>
            <w:u w:val="single"/>
            <w:rtl w:val="0"/>
          </w:rPr>
          <w:t xml:space="preserve">https://committees.parliament.uk/writtenevidence/3362/pdf/</w:t>
        </w:r>
      </w:hyperlink>
      <w:r w:rsidDel="00000000" w:rsidR="00000000" w:rsidRPr="00000000">
        <w:rPr>
          <w:rtl w:val="0"/>
        </w:rPr>
      </w:r>
    </w:p>
    <w:p w:rsidR="00000000" w:rsidDel="00000000" w:rsidP="00000000" w:rsidRDefault="00000000" w:rsidRPr="00000000" w14:paraId="000000C9">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Race Equality Foundation (2024) Race Equality Foundation, Health Innovation Network South London, and partners launch groundbreaking initiative to address racial health inequalities. Available at: </w:t>
      </w:r>
      <w:hyperlink r:id="rId35">
        <w:r w:rsidDel="00000000" w:rsidR="00000000" w:rsidRPr="00000000">
          <w:rPr>
            <w:rFonts w:ascii="Arial" w:cs="Arial" w:eastAsia="Arial" w:hAnsi="Arial"/>
            <w:color w:val="0563c1"/>
            <w:u w:val="single"/>
            <w:rtl w:val="0"/>
          </w:rPr>
          <w:t xml:space="preserve">https://raceequalityfoundation.org.uk/press-release/race-equality-foundation-health-innovation-network-south-london-and-partners-launch-groundbreaking-initiative-to-address-racial-health-inequalities/</w:t>
        </w:r>
      </w:hyperlink>
      <w:r w:rsidDel="00000000" w:rsidR="00000000" w:rsidRPr="00000000">
        <w:rPr>
          <w:rtl w:val="0"/>
        </w:rPr>
      </w:r>
    </w:p>
    <w:p w:rsidR="00000000" w:rsidDel="00000000" w:rsidP="00000000" w:rsidRDefault="00000000" w:rsidRPr="00000000" w14:paraId="000000CA">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Race Equality Foundation (n.d.) About us. Available at: </w:t>
      </w:r>
      <w:hyperlink r:id="rId36">
        <w:r w:rsidDel="00000000" w:rsidR="00000000" w:rsidRPr="00000000">
          <w:rPr>
            <w:rFonts w:ascii="Arial" w:cs="Arial" w:eastAsia="Arial" w:hAnsi="Arial"/>
            <w:color w:val="0563c1"/>
            <w:u w:val="single"/>
            <w:rtl w:val="0"/>
          </w:rPr>
          <w:t xml:space="preserve">https://raceequalityfoundation.org.uk/</w:t>
        </w:r>
      </w:hyperlink>
      <w:r w:rsidDel="00000000" w:rsidR="00000000" w:rsidRPr="00000000">
        <w:rPr>
          <w:rtl w:val="0"/>
        </w:rPr>
      </w:r>
    </w:p>
    <w:p w:rsidR="00000000" w:rsidDel="00000000" w:rsidP="00000000" w:rsidRDefault="00000000" w:rsidRPr="00000000" w14:paraId="000000CB">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The King's Fund (2024) Mental health 360: inequalities. Available at: </w:t>
      </w:r>
      <w:hyperlink r:id="rId37">
        <w:r w:rsidDel="00000000" w:rsidR="00000000" w:rsidRPr="00000000">
          <w:rPr>
            <w:rFonts w:ascii="Arial" w:cs="Arial" w:eastAsia="Arial" w:hAnsi="Arial"/>
            <w:color w:val="0563c1"/>
            <w:u w:val="single"/>
            <w:rtl w:val="0"/>
          </w:rPr>
          <w:t xml:space="preserve">https://www.kingsfund.org.uk/insight-and-analysis/long-reads/mental-health-360-inequalities</w:t>
        </w:r>
      </w:hyperlink>
      <w:r w:rsidDel="00000000" w:rsidR="00000000" w:rsidRPr="00000000">
        <w:rPr>
          <w:rtl w:val="0"/>
        </w:rPr>
      </w:r>
    </w:p>
    <w:p w:rsidR="00000000" w:rsidDel="00000000" w:rsidP="00000000" w:rsidRDefault="00000000" w:rsidRPr="00000000" w14:paraId="000000CC">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Welsh Government (2022) Housing overcrowding and ethnicity: a literature review. Available at: </w:t>
      </w:r>
      <w:hyperlink r:id="rId38">
        <w:r w:rsidDel="00000000" w:rsidR="00000000" w:rsidRPr="00000000">
          <w:rPr>
            <w:rFonts w:ascii="Arial" w:cs="Arial" w:eastAsia="Arial" w:hAnsi="Arial"/>
            <w:color w:val="0563c1"/>
            <w:u w:val="single"/>
            <w:rtl w:val="0"/>
          </w:rPr>
          <w:t xml:space="preserve">https://www.gov.wales/sites/default/files/statistics-and-research/2022-09/housing-overcrowding-and-ethnicity-a-literature-review.pdf</w:t>
        </w:r>
      </w:hyperlink>
      <w:r w:rsidDel="00000000" w:rsidR="00000000" w:rsidRPr="00000000">
        <w:rPr>
          <w:rtl w:val="0"/>
        </w:rPr>
      </w:r>
    </w:p>
    <w:p w:rsidR="00000000" w:rsidDel="00000000" w:rsidP="00000000" w:rsidRDefault="00000000" w:rsidRPr="00000000" w14:paraId="000000CD">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Women and Equalities Committee (2023) Black maternal health. UK Parliament. Available at: </w:t>
      </w:r>
      <w:hyperlink r:id="rId39">
        <w:r w:rsidDel="00000000" w:rsidR="00000000" w:rsidRPr="00000000">
          <w:rPr>
            <w:rFonts w:ascii="Arial" w:cs="Arial" w:eastAsia="Arial" w:hAnsi="Arial"/>
            <w:color w:val="0563c1"/>
            <w:u w:val="single"/>
            <w:rtl w:val="0"/>
          </w:rPr>
          <w:t xml:space="preserve">https://publications.parliament.uk/pa/cm5803/cmselect/cmwomeq/94/report.html</w:t>
        </w:r>
      </w:hyperlink>
      <w:r w:rsidDel="00000000" w:rsidR="00000000" w:rsidRPr="00000000">
        <w:rPr>
          <w:rtl w:val="0"/>
        </w:rPr>
      </w:r>
    </w:p>
    <w:p w:rsidR="00000000" w:rsidDel="00000000" w:rsidP="00000000" w:rsidRDefault="00000000" w:rsidRPr="00000000" w14:paraId="000000CE">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World Health Organization (2023) Diabetes. Available at: </w:t>
      </w:r>
      <w:hyperlink r:id="rId40">
        <w:r w:rsidDel="00000000" w:rsidR="00000000" w:rsidRPr="00000000">
          <w:rPr>
            <w:rFonts w:ascii="Arial" w:cs="Arial" w:eastAsia="Arial" w:hAnsi="Arial"/>
            <w:color w:val="0563c1"/>
            <w:u w:val="single"/>
            <w:rtl w:val="0"/>
          </w:rPr>
          <w:t xml:space="preserve">https://www.who.int/news-room/fact-sheets/detail/diabetes</w:t>
        </w:r>
      </w:hyperlink>
      <w:r w:rsidDel="00000000" w:rsidR="00000000" w:rsidRPr="00000000">
        <w:rPr>
          <w:rtl w:val="0"/>
        </w:rPr>
      </w:r>
    </w:p>
    <w:p w:rsidR="00000000" w:rsidDel="00000000" w:rsidP="00000000" w:rsidRDefault="00000000" w:rsidRPr="00000000" w14:paraId="000000CF">
      <w:pPr>
        <w:spacing w:after="120" w:line="360" w:lineRule="auto"/>
        <w:ind w:left="720" w:hanging="720"/>
        <w:rPr>
          <w:rFonts w:ascii="Arial" w:cs="Arial" w:eastAsia="Arial" w:hAnsi="Arial"/>
          <w:color w:val="000000"/>
        </w:rPr>
      </w:pPr>
      <w:r w:rsidDel="00000000" w:rsidR="00000000" w:rsidRPr="00000000">
        <w:rPr>
          <w:rFonts w:ascii="Arial" w:cs="Arial" w:eastAsia="Arial" w:hAnsi="Arial"/>
          <w:color w:val="000000"/>
          <w:rtl w:val="0"/>
        </w:rPr>
        <w:t xml:space="preserve"> </w:t>
      </w:r>
    </w:p>
    <w:sectPr>
      <w:headerReference r:id="rId41" w:type="default"/>
      <w:pgSz w:h="16838" w:w="11906" w:orient="portrait"/>
      <w:pgMar w:bottom="1134" w:top="1134" w:left="1134" w:right="1134"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Georgi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left"/>
    </w:pPr>
    <w:rPr>
      <w:rFonts w:ascii="Arial" w:cs="Arial" w:eastAsia="Arial" w:hAnsi="Arial"/>
      <w:b w:val="1"/>
      <w:bCs w:val="1"/>
      <w:i w:val="0"/>
      <w:iCs w:val="0"/>
      <w:smallCaps w:val="0"/>
      <w:strike w:val="0"/>
      <w:color w:val="000000"/>
      <w:sz w:val="24"/>
      <w:szCs w:val="24"/>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200" w:line="360" w:lineRule="auto"/>
      <w:ind w:left="0" w:right="0" w:firstLine="0"/>
      <w:jc w:val="left"/>
    </w:pPr>
    <w:rPr>
      <w:rFonts w:ascii="Arial" w:cs="Arial" w:eastAsia="Arial" w:hAnsi="Arial"/>
      <w:b w:val="1"/>
      <w:bCs w:val="1"/>
      <w:i w:val="0"/>
      <w:iCs w:val="0"/>
      <w:smallCaps w:val="0"/>
      <w:strike w:val="0"/>
      <w:color w:val="000000"/>
      <w:sz w:val="22"/>
      <w:szCs w:val="22"/>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1"/>
      <w:bCs w:val="1"/>
      <w:i w:val="0"/>
      <w:iCs w:val="0"/>
      <w:smallCaps w:val="0"/>
      <w:strike w:val="0"/>
      <w:color w:val="000000"/>
      <w:sz w:val="22"/>
      <w:szCs w:val="22"/>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who.int/news-room/fact-sheets/detail/diabetes" TargetMode="External"/><Relationship Id="rId20" Type="http://schemas.openxmlformats.org/officeDocument/2006/relationships/hyperlink" Target="https://diabetesatlas.org/data-by-location/global/" TargetMode="External"/><Relationship Id="rId41" Type="http://schemas.openxmlformats.org/officeDocument/2006/relationships/header" Target="header1.xml"/><Relationship Id="rId22" Type="http://schemas.openxmlformats.org/officeDocument/2006/relationships/hyperlink" Target="https://www.jrf.org.uk/uk-poverty-statistics/ethnicity" TargetMode="External"/><Relationship Id="rId21" Type="http://schemas.openxmlformats.org/officeDocument/2006/relationships/hyperlink" Target="https://www.jrf.org.uk/race-and-ethnicity" TargetMode="External"/><Relationship Id="rId24" Type="http://schemas.openxmlformats.org/officeDocument/2006/relationships/hyperlink" Target="https://blogs.lse.ac.uk/politicsandpolicy/racial-discrimination-in-housing/" TargetMode="External"/><Relationship Id="rId23" Type="http://schemas.openxmlformats.org/officeDocument/2006/relationships/hyperlink" Target="https://www.jrf.org.uk/uk-poverty-2026-the-essential-guide-to-understanding-poverty-in-the-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16/S2215-0366(19)30027-6" TargetMode="External"/><Relationship Id="rId26" Type="http://schemas.openxmlformats.org/officeDocument/2006/relationships/hyperlink" Target="https://doi.org/10.1016/j.lanepe.2022.100420" TargetMode="External"/><Relationship Id="rId25" Type="http://schemas.openxmlformats.org/officeDocument/2006/relationships/hyperlink" Target="https://www.npeu.ox.ac.uk/mbrrace-uk/data-brief/maternal-mortality-2020-2022" TargetMode="External"/><Relationship Id="rId28" Type="http://schemas.openxmlformats.org/officeDocument/2006/relationships/hyperlink" Target="https://www.thelancet.com/journals/lanpub/article/PIIS2468-2667(25)00163-X/fulltext" TargetMode="External"/><Relationship Id="rId27" Type="http://schemas.openxmlformats.org/officeDocument/2006/relationships/hyperlink" Target="https://www.myeloma.org.uk/news/myeloma-uk-and-the-race-equality-foundation-partnership/"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ncbi.nlm.nih.gov/books/NBK614155/" TargetMode="External"/><Relationship Id="rId7" Type="http://schemas.openxmlformats.org/officeDocument/2006/relationships/image" Target="media/image3.png"/><Relationship Id="rId8" Type="http://schemas.openxmlformats.org/officeDocument/2006/relationships/image" Target="media/image2.png"/><Relationship Id="rId31" Type="http://schemas.openxmlformats.org/officeDocument/2006/relationships/hyperlink" Target="https://www.england.nhs.uk/long-read/annual-report-on-nhs-englands-work-on-healthcare-inequalities-and-the-nhs-race-and-health-observatory/" TargetMode="External"/><Relationship Id="rId30" Type="http://schemas.openxmlformats.org/officeDocument/2006/relationships/hyperlink" Target="https://fingertips.phe.org.uk/static-reports/health-profiles/2019/e09000025.html?area-name=newham" TargetMode="External"/><Relationship Id="rId11" Type="http://schemas.openxmlformats.org/officeDocument/2006/relationships/hyperlink" Target="https://birthrights.org.uk/2024/10/10/latest-mmbrace-report-highlights-worrying-increase-in-maternal-mortality-rate/" TargetMode="External"/><Relationship Id="rId33" Type="http://schemas.openxmlformats.org/officeDocument/2006/relationships/hyperlink" Target="https://fingertips.phe.org.uk/profile/diabetes-ft" TargetMode="External"/><Relationship Id="rId10" Type="http://schemas.openxmlformats.org/officeDocument/2006/relationships/hyperlink" Target="https://www.bigissue.com/news/housing/uk-housing-system-racism/" TargetMode="External"/><Relationship Id="rId32" Type="http://schemas.openxmlformats.org/officeDocument/2006/relationships/hyperlink" Target="https://nhsrho.org/news/nhs-race-and-health-observatory-response-to-the-major-conditions-strategy-case-for-change-and-our-strategic-framework/" TargetMode="External"/><Relationship Id="rId13" Type="http://schemas.openxmlformats.org/officeDocument/2006/relationships/hyperlink" Target="https://www.bhf.org.uk/what-we-do/our-research/heart-statistics/health-inequalities-research/cardiovascular-inequalities-in-england-an-analysis" TargetMode="External"/><Relationship Id="rId35" Type="http://schemas.openxmlformats.org/officeDocument/2006/relationships/hyperlink" Target="https://raceequalityfoundation.org.uk/press-release/race-equality-foundation-health-innovation-network-south-london-and-partners-launch-groundbreaking-initiative-to-address-racial-health-inequalities/" TargetMode="External"/><Relationship Id="rId12" Type="http://schemas.openxmlformats.org/officeDocument/2006/relationships/hyperlink" Target="https://www.boyesturnerclaims.com/news/bhf-highlights-cvd-risks-women-and-ethnic-groups" TargetMode="External"/><Relationship Id="rId34" Type="http://schemas.openxmlformats.org/officeDocument/2006/relationships/hyperlink" Target="https://committees.parliament.uk/writtenevidence/3362/pdf/" TargetMode="External"/><Relationship Id="rId15" Type="http://schemas.openxmlformats.org/officeDocument/2006/relationships/hyperlink" Target="https://doi.org/10.1186/s12916-018-1035-5" TargetMode="External"/><Relationship Id="rId37" Type="http://schemas.openxmlformats.org/officeDocument/2006/relationships/hyperlink" Target="https://www.kingsfund.org.uk/insight-and-analysis/long-reads/mental-health-360-inequalities" TargetMode="External"/><Relationship Id="rId14" Type="http://schemas.openxmlformats.org/officeDocument/2006/relationships/hyperlink" Target="https://doi.org/10.1016/j.ypmed.2015.05.022" TargetMode="External"/><Relationship Id="rId36" Type="http://schemas.openxmlformats.org/officeDocument/2006/relationships/hyperlink" Target="https://raceequalityfoundation.org.uk/" TargetMode="External"/><Relationship Id="rId17" Type="http://schemas.openxmlformats.org/officeDocument/2006/relationships/hyperlink" Target="https://www.diabetes.co.uk/diabetes-prevalence.html" TargetMode="External"/><Relationship Id="rId39" Type="http://schemas.openxmlformats.org/officeDocument/2006/relationships/hyperlink" Target="https://publications.parliament.uk/pa/cm5803/cmselect/cmwomeq/94/report.html" TargetMode="External"/><Relationship Id="rId16" Type="http://schemas.openxmlformats.org/officeDocument/2006/relationships/hyperlink" Target="https://www.diabetes.org.uk/about-us/about-the-charity/our-strategy/statistics" TargetMode="External"/><Relationship Id="rId38" Type="http://schemas.openxmlformats.org/officeDocument/2006/relationships/hyperlink" Target="https://www.gov.wales/sites/default/files/statistics-and-research/2022-09/housing-overcrowding-and-ethnicity-a-literature-review.pdf" TargetMode="External"/><Relationship Id="rId19" Type="http://schemas.openxmlformats.org/officeDocument/2006/relationships/hyperlink" Target="https://doi.org/10.1007/s00127-019-01758-y" TargetMode="External"/><Relationship Id="rId18" Type="http://schemas.openxmlformats.org/officeDocument/2006/relationships/hyperlink" Target="https://doi.org/10.1177/0141076805098003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