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C3B30" w14:textId="68C27D35" w:rsidR="00832E22" w:rsidRDefault="00C85854" w:rsidP="005919AF">
      <w:pPr>
        <w:pStyle w:val="Body"/>
        <w:spacing w:before="200" w:line="360" w:lineRule="auto"/>
        <w:jc w:val="both"/>
        <w:rPr>
          <w:sz w:val="24"/>
          <w:szCs w:val="24"/>
        </w:rPr>
      </w:pPr>
      <w:r>
        <w:rPr>
          <w:sz w:val="24"/>
          <w:szCs w:val="24"/>
        </w:rPr>
        <w:t>D</w:t>
      </w:r>
      <w:r w:rsidR="00A779DC">
        <w:rPr>
          <w:sz w:val="24"/>
          <w:szCs w:val="24"/>
        </w:rPr>
        <w:t>iana Amponsah</w:t>
      </w:r>
    </w:p>
    <w:p w14:paraId="23F0B50B" w14:textId="1F5E645F" w:rsidR="00A779DC" w:rsidRDefault="00A779DC" w:rsidP="005919AF">
      <w:pPr>
        <w:pStyle w:val="Body"/>
        <w:spacing w:before="200" w:line="360" w:lineRule="auto"/>
        <w:jc w:val="both"/>
        <w:rPr>
          <w:sz w:val="24"/>
          <w:szCs w:val="24"/>
        </w:rPr>
      </w:pPr>
      <w:r>
        <w:rPr>
          <w:sz w:val="24"/>
          <w:szCs w:val="24"/>
        </w:rPr>
        <w:t>Student :</w:t>
      </w:r>
      <w:r w:rsidR="00896A01">
        <w:rPr>
          <w:sz w:val="24"/>
          <w:szCs w:val="24"/>
        </w:rPr>
        <w:t>2314497</w:t>
      </w:r>
    </w:p>
    <w:p w14:paraId="77E8D8E1" w14:textId="3C1E2DEB" w:rsidR="00C85854" w:rsidRDefault="0072497F" w:rsidP="005919AF">
      <w:pPr>
        <w:pStyle w:val="Body"/>
        <w:spacing w:before="200" w:line="360" w:lineRule="auto"/>
        <w:jc w:val="both"/>
        <w:rPr>
          <w:sz w:val="24"/>
          <w:szCs w:val="24"/>
        </w:rPr>
      </w:pPr>
      <w:r>
        <w:rPr>
          <w:sz w:val="24"/>
          <w:szCs w:val="24"/>
        </w:rPr>
        <w:t>C</w:t>
      </w:r>
      <w:r w:rsidR="00FE6855">
        <w:rPr>
          <w:sz w:val="24"/>
          <w:szCs w:val="24"/>
        </w:rPr>
        <w:t>ommunication</w:t>
      </w:r>
      <w:r w:rsidR="00896A01">
        <w:rPr>
          <w:sz w:val="24"/>
          <w:szCs w:val="24"/>
        </w:rPr>
        <w:t xml:space="preserve"> and </w:t>
      </w:r>
      <w:r>
        <w:rPr>
          <w:sz w:val="24"/>
          <w:szCs w:val="24"/>
        </w:rPr>
        <w:t>C</w:t>
      </w:r>
      <w:r w:rsidR="00FE6855">
        <w:rPr>
          <w:sz w:val="24"/>
          <w:szCs w:val="24"/>
        </w:rPr>
        <w:t>ounselling</w:t>
      </w:r>
    </w:p>
    <w:p w14:paraId="1F89F6E4" w14:textId="2D2EFD74" w:rsidR="00FE6855" w:rsidRDefault="0072497F" w:rsidP="005919AF">
      <w:pPr>
        <w:pStyle w:val="Body"/>
        <w:spacing w:before="200" w:line="360" w:lineRule="auto"/>
        <w:jc w:val="both"/>
        <w:rPr>
          <w:sz w:val="24"/>
          <w:szCs w:val="24"/>
        </w:rPr>
      </w:pPr>
      <w:r>
        <w:rPr>
          <w:sz w:val="24"/>
          <w:szCs w:val="24"/>
        </w:rPr>
        <w:t>D</w:t>
      </w:r>
      <w:r w:rsidR="008A0222">
        <w:rPr>
          <w:sz w:val="24"/>
          <w:szCs w:val="24"/>
        </w:rPr>
        <w:t>ue date 15 December 2023</w:t>
      </w:r>
    </w:p>
    <w:p w14:paraId="211B5106" w14:textId="77777777" w:rsidR="00C85854" w:rsidRDefault="00C85854" w:rsidP="006D4C5A">
      <w:pPr>
        <w:pStyle w:val="Body"/>
        <w:spacing w:before="200" w:line="360" w:lineRule="auto"/>
        <w:jc w:val="both"/>
        <w:rPr>
          <w:sz w:val="24"/>
          <w:szCs w:val="24"/>
        </w:rPr>
      </w:pPr>
    </w:p>
    <w:p w14:paraId="10141E47" w14:textId="77777777" w:rsidR="00C85854" w:rsidRDefault="00C85854" w:rsidP="006D4C5A">
      <w:pPr>
        <w:pStyle w:val="Body"/>
        <w:spacing w:before="200" w:line="360" w:lineRule="auto"/>
        <w:jc w:val="both"/>
        <w:rPr>
          <w:sz w:val="24"/>
          <w:szCs w:val="24"/>
        </w:rPr>
      </w:pPr>
    </w:p>
    <w:p w14:paraId="47DD15AD" w14:textId="77777777" w:rsidR="00C85854" w:rsidRDefault="00C85854" w:rsidP="006D4C5A">
      <w:pPr>
        <w:pStyle w:val="Body"/>
        <w:spacing w:before="200" w:line="360" w:lineRule="auto"/>
        <w:jc w:val="both"/>
        <w:rPr>
          <w:sz w:val="24"/>
          <w:szCs w:val="24"/>
        </w:rPr>
      </w:pPr>
    </w:p>
    <w:p w14:paraId="07DCE9F7" w14:textId="77777777" w:rsidR="00C85854" w:rsidRDefault="00C85854" w:rsidP="006D4C5A">
      <w:pPr>
        <w:pStyle w:val="Body"/>
        <w:spacing w:before="200" w:line="360" w:lineRule="auto"/>
        <w:jc w:val="both"/>
        <w:rPr>
          <w:sz w:val="24"/>
          <w:szCs w:val="24"/>
        </w:rPr>
      </w:pPr>
    </w:p>
    <w:p w14:paraId="3B76A8AF" w14:textId="2289959D" w:rsidR="002E2C9E" w:rsidRDefault="005B4DA6" w:rsidP="006D4C5A">
      <w:pPr>
        <w:pStyle w:val="Body"/>
        <w:spacing w:before="200" w:line="360" w:lineRule="auto"/>
        <w:jc w:val="both"/>
        <w:rPr>
          <w:sz w:val="24"/>
          <w:szCs w:val="24"/>
        </w:rPr>
      </w:pPr>
      <w:r>
        <w:rPr>
          <w:sz w:val="24"/>
          <w:szCs w:val="24"/>
        </w:rPr>
        <w:t>This essay compares three counselling theories that are used within counselling practice to identify the advantages and disadvantages of these counselling theories and the evidence in clinical practice related to the efficacy of these theories. The three theories selected for this essay are: Humanistic, Cognitive Behavioral</w:t>
      </w:r>
      <w:r>
        <w:rPr>
          <w:sz w:val="24"/>
          <w:szCs w:val="24"/>
        </w:rPr>
        <w:t xml:space="preserve"> and Psychoanalytic therapy. The essay also engages with the principle of autonomy within the BACP (British Association of Counsellors and Psychotherapists) framework (BACP, 2018) by referring to its importance within counselling practice.</w:t>
      </w:r>
    </w:p>
    <w:p w14:paraId="52321DCF" w14:textId="173B65CF" w:rsidR="002E2C9E" w:rsidRDefault="005B4DA6" w:rsidP="006D4C5A">
      <w:pPr>
        <w:pStyle w:val="Body"/>
        <w:spacing w:before="200" w:line="360" w:lineRule="auto"/>
        <w:jc w:val="both"/>
        <w:rPr>
          <w:sz w:val="24"/>
          <w:szCs w:val="24"/>
          <w:u w:color="000000"/>
        </w:rPr>
      </w:pPr>
      <w:r>
        <w:rPr>
          <w:sz w:val="24"/>
          <w:szCs w:val="24"/>
        </w:rPr>
        <w:t>Humanistic theory is focused</w:t>
      </w:r>
      <w:r>
        <w:rPr>
          <w:sz w:val="24"/>
          <w:szCs w:val="24"/>
        </w:rPr>
        <w:t xml:space="preserve"> on the need for the person to be more active in their own therapy under the </w:t>
      </w:r>
      <w:r>
        <w:rPr>
          <w:sz w:val="24"/>
          <w:szCs w:val="24"/>
          <w:u w:color="000000"/>
        </w:rPr>
        <w:t>belief that the ability to understand oneself better in order to fix or address what underlying problems they face in their mental health. Humanistic therapies focus on self-realization</w:t>
      </w:r>
      <w:r>
        <w:rPr>
          <w:sz w:val="24"/>
          <w:szCs w:val="24"/>
          <w:u w:color="000000"/>
        </w:rPr>
        <w:t xml:space="preserve"> for the person who is undergoing the therapy so that the person also becomes central to the process of therapy (Wheeler, 2012). Sigmund</w:t>
      </w:r>
      <w:r w:rsidRPr="006D4C5A">
        <w:rPr>
          <w:color w:val="000000" w:themeColor="text1"/>
          <w:sz w:val="24"/>
          <w:szCs w:val="24"/>
          <w:u w:color="000000"/>
        </w:rPr>
        <w:t xml:space="preserve"> Freud (1923)</w:t>
      </w:r>
      <w:r>
        <w:rPr>
          <w:sz w:val="24"/>
          <w:szCs w:val="24"/>
          <w:u w:color="000000"/>
        </w:rPr>
        <w:t>, whose theory is otherwise aligned to the psychoanalytic theory, also emphasized</w:t>
      </w:r>
      <w:r>
        <w:rPr>
          <w:sz w:val="24"/>
          <w:szCs w:val="24"/>
          <w:u w:color="000000"/>
        </w:rPr>
        <w:t xml:space="preserve"> on self-realization</w:t>
      </w:r>
      <w:r>
        <w:rPr>
          <w:sz w:val="24"/>
          <w:szCs w:val="24"/>
          <w:u w:color="000000"/>
        </w:rPr>
        <w:t xml:space="preserve"> since one of the reasons for development of the mental problems is related to repression of memories by the repressor. Humanistic therapies focus on encouraging people to gain better insight into their inner self and memories so as to be able to better understand oneself and emotions and create choices related to </w:t>
      </w:r>
      <w:r>
        <w:rPr>
          <w:sz w:val="24"/>
          <w:szCs w:val="24"/>
          <w:u w:color="000000"/>
        </w:rPr>
        <w:lastRenderedPageBreak/>
        <w:t>their therapy and treatment (Wheeler, 2012). When humanistic theory first developed in the 1960s, it was</w:t>
      </w:r>
      <w:r>
        <w:rPr>
          <w:sz w:val="24"/>
          <w:szCs w:val="24"/>
          <w:u w:color="000000"/>
        </w:rPr>
        <w:t xml:space="preserve"> a critique of the dominant mainstream psychology of the time (Hoffman, Cleare-Hoffman, &amp; Jackson, 2014). </w:t>
      </w:r>
    </w:p>
    <w:p w14:paraId="67AE7F0A" w14:textId="07FE5F36" w:rsidR="002E2C9E" w:rsidRDefault="005B4DA6" w:rsidP="006D4C5A">
      <w:pPr>
        <w:pStyle w:val="Body"/>
        <w:spacing w:before="200" w:line="360" w:lineRule="auto"/>
        <w:jc w:val="both"/>
        <w:rPr>
          <w:sz w:val="24"/>
          <w:szCs w:val="24"/>
          <w:u w:color="000000"/>
        </w:rPr>
      </w:pPr>
      <w:r>
        <w:rPr>
          <w:sz w:val="24"/>
          <w:szCs w:val="24"/>
          <w:u w:color="000000"/>
        </w:rPr>
        <w:t>The strength of humanistic theory is that it is more holistic and is contrary to the reductionism of traditional psychology and in that sense, it is the antithesis of mechanistic and reductionistic approaches (Serlin, Anastos</w:t>
      </w:r>
      <w:r>
        <w:rPr>
          <w:sz w:val="24"/>
          <w:szCs w:val="24"/>
          <w:u w:color="000000"/>
        </w:rPr>
        <w:t>, &amp; Greening, 2000). However, the critique of humanistic approach is that it is not able to encompass the individual experience because its values and ideas are based on universalist or collectivist approach (Pederson, 1991). In clinical settings, where therapists are increasingly working with patients that come from diverse backgrounds, humanistic therapy is challenged by multiculturalism, which posits that all human behavior</w:t>
      </w:r>
      <w:r>
        <w:rPr>
          <w:sz w:val="24"/>
          <w:szCs w:val="24"/>
          <w:u w:color="000000"/>
        </w:rPr>
        <w:t xml:space="preserve"> is learned and expressed within cultural contexts (Hocoy, 2019). Humanistic therapy is largely informed by American and European knowledge,</w:t>
      </w:r>
      <w:r>
        <w:rPr>
          <w:sz w:val="24"/>
          <w:szCs w:val="24"/>
          <w:u w:color="000000"/>
        </w:rPr>
        <w:t xml:space="preserve"> and it is increasingly seen as culture blind and unable to respond effectively when it misinterprets or ignores important cultural information that the therapist may not be able to understand (Hocoy, 2019). Hoffman, Cleare-Hoffman,</w:t>
      </w:r>
      <w:r>
        <w:rPr>
          <w:sz w:val="24"/>
          <w:szCs w:val="24"/>
          <w:u w:color="000000"/>
        </w:rPr>
        <w:t xml:space="preserve"> and Jackson (2014) identify three challenges for humanistic therapy: reducing diversity to tokenism; not including diversity of ideas and epistemologies; strong resistance to change when faced with challenge to a value of humanistic psychology. Thus, while the humanistic approach may be useful for placing the individual at the Centre</w:t>
      </w:r>
      <w:r>
        <w:rPr>
          <w:sz w:val="24"/>
          <w:szCs w:val="24"/>
          <w:u w:color="000000"/>
        </w:rPr>
        <w:t xml:space="preserve"> of his own therapy by focusing on self-realization</w:t>
      </w:r>
      <w:r>
        <w:rPr>
          <w:sz w:val="24"/>
          <w:szCs w:val="24"/>
          <w:u w:color="000000"/>
        </w:rPr>
        <w:t>, the problem that it faces is related to the resistance to change in the event of challenge to its core values.</w:t>
      </w:r>
    </w:p>
    <w:p w14:paraId="2C4C919A" w14:textId="3DAAFFD1" w:rsidR="002E2C9E" w:rsidRDefault="005B4DA6" w:rsidP="006D4C5A">
      <w:pPr>
        <w:pStyle w:val="Body"/>
        <w:spacing w:before="200" w:line="360" w:lineRule="auto"/>
        <w:jc w:val="both"/>
        <w:rPr>
          <w:sz w:val="24"/>
          <w:szCs w:val="24"/>
          <w:u w:color="000000"/>
        </w:rPr>
      </w:pPr>
      <w:r>
        <w:rPr>
          <w:sz w:val="24"/>
          <w:szCs w:val="24"/>
          <w:u w:color="000000"/>
        </w:rPr>
        <w:t>Psychoanalytic psychotherapy is focused</w:t>
      </w:r>
      <w:r>
        <w:rPr>
          <w:sz w:val="24"/>
          <w:szCs w:val="24"/>
          <w:u w:color="000000"/>
        </w:rPr>
        <w:t xml:space="preserve"> on the role of the therapist, as opposed to the humanistic therapy focused</w:t>
      </w:r>
      <w:r>
        <w:rPr>
          <w:sz w:val="24"/>
          <w:szCs w:val="24"/>
          <w:u w:color="000000"/>
        </w:rPr>
        <w:t xml:space="preserve"> on the role of the patient; psychoanalytic psychotherapy is concerned with revealing the hidden meanings or patterns in the speech that the patient employs in therapy by talking through the possible meanings of the talking points or the revealed thoughts of the patient (Lemma, 2015). The focus of the psychoanalytical therapist is to try to bring to fore the unconscious material that the patient is revealing through speech patterns with the aim of enhancement of ego function of the patient. The development </w:t>
      </w:r>
      <w:r>
        <w:rPr>
          <w:sz w:val="24"/>
          <w:szCs w:val="24"/>
          <w:u w:color="000000"/>
        </w:rPr>
        <w:t xml:space="preserve">of this therapy was done on the basis of the works of Freud (1923) who was concerned with revealing the unconscious feelings </w:t>
      </w:r>
      <w:r>
        <w:rPr>
          <w:sz w:val="24"/>
          <w:szCs w:val="24"/>
          <w:u w:color="000000"/>
        </w:rPr>
        <w:lastRenderedPageBreak/>
        <w:t>and memories of the patient. Klein (1955) built on the Freudian theory by focusing on the exploration and adding to it the central role of the therapist in exploring the unconscious and interpreting the transference of the meanings to the patient (Klein, 1955). Thus, one aspect of the psychoanalytical therapy is to convey the analyst’s understanding to the patient (Ogden, 2019). Freud</w:t>
      </w:r>
      <w:r>
        <w:rPr>
          <w:sz w:val="24"/>
          <w:szCs w:val="24"/>
          <w:u w:color="000000"/>
        </w:rPr>
        <w:t xml:space="preserve"> (1923), whose work is the basis for the development of the psychoanalytical theory, emphasized</w:t>
      </w:r>
      <w:r>
        <w:rPr>
          <w:sz w:val="24"/>
          <w:szCs w:val="24"/>
          <w:u w:color="000000"/>
        </w:rPr>
        <w:t xml:space="preserve"> on the importance of the subconscious while also emphasizing</w:t>
      </w:r>
      <w:r>
        <w:rPr>
          <w:sz w:val="24"/>
          <w:szCs w:val="24"/>
          <w:u w:color="000000"/>
        </w:rPr>
        <w:t xml:space="preserve"> on the need to avoid construction of conscious expectations (Freud, 1923). </w:t>
      </w:r>
    </w:p>
    <w:p w14:paraId="107A9B2A" w14:textId="50FBDC57" w:rsidR="002E2C9E" w:rsidRDefault="005B4DA6" w:rsidP="006D4C5A">
      <w:pPr>
        <w:pStyle w:val="Body"/>
        <w:spacing w:before="200" w:line="360" w:lineRule="auto"/>
        <w:jc w:val="both"/>
        <w:rPr>
          <w:sz w:val="24"/>
          <w:szCs w:val="24"/>
          <w:u w:color="000000"/>
        </w:rPr>
      </w:pPr>
      <w:r>
        <w:rPr>
          <w:sz w:val="24"/>
          <w:szCs w:val="24"/>
          <w:u w:color="000000"/>
        </w:rPr>
        <w:t>The role that the therapist may play in the therapy intervention adopted is a matter of some discussion within the field of psychoanalytical theory because the question is how far the therapist should</w:t>
      </w:r>
      <w:r>
        <w:rPr>
          <w:sz w:val="24"/>
          <w:szCs w:val="24"/>
          <w:u w:color="000000"/>
        </w:rPr>
        <w:t xml:space="preserve"> be involved in construction of the meanings of the revealed unconsciousness of the patient. Indeed, this question is also a crucial difference between the humanistic therapy and psychoanalytical therapy since the former focusses on the central role of the patient whereas psychoanalytical theory focusses on the central role of the therapist. Within the field of psychoanalytical theory as well there are some differences on the centrality of the role of the patient or the therapist in deriving meaning out of </w:t>
      </w:r>
      <w:r>
        <w:rPr>
          <w:sz w:val="24"/>
          <w:szCs w:val="24"/>
          <w:u w:color="000000"/>
        </w:rPr>
        <w:t>the unconsciousness. In psychoanalytical psychotherapy, there can be a difference between epistemological psychoanalysis (knowing and understanding) and ontological psychoanalysis (being and becoming) (Ogden, 2019). Ontological psychoanalysis may ask questions of the patient related to being and becoming, for example, “What do you want to be when you grow up” (Ogden, 2019). A psychologist who is applying psychoanalysis may seek to develop knowledge about  what an individual wants to be and then facilitate t</w:t>
      </w:r>
      <w:r>
        <w:rPr>
          <w:sz w:val="24"/>
          <w:szCs w:val="24"/>
          <w:u w:color="000000"/>
        </w:rPr>
        <w:t>he efforts of the patient to achieving that sense of ‘being or becoming’ (Winnicott, 1969). When a therapist takes this ontological psychoanalysis route, they would be more wary about involving themselves in conveying their own interpretation to the patient. Instead, they will wait for the patient to develop an understanding of</w:t>
      </w:r>
      <w:r>
        <w:rPr>
          <w:sz w:val="24"/>
          <w:szCs w:val="24"/>
          <w:u w:color="000000"/>
        </w:rPr>
        <w:t xml:space="preserve"> themselves so that they can be involved in a deeper change in themselves. This has implications for the intervention adopted by the therapist in the psychoanalytical theoretical framework; an epistemological therapist may be more interested in being involved in the </w:t>
      </w:r>
      <w:r>
        <w:rPr>
          <w:sz w:val="24"/>
          <w:szCs w:val="24"/>
          <w:u w:color="000000"/>
        </w:rPr>
        <w:t xml:space="preserve">interpretation of the unconsciousness and conveying the interpretation to the patient whereas an ontological therapist will wait for the patient to </w:t>
      </w:r>
      <w:r>
        <w:rPr>
          <w:sz w:val="24"/>
          <w:szCs w:val="24"/>
          <w:u w:color="000000"/>
        </w:rPr>
        <w:lastRenderedPageBreak/>
        <w:t xml:space="preserve">become involved in this meaning making process before conveying their own meanings or interpretations to the patient (Ogden, 2019). </w:t>
      </w:r>
    </w:p>
    <w:p w14:paraId="4A9F420B" w14:textId="1EB7DCFF" w:rsidR="002E2C9E" w:rsidRDefault="005B4DA6" w:rsidP="006D4C5A">
      <w:pPr>
        <w:pStyle w:val="Body"/>
        <w:spacing w:before="200" w:line="360" w:lineRule="auto"/>
        <w:jc w:val="both"/>
        <w:rPr>
          <w:sz w:val="24"/>
          <w:szCs w:val="24"/>
          <w:u w:color="000000"/>
        </w:rPr>
      </w:pPr>
      <w:r>
        <w:rPr>
          <w:sz w:val="24"/>
          <w:szCs w:val="24"/>
          <w:u w:color="000000"/>
        </w:rPr>
        <w:t>One critique of the psychoanalytical theory is that there is a possibility of therapists in this tradition thinking that they can know more about the patients’ minds than the patients themselves (Lemma, 2015, p. 10). This may seem to be oppressive to the patient. This is not a critique that may be generally applied to humanistic therapy since that is focused</w:t>
      </w:r>
      <w:r>
        <w:rPr>
          <w:sz w:val="24"/>
          <w:szCs w:val="24"/>
          <w:u w:color="000000"/>
        </w:rPr>
        <w:t xml:space="preserve"> on self-realization</w:t>
      </w:r>
      <w:r>
        <w:rPr>
          <w:sz w:val="24"/>
          <w:szCs w:val="24"/>
          <w:u w:color="000000"/>
        </w:rPr>
        <w:t xml:space="preserve"> instead of the therapist interpreting the meanings of the unconsciousness of the patient. </w:t>
      </w:r>
    </w:p>
    <w:p w14:paraId="5AB58B24" w14:textId="660BEBE8" w:rsidR="002E2C9E" w:rsidRDefault="005B4DA6" w:rsidP="006D4C5A">
      <w:pPr>
        <w:pStyle w:val="Body"/>
        <w:spacing w:before="200" w:line="360" w:lineRule="auto"/>
        <w:jc w:val="both"/>
        <w:rPr>
          <w:sz w:val="24"/>
          <w:szCs w:val="24"/>
          <w:u w:color="000000"/>
        </w:rPr>
      </w:pPr>
      <w:r>
        <w:rPr>
          <w:sz w:val="24"/>
          <w:szCs w:val="24"/>
          <w:u w:color="000000"/>
        </w:rPr>
        <w:t>Cognitive Behavioral</w:t>
      </w:r>
      <w:r>
        <w:rPr>
          <w:sz w:val="24"/>
          <w:szCs w:val="24"/>
          <w:u w:color="000000"/>
        </w:rPr>
        <w:t xml:space="preserve"> Therapy (CBT) is a structured therapeutic approach where the therapist is involved in the exploration of the links between the patients’ thoughts, emotions and behavior</w:t>
      </w:r>
      <w:r>
        <w:rPr>
          <w:sz w:val="24"/>
          <w:szCs w:val="24"/>
          <w:u w:color="000000"/>
        </w:rPr>
        <w:t xml:space="preserve"> with the idea of developing more adaptive cognitions and behaviors</w:t>
      </w:r>
      <w:r>
        <w:rPr>
          <w:sz w:val="24"/>
          <w:szCs w:val="24"/>
          <w:u w:color="000000"/>
        </w:rPr>
        <w:t xml:space="preserve"> (Fenn &amp; Byrne, 2013). CBT therapy focusses on helping patients engage with current ways of thinking and behaving and</w:t>
      </w:r>
      <w:r>
        <w:rPr>
          <w:sz w:val="24"/>
          <w:szCs w:val="24"/>
          <w:u w:color="000000"/>
        </w:rPr>
        <w:t xml:space="preserve"> helping them to adapt to better behavior</w:t>
      </w:r>
      <w:r>
        <w:rPr>
          <w:sz w:val="24"/>
          <w:szCs w:val="24"/>
          <w:u w:color="000000"/>
        </w:rPr>
        <w:t xml:space="preserve"> or change their harmful behavior</w:t>
      </w:r>
      <w:r>
        <w:rPr>
          <w:sz w:val="24"/>
          <w:szCs w:val="24"/>
          <w:u w:color="000000"/>
        </w:rPr>
        <w:t xml:space="preserve"> by developing strategies and techniques (Fenn &amp; Byrne, 2013). Beck (1964) developed CBT on the premise that people develop emotions and behaviors</w:t>
      </w:r>
      <w:r>
        <w:rPr>
          <w:sz w:val="24"/>
          <w:szCs w:val="24"/>
          <w:u w:color="000000"/>
        </w:rPr>
        <w:t xml:space="preserve"> due to their perceptions of events. Core beliefs, dysfunctional assumptions, and negative automatic thoughts can lead people to respond to events with negative thoughts and behaviors</w:t>
      </w:r>
      <w:r>
        <w:rPr>
          <w:sz w:val="24"/>
          <w:szCs w:val="24"/>
          <w:u w:color="000000"/>
        </w:rPr>
        <w:t xml:space="preserve"> because of their own perceptions. CBT has been used with children and adolescents with depression as per guidance of National Institute for Clinical Excellence (NICE) and the Department of Health (Pile, Shammas &amp; Smith, 2020). These therapies have been found to be effective in reducing harmful and negative behavior</w:t>
      </w:r>
      <w:r>
        <w:rPr>
          <w:sz w:val="24"/>
          <w:szCs w:val="24"/>
          <w:u w:color="000000"/>
        </w:rPr>
        <w:t xml:space="preserve"> patterns in students with depressive symptoms in UK schools by helping students develop adaptive cognitions and behaviors</w:t>
      </w:r>
      <w:r>
        <w:rPr>
          <w:sz w:val="24"/>
          <w:szCs w:val="24"/>
          <w:u w:color="000000"/>
        </w:rPr>
        <w:t xml:space="preserve"> (Stallard et al, 2012). </w:t>
      </w:r>
    </w:p>
    <w:p w14:paraId="01A7DA8B" w14:textId="77777777" w:rsidR="002E2C9E" w:rsidRDefault="005B4DA6" w:rsidP="006D4C5A">
      <w:pPr>
        <w:pStyle w:val="Body"/>
        <w:spacing w:before="200" w:line="360" w:lineRule="auto"/>
        <w:jc w:val="both"/>
        <w:rPr>
          <w:sz w:val="24"/>
          <w:szCs w:val="24"/>
          <w:u w:color="000000"/>
        </w:rPr>
      </w:pPr>
      <w:r>
        <w:rPr>
          <w:sz w:val="24"/>
          <w:szCs w:val="24"/>
          <w:u w:color="000000"/>
        </w:rPr>
        <w:t xml:space="preserve">Benefits of CBT are found in long term outcomes for depressed patients due to lesser chance of relapse than treatments with anti-depressant medication (Dobson et al., 2008). CBT is also considered to be cost-effective since its application avoids the otherwise cumulative cost of medications in the long term (Dobson et al., 2008). The provoked with CBT is that its efficacy depends on the acceptance to the treatment by the patient since there may be patients who refuse </w:t>
      </w:r>
      <w:r>
        <w:rPr>
          <w:sz w:val="24"/>
          <w:szCs w:val="24"/>
          <w:u w:color="000000"/>
        </w:rPr>
        <w:lastRenderedPageBreak/>
        <w:t xml:space="preserve">to engage in this form of therapy (Foster &amp; Banes, 2009).  When patients resist CBT, its application and effectiveness is compromised (Westra, 2004). </w:t>
      </w:r>
    </w:p>
    <w:p w14:paraId="1F77C0A5" w14:textId="3A7ED664" w:rsidR="002E2C9E" w:rsidRDefault="005B4DA6" w:rsidP="006D4C5A">
      <w:pPr>
        <w:pStyle w:val="Body"/>
        <w:spacing w:before="200" w:line="360" w:lineRule="auto"/>
        <w:jc w:val="both"/>
        <w:rPr>
          <w:sz w:val="24"/>
          <w:szCs w:val="24"/>
        </w:rPr>
      </w:pPr>
      <w:r>
        <w:rPr>
          <w:sz w:val="24"/>
          <w:szCs w:val="24"/>
          <w:u w:color="000000"/>
        </w:rPr>
        <w:t>The BACP (2018)</w:t>
      </w:r>
      <w:r>
        <w:rPr>
          <w:sz w:val="24"/>
          <w:szCs w:val="24"/>
        </w:rPr>
        <w:t> provides the ‘Ethical Framework for the Counselling Professions’ and one of the ethical principles that have been adopted by them is the principle of autonomy, which is defined as “respect for the client</w:t>
      </w:r>
      <w:r>
        <w:rPr>
          <w:sz w:val="24"/>
          <w:szCs w:val="24"/>
          <w:rtl/>
        </w:rPr>
        <w:t>’</w:t>
      </w:r>
      <w:r>
        <w:rPr>
          <w:sz w:val="24"/>
          <w:szCs w:val="24"/>
        </w:rPr>
        <w:t>s right to be self-governing.” Along with this, there are two specific “personal qualities to which members and registrants are strongly encouraged to aspire”, which can also be related to the development of respect for autonomy of the patient (</w:t>
      </w:r>
      <w:r>
        <w:rPr>
          <w:sz w:val="24"/>
          <w:szCs w:val="24"/>
          <w:u w:color="000000"/>
        </w:rPr>
        <w:t>BACP, 2018)</w:t>
      </w:r>
      <w:r>
        <w:rPr>
          <w:sz w:val="24"/>
          <w:szCs w:val="24"/>
        </w:rPr>
        <w:t>. These are: identity, which is defined as a “sense</w:t>
      </w:r>
      <w:r>
        <w:rPr>
          <w:sz w:val="24"/>
          <w:szCs w:val="24"/>
        </w:rPr>
        <w:t xml:space="preserve"> of self in relationship to others that forms the basis of responsibility, resilience and motivation” and respect, which is defined as “showing appropriate esteem for people and their understanding of themselves” (</w:t>
      </w:r>
      <w:r>
        <w:rPr>
          <w:sz w:val="24"/>
          <w:szCs w:val="24"/>
          <w:u w:color="000000"/>
        </w:rPr>
        <w:t>BACP, 2018)</w:t>
      </w:r>
      <w:r>
        <w:rPr>
          <w:sz w:val="24"/>
          <w:szCs w:val="24"/>
        </w:rPr>
        <w:t>. It can be argued that these principles and qualities are central to the development of a practice of therapy, which is not oppressive,</w:t>
      </w:r>
      <w:r>
        <w:rPr>
          <w:sz w:val="24"/>
          <w:szCs w:val="24"/>
        </w:rPr>
        <w:t xml:space="preserve"> and which encompasses the will and the values of the patient in the process. Beauchamp and Childress (2019) define the</w:t>
      </w:r>
      <w:r>
        <w:rPr>
          <w:sz w:val="24"/>
          <w:szCs w:val="24"/>
          <w:u w:color="000000"/>
        </w:rPr>
        <w:t xml:space="preserve"> </w:t>
      </w:r>
      <w:r>
        <w:rPr>
          <w:sz w:val="24"/>
          <w:szCs w:val="24"/>
        </w:rPr>
        <w:t>principle of autonomy as one that requires medical professionals to facilitate independent decision making by the patients. This approach is therefore based on encouraging people to come to decisions based on their beliefs, knowledge, and awareness (</w:t>
      </w:r>
      <w:r>
        <w:rPr>
          <w:sz w:val="24"/>
          <w:szCs w:val="24"/>
          <w:lang w:val="fr-FR"/>
        </w:rPr>
        <w:t>Beauchamp</w:t>
      </w:r>
      <w:r>
        <w:rPr>
          <w:sz w:val="24"/>
          <w:szCs w:val="24"/>
        </w:rPr>
        <w:t xml:space="preserve">, 2007). </w:t>
      </w:r>
    </w:p>
    <w:p w14:paraId="50262B9F" w14:textId="3BE0F2E6" w:rsidR="002E2C9E" w:rsidRDefault="005B4DA6" w:rsidP="006D4C5A">
      <w:pPr>
        <w:pStyle w:val="Body"/>
        <w:spacing w:before="200" w:line="360" w:lineRule="auto"/>
        <w:jc w:val="both"/>
        <w:rPr>
          <w:sz w:val="24"/>
          <w:szCs w:val="24"/>
        </w:rPr>
      </w:pPr>
      <w:r>
        <w:rPr>
          <w:sz w:val="24"/>
          <w:szCs w:val="24"/>
        </w:rPr>
        <w:t>While autonomy is important, it is also worthwhile to note that given that mental health may compromise the ability of the individual to make decisions for themselves, there may be circumstances where autonomy may not be possible to protect. Nevertheless, the way the duties and responsibility of mental health professionals and psychologists are structured under the law and policy, there is an emphasis on allowing people to exercise their autonomy unless it can be proved that they lack capacity to make decis</w:t>
      </w:r>
      <w:r>
        <w:rPr>
          <w:sz w:val="24"/>
          <w:szCs w:val="24"/>
        </w:rPr>
        <w:t>ions. Capacity is a legal concept, which protects the autonomy of the patient,</w:t>
      </w:r>
      <w:r>
        <w:rPr>
          <w:sz w:val="24"/>
          <w:szCs w:val="24"/>
        </w:rPr>
        <w:t xml:space="preserve"> but which also provides for contexts in which the patient may not be allowed to make decisions for themselves when they do not have the capacity to understand important information related to the decision or to express their decision (</w:t>
      </w:r>
      <w:r>
        <w:rPr>
          <w:sz w:val="24"/>
          <w:szCs w:val="24"/>
          <w:lang w:val="de-DE"/>
        </w:rPr>
        <w:t>Applebaum</w:t>
      </w:r>
      <w:r>
        <w:rPr>
          <w:sz w:val="24"/>
          <w:szCs w:val="24"/>
        </w:rPr>
        <w:t xml:space="preserve">, 2007). Therefore, the only reasons why psychologists may be required to not take into consideration the values, ideas, and opinions of the patients is where the patient does not have the capacity in the </w:t>
      </w:r>
      <w:r>
        <w:rPr>
          <w:sz w:val="24"/>
          <w:szCs w:val="24"/>
        </w:rPr>
        <w:lastRenderedPageBreak/>
        <w:t>legal sense (Applebaum, 2007). Relating this back to the thera</w:t>
      </w:r>
      <w:r>
        <w:rPr>
          <w:sz w:val="24"/>
          <w:szCs w:val="24"/>
        </w:rPr>
        <w:t>pies and theories discussed in this essay, each of the three therapeutical approaches allow for the respect of autonomy of the patient. The humanistic approach is more focused</w:t>
      </w:r>
      <w:r>
        <w:rPr>
          <w:sz w:val="24"/>
          <w:szCs w:val="24"/>
        </w:rPr>
        <w:t xml:space="preserve"> on self-realization</w:t>
      </w:r>
      <w:r>
        <w:rPr>
          <w:sz w:val="24"/>
          <w:szCs w:val="24"/>
        </w:rPr>
        <w:t>, and therefore there is greater emphasis on the role of the patient. CBT seeks to help the patient develop adaptive techniques so that they can control or avoid behaviors</w:t>
      </w:r>
      <w:r>
        <w:rPr>
          <w:sz w:val="24"/>
          <w:szCs w:val="24"/>
        </w:rPr>
        <w:t xml:space="preserve"> or cognition that is leading to harmful or negative effects for themselves. Psychoanalytical theory is focused</w:t>
      </w:r>
      <w:r>
        <w:rPr>
          <w:sz w:val="24"/>
          <w:szCs w:val="24"/>
        </w:rPr>
        <w:t xml:space="preserve"> on using the unconsciousness of the patient to understand their behavior</w:t>
      </w:r>
      <w:r>
        <w:rPr>
          <w:sz w:val="24"/>
          <w:szCs w:val="24"/>
        </w:rPr>
        <w:t xml:space="preserve"> and feelings and helping patients develop their own strategies and ways to adapt to better cognition and behaviour. In each therapy, it is important to respect the patient. </w:t>
      </w:r>
    </w:p>
    <w:p w14:paraId="63644225" w14:textId="241654D3" w:rsidR="002E2C9E" w:rsidRDefault="005B4DA6" w:rsidP="006D4C5A">
      <w:pPr>
        <w:pStyle w:val="Body"/>
        <w:spacing w:before="200" w:line="360" w:lineRule="auto"/>
        <w:jc w:val="both"/>
        <w:rPr>
          <w:sz w:val="24"/>
          <w:szCs w:val="24"/>
        </w:rPr>
      </w:pPr>
      <w:r>
        <w:rPr>
          <w:sz w:val="24"/>
          <w:szCs w:val="24"/>
        </w:rPr>
        <w:t>Therapies can be diverse because there are different theoretical traditions in psychology, which posit different values and ideas as to the role of the patient in the therapy, the role of the therapist, and the aims of the therapy. It can be concluded that each therapeutical intervention will involve certain benefits as well as certain disadvantages. The therapists must</w:t>
      </w:r>
      <w:r>
        <w:rPr>
          <w:sz w:val="24"/>
          <w:szCs w:val="24"/>
        </w:rPr>
        <w:t xml:space="preserve"> consider their own epistemological or ontological positions when they identify which therapy to adopt. In this task, therapists will be guided by principles and values such as those espoused by the BACP because this allows them to develop a practice that is ethically correct. In this essay, the respect for autonomy was identified as a principle that is central to the development of a practice that is not oppressive to the patient and that values the role and place of the patient in the therapeutical practi</w:t>
      </w:r>
      <w:r>
        <w:rPr>
          <w:sz w:val="24"/>
          <w:szCs w:val="24"/>
        </w:rPr>
        <w:t xml:space="preserve">ce. </w:t>
      </w:r>
    </w:p>
    <w:p w14:paraId="30436E19" w14:textId="77777777" w:rsidR="006D4C5A" w:rsidRDefault="006D4C5A" w:rsidP="006D4C5A">
      <w:pPr>
        <w:pStyle w:val="Body"/>
        <w:spacing w:before="200" w:line="360" w:lineRule="auto"/>
        <w:jc w:val="both"/>
        <w:rPr>
          <w:sz w:val="24"/>
          <w:szCs w:val="24"/>
        </w:rPr>
      </w:pPr>
    </w:p>
    <w:p w14:paraId="23BB5EC2" w14:textId="77777777" w:rsidR="006D4C5A" w:rsidRDefault="006D4C5A" w:rsidP="006D4C5A">
      <w:pPr>
        <w:pStyle w:val="Body"/>
        <w:spacing w:before="200" w:line="360" w:lineRule="auto"/>
        <w:jc w:val="both"/>
        <w:rPr>
          <w:sz w:val="24"/>
          <w:szCs w:val="24"/>
        </w:rPr>
      </w:pPr>
    </w:p>
    <w:p w14:paraId="315DFE78" w14:textId="77777777" w:rsidR="006D4C5A" w:rsidRDefault="006D4C5A" w:rsidP="006D4C5A">
      <w:pPr>
        <w:pStyle w:val="Body"/>
        <w:spacing w:before="200" w:line="360" w:lineRule="auto"/>
        <w:jc w:val="both"/>
        <w:rPr>
          <w:sz w:val="24"/>
          <w:szCs w:val="24"/>
        </w:rPr>
      </w:pPr>
    </w:p>
    <w:p w14:paraId="30195BD4" w14:textId="77777777" w:rsidR="006D4C5A" w:rsidRDefault="006D4C5A" w:rsidP="006D4C5A">
      <w:pPr>
        <w:pStyle w:val="Body"/>
        <w:spacing w:before="200" w:line="360" w:lineRule="auto"/>
        <w:jc w:val="both"/>
        <w:rPr>
          <w:sz w:val="24"/>
          <w:szCs w:val="24"/>
        </w:rPr>
      </w:pPr>
    </w:p>
    <w:p w14:paraId="78BB1593" w14:textId="77777777" w:rsidR="006D4C5A" w:rsidRDefault="006D4C5A" w:rsidP="006D4C5A">
      <w:pPr>
        <w:pStyle w:val="Body"/>
        <w:spacing w:before="200" w:line="360" w:lineRule="auto"/>
        <w:jc w:val="both"/>
        <w:rPr>
          <w:sz w:val="24"/>
          <w:szCs w:val="24"/>
        </w:rPr>
      </w:pPr>
    </w:p>
    <w:p w14:paraId="3E8B5136" w14:textId="77777777" w:rsidR="006D4C5A" w:rsidRDefault="006D4C5A" w:rsidP="006D4C5A">
      <w:pPr>
        <w:pStyle w:val="Body"/>
        <w:spacing w:before="200" w:line="360" w:lineRule="auto"/>
        <w:jc w:val="both"/>
        <w:rPr>
          <w:sz w:val="24"/>
          <w:szCs w:val="24"/>
        </w:rPr>
      </w:pPr>
    </w:p>
    <w:p w14:paraId="7192ECFA" w14:textId="77777777" w:rsidR="006D4C5A" w:rsidRDefault="006D4C5A" w:rsidP="006D4C5A">
      <w:pPr>
        <w:pStyle w:val="Body"/>
        <w:spacing w:before="200" w:line="360" w:lineRule="auto"/>
        <w:jc w:val="both"/>
        <w:rPr>
          <w:sz w:val="24"/>
          <w:szCs w:val="24"/>
        </w:rPr>
      </w:pPr>
    </w:p>
    <w:p w14:paraId="184A83A0" w14:textId="77777777" w:rsidR="002E2C9E" w:rsidRPr="006D4C5A" w:rsidRDefault="005B4DA6" w:rsidP="006D4C5A">
      <w:pPr>
        <w:pStyle w:val="Body"/>
        <w:spacing w:before="200" w:line="360" w:lineRule="auto"/>
        <w:jc w:val="both"/>
        <w:rPr>
          <w:b/>
          <w:bCs/>
          <w:sz w:val="24"/>
          <w:szCs w:val="24"/>
        </w:rPr>
      </w:pPr>
      <w:r w:rsidRPr="006D4C5A">
        <w:rPr>
          <w:b/>
          <w:bCs/>
          <w:sz w:val="24"/>
          <w:szCs w:val="24"/>
        </w:rPr>
        <w:t>References:</w:t>
      </w:r>
    </w:p>
    <w:p w14:paraId="7DA8401A" w14:textId="77777777" w:rsidR="002E2C9E" w:rsidRDefault="005B4DA6" w:rsidP="006D4C5A">
      <w:pPr>
        <w:pStyle w:val="Body"/>
        <w:spacing w:before="200" w:line="360" w:lineRule="auto"/>
        <w:ind w:left="567" w:hanging="567"/>
        <w:jc w:val="both"/>
        <w:rPr>
          <w:sz w:val="24"/>
          <w:szCs w:val="24"/>
        </w:rPr>
      </w:pPr>
      <w:r>
        <w:rPr>
          <w:sz w:val="24"/>
          <w:szCs w:val="24"/>
          <w:lang w:val="de-DE"/>
        </w:rPr>
        <w:t>Applebaum,</w:t>
      </w:r>
      <w:r>
        <w:rPr>
          <w:sz w:val="24"/>
          <w:szCs w:val="24"/>
        </w:rPr>
        <w:t xml:space="preserve"> P.S. (2007). Assessment of Patients</w:t>
      </w:r>
      <w:r>
        <w:rPr>
          <w:sz w:val="24"/>
          <w:szCs w:val="24"/>
          <w:rtl/>
        </w:rPr>
        <w:t xml:space="preserve">’ </w:t>
      </w:r>
      <w:r>
        <w:rPr>
          <w:sz w:val="24"/>
          <w:szCs w:val="24"/>
        </w:rPr>
        <w:t xml:space="preserve">Competence to Consent to Treatment. </w:t>
      </w:r>
      <w:r>
        <w:rPr>
          <w:i/>
          <w:iCs/>
          <w:sz w:val="24"/>
          <w:szCs w:val="24"/>
        </w:rPr>
        <w:t xml:space="preserve">N Engl J Med, </w:t>
      </w:r>
      <w:r>
        <w:rPr>
          <w:sz w:val="24"/>
          <w:szCs w:val="24"/>
        </w:rPr>
        <w:t>357 (18)</w:t>
      </w:r>
      <w:r>
        <w:rPr>
          <w:i/>
          <w:iCs/>
          <w:sz w:val="24"/>
          <w:szCs w:val="24"/>
        </w:rPr>
        <w:t>,</w:t>
      </w:r>
      <w:r>
        <w:rPr>
          <w:sz w:val="24"/>
          <w:szCs w:val="24"/>
        </w:rPr>
        <w:t xml:space="preserve"> 1834.</w:t>
      </w:r>
    </w:p>
    <w:p w14:paraId="3AB02161" w14:textId="77777777" w:rsidR="002E2C9E" w:rsidRDefault="005B4DA6" w:rsidP="006D4C5A">
      <w:pPr>
        <w:pStyle w:val="Body"/>
        <w:spacing w:before="200" w:line="360" w:lineRule="auto"/>
        <w:ind w:left="567" w:hanging="567"/>
        <w:jc w:val="both"/>
        <w:rPr>
          <w:sz w:val="24"/>
          <w:szCs w:val="24"/>
        </w:rPr>
      </w:pPr>
      <w:r>
        <w:rPr>
          <w:sz w:val="24"/>
          <w:szCs w:val="24"/>
        </w:rPr>
        <w:t xml:space="preserve">BACP. (2018). </w:t>
      </w:r>
      <w:r>
        <w:rPr>
          <w:i/>
          <w:iCs/>
          <w:sz w:val="24"/>
          <w:szCs w:val="24"/>
        </w:rPr>
        <w:t xml:space="preserve">Ethical Framework for the Counselling Professions. </w:t>
      </w:r>
      <w:r>
        <w:rPr>
          <w:sz w:val="24"/>
          <w:szCs w:val="24"/>
        </w:rPr>
        <w:t>Available at: https://www.bacp.co.uk/events-and-resources/ethics-and-standards/ethical-framework-for-the-counselling-professions/</w:t>
      </w:r>
    </w:p>
    <w:p w14:paraId="11FD4A80" w14:textId="77777777" w:rsidR="002E2C9E" w:rsidRDefault="005B4DA6" w:rsidP="006D4C5A">
      <w:pPr>
        <w:pStyle w:val="Body"/>
        <w:spacing w:before="200" w:line="360" w:lineRule="auto"/>
        <w:ind w:left="567" w:hanging="567"/>
        <w:jc w:val="both"/>
        <w:rPr>
          <w:sz w:val="24"/>
          <w:szCs w:val="24"/>
        </w:rPr>
      </w:pPr>
      <w:r>
        <w:rPr>
          <w:sz w:val="24"/>
          <w:szCs w:val="24"/>
          <w:lang w:val="fr-FR"/>
        </w:rPr>
        <w:t>Beauchamp,</w:t>
      </w:r>
      <w:r>
        <w:rPr>
          <w:sz w:val="24"/>
          <w:szCs w:val="24"/>
        </w:rPr>
        <w:t xml:space="preserve"> TL (2007). ‘The </w:t>
      </w:r>
      <w:r>
        <w:rPr>
          <w:sz w:val="24"/>
          <w:szCs w:val="24"/>
          <w:rtl/>
        </w:rPr>
        <w:t>‘</w:t>
      </w:r>
      <w:r>
        <w:rPr>
          <w:sz w:val="24"/>
          <w:szCs w:val="24"/>
          <w:lang w:val="fr-FR"/>
        </w:rPr>
        <w:t>four principles</w:t>
      </w:r>
      <w:r>
        <w:rPr>
          <w:sz w:val="24"/>
          <w:szCs w:val="24"/>
          <w:rtl/>
        </w:rPr>
        <w:t xml:space="preserve">’ </w:t>
      </w:r>
      <w:r>
        <w:rPr>
          <w:sz w:val="24"/>
          <w:szCs w:val="24"/>
        </w:rPr>
        <w:t xml:space="preserve">approach to health care ethics’. In RE Ashcroft, A Dawson, H Draper, &amp; J </w:t>
      </w:r>
      <w:r>
        <w:rPr>
          <w:sz w:val="24"/>
          <w:szCs w:val="24"/>
          <w:lang w:val="it-IT"/>
        </w:rPr>
        <w:t>McMillan</w:t>
      </w:r>
      <w:r>
        <w:rPr>
          <w:sz w:val="24"/>
          <w:szCs w:val="24"/>
        </w:rPr>
        <w:t xml:space="preserve"> (eds), </w:t>
      </w:r>
      <w:r>
        <w:rPr>
          <w:i/>
          <w:iCs/>
          <w:sz w:val="24"/>
          <w:szCs w:val="24"/>
        </w:rPr>
        <w:t>Principles of health care ethics,</w:t>
      </w:r>
      <w:r>
        <w:rPr>
          <w:sz w:val="24"/>
          <w:szCs w:val="24"/>
        </w:rPr>
        <w:t xml:space="preserve"> Wiley and Sons.</w:t>
      </w:r>
    </w:p>
    <w:p w14:paraId="3D1FD62F" w14:textId="77777777" w:rsidR="002E2C9E" w:rsidRDefault="005B4DA6" w:rsidP="006D4C5A">
      <w:pPr>
        <w:pStyle w:val="Body"/>
        <w:spacing w:before="200" w:line="360" w:lineRule="auto"/>
        <w:ind w:left="567" w:hanging="567"/>
        <w:jc w:val="both"/>
        <w:rPr>
          <w:sz w:val="24"/>
          <w:szCs w:val="24"/>
        </w:rPr>
      </w:pPr>
      <w:r>
        <w:rPr>
          <w:sz w:val="24"/>
          <w:szCs w:val="24"/>
          <w:lang w:val="fr-FR"/>
        </w:rPr>
        <w:t>Beauchamp</w:t>
      </w:r>
      <w:r>
        <w:rPr>
          <w:sz w:val="24"/>
          <w:szCs w:val="24"/>
        </w:rPr>
        <w:t xml:space="preserve">, T. and Childress, J. (2019). Principles of biomedical ethics: marking its fortieth anniversary, The American Journal of Bioethics, 19(11), 9. </w:t>
      </w:r>
    </w:p>
    <w:p w14:paraId="0968A012" w14:textId="77777777" w:rsidR="002E2C9E" w:rsidRDefault="005B4DA6" w:rsidP="006D4C5A">
      <w:pPr>
        <w:pStyle w:val="Body"/>
        <w:spacing w:before="200" w:line="360" w:lineRule="auto"/>
        <w:ind w:left="567" w:hanging="567"/>
        <w:jc w:val="both"/>
        <w:rPr>
          <w:sz w:val="24"/>
          <w:szCs w:val="24"/>
        </w:rPr>
      </w:pPr>
      <w:r>
        <w:rPr>
          <w:sz w:val="24"/>
          <w:szCs w:val="24"/>
        </w:rPr>
        <w:t>Beck, J. S. (1964). Cognitive Therapy: Basics and Beyond. New York: Guildford Press.</w:t>
      </w:r>
    </w:p>
    <w:p w14:paraId="0DD18199" w14:textId="77777777" w:rsidR="002E2C9E" w:rsidRDefault="005B4DA6" w:rsidP="006D4C5A">
      <w:pPr>
        <w:pStyle w:val="Body"/>
        <w:spacing w:before="200" w:line="360" w:lineRule="auto"/>
        <w:ind w:left="567" w:hanging="567"/>
        <w:jc w:val="both"/>
        <w:rPr>
          <w:sz w:val="24"/>
          <w:szCs w:val="24"/>
        </w:rPr>
      </w:pPr>
      <w:r>
        <w:rPr>
          <w:sz w:val="24"/>
          <w:szCs w:val="24"/>
        </w:rPr>
        <w:t>Dobson, K., Hollon, S., Dimidjian, S., Schmaling, K., Kohlenberg, R., Gallop, R., ... Jacobson, N. (2008). Randomized trial of behavioral activation, cognitive therapy, and antidepressant medication in the prevention of relapse and recurrence in major depression. Journal of Consulting and Clinical Psychology, 76, 468–477.</w:t>
      </w:r>
    </w:p>
    <w:p w14:paraId="396580C2" w14:textId="77777777" w:rsidR="002E2C9E" w:rsidRDefault="005B4DA6" w:rsidP="006D4C5A">
      <w:pPr>
        <w:pStyle w:val="Body"/>
        <w:spacing w:before="200" w:line="360" w:lineRule="auto"/>
        <w:ind w:left="567" w:hanging="567"/>
        <w:jc w:val="both"/>
        <w:rPr>
          <w:sz w:val="24"/>
          <w:szCs w:val="24"/>
        </w:rPr>
      </w:pPr>
      <w:r>
        <w:rPr>
          <w:sz w:val="24"/>
          <w:szCs w:val="24"/>
        </w:rPr>
        <w:t xml:space="preserve">Fenn, K., &amp; Byrne, M. (2013). The key principles of cognitive </w:t>
      </w:r>
      <w:proofErr w:type="spellStart"/>
      <w:r>
        <w:rPr>
          <w:sz w:val="24"/>
          <w:szCs w:val="24"/>
        </w:rPr>
        <w:t>behavioural</w:t>
      </w:r>
      <w:proofErr w:type="spellEnd"/>
      <w:r>
        <w:rPr>
          <w:sz w:val="24"/>
          <w:szCs w:val="24"/>
        </w:rPr>
        <w:t xml:space="preserve"> therapy. </w:t>
      </w:r>
      <w:r>
        <w:rPr>
          <w:i/>
          <w:iCs/>
          <w:sz w:val="24"/>
          <w:szCs w:val="24"/>
          <w:lang w:val="it-IT"/>
        </w:rPr>
        <w:t>InnovAiT</w:t>
      </w:r>
      <w:r>
        <w:rPr>
          <w:sz w:val="24"/>
          <w:szCs w:val="24"/>
        </w:rPr>
        <w:t>, </w:t>
      </w:r>
      <w:r>
        <w:rPr>
          <w:i/>
          <w:iCs/>
          <w:sz w:val="24"/>
          <w:szCs w:val="24"/>
        </w:rPr>
        <w:t>6</w:t>
      </w:r>
      <w:r>
        <w:rPr>
          <w:sz w:val="24"/>
          <w:szCs w:val="24"/>
        </w:rPr>
        <w:t>(9), 579-585.</w:t>
      </w:r>
    </w:p>
    <w:p w14:paraId="06095278" w14:textId="77777777" w:rsidR="002E2C9E" w:rsidRDefault="005B4DA6" w:rsidP="006D4C5A">
      <w:pPr>
        <w:pStyle w:val="Body"/>
        <w:spacing w:before="200" w:line="360" w:lineRule="auto"/>
        <w:ind w:left="567" w:hanging="567"/>
        <w:jc w:val="both"/>
        <w:rPr>
          <w:sz w:val="24"/>
          <w:szCs w:val="24"/>
        </w:rPr>
      </w:pPr>
      <w:r>
        <w:rPr>
          <w:sz w:val="24"/>
          <w:szCs w:val="24"/>
        </w:rPr>
        <w:t xml:space="preserve">Foster, C., &amp; Banes, J. (2009). Use of a narrative therapy approach with a man with a learning disability: an alternative to cognitive </w:t>
      </w:r>
      <w:proofErr w:type="spellStart"/>
      <w:r>
        <w:rPr>
          <w:sz w:val="24"/>
          <w:szCs w:val="24"/>
        </w:rPr>
        <w:t>behavioural</w:t>
      </w:r>
      <w:proofErr w:type="spellEnd"/>
      <w:r>
        <w:rPr>
          <w:sz w:val="24"/>
          <w:szCs w:val="24"/>
        </w:rPr>
        <w:t xml:space="preserve"> therapy?. </w:t>
      </w:r>
      <w:r>
        <w:rPr>
          <w:i/>
          <w:iCs/>
          <w:sz w:val="24"/>
          <w:szCs w:val="24"/>
        </w:rPr>
        <w:t>Advances in Mental Health and Learning Disabilities</w:t>
      </w:r>
      <w:r>
        <w:rPr>
          <w:sz w:val="24"/>
          <w:szCs w:val="24"/>
        </w:rPr>
        <w:t>, </w:t>
      </w:r>
      <w:r>
        <w:rPr>
          <w:i/>
          <w:iCs/>
          <w:sz w:val="24"/>
          <w:szCs w:val="24"/>
        </w:rPr>
        <w:t>3</w:t>
      </w:r>
      <w:r>
        <w:rPr>
          <w:sz w:val="24"/>
          <w:szCs w:val="24"/>
        </w:rPr>
        <w:t>(1), 52-55.</w:t>
      </w:r>
    </w:p>
    <w:p w14:paraId="2EAD7DB7" w14:textId="77777777" w:rsidR="002E2C9E" w:rsidRDefault="005B4DA6" w:rsidP="006D4C5A">
      <w:pPr>
        <w:pStyle w:val="Body"/>
        <w:spacing w:before="200" w:line="360" w:lineRule="auto"/>
        <w:ind w:left="567" w:hanging="567"/>
        <w:jc w:val="both"/>
        <w:rPr>
          <w:sz w:val="24"/>
          <w:szCs w:val="24"/>
        </w:rPr>
      </w:pPr>
      <w:r>
        <w:rPr>
          <w:sz w:val="24"/>
          <w:szCs w:val="24"/>
        </w:rPr>
        <w:t xml:space="preserve">Freud, S. (1923). Two </w:t>
      </w:r>
      <w:proofErr w:type="spellStart"/>
      <w:r>
        <w:rPr>
          <w:sz w:val="24"/>
          <w:szCs w:val="24"/>
        </w:rPr>
        <w:t>encyclopaedia</w:t>
      </w:r>
      <w:proofErr w:type="spellEnd"/>
      <w:r>
        <w:rPr>
          <w:sz w:val="24"/>
          <w:szCs w:val="24"/>
        </w:rPr>
        <w:t xml:space="preserve"> articles. S.E. 18.</w:t>
      </w:r>
    </w:p>
    <w:p w14:paraId="50BCB131" w14:textId="77777777" w:rsidR="002E2C9E" w:rsidRDefault="005B4DA6" w:rsidP="006D4C5A">
      <w:pPr>
        <w:pStyle w:val="Body"/>
        <w:spacing w:before="200" w:line="360" w:lineRule="auto"/>
        <w:ind w:left="567" w:hanging="567"/>
        <w:jc w:val="both"/>
        <w:rPr>
          <w:sz w:val="24"/>
          <w:szCs w:val="24"/>
        </w:rPr>
      </w:pPr>
      <w:r>
        <w:rPr>
          <w:sz w:val="24"/>
          <w:szCs w:val="24"/>
        </w:rPr>
        <w:t>Hocoy, D. (2019). The challenge of multiculturalism to humanistic psychology. Humanistic approaches to multiculturalism and diversity: Perspectives on existence and difference, 18-28.</w:t>
      </w:r>
    </w:p>
    <w:p w14:paraId="71E68B3A" w14:textId="77777777" w:rsidR="002E2C9E" w:rsidRDefault="005B4DA6" w:rsidP="006D4C5A">
      <w:pPr>
        <w:pStyle w:val="Body"/>
        <w:spacing w:before="200" w:line="360" w:lineRule="auto"/>
        <w:ind w:left="567" w:hanging="567"/>
        <w:jc w:val="both"/>
        <w:rPr>
          <w:sz w:val="24"/>
          <w:szCs w:val="24"/>
        </w:rPr>
      </w:pPr>
      <w:r>
        <w:rPr>
          <w:sz w:val="24"/>
          <w:szCs w:val="24"/>
        </w:rPr>
        <w:t>Hoffman, L., Cleare-Hoffman, H., &amp; Jackson, T. (2014). Humanistic psychology and multiculturalism. </w:t>
      </w:r>
      <w:r>
        <w:rPr>
          <w:i/>
          <w:iCs/>
          <w:sz w:val="24"/>
          <w:szCs w:val="24"/>
        </w:rPr>
        <w:t>The handbook of humanistic psychology</w:t>
      </w:r>
      <w:r>
        <w:rPr>
          <w:sz w:val="24"/>
          <w:szCs w:val="24"/>
        </w:rPr>
        <w:t>, 41-55.</w:t>
      </w:r>
    </w:p>
    <w:p w14:paraId="34781586" w14:textId="77777777" w:rsidR="002E2C9E" w:rsidRDefault="005B4DA6" w:rsidP="006D4C5A">
      <w:pPr>
        <w:pStyle w:val="Body"/>
        <w:spacing w:before="200" w:line="360" w:lineRule="auto"/>
        <w:ind w:left="567" w:hanging="567"/>
        <w:jc w:val="both"/>
        <w:rPr>
          <w:sz w:val="24"/>
          <w:szCs w:val="24"/>
        </w:rPr>
      </w:pPr>
      <w:r>
        <w:rPr>
          <w:sz w:val="24"/>
          <w:szCs w:val="24"/>
        </w:rPr>
        <w:t>Klein, M. (1955). The psycho-analytic play technique: its history and significance. In Envy and Gratitude and other works, 1946-1963. New York: Delacorte Press/Seymour Lawrence, pp. 122–140.</w:t>
      </w:r>
    </w:p>
    <w:p w14:paraId="7DDE8D6B" w14:textId="77777777" w:rsidR="002E2C9E" w:rsidRDefault="005B4DA6" w:rsidP="006D4C5A">
      <w:pPr>
        <w:pStyle w:val="Body"/>
        <w:spacing w:before="200" w:line="360" w:lineRule="auto"/>
        <w:ind w:left="567" w:hanging="567"/>
        <w:jc w:val="both"/>
        <w:rPr>
          <w:sz w:val="24"/>
          <w:szCs w:val="24"/>
        </w:rPr>
      </w:pPr>
      <w:r>
        <w:rPr>
          <w:sz w:val="24"/>
          <w:szCs w:val="24"/>
        </w:rPr>
        <w:t>Lemma, A. (2015). Introduction to the practice of psychoanalytic psychotherapy. John Wiley &amp; Sons.</w:t>
      </w:r>
    </w:p>
    <w:p w14:paraId="5DE4369C" w14:textId="77777777" w:rsidR="002E2C9E" w:rsidRDefault="005B4DA6" w:rsidP="006D4C5A">
      <w:pPr>
        <w:pStyle w:val="Body"/>
        <w:spacing w:before="200" w:line="360" w:lineRule="auto"/>
        <w:ind w:left="567" w:hanging="567"/>
        <w:jc w:val="both"/>
        <w:rPr>
          <w:sz w:val="24"/>
          <w:szCs w:val="24"/>
        </w:rPr>
      </w:pPr>
      <w:r>
        <w:rPr>
          <w:sz w:val="24"/>
          <w:szCs w:val="24"/>
        </w:rPr>
        <w:t xml:space="preserve">Ogden, T. H. (2019). Ontological psychoanalysis or </w:t>
      </w:r>
      <w:r>
        <w:rPr>
          <w:sz w:val="24"/>
          <w:szCs w:val="24"/>
          <w:rtl/>
          <w:lang w:val="ar-SA"/>
        </w:rPr>
        <w:t>“</w:t>
      </w:r>
      <w:r>
        <w:rPr>
          <w:sz w:val="24"/>
          <w:szCs w:val="24"/>
        </w:rPr>
        <w:t>What do you want to be when you grow up?”. </w:t>
      </w:r>
      <w:r>
        <w:rPr>
          <w:i/>
          <w:iCs/>
          <w:sz w:val="24"/>
          <w:szCs w:val="24"/>
        </w:rPr>
        <w:t>The Psychoanalytic Quarterly</w:t>
      </w:r>
      <w:r>
        <w:rPr>
          <w:sz w:val="24"/>
          <w:szCs w:val="24"/>
        </w:rPr>
        <w:t>, </w:t>
      </w:r>
      <w:r>
        <w:rPr>
          <w:i/>
          <w:iCs/>
          <w:sz w:val="24"/>
          <w:szCs w:val="24"/>
        </w:rPr>
        <w:t>88</w:t>
      </w:r>
      <w:r>
        <w:rPr>
          <w:sz w:val="24"/>
          <w:szCs w:val="24"/>
        </w:rPr>
        <w:t>(4), 661-684.</w:t>
      </w:r>
    </w:p>
    <w:p w14:paraId="170FD884" w14:textId="77777777" w:rsidR="002E2C9E" w:rsidRDefault="005B4DA6" w:rsidP="006D4C5A">
      <w:pPr>
        <w:pStyle w:val="Body"/>
        <w:spacing w:before="200" w:line="360" w:lineRule="auto"/>
        <w:ind w:left="567" w:hanging="567"/>
        <w:jc w:val="both"/>
        <w:rPr>
          <w:sz w:val="24"/>
          <w:szCs w:val="24"/>
        </w:rPr>
      </w:pPr>
      <w:r>
        <w:rPr>
          <w:sz w:val="24"/>
          <w:szCs w:val="24"/>
        </w:rPr>
        <w:t>Pederson, B. P. (1991). Multiculturalism as a generic approach to counseling. Journal of Counseling &amp; Development, 70, 6–12.</w:t>
      </w:r>
    </w:p>
    <w:p w14:paraId="55F1EB43" w14:textId="77777777" w:rsidR="002E2C9E" w:rsidRDefault="005B4DA6" w:rsidP="006D4C5A">
      <w:pPr>
        <w:pStyle w:val="Body"/>
        <w:spacing w:before="200" w:line="360" w:lineRule="auto"/>
        <w:ind w:left="567" w:hanging="567"/>
        <w:jc w:val="both"/>
        <w:rPr>
          <w:sz w:val="24"/>
          <w:szCs w:val="24"/>
        </w:rPr>
      </w:pPr>
      <w:r>
        <w:rPr>
          <w:sz w:val="24"/>
          <w:szCs w:val="24"/>
          <w:lang w:val="it-IT"/>
        </w:rPr>
        <w:t xml:space="preserve">Pile, V., Shammas, D., &amp; Smith, P. (2020) </w:t>
      </w:r>
      <w:r>
        <w:rPr>
          <w:sz w:val="24"/>
          <w:szCs w:val="24"/>
        </w:rPr>
        <w:t xml:space="preserve">‘Assessment and treatment of depression in children and young people in the United Kingdom: comparison of access to services and provision at two time points’, </w:t>
      </w:r>
      <w:r>
        <w:rPr>
          <w:i/>
          <w:iCs/>
          <w:sz w:val="24"/>
          <w:szCs w:val="24"/>
        </w:rPr>
        <w:t>Clinical child psychology and psychiatry</w:t>
      </w:r>
      <w:r>
        <w:rPr>
          <w:sz w:val="24"/>
          <w:szCs w:val="24"/>
        </w:rPr>
        <w:t>, 25(1), pp. 119-132.</w:t>
      </w:r>
    </w:p>
    <w:p w14:paraId="3CDB42BB" w14:textId="77777777" w:rsidR="002E2C9E" w:rsidRDefault="005B4DA6" w:rsidP="006D4C5A">
      <w:pPr>
        <w:pStyle w:val="Body"/>
        <w:spacing w:before="200" w:line="360" w:lineRule="auto"/>
        <w:ind w:left="567" w:hanging="567"/>
        <w:jc w:val="both"/>
        <w:rPr>
          <w:sz w:val="24"/>
          <w:szCs w:val="24"/>
        </w:rPr>
      </w:pPr>
      <w:r>
        <w:rPr>
          <w:sz w:val="24"/>
          <w:szCs w:val="24"/>
        </w:rPr>
        <w:t xml:space="preserve">Serlin, I. A., </w:t>
      </w:r>
      <w:proofErr w:type="spellStart"/>
      <w:r>
        <w:rPr>
          <w:sz w:val="24"/>
          <w:szCs w:val="24"/>
        </w:rPr>
        <w:t>Aanstoos</w:t>
      </w:r>
      <w:proofErr w:type="spellEnd"/>
      <w:r>
        <w:rPr>
          <w:sz w:val="24"/>
          <w:szCs w:val="24"/>
        </w:rPr>
        <w:t>, C., &amp; Greening, T. (2000). History of Division 32. In D. Dewsbury (Ed.), History of divisions (pp. 85–112). Washington, DC: American Psychological Association Press.</w:t>
      </w:r>
    </w:p>
    <w:p w14:paraId="429BCE29" w14:textId="77777777" w:rsidR="002E2C9E" w:rsidRDefault="005B4DA6" w:rsidP="006D4C5A">
      <w:pPr>
        <w:pStyle w:val="Body"/>
        <w:spacing w:before="200" w:line="360" w:lineRule="auto"/>
        <w:ind w:left="567" w:hanging="567"/>
        <w:jc w:val="both"/>
        <w:rPr>
          <w:sz w:val="24"/>
          <w:szCs w:val="24"/>
        </w:rPr>
      </w:pPr>
      <w:r>
        <w:rPr>
          <w:sz w:val="24"/>
          <w:szCs w:val="24"/>
        </w:rPr>
        <w:t xml:space="preserve">Stallard, P., Sayal, K., Phillips, R., Taylor, J. A., Spears, M., Anderson, R., ... &amp; Montgomery, A. A. (2012). Classroom based cognitive </w:t>
      </w:r>
      <w:proofErr w:type="spellStart"/>
      <w:r>
        <w:rPr>
          <w:sz w:val="24"/>
          <w:szCs w:val="24"/>
        </w:rPr>
        <w:t>behavioural</w:t>
      </w:r>
      <w:proofErr w:type="spellEnd"/>
      <w:r>
        <w:rPr>
          <w:sz w:val="24"/>
          <w:szCs w:val="24"/>
        </w:rPr>
        <w:t xml:space="preserve"> therapy in reducing symptoms of depression in high risk adolescents: pragmatic cluster </w:t>
      </w:r>
      <w:proofErr w:type="spellStart"/>
      <w:r>
        <w:rPr>
          <w:sz w:val="24"/>
          <w:szCs w:val="24"/>
        </w:rPr>
        <w:t>randomised</w:t>
      </w:r>
      <w:proofErr w:type="spellEnd"/>
      <w:r>
        <w:rPr>
          <w:sz w:val="24"/>
          <w:szCs w:val="24"/>
        </w:rPr>
        <w:t xml:space="preserve"> controlled trial. </w:t>
      </w:r>
      <w:proofErr w:type="spellStart"/>
      <w:r>
        <w:rPr>
          <w:i/>
          <w:iCs/>
          <w:sz w:val="24"/>
          <w:szCs w:val="24"/>
        </w:rPr>
        <w:t>Bmj</w:t>
      </w:r>
      <w:proofErr w:type="spellEnd"/>
      <w:r>
        <w:rPr>
          <w:sz w:val="24"/>
          <w:szCs w:val="24"/>
        </w:rPr>
        <w:t>, </w:t>
      </w:r>
      <w:r>
        <w:rPr>
          <w:i/>
          <w:iCs/>
          <w:sz w:val="24"/>
          <w:szCs w:val="24"/>
          <w:lang w:val="ru-RU"/>
        </w:rPr>
        <w:t>345</w:t>
      </w:r>
      <w:r>
        <w:rPr>
          <w:sz w:val="24"/>
          <w:szCs w:val="24"/>
        </w:rPr>
        <w:t>.</w:t>
      </w:r>
    </w:p>
    <w:p w14:paraId="6E40C6A5" w14:textId="77777777" w:rsidR="002E2C9E" w:rsidRDefault="005B4DA6" w:rsidP="006D4C5A">
      <w:pPr>
        <w:pStyle w:val="Body"/>
        <w:spacing w:before="200" w:line="360" w:lineRule="auto"/>
        <w:ind w:left="567" w:hanging="567"/>
        <w:jc w:val="both"/>
        <w:rPr>
          <w:sz w:val="24"/>
          <w:szCs w:val="24"/>
        </w:rPr>
      </w:pPr>
      <w:r>
        <w:rPr>
          <w:sz w:val="24"/>
          <w:szCs w:val="24"/>
        </w:rPr>
        <w:t xml:space="preserve">Westra, H. (2004). Managing resistance in cognitive </w:t>
      </w:r>
      <w:proofErr w:type="spellStart"/>
      <w:r>
        <w:rPr>
          <w:sz w:val="24"/>
          <w:szCs w:val="24"/>
        </w:rPr>
        <w:t>behavioural</w:t>
      </w:r>
      <w:proofErr w:type="spellEnd"/>
      <w:r>
        <w:rPr>
          <w:sz w:val="24"/>
          <w:szCs w:val="24"/>
        </w:rPr>
        <w:t xml:space="preserve"> therapy: The application of motivational interviewing in mixed anxiety and depression. </w:t>
      </w:r>
      <w:r>
        <w:rPr>
          <w:i/>
          <w:iCs/>
          <w:sz w:val="24"/>
          <w:szCs w:val="24"/>
        </w:rPr>
        <w:t>Cognitive Behaviour Therapy</w:t>
      </w:r>
      <w:r>
        <w:rPr>
          <w:sz w:val="24"/>
          <w:szCs w:val="24"/>
        </w:rPr>
        <w:t>, </w:t>
      </w:r>
      <w:r>
        <w:rPr>
          <w:i/>
          <w:iCs/>
          <w:sz w:val="24"/>
          <w:szCs w:val="24"/>
        </w:rPr>
        <w:t>33</w:t>
      </w:r>
      <w:r>
        <w:rPr>
          <w:sz w:val="24"/>
          <w:szCs w:val="24"/>
        </w:rPr>
        <w:t>(4), 161-175.</w:t>
      </w:r>
    </w:p>
    <w:p w14:paraId="46119A48" w14:textId="77777777" w:rsidR="002E2C9E" w:rsidRDefault="005B4DA6" w:rsidP="006D4C5A">
      <w:pPr>
        <w:pStyle w:val="Default"/>
        <w:spacing w:before="0" w:line="360" w:lineRule="auto"/>
        <w:ind w:left="720" w:hanging="720"/>
        <w:jc w:val="both"/>
        <w:rPr>
          <w:u w:color="000000"/>
        </w:rPr>
      </w:pPr>
      <w:r>
        <w:rPr>
          <w:u w:color="000000"/>
        </w:rPr>
        <w:t xml:space="preserve">Wheeler, J. (2012, July 10). </w:t>
      </w:r>
      <w:r>
        <w:rPr>
          <w:i/>
          <w:iCs/>
          <w:u w:color="000000"/>
        </w:rPr>
        <w:t>The Therapy Room: Phototherapy and Therapeutic Photography.</w:t>
      </w:r>
      <w:r>
        <w:rPr>
          <w:u w:color="000000"/>
        </w:rPr>
        <w:t xml:space="preserve"> Retrieved September 2018, from www.accessmagazine.co.uk: http://www.accessmagazine.co.uk/the-therapy-room/</w:t>
      </w:r>
    </w:p>
    <w:p w14:paraId="2C589D31" w14:textId="77777777" w:rsidR="002E2C9E" w:rsidRDefault="005B4DA6" w:rsidP="006D4C5A">
      <w:pPr>
        <w:pStyle w:val="Body"/>
        <w:spacing w:before="200" w:line="360" w:lineRule="auto"/>
        <w:ind w:left="567" w:hanging="567"/>
        <w:jc w:val="both"/>
        <w:rPr>
          <w:sz w:val="24"/>
          <w:szCs w:val="24"/>
        </w:rPr>
      </w:pPr>
      <w:r>
        <w:rPr>
          <w:sz w:val="24"/>
          <w:szCs w:val="24"/>
          <w:lang w:val="de-DE"/>
        </w:rPr>
        <w:t>W</w:t>
      </w:r>
      <w:proofErr w:type="spellStart"/>
      <w:r>
        <w:rPr>
          <w:sz w:val="24"/>
          <w:szCs w:val="24"/>
        </w:rPr>
        <w:t>innicott</w:t>
      </w:r>
      <w:proofErr w:type="spellEnd"/>
      <w:r>
        <w:rPr>
          <w:sz w:val="24"/>
          <w:szCs w:val="24"/>
        </w:rPr>
        <w:t xml:space="preserve">, D. W. </w:t>
      </w:r>
      <w:r>
        <w:rPr>
          <w:sz w:val="24"/>
          <w:szCs w:val="24"/>
        </w:rPr>
        <w:t>(1969). The use of an object and relating through identifications. In Playing and Reality. New York: Basic Books, pp. 86–94.</w:t>
      </w:r>
    </w:p>
    <w:p w14:paraId="5E931CE4" w14:textId="77777777" w:rsidR="002E2C9E" w:rsidRDefault="002E2C9E" w:rsidP="006D4C5A">
      <w:pPr>
        <w:pStyle w:val="Default"/>
        <w:spacing w:before="0" w:line="360" w:lineRule="auto"/>
        <w:ind w:left="850" w:hanging="850"/>
        <w:jc w:val="both"/>
      </w:pPr>
    </w:p>
    <w:p w14:paraId="4CC84A98" w14:textId="77777777" w:rsidR="002E2C9E" w:rsidRDefault="005B4DA6" w:rsidP="006D4C5A">
      <w:pPr>
        <w:pStyle w:val="Body"/>
        <w:spacing w:before="200" w:line="360" w:lineRule="auto"/>
        <w:jc w:val="both"/>
        <w:rPr>
          <w:sz w:val="24"/>
          <w:szCs w:val="24"/>
        </w:rPr>
      </w:pPr>
      <w:r>
        <w:rPr>
          <w:sz w:val="24"/>
          <w:szCs w:val="24"/>
        </w:rPr>
        <w:t xml:space="preserve"> </w:t>
      </w:r>
    </w:p>
    <w:p w14:paraId="3AE2750C" w14:textId="77777777" w:rsidR="002E2C9E" w:rsidRDefault="002E2C9E" w:rsidP="006D4C5A">
      <w:pPr>
        <w:pStyle w:val="Default"/>
        <w:tabs>
          <w:tab w:val="left" w:pos="220"/>
          <w:tab w:val="left" w:pos="720"/>
        </w:tabs>
        <w:spacing w:before="0" w:line="360" w:lineRule="auto"/>
        <w:ind w:left="720" w:hanging="720"/>
        <w:jc w:val="both"/>
      </w:pPr>
    </w:p>
    <w:sectPr w:rsidR="002E2C9E">
      <w:headerReference w:type="default" r:id="rId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98EC1" w14:textId="77777777" w:rsidR="00D70F7A" w:rsidRDefault="00D70F7A">
      <w:r>
        <w:separator/>
      </w:r>
    </w:p>
  </w:endnote>
  <w:endnote w:type="continuationSeparator" w:id="0">
    <w:p w14:paraId="3E59A631" w14:textId="77777777" w:rsidR="00D70F7A" w:rsidRDefault="00D70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Helvetica Neue">
    <w:altName w:val="Sylfaen"/>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564B0" w14:textId="77777777" w:rsidR="00D70F7A" w:rsidRDefault="00D70F7A">
      <w:r>
        <w:separator/>
      </w:r>
    </w:p>
  </w:footnote>
  <w:footnote w:type="continuationSeparator" w:id="0">
    <w:p w14:paraId="1CCB7BA8" w14:textId="77777777" w:rsidR="00D70F7A" w:rsidRDefault="00D70F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7695F" w14:textId="6EEC2544" w:rsidR="00D52A49" w:rsidRDefault="00D52A49"/>
  <w:p w14:paraId="6E398A3B" w14:textId="77777777" w:rsidR="0053589D" w:rsidRDefault="0053589D"/>
  <w:p w14:paraId="2B4A3CC2" w14:textId="77777777" w:rsidR="0053589D" w:rsidRDefault="0053589D"/>
  <w:p w14:paraId="3EEB8FE3" w14:textId="77777777" w:rsidR="0053589D" w:rsidRDefault="0053589D"/>
  <w:p w14:paraId="2475B2E9" w14:textId="77777777" w:rsidR="00D52A49" w:rsidRDefault="00D52A49"/>
  <w:p w14:paraId="624B0069" w14:textId="77777777" w:rsidR="00D52A49" w:rsidRDefault="00D52A4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C9E"/>
    <w:rsid w:val="001D3FCF"/>
    <w:rsid w:val="002E2C9E"/>
    <w:rsid w:val="0053589D"/>
    <w:rsid w:val="005919AF"/>
    <w:rsid w:val="005B4DA6"/>
    <w:rsid w:val="006D4C5A"/>
    <w:rsid w:val="0072497F"/>
    <w:rsid w:val="007A0E8F"/>
    <w:rsid w:val="00832E22"/>
    <w:rsid w:val="00896A01"/>
    <w:rsid w:val="008A0222"/>
    <w:rsid w:val="00A779DC"/>
    <w:rsid w:val="00AB2404"/>
    <w:rsid w:val="00C85854"/>
    <w:rsid w:val="00CC5C59"/>
    <w:rsid w:val="00D52A49"/>
    <w:rsid w:val="00D70F7A"/>
    <w:rsid w:val="00DD44C1"/>
    <w:rsid w:val="00E113E6"/>
    <w:rsid w:val="00FE68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1173CC"/>
  <w15:docId w15:val="{FCA12E9F-7925-C64D-B3D3-F5693FE60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IN"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styleId="Header">
    <w:name w:val="header"/>
    <w:basedOn w:val="Normal"/>
    <w:link w:val="HeaderChar"/>
    <w:uiPriority w:val="99"/>
    <w:unhideWhenUsed/>
    <w:rsid w:val="00D52A49"/>
    <w:pPr>
      <w:tabs>
        <w:tab w:val="center" w:pos="4513"/>
        <w:tab w:val="right" w:pos="9026"/>
      </w:tabs>
    </w:pPr>
  </w:style>
  <w:style w:type="character" w:customStyle="1" w:styleId="HeaderChar">
    <w:name w:val="Header Char"/>
    <w:basedOn w:val="DefaultParagraphFont"/>
    <w:link w:val="Header"/>
    <w:uiPriority w:val="99"/>
    <w:rsid w:val="00D52A49"/>
    <w:rPr>
      <w:sz w:val="24"/>
      <w:szCs w:val="24"/>
      <w:lang w:val="en-US" w:eastAsia="en-US"/>
    </w:rPr>
  </w:style>
  <w:style w:type="paragraph" w:styleId="Footer">
    <w:name w:val="footer"/>
    <w:basedOn w:val="Normal"/>
    <w:link w:val="FooterChar"/>
    <w:uiPriority w:val="99"/>
    <w:unhideWhenUsed/>
    <w:rsid w:val="00D52A49"/>
    <w:pPr>
      <w:tabs>
        <w:tab w:val="center" w:pos="4513"/>
        <w:tab w:val="right" w:pos="9026"/>
      </w:tabs>
    </w:pPr>
  </w:style>
  <w:style w:type="character" w:customStyle="1" w:styleId="FooterChar">
    <w:name w:val="Footer Char"/>
    <w:basedOn w:val="DefaultParagraphFont"/>
    <w:link w:val="Footer"/>
    <w:uiPriority w:val="99"/>
    <w:rsid w:val="00D52A49"/>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6" ma:contentTypeDescription="Create a new document." ma:contentTypeScope="" ma:versionID="14d956ee3100263b8528980c98ce26b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3b6d64fc16a3f2b09bfaa37c6a8d8f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ServiceLocatio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09579F97-9689-40AA-AFAF-16E6CEEF73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5529E5-538B-4295-BD5A-34034D941534}">
  <ds:schemaRefs>
    <ds:schemaRef ds:uri="http://schemas.microsoft.com/sharepoint/v3/contenttype/forms"/>
  </ds:schemaRefs>
</ds:datastoreItem>
</file>

<file path=customXml/itemProps3.xml><?xml version="1.0" encoding="utf-8"?>
<ds:datastoreItem xmlns:ds="http://schemas.openxmlformats.org/officeDocument/2006/customXml" ds:itemID="{DCAE4F37-C8F1-4E61-838C-306D0136378C}">
  <ds:schemaRefs>
    <ds:schemaRef ds:uri="http://schemas.openxmlformats.org/package/2006/metadata/core-properties"/>
    <ds:schemaRef ds:uri="http://schemas.microsoft.com/office/2006/metadata/properties"/>
    <ds:schemaRef ds:uri="http://purl.org/dc/elements/1.1/"/>
    <ds:schemaRef ds:uri="http://www.w3.org/XML/1998/namespace"/>
    <ds:schemaRef ds:uri="http://schemas.microsoft.com/office/2006/documentManagement/types"/>
    <ds:schemaRef ds:uri="550816ce-8156-4f45-b1c4-24236a73d01f"/>
    <ds:schemaRef ds:uri="0ebdf10f-b5a3-45b6-acdb-7dc1eb398785"/>
    <ds:schemaRef ds:uri="http://schemas.microsoft.com/office/infopath/2007/PartnerControl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3172</TotalTime>
  <Pages>9</Pages>
  <Words>2511</Words>
  <Characters>14134</Characters>
  <Application>Microsoft Office Word</Application>
  <DocSecurity>0</DocSecurity>
  <Lines>213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Amponsah</cp:lastModifiedBy>
  <cp:revision>9</cp:revision>
  <dcterms:created xsi:type="dcterms:W3CDTF">2023-12-08T19:48:00Z</dcterms:created>
  <dcterms:modified xsi:type="dcterms:W3CDTF">2023-12-11T10:35:00Z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56e13ac68fa0cbac09692c5e79bebf70739bc1a2ff79fdc5bad77145e866f2e8</vt:lpwstr>
  </property>
  <property fmtid="{D5CDD505-2E9C-101B-9397-08002B2CF9AE}" pid="3" name="ContentTypeId">
    <vt:lpwstr>0x0101009DA2B97165742847ABC519A905693DF8</vt:lpwstr>
  </property>
</Properties>
</file>