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B2C82" w14:textId="77777777" w:rsidR="004200F2" w:rsidRPr="005D0B37" w:rsidRDefault="004200F2">
      <w:pPr>
        <w:pStyle w:val="Corptext"/>
        <w:rPr>
          <w:rFonts w:ascii="Times New Roman"/>
          <w:sz w:val="20"/>
          <w:lang w:val="en-GB"/>
        </w:rPr>
      </w:pPr>
    </w:p>
    <w:p w14:paraId="47FFB427" w14:textId="77777777" w:rsidR="00F906C1" w:rsidRPr="005D0B37" w:rsidRDefault="00BA4B18" w:rsidP="00F906C1">
      <w:pPr>
        <w:pStyle w:val="Corptext"/>
        <w:ind w:left="3497"/>
        <w:rPr>
          <w:rFonts w:ascii="Times New Roman"/>
          <w:sz w:val="20"/>
          <w:lang w:val="en-GB"/>
        </w:rPr>
      </w:pPr>
      <w:r w:rsidRPr="005D0B37">
        <w:rPr>
          <w:rFonts w:ascii="Times New Roman"/>
          <w:noProof/>
          <w:sz w:val="20"/>
          <w:lang w:val="en-GB"/>
        </w:rPr>
        <w:drawing>
          <wp:inline distT="0" distB="0" distL="0" distR="0" wp14:anchorId="4D5F87E9" wp14:editId="64EDDDCB">
            <wp:extent cx="1411291" cy="747712"/>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411291" cy="747712"/>
                    </a:xfrm>
                    <a:prstGeom prst="rect">
                      <a:avLst/>
                    </a:prstGeom>
                  </pic:spPr>
                </pic:pic>
              </a:graphicData>
            </a:graphic>
          </wp:inline>
        </w:drawing>
      </w:r>
    </w:p>
    <w:p w14:paraId="5B9308FB" w14:textId="1F638E08" w:rsidR="009C06FF" w:rsidRDefault="009C06FF" w:rsidP="00F906C1">
      <w:pPr>
        <w:jc w:val="center"/>
        <w:rPr>
          <w:color w:val="548DD4" w:themeColor="text2" w:themeTint="99"/>
          <w:sz w:val="52"/>
          <w:szCs w:val="48"/>
          <w:lang w:val="en-GB"/>
        </w:rPr>
      </w:pPr>
      <w:r>
        <w:rPr>
          <w:rFonts w:ascii="Carlito"/>
          <w:noProof/>
          <w:color w:val="548DD4" w:themeColor="text2" w:themeTint="99"/>
          <w:sz w:val="36"/>
          <w:szCs w:val="48"/>
          <w:lang w:val="en-GB"/>
        </w:rPr>
        <mc:AlternateContent>
          <mc:Choice Requires="wps">
            <w:drawing>
              <wp:anchor distT="0" distB="0" distL="0" distR="0" simplePos="0" relativeHeight="487587840" behindDoc="1" locked="0" layoutInCell="1" allowOverlap="1" wp14:anchorId="1462A105" wp14:editId="419C2C7D">
                <wp:simplePos x="0" y="0"/>
                <wp:positionH relativeFrom="page">
                  <wp:posOffset>895985</wp:posOffset>
                </wp:positionH>
                <wp:positionV relativeFrom="paragraph">
                  <wp:posOffset>154940</wp:posOffset>
                </wp:positionV>
                <wp:extent cx="5771515" cy="9525"/>
                <wp:effectExtent l="0" t="0" r="0" b="0"/>
                <wp:wrapTopAndBottom/>
                <wp:docPr id="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71515" cy="9525"/>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684910" id="Rectangle 3" o:spid="_x0000_s1026" style="position:absolute;margin-left:70.55pt;margin-top:12.2pt;width:454.45pt;height:.7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" fillcolor="#5b9bd4" stroked="f">
                <w10:wrap type="topAndBottom" anchorx="page"/>
              </v:rect>
            </w:pict>
          </mc:Fallback>
        </mc:AlternateContent>
      </w:r>
      <w:r w:rsidR="00516D77" w:rsidRPr="005D0B37">
        <w:rPr>
          <w:color w:val="548DD4" w:themeColor="text2" w:themeTint="99"/>
          <w:sz w:val="52"/>
          <w:szCs w:val="48"/>
          <w:lang w:val="en-GB"/>
        </w:rPr>
        <w:t>BMIH5007</w:t>
      </w:r>
    </w:p>
    <w:p w14:paraId="3702D11E" w14:textId="63EB7922" w:rsidR="004200F2" w:rsidRPr="009C06FF" w:rsidRDefault="00516D77" w:rsidP="00F906C1">
      <w:pPr>
        <w:jc w:val="center"/>
        <w:rPr>
          <w:rFonts w:ascii="Times New Roman"/>
          <w:color w:val="548DD4" w:themeColor="text2" w:themeTint="99"/>
          <w:sz w:val="44"/>
          <w:szCs w:val="44"/>
          <w:lang w:val="en-GB"/>
        </w:rPr>
      </w:pPr>
      <w:r w:rsidRPr="009C06FF">
        <w:rPr>
          <w:color w:val="548DD4" w:themeColor="text2" w:themeTint="99"/>
          <w:sz w:val="44"/>
          <w:szCs w:val="44"/>
          <w:lang w:val="en-GB"/>
        </w:rPr>
        <w:t>Financial Management for the Hotel Industry</w:t>
      </w:r>
    </w:p>
    <w:p w14:paraId="7DB5E9E4" w14:textId="2E94492F" w:rsidR="004200F2" w:rsidRPr="005D0B37" w:rsidRDefault="009C06FF" w:rsidP="00F906C1">
      <w:pPr>
        <w:spacing w:before="7"/>
        <w:jc w:val="center"/>
        <w:rPr>
          <w:rFonts w:ascii="Carlito"/>
          <w:sz w:val="28"/>
          <w:lang w:val="en-GB"/>
        </w:rPr>
      </w:pPr>
      <w:r>
        <w:rPr>
          <w:noProof/>
          <w:sz w:val="22"/>
          <w:lang w:val="en-GB"/>
        </w:rPr>
        <mc:AlternateContent>
          <mc:Choice Requires="wps">
            <w:drawing>
              <wp:anchor distT="0" distB="0" distL="0" distR="0" simplePos="0" relativeHeight="487588352" behindDoc="1" locked="0" layoutInCell="1" allowOverlap="1" wp14:anchorId="26C8025A" wp14:editId="27ACE32F">
                <wp:simplePos x="0" y="0"/>
                <wp:positionH relativeFrom="page">
                  <wp:posOffset>895985</wp:posOffset>
                </wp:positionH>
                <wp:positionV relativeFrom="paragraph">
                  <wp:posOffset>11430</wp:posOffset>
                </wp:positionV>
                <wp:extent cx="5771515" cy="9525"/>
                <wp:effectExtent l="0" t="0" r="0" b="0"/>
                <wp:wrapTopAndBottom/>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71515" cy="9525"/>
                        </a:xfrm>
                        <a:prstGeom prst="rect">
                          <a:avLst/>
                        </a:prstGeom>
                        <a:solidFill>
                          <a:srgbClr val="5B9B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B26AF3" id="Rectangle 2" o:spid="_x0000_s1026" style="position:absolute;margin-left:70.55pt;margin-top:.9pt;width:454.45pt;height:.7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" fillcolor="#5b9bd4" stroked="f">
                <w10:wrap type="topAndBottom" anchorx="page"/>
              </v:rect>
            </w:pict>
          </mc:Fallback>
        </mc:AlternateContent>
      </w:r>
      <w:r w:rsidR="00BA4B18" w:rsidRPr="005D0B37">
        <w:rPr>
          <w:rFonts w:ascii="Carlito"/>
          <w:color w:val="5B9BD4"/>
          <w:sz w:val="28"/>
          <w:lang w:val="en-GB"/>
        </w:rPr>
        <w:t>[</w:t>
      </w:r>
      <w:r w:rsidR="00516D77" w:rsidRPr="005D0B37">
        <w:rPr>
          <w:rFonts w:ascii="Carlito"/>
          <w:color w:val="5B9BD4"/>
          <w:sz w:val="28"/>
          <w:lang w:val="en-GB"/>
        </w:rPr>
        <w:t>Task 2</w:t>
      </w:r>
      <w:r w:rsidR="00BA4B18" w:rsidRPr="005D0B37">
        <w:rPr>
          <w:rFonts w:ascii="Carlito"/>
          <w:color w:val="5B9BD4"/>
          <w:sz w:val="28"/>
          <w:lang w:val="en-GB"/>
        </w:rPr>
        <w:t>]</w:t>
      </w:r>
    </w:p>
    <w:p w14:paraId="53C79084" w14:textId="77777777" w:rsidR="004200F2" w:rsidRPr="005D0B37" w:rsidRDefault="00BA4B18">
      <w:pPr>
        <w:pStyle w:val="Corptext"/>
        <w:spacing w:before="12"/>
        <w:rPr>
          <w:sz w:val="15"/>
          <w:lang w:val="en-GB"/>
        </w:rPr>
      </w:pPr>
      <w:r w:rsidRPr="005D0B37">
        <w:rPr>
          <w:noProof/>
          <w:lang w:val="en-GB"/>
        </w:rPr>
        <w:drawing>
          <wp:anchor distT="0" distB="0" distL="0" distR="0" simplePos="0" relativeHeight="251658752" behindDoc="0" locked="0" layoutInCell="1" allowOverlap="1" wp14:anchorId="620EFFC0" wp14:editId="74764668">
            <wp:simplePos x="0" y="0"/>
            <wp:positionH relativeFrom="page">
              <wp:posOffset>3399154</wp:posOffset>
            </wp:positionH>
            <wp:positionV relativeFrom="paragraph">
              <wp:posOffset>148782</wp:posOffset>
            </wp:positionV>
            <wp:extent cx="754698" cy="476250"/>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9" cstate="print"/>
                    <a:stretch>
                      <a:fillRect/>
                    </a:stretch>
                  </pic:blipFill>
                  <pic:spPr>
                    <a:xfrm>
                      <a:off x="0" y="0"/>
                      <a:ext cx="754698" cy="476250"/>
                    </a:xfrm>
                    <a:prstGeom prst="rect">
                      <a:avLst/>
                    </a:prstGeom>
                  </pic:spPr>
                </pic:pic>
              </a:graphicData>
            </a:graphic>
          </wp:anchor>
        </w:drawing>
      </w:r>
    </w:p>
    <w:p w14:paraId="29FFE787" w14:textId="77777777" w:rsidR="004200F2" w:rsidRPr="005D0B37" w:rsidRDefault="004200F2">
      <w:pPr>
        <w:pStyle w:val="Corptext"/>
        <w:rPr>
          <w:sz w:val="20"/>
          <w:lang w:val="en-GB"/>
        </w:rPr>
      </w:pPr>
    </w:p>
    <w:p w14:paraId="5961FC22" w14:textId="77777777" w:rsidR="004200F2" w:rsidRPr="005D0B37" w:rsidRDefault="004200F2">
      <w:pPr>
        <w:pStyle w:val="Corptext"/>
        <w:rPr>
          <w:sz w:val="20"/>
          <w:lang w:val="en-GB"/>
        </w:rPr>
      </w:pPr>
    </w:p>
    <w:p w14:paraId="1F12993E" w14:textId="77777777" w:rsidR="004200F2" w:rsidRPr="005D0B37" w:rsidRDefault="004200F2">
      <w:pPr>
        <w:pStyle w:val="Corptext"/>
        <w:rPr>
          <w:sz w:val="20"/>
          <w:lang w:val="en-GB"/>
        </w:rPr>
      </w:pPr>
    </w:p>
    <w:p w14:paraId="278DA0CA" w14:textId="77777777" w:rsidR="004200F2" w:rsidRPr="005D0B37" w:rsidRDefault="004200F2">
      <w:pPr>
        <w:pStyle w:val="Corptext"/>
        <w:rPr>
          <w:sz w:val="20"/>
          <w:lang w:val="en-GB"/>
        </w:rPr>
      </w:pPr>
    </w:p>
    <w:p w14:paraId="7F5E20DF" w14:textId="77777777" w:rsidR="004200F2" w:rsidRPr="005D0B37" w:rsidRDefault="004200F2">
      <w:pPr>
        <w:pStyle w:val="Corptext"/>
        <w:rPr>
          <w:sz w:val="20"/>
          <w:lang w:val="en-GB"/>
        </w:rPr>
      </w:pPr>
    </w:p>
    <w:p w14:paraId="55278CAE" w14:textId="77777777" w:rsidR="004200F2" w:rsidRPr="005D0B37" w:rsidRDefault="004200F2">
      <w:pPr>
        <w:pStyle w:val="Corptext"/>
        <w:rPr>
          <w:sz w:val="20"/>
          <w:lang w:val="en-GB"/>
        </w:rPr>
      </w:pPr>
    </w:p>
    <w:p w14:paraId="694CCFDE" w14:textId="77777777" w:rsidR="004200F2" w:rsidRPr="005D0B37" w:rsidRDefault="004200F2">
      <w:pPr>
        <w:pStyle w:val="Corptext"/>
        <w:rPr>
          <w:sz w:val="20"/>
          <w:lang w:val="en-GB"/>
        </w:rPr>
      </w:pPr>
    </w:p>
    <w:p w14:paraId="42CF5DA0" w14:textId="77777777" w:rsidR="004200F2" w:rsidRPr="005D0B37" w:rsidRDefault="004200F2" w:rsidP="00516D77">
      <w:pPr>
        <w:pStyle w:val="Corptext"/>
        <w:jc w:val="center"/>
        <w:rPr>
          <w:sz w:val="20"/>
          <w:lang w:val="en-GB"/>
        </w:rPr>
      </w:pPr>
    </w:p>
    <w:p w14:paraId="2847A522" w14:textId="77777777" w:rsidR="004200F2" w:rsidRPr="005D0B37" w:rsidRDefault="004200F2" w:rsidP="00516D77">
      <w:pPr>
        <w:pStyle w:val="Corptext"/>
        <w:jc w:val="center"/>
        <w:rPr>
          <w:sz w:val="20"/>
          <w:lang w:val="en-GB"/>
        </w:rPr>
      </w:pPr>
    </w:p>
    <w:p w14:paraId="0F281906" w14:textId="0ABF673C" w:rsidR="004200F2" w:rsidRPr="005D0B37" w:rsidRDefault="00516D77" w:rsidP="00516D77">
      <w:pPr>
        <w:spacing w:before="43"/>
        <w:ind w:right="1247"/>
        <w:jc w:val="center"/>
        <w:rPr>
          <w:rFonts w:ascii="Carlito"/>
          <w:sz w:val="28"/>
          <w:lang w:val="en-GB"/>
        </w:rPr>
      </w:pPr>
      <w:r w:rsidRPr="005D0B37">
        <w:rPr>
          <w:rFonts w:ascii="Carlito"/>
          <w:color w:val="5B9BD4"/>
          <w:sz w:val="28"/>
          <w:lang w:val="en-GB"/>
        </w:rPr>
        <w:t xml:space="preserve">                     </w:t>
      </w:r>
      <w:r w:rsidR="00BA4B18" w:rsidRPr="005D0B37">
        <w:rPr>
          <w:rFonts w:ascii="Carlito"/>
          <w:color w:val="5B9BD4"/>
          <w:sz w:val="28"/>
          <w:lang w:val="en-GB"/>
        </w:rPr>
        <w:t>[</w:t>
      </w:r>
      <w:r w:rsidR="009C06FF">
        <w:rPr>
          <w:rFonts w:ascii="Carlito"/>
          <w:color w:val="5B9BD4"/>
          <w:sz w:val="28"/>
          <w:lang w:val="en-GB"/>
        </w:rPr>
        <w:t>6</w:t>
      </w:r>
      <w:r w:rsidR="009C06FF" w:rsidRPr="009C06FF">
        <w:rPr>
          <w:rFonts w:ascii="Carlito"/>
          <w:color w:val="5B9BD4"/>
          <w:sz w:val="28"/>
          <w:vertAlign w:val="superscript"/>
          <w:lang w:val="en-GB"/>
        </w:rPr>
        <w:t>th</w:t>
      </w:r>
      <w:r w:rsidR="009C06FF">
        <w:rPr>
          <w:rFonts w:ascii="Carlito"/>
          <w:color w:val="5B9BD4"/>
          <w:sz w:val="28"/>
          <w:lang w:val="en-GB"/>
        </w:rPr>
        <w:t xml:space="preserve"> July 2022</w:t>
      </w:r>
      <w:r w:rsidR="00BA4B18" w:rsidRPr="005D0B37">
        <w:rPr>
          <w:rFonts w:ascii="Carlito"/>
          <w:color w:val="5B9BD4"/>
          <w:sz w:val="28"/>
          <w:lang w:val="en-GB"/>
        </w:rPr>
        <w:t>]</w:t>
      </w:r>
    </w:p>
    <w:p w14:paraId="1054B1BB" w14:textId="77777777" w:rsidR="004200F2" w:rsidRPr="005D0B37" w:rsidRDefault="00BA4B18" w:rsidP="00516D77">
      <w:pPr>
        <w:pStyle w:val="Corptext"/>
        <w:spacing w:before="41"/>
        <w:ind w:left="1246" w:right="1247"/>
        <w:jc w:val="center"/>
        <w:rPr>
          <w:lang w:val="en-GB"/>
        </w:rPr>
      </w:pPr>
      <w:r w:rsidRPr="005D0B37">
        <w:rPr>
          <w:color w:val="5B9BD4"/>
          <w:lang w:val="en-GB"/>
        </w:rPr>
        <w:t>UNIVERSITY OF WALES TRINITY SAINT DAVID</w:t>
      </w:r>
    </w:p>
    <w:p w14:paraId="1C330F67" w14:textId="49C2A1FF" w:rsidR="004200F2" w:rsidRDefault="009C06FF" w:rsidP="009C06FF">
      <w:pPr>
        <w:pStyle w:val="Corptext"/>
        <w:spacing w:before="1"/>
        <w:ind w:left="1246" w:right="1246"/>
        <w:jc w:val="center"/>
        <w:rPr>
          <w:color w:val="5B9BD4"/>
          <w:lang w:val="en-GB"/>
        </w:rPr>
      </w:pPr>
      <w:r>
        <w:rPr>
          <w:color w:val="5B9BD4"/>
          <w:lang w:val="en-GB"/>
        </w:rPr>
        <w:t>LIVIU TOPALA – 1905828</w:t>
      </w:r>
    </w:p>
    <w:p w14:paraId="59D40870" w14:textId="100C4F92" w:rsidR="009C06FF" w:rsidRPr="005D0B37" w:rsidRDefault="009C06FF" w:rsidP="009C06FF">
      <w:pPr>
        <w:pStyle w:val="Corptext"/>
        <w:spacing w:before="1"/>
        <w:ind w:left="1246" w:right="1246"/>
        <w:jc w:val="center"/>
        <w:rPr>
          <w:lang w:val="en-GB"/>
        </w:rPr>
      </w:pPr>
      <w:r>
        <w:rPr>
          <w:color w:val="5B9BD4"/>
          <w:lang w:val="en-GB"/>
        </w:rPr>
        <w:t>DALE CLARKE</w:t>
      </w:r>
    </w:p>
    <w:p w14:paraId="6DE2AC4B" w14:textId="77777777" w:rsidR="004200F2" w:rsidRPr="005D0B37" w:rsidRDefault="004200F2">
      <w:pPr>
        <w:jc w:val="center"/>
        <w:rPr>
          <w:lang w:val="en-GB"/>
        </w:rPr>
        <w:sectPr w:rsidR="004200F2" w:rsidRPr="005D0B37" w:rsidSect="0007428E">
          <w:footerReference w:type="default" r:id="rId10"/>
          <w:type w:val="continuous"/>
          <w:pgSz w:w="11910" w:h="16840"/>
          <w:pgMar w:top="1600" w:right="1340" w:bottom="280" w:left="1340" w:header="720" w:footer="720" w:gutter="0"/>
          <w:cols w:space="720"/>
          <w:titlePg/>
          <w:docGrid w:linePitch="299"/>
        </w:sectPr>
      </w:pPr>
    </w:p>
    <w:p w14:paraId="4639D259" w14:textId="17AFAAB1" w:rsidR="00E1490E" w:rsidRPr="005D0B37" w:rsidRDefault="00BA4B18" w:rsidP="009D3CEE">
      <w:pPr>
        <w:pStyle w:val="Titlu1"/>
        <w:rPr>
          <w:sz w:val="40"/>
          <w:lang w:val="en-GB"/>
        </w:rPr>
      </w:pPr>
      <w:bookmarkStart w:id="0" w:name="_TOC_250006"/>
      <w:bookmarkEnd w:id="0"/>
      <w:r w:rsidRPr="005D0B37">
        <w:rPr>
          <w:lang w:val="en-GB"/>
        </w:rPr>
        <w:lastRenderedPageBreak/>
        <w:t>Executive Summary</w:t>
      </w:r>
    </w:p>
    <w:p w14:paraId="184BD607" w14:textId="4DB5F097" w:rsidR="00E1490E" w:rsidRPr="005D0B37" w:rsidRDefault="00E1490E" w:rsidP="00E1490E">
      <w:pPr>
        <w:jc w:val="both"/>
        <w:rPr>
          <w:lang w:val="en-GB"/>
        </w:rPr>
      </w:pPr>
      <w:r w:rsidRPr="005D0B37">
        <w:rPr>
          <w:lang w:val="en-GB"/>
        </w:rPr>
        <w:t>This report aims to understand the Zero-based budget in the financial process of the Organizations. There are various process financial budgeting processes applied in the organization</w:t>
      </w:r>
      <w:r w:rsidR="009C06FF">
        <w:rPr>
          <w:lang w:val="en-GB"/>
        </w:rPr>
        <w:t>’</w:t>
      </w:r>
      <w:r w:rsidRPr="005D0B37">
        <w:rPr>
          <w:lang w:val="en-GB"/>
        </w:rPr>
        <w:t>s financial process where the Zero-based budget (ZBB) is one of the most preferable. In this concern, this report has introduced the concept of ZBB. Along with this, the advantages of ZBB have also been described in this report over the standard-based budget concept. It has been seen that, in most cases, a Zero-based Budget is far better than a traditional-based budget. There are some factors that have to be maintained by a company while they are introducing the ZBB in their financial process, which is clearly defined in this report.</w:t>
      </w:r>
    </w:p>
    <w:p w14:paraId="53E1C6E0" w14:textId="5ACB599D" w:rsidR="00E1490E" w:rsidRPr="005D0B37" w:rsidRDefault="00E1490E">
      <w:pPr>
        <w:rPr>
          <w:lang w:val="en-GB"/>
        </w:rPr>
        <w:sectPr w:rsidR="00E1490E" w:rsidRPr="005D0B37">
          <w:footerReference w:type="default" r:id="rId11"/>
          <w:pgSz w:w="11910" w:h="16840"/>
          <w:pgMar w:top="1420" w:right="1340" w:bottom="1200" w:left="1340" w:header="0" w:footer="1001" w:gutter="0"/>
          <w:pgNumType w:start="1"/>
          <w:cols w:space="720"/>
        </w:sectPr>
      </w:pPr>
    </w:p>
    <w:sdt>
      <w:sdtPr>
        <w:rPr>
          <w:color w:val="548DD4" w:themeColor="text2" w:themeTint="99"/>
          <w:sz w:val="32"/>
          <w:szCs w:val="28"/>
          <w:lang w:val="en-GB"/>
        </w:rPr>
        <w:id w:val="-1409768034"/>
        <w:docPartObj>
          <w:docPartGallery w:val="Table of Contents"/>
          <w:docPartUnique/>
        </w:docPartObj>
      </w:sdtPr>
      <w:sdtEndPr>
        <w:rPr>
          <w:b/>
          <w:bCs/>
          <w:noProof/>
          <w:color w:val="auto"/>
          <w:sz w:val="24"/>
          <w:szCs w:val="22"/>
        </w:rPr>
      </w:sdtEndPr>
      <w:sdtContent>
        <w:p w14:paraId="5E224AAF" w14:textId="304B5B5B" w:rsidR="007546FD" w:rsidRPr="00083521" w:rsidRDefault="007546FD" w:rsidP="00083521">
          <w:pPr>
            <w:pBdr>
              <w:bottom w:val="single" w:sz="4" w:space="1" w:color="auto"/>
            </w:pBdr>
            <w:jc w:val="center"/>
            <w:rPr>
              <w:color w:val="548DD4" w:themeColor="text2" w:themeTint="99"/>
              <w:sz w:val="32"/>
              <w:szCs w:val="28"/>
              <w:lang w:val="en-GB"/>
            </w:rPr>
          </w:pPr>
          <w:r w:rsidRPr="00083521">
            <w:rPr>
              <w:color w:val="548DD4" w:themeColor="text2" w:themeTint="99"/>
              <w:sz w:val="32"/>
              <w:szCs w:val="28"/>
              <w:lang w:val="en-GB"/>
            </w:rPr>
            <w:t>Table of Contents</w:t>
          </w:r>
        </w:p>
        <w:p w14:paraId="5BBCA904" w14:textId="0D1E7BFA" w:rsidR="009D3CEE" w:rsidRDefault="007546FD">
          <w:pPr>
            <w:pStyle w:val="Cuprins1"/>
            <w:tabs>
              <w:tab w:val="right" w:leader="dot" w:pos="9220"/>
            </w:tabs>
            <w:rPr>
              <w:rFonts w:asciiTheme="minorHAnsi" w:eastAsiaTheme="minorEastAsia" w:hAnsiTheme="minorHAnsi" w:cstheme="minorBidi"/>
              <w:noProof/>
              <w:sz w:val="22"/>
              <w:lang w:val="en-IN" w:eastAsia="en-IN"/>
            </w:rPr>
          </w:pPr>
          <w:r w:rsidRPr="005D0B37">
            <w:rPr>
              <w:rFonts w:ascii="Trebuchet MS" w:hAnsi="Trebuchet MS" w:cs="Times New Roman"/>
              <w:lang w:val="en-GB"/>
            </w:rPr>
            <w:fldChar w:fldCharType="begin"/>
          </w:r>
          <w:r w:rsidRPr="005D0B37">
            <w:rPr>
              <w:rFonts w:ascii="Trebuchet MS" w:hAnsi="Trebuchet MS" w:cs="Times New Roman"/>
              <w:lang w:val="en-GB"/>
            </w:rPr>
            <w:instrText xml:space="preserve"> TOC \o "1-3" \h \z \u </w:instrText>
          </w:r>
          <w:r w:rsidRPr="005D0B37">
            <w:rPr>
              <w:rFonts w:ascii="Trebuchet MS" w:hAnsi="Trebuchet MS" w:cs="Times New Roman"/>
              <w:lang w:val="en-GB"/>
            </w:rPr>
            <w:fldChar w:fldCharType="separate"/>
          </w:r>
          <w:hyperlink w:anchor="_Toc107956217" w:history="1">
            <w:r w:rsidR="009D3CEE" w:rsidRPr="00445E05">
              <w:rPr>
                <w:rStyle w:val="Hyperlink"/>
                <w:noProof/>
                <w:lang w:val="en-GB"/>
              </w:rPr>
              <w:t xml:space="preserve">1. </w:t>
            </w:r>
            <w:r w:rsidR="009D3CEE" w:rsidRPr="00445E05">
              <w:rPr>
                <w:rStyle w:val="Hyperlink"/>
                <w:noProof/>
              </w:rPr>
              <w:t>Introduction</w:t>
            </w:r>
            <w:r w:rsidR="009D3CEE">
              <w:rPr>
                <w:noProof/>
                <w:webHidden/>
              </w:rPr>
              <w:tab/>
            </w:r>
            <w:r w:rsidR="009D3CEE">
              <w:rPr>
                <w:noProof/>
                <w:webHidden/>
              </w:rPr>
              <w:fldChar w:fldCharType="begin"/>
            </w:r>
            <w:r w:rsidR="009D3CEE">
              <w:rPr>
                <w:noProof/>
                <w:webHidden/>
              </w:rPr>
              <w:instrText xml:space="preserve"> PAGEREF _Toc107956217 \h </w:instrText>
            </w:r>
            <w:r w:rsidR="009D3CEE">
              <w:rPr>
                <w:noProof/>
                <w:webHidden/>
              </w:rPr>
            </w:r>
            <w:r w:rsidR="009D3CEE">
              <w:rPr>
                <w:noProof/>
                <w:webHidden/>
              </w:rPr>
              <w:fldChar w:fldCharType="separate"/>
            </w:r>
            <w:r w:rsidR="009D3CEE">
              <w:rPr>
                <w:noProof/>
                <w:webHidden/>
              </w:rPr>
              <w:t>3</w:t>
            </w:r>
            <w:r w:rsidR="009D3CEE">
              <w:rPr>
                <w:noProof/>
                <w:webHidden/>
              </w:rPr>
              <w:fldChar w:fldCharType="end"/>
            </w:r>
          </w:hyperlink>
        </w:p>
        <w:p w14:paraId="6FACEDF2" w14:textId="001A57FE" w:rsidR="009D3CEE" w:rsidRDefault="00995872">
          <w:pPr>
            <w:pStyle w:val="Cuprins1"/>
            <w:tabs>
              <w:tab w:val="right" w:leader="dot" w:pos="9220"/>
            </w:tabs>
            <w:rPr>
              <w:rFonts w:asciiTheme="minorHAnsi" w:eastAsiaTheme="minorEastAsia" w:hAnsiTheme="minorHAnsi" w:cstheme="minorBidi"/>
              <w:noProof/>
              <w:sz w:val="22"/>
              <w:lang w:val="en-IN" w:eastAsia="en-IN"/>
            </w:rPr>
          </w:pPr>
          <w:hyperlink w:anchor="_Toc107956218" w:history="1">
            <w:r w:rsidR="009D3CEE" w:rsidRPr="00445E05">
              <w:rPr>
                <w:rStyle w:val="Hyperlink"/>
                <w:noProof/>
                <w:lang w:val="en-GB"/>
              </w:rPr>
              <w:t>2. Zero Based</w:t>
            </w:r>
            <w:r w:rsidR="009D3CEE" w:rsidRPr="00445E05">
              <w:rPr>
                <w:rStyle w:val="Hyperlink"/>
                <w:noProof/>
                <w:spacing w:val="-54"/>
                <w:lang w:val="en-GB"/>
              </w:rPr>
              <w:t xml:space="preserve"> </w:t>
            </w:r>
            <w:r w:rsidR="009D3CEE" w:rsidRPr="00445E05">
              <w:rPr>
                <w:rStyle w:val="Hyperlink"/>
                <w:noProof/>
                <w:lang w:val="en-GB"/>
              </w:rPr>
              <w:t>Budgeting</w:t>
            </w:r>
            <w:r w:rsidR="009D3CEE">
              <w:rPr>
                <w:noProof/>
                <w:webHidden/>
              </w:rPr>
              <w:tab/>
            </w:r>
            <w:r w:rsidR="009D3CEE">
              <w:rPr>
                <w:noProof/>
                <w:webHidden/>
              </w:rPr>
              <w:fldChar w:fldCharType="begin"/>
            </w:r>
            <w:r w:rsidR="009D3CEE">
              <w:rPr>
                <w:noProof/>
                <w:webHidden/>
              </w:rPr>
              <w:instrText xml:space="preserve"> PAGEREF _Toc107956218 \h </w:instrText>
            </w:r>
            <w:r w:rsidR="009D3CEE">
              <w:rPr>
                <w:noProof/>
                <w:webHidden/>
              </w:rPr>
            </w:r>
            <w:r w:rsidR="009D3CEE">
              <w:rPr>
                <w:noProof/>
                <w:webHidden/>
              </w:rPr>
              <w:fldChar w:fldCharType="separate"/>
            </w:r>
            <w:r w:rsidR="009D3CEE">
              <w:rPr>
                <w:noProof/>
                <w:webHidden/>
              </w:rPr>
              <w:t>4</w:t>
            </w:r>
            <w:r w:rsidR="009D3CEE">
              <w:rPr>
                <w:noProof/>
                <w:webHidden/>
              </w:rPr>
              <w:fldChar w:fldCharType="end"/>
            </w:r>
          </w:hyperlink>
        </w:p>
        <w:p w14:paraId="5831418B" w14:textId="779DA497" w:rsidR="009D3CEE" w:rsidRDefault="00995872">
          <w:pPr>
            <w:pStyle w:val="Cuprins2"/>
            <w:tabs>
              <w:tab w:val="right" w:leader="dot" w:pos="9220"/>
            </w:tabs>
            <w:rPr>
              <w:rFonts w:asciiTheme="minorHAnsi" w:eastAsiaTheme="minorEastAsia" w:hAnsiTheme="minorHAnsi" w:cstheme="minorBidi"/>
              <w:noProof/>
              <w:sz w:val="22"/>
              <w:lang w:val="en-IN" w:eastAsia="en-IN"/>
            </w:rPr>
          </w:pPr>
          <w:hyperlink w:anchor="_Toc107956219" w:history="1">
            <w:r w:rsidR="009D3CEE" w:rsidRPr="00445E05">
              <w:rPr>
                <w:rStyle w:val="Hyperlink"/>
                <w:noProof/>
                <w:lang w:val="en-GB"/>
              </w:rPr>
              <w:t>2.1 Zero-based</w:t>
            </w:r>
            <w:r w:rsidR="009D3CEE" w:rsidRPr="00445E05">
              <w:rPr>
                <w:rStyle w:val="Hyperlink"/>
                <w:noProof/>
                <w:spacing w:val="-21"/>
                <w:lang w:val="en-GB"/>
              </w:rPr>
              <w:t xml:space="preserve"> </w:t>
            </w:r>
            <w:r w:rsidR="009D3CEE" w:rsidRPr="00445E05">
              <w:rPr>
                <w:rStyle w:val="Hyperlink"/>
                <w:noProof/>
              </w:rPr>
              <w:t>budgeting</w:t>
            </w:r>
            <w:r w:rsidR="009D3CEE">
              <w:rPr>
                <w:noProof/>
                <w:webHidden/>
              </w:rPr>
              <w:tab/>
            </w:r>
            <w:r w:rsidR="009D3CEE">
              <w:rPr>
                <w:noProof/>
                <w:webHidden/>
              </w:rPr>
              <w:fldChar w:fldCharType="begin"/>
            </w:r>
            <w:r w:rsidR="009D3CEE">
              <w:rPr>
                <w:noProof/>
                <w:webHidden/>
              </w:rPr>
              <w:instrText xml:space="preserve"> PAGEREF _Toc107956219 \h </w:instrText>
            </w:r>
            <w:r w:rsidR="009D3CEE">
              <w:rPr>
                <w:noProof/>
                <w:webHidden/>
              </w:rPr>
            </w:r>
            <w:r w:rsidR="009D3CEE">
              <w:rPr>
                <w:noProof/>
                <w:webHidden/>
              </w:rPr>
              <w:fldChar w:fldCharType="separate"/>
            </w:r>
            <w:r w:rsidR="009D3CEE">
              <w:rPr>
                <w:noProof/>
                <w:webHidden/>
              </w:rPr>
              <w:t>4</w:t>
            </w:r>
            <w:r w:rsidR="009D3CEE">
              <w:rPr>
                <w:noProof/>
                <w:webHidden/>
              </w:rPr>
              <w:fldChar w:fldCharType="end"/>
            </w:r>
          </w:hyperlink>
        </w:p>
        <w:p w14:paraId="74AC493C" w14:textId="683E6B80" w:rsidR="009D3CEE" w:rsidRDefault="00995872">
          <w:pPr>
            <w:pStyle w:val="Cuprins2"/>
            <w:tabs>
              <w:tab w:val="right" w:leader="dot" w:pos="9220"/>
            </w:tabs>
            <w:rPr>
              <w:rFonts w:asciiTheme="minorHAnsi" w:eastAsiaTheme="minorEastAsia" w:hAnsiTheme="minorHAnsi" w:cstheme="minorBidi"/>
              <w:noProof/>
              <w:sz w:val="22"/>
              <w:lang w:val="en-IN" w:eastAsia="en-IN"/>
            </w:rPr>
          </w:pPr>
          <w:hyperlink w:anchor="_Toc107956220" w:history="1">
            <w:r w:rsidR="009D3CEE" w:rsidRPr="00445E05">
              <w:rPr>
                <w:rStyle w:val="Hyperlink"/>
                <w:noProof/>
                <w:lang w:val="en-GB"/>
              </w:rPr>
              <w:t>2.2 Advantages</w:t>
            </w:r>
            <w:r w:rsidR="009D3CEE" w:rsidRPr="00445E05">
              <w:rPr>
                <w:rStyle w:val="Hyperlink"/>
                <w:noProof/>
                <w:spacing w:val="-33"/>
                <w:lang w:val="en-GB"/>
              </w:rPr>
              <w:t xml:space="preserve"> </w:t>
            </w:r>
            <w:r w:rsidR="009D3CEE" w:rsidRPr="00445E05">
              <w:rPr>
                <w:rStyle w:val="Hyperlink"/>
                <w:noProof/>
                <w:lang w:val="en-GB"/>
              </w:rPr>
              <w:t>of</w:t>
            </w:r>
            <w:r w:rsidR="009D3CEE" w:rsidRPr="00445E05">
              <w:rPr>
                <w:rStyle w:val="Hyperlink"/>
                <w:noProof/>
                <w:spacing w:val="-30"/>
                <w:lang w:val="en-GB"/>
              </w:rPr>
              <w:t xml:space="preserve"> </w:t>
            </w:r>
            <w:r w:rsidR="009D3CEE" w:rsidRPr="00445E05">
              <w:rPr>
                <w:rStyle w:val="Hyperlink"/>
                <w:noProof/>
                <w:lang w:val="en-GB"/>
              </w:rPr>
              <w:t>Zero-based</w:t>
            </w:r>
            <w:r w:rsidR="009D3CEE" w:rsidRPr="00445E05">
              <w:rPr>
                <w:rStyle w:val="Hyperlink"/>
                <w:noProof/>
                <w:spacing w:val="-32"/>
                <w:lang w:val="en-GB"/>
              </w:rPr>
              <w:t xml:space="preserve"> </w:t>
            </w:r>
            <w:r w:rsidR="009D3CEE" w:rsidRPr="00445E05">
              <w:rPr>
                <w:rStyle w:val="Hyperlink"/>
                <w:noProof/>
              </w:rPr>
              <w:t>budgeting</w:t>
            </w:r>
            <w:r w:rsidR="009D3CEE" w:rsidRPr="00445E05">
              <w:rPr>
                <w:rStyle w:val="Hyperlink"/>
                <w:noProof/>
                <w:spacing w:val="-33"/>
                <w:lang w:val="en-GB"/>
              </w:rPr>
              <w:t xml:space="preserve"> </w:t>
            </w:r>
            <w:r w:rsidR="009D3CEE" w:rsidRPr="00445E05">
              <w:rPr>
                <w:rStyle w:val="Hyperlink"/>
                <w:noProof/>
                <w:lang w:val="en-GB"/>
              </w:rPr>
              <w:t>over</w:t>
            </w:r>
            <w:r w:rsidR="009D3CEE" w:rsidRPr="00445E05">
              <w:rPr>
                <w:rStyle w:val="Hyperlink"/>
                <w:noProof/>
                <w:spacing w:val="-30"/>
                <w:lang w:val="en-GB"/>
              </w:rPr>
              <w:t xml:space="preserve"> </w:t>
            </w:r>
            <w:r w:rsidR="009D3CEE" w:rsidRPr="00445E05">
              <w:rPr>
                <w:rStyle w:val="Hyperlink"/>
                <w:noProof/>
                <w:lang w:val="en-GB"/>
              </w:rPr>
              <w:t>Traditional</w:t>
            </w:r>
            <w:r w:rsidR="009D3CEE" w:rsidRPr="00445E05">
              <w:rPr>
                <w:rStyle w:val="Hyperlink"/>
                <w:noProof/>
                <w:spacing w:val="-32"/>
                <w:lang w:val="en-GB"/>
              </w:rPr>
              <w:t xml:space="preserve"> </w:t>
            </w:r>
            <w:r w:rsidR="009D3CEE" w:rsidRPr="00445E05">
              <w:rPr>
                <w:rStyle w:val="Hyperlink"/>
                <w:noProof/>
                <w:lang w:val="en-GB"/>
              </w:rPr>
              <w:t>Based</w:t>
            </w:r>
            <w:r w:rsidR="009D3CEE">
              <w:rPr>
                <w:noProof/>
                <w:webHidden/>
              </w:rPr>
              <w:tab/>
            </w:r>
            <w:r w:rsidR="009D3CEE">
              <w:rPr>
                <w:noProof/>
                <w:webHidden/>
              </w:rPr>
              <w:fldChar w:fldCharType="begin"/>
            </w:r>
            <w:r w:rsidR="009D3CEE">
              <w:rPr>
                <w:noProof/>
                <w:webHidden/>
              </w:rPr>
              <w:instrText xml:space="preserve"> PAGEREF _Toc107956220 \h </w:instrText>
            </w:r>
            <w:r w:rsidR="009D3CEE">
              <w:rPr>
                <w:noProof/>
                <w:webHidden/>
              </w:rPr>
            </w:r>
            <w:r w:rsidR="009D3CEE">
              <w:rPr>
                <w:noProof/>
                <w:webHidden/>
              </w:rPr>
              <w:fldChar w:fldCharType="separate"/>
            </w:r>
            <w:r w:rsidR="009D3CEE">
              <w:rPr>
                <w:noProof/>
                <w:webHidden/>
              </w:rPr>
              <w:t>5</w:t>
            </w:r>
            <w:r w:rsidR="009D3CEE">
              <w:rPr>
                <w:noProof/>
                <w:webHidden/>
              </w:rPr>
              <w:fldChar w:fldCharType="end"/>
            </w:r>
          </w:hyperlink>
        </w:p>
        <w:p w14:paraId="1082778A" w14:textId="7C8E6803" w:rsidR="009D3CEE" w:rsidRDefault="00995872">
          <w:pPr>
            <w:pStyle w:val="Cuprins2"/>
            <w:tabs>
              <w:tab w:val="right" w:leader="dot" w:pos="9220"/>
            </w:tabs>
            <w:rPr>
              <w:rFonts w:asciiTheme="minorHAnsi" w:eastAsiaTheme="minorEastAsia" w:hAnsiTheme="minorHAnsi" w:cstheme="minorBidi"/>
              <w:noProof/>
              <w:sz w:val="22"/>
              <w:lang w:val="en-IN" w:eastAsia="en-IN"/>
            </w:rPr>
          </w:pPr>
          <w:hyperlink w:anchor="_Toc107956221" w:history="1">
            <w:r w:rsidR="009D3CEE" w:rsidRPr="00445E05">
              <w:rPr>
                <w:rStyle w:val="Hyperlink"/>
                <w:noProof/>
                <w:lang w:val="en-GB"/>
              </w:rPr>
              <w:t>2.3 How</w:t>
            </w:r>
            <w:r w:rsidR="009D3CEE" w:rsidRPr="00445E05">
              <w:rPr>
                <w:rStyle w:val="Hyperlink"/>
                <w:noProof/>
                <w:spacing w:val="-33"/>
                <w:lang w:val="en-GB"/>
              </w:rPr>
              <w:t xml:space="preserve"> </w:t>
            </w:r>
            <w:r w:rsidR="009D3CEE" w:rsidRPr="00445E05">
              <w:rPr>
                <w:rStyle w:val="Hyperlink"/>
                <w:noProof/>
                <w:lang w:val="en-GB"/>
              </w:rPr>
              <w:t>the</w:t>
            </w:r>
            <w:r w:rsidR="009D3CEE" w:rsidRPr="00445E05">
              <w:rPr>
                <w:rStyle w:val="Hyperlink"/>
                <w:noProof/>
                <w:spacing w:val="-29"/>
                <w:lang w:val="en-GB"/>
              </w:rPr>
              <w:t xml:space="preserve"> </w:t>
            </w:r>
            <w:r w:rsidR="009D3CEE" w:rsidRPr="00445E05">
              <w:rPr>
                <w:rStyle w:val="Hyperlink"/>
                <w:noProof/>
              </w:rPr>
              <w:t>Organization</w:t>
            </w:r>
            <w:r w:rsidR="009D3CEE" w:rsidRPr="00445E05">
              <w:rPr>
                <w:rStyle w:val="Hyperlink"/>
                <w:noProof/>
                <w:spacing w:val="-36"/>
                <w:lang w:val="en-GB"/>
              </w:rPr>
              <w:t xml:space="preserve"> </w:t>
            </w:r>
            <w:r w:rsidR="009D3CEE" w:rsidRPr="00445E05">
              <w:rPr>
                <w:rStyle w:val="Hyperlink"/>
                <w:noProof/>
                <w:lang w:val="en-GB"/>
              </w:rPr>
              <w:t>Might</w:t>
            </w:r>
            <w:r w:rsidR="009D3CEE" w:rsidRPr="00445E05">
              <w:rPr>
                <w:rStyle w:val="Hyperlink"/>
                <w:noProof/>
                <w:spacing w:val="-31"/>
                <w:lang w:val="en-GB"/>
              </w:rPr>
              <w:t xml:space="preserve"> </w:t>
            </w:r>
            <w:r w:rsidR="009D3CEE" w:rsidRPr="00445E05">
              <w:rPr>
                <w:rStyle w:val="Hyperlink"/>
                <w:noProof/>
                <w:lang w:val="en-GB"/>
              </w:rPr>
              <w:t>introduce</w:t>
            </w:r>
            <w:r w:rsidR="009D3CEE" w:rsidRPr="00445E05">
              <w:rPr>
                <w:rStyle w:val="Hyperlink"/>
                <w:noProof/>
                <w:spacing w:val="-33"/>
                <w:lang w:val="en-GB"/>
              </w:rPr>
              <w:t xml:space="preserve"> </w:t>
            </w:r>
            <w:r w:rsidR="009D3CEE" w:rsidRPr="00445E05">
              <w:rPr>
                <w:rStyle w:val="Hyperlink"/>
                <w:noProof/>
                <w:lang w:val="en-GB"/>
              </w:rPr>
              <w:t>Zero-based</w:t>
            </w:r>
            <w:r w:rsidR="009D3CEE" w:rsidRPr="00445E05">
              <w:rPr>
                <w:rStyle w:val="Hyperlink"/>
                <w:noProof/>
                <w:spacing w:val="-31"/>
                <w:lang w:val="en-GB"/>
              </w:rPr>
              <w:t xml:space="preserve"> </w:t>
            </w:r>
            <w:r w:rsidR="009D3CEE" w:rsidRPr="00445E05">
              <w:rPr>
                <w:rStyle w:val="Hyperlink"/>
                <w:noProof/>
                <w:lang w:val="en-GB"/>
              </w:rPr>
              <w:t>Budgeting</w:t>
            </w:r>
            <w:r w:rsidR="009D3CEE">
              <w:rPr>
                <w:noProof/>
                <w:webHidden/>
              </w:rPr>
              <w:tab/>
            </w:r>
            <w:r w:rsidR="009D3CEE">
              <w:rPr>
                <w:noProof/>
                <w:webHidden/>
              </w:rPr>
              <w:fldChar w:fldCharType="begin"/>
            </w:r>
            <w:r w:rsidR="009D3CEE">
              <w:rPr>
                <w:noProof/>
                <w:webHidden/>
              </w:rPr>
              <w:instrText xml:space="preserve"> PAGEREF _Toc107956221 \h </w:instrText>
            </w:r>
            <w:r w:rsidR="009D3CEE">
              <w:rPr>
                <w:noProof/>
                <w:webHidden/>
              </w:rPr>
            </w:r>
            <w:r w:rsidR="009D3CEE">
              <w:rPr>
                <w:noProof/>
                <w:webHidden/>
              </w:rPr>
              <w:fldChar w:fldCharType="separate"/>
            </w:r>
            <w:r w:rsidR="009D3CEE">
              <w:rPr>
                <w:noProof/>
                <w:webHidden/>
              </w:rPr>
              <w:t>6</w:t>
            </w:r>
            <w:r w:rsidR="009D3CEE">
              <w:rPr>
                <w:noProof/>
                <w:webHidden/>
              </w:rPr>
              <w:fldChar w:fldCharType="end"/>
            </w:r>
          </w:hyperlink>
        </w:p>
        <w:p w14:paraId="78309C9B" w14:textId="73CA07D2" w:rsidR="009D3CEE" w:rsidRDefault="00995872">
          <w:pPr>
            <w:pStyle w:val="Cuprins1"/>
            <w:tabs>
              <w:tab w:val="right" w:leader="dot" w:pos="9220"/>
            </w:tabs>
            <w:rPr>
              <w:rFonts w:asciiTheme="minorHAnsi" w:eastAsiaTheme="minorEastAsia" w:hAnsiTheme="minorHAnsi" w:cstheme="minorBidi"/>
              <w:noProof/>
              <w:sz w:val="22"/>
              <w:lang w:val="en-IN" w:eastAsia="en-IN"/>
            </w:rPr>
          </w:pPr>
          <w:hyperlink w:anchor="_Toc107956222" w:history="1">
            <w:r w:rsidR="009D3CEE" w:rsidRPr="00445E05">
              <w:rPr>
                <w:rStyle w:val="Hyperlink"/>
                <w:noProof/>
                <w:lang w:val="en-GB"/>
              </w:rPr>
              <w:t xml:space="preserve">3. </w:t>
            </w:r>
            <w:r w:rsidR="009D3CEE" w:rsidRPr="00445E05">
              <w:rPr>
                <w:rStyle w:val="Hyperlink"/>
                <w:noProof/>
              </w:rPr>
              <w:t>Conclusion</w:t>
            </w:r>
            <w:r w:rsidR="009D3CEE">
              <w:rPr>
                <w:noProof/>
                <w:webHidden/>
              </w:rPr>
              <w:tab/>
            </w:r>
            <w:r w:rsidR="009D3CEE">
              <w:rPr>
                <w:noProof/>
                <w:webHidden/>
              </w:rPr>
              <w:fldChar w:fldCharType="begin"/>
            </w:r>
            <w:r w:rsidR="009D3CEE">
              <w:rPr>
                <w:noProof/>
                <w:webHidden/>
              </w:rPr>
              <w:instrText xml:space="preserve"> PAGEREF _Toc107956222 \h </w:instrText>
            </w:r>
            <w:r w:rsidR="009D3CEE">
              <w:rPr>
                <w:noProof/>
                <w:webHidden/>
              </w:rPr>
            </w:r>
            <w:r w:rsidR="009D3CEE">
              <w:rPr>
                <w:noProof/>
                <w:webHidden/>
              </w:rPr>
              <w:fldChar w:fldCharType="separate"/>
            </w:r>
            <w:r w:rsidR="009D3CEE">
              <w:rPr>
                <w:noProof/>
                <w:webHidden/>
              </w:rPr>
              <w:t>8</w:t>
            </w:r>
            <w:r w:rsidR="009D3CEE">
              <w:rPr>
                <w:noProof/>
                <w:webHidden/>
              </w:rPr>
              <w:fldChar w:fldCharType="end"/>
            </w:r>
          </w:hyperlink>
        </w:p>
        <w:p w14:paraId="7BF4DE57" w14:textId="5A10767D" w:rsidR="009D3CEE" w:rsidRDefault="00995872">
          <w:pPr>
            <w:pStyle w:val="Cuprins1"/>
            <w:tabs>
              <w:tab w:val="right" w:leader="dot" w:pos="9220"/>
            </w:tabs>
            <w:rPr>
              <w:rFonts w:asciiTheme="minorHAnsi" w:eastAsiaTheme="minorEastAsia" w:hAnsiTheme="minorHAnsi" w:cstheme="minorBidi"/>
              <w:noProof/>
              <w:sz w:val="22"/>
              <w:lang w:val="en-IN" w:eastAsia="en-IN"/>
            </w:rPr>
          </w:pPr>
          <w:hyperlink w:anchor="_Toc107956223" w:history="1">
            <w:r w:rsidR="009D3CEE" w:rsidRPr="00445E05">
              <w:rPr>
                <w:rStyle w:val="Hyperlink"/>
                <w:noProof/>
                <w:lang w:val="en-GB"/>
              </w:rPr>
              <w:t>4. Budget</w:t>
            </w:r>
            <w:r w:rsidR="009D3CEE" w:rsidRPr="00445E05">
              <w:rPr>
                <w:rStyle w:val="Hyperlink"/>
                <w:noProof/>
                <w:spacing w:val="-26"/>
                <w:lang w:val="en-GB"/>
              </w:rPr>
              <w:t xml:space="preserve"> </w:t>
            </w:r>
            <w:r w:rsidR="009D3CEE" w:rsidRPr="00445E05">
              <w:rPr>
                <w:rStyle w:val="Hyperlink"/>
                <w:noProof/>
              </w:rPr>
              <w:t>Calculations</w:t>
            </w:r>
            <w:r w:rsidR="009D3CEE">
              <w:rPr>
                <w:noProof/>
                <w:webHidden/>
              </w:rPr>
              <w:tab/>
            </w:r>
            <w:r w:rsidR="009D3CEE">
              <w:rPr>
                <w:noProof/>
                <w:webHidden/>
              </w:rPr>
              <w:fldChar w:fldCharType="begin"/>
            </w:r>
            <w:r w:rsidR="009D3CEE">
              <w:rPr>
                <w:noProof/>
                <w:webHidden/>
              </w:rPr>
              <w:instrText xml:space="preserve"> PAGEREF _Toc107956223 \h </w:instrText>
            </w:r>
            <w:r w:rsidR="009D3CEE">
              <w:rPr>
                <w:noProof/>
                <w:webHidden/>
              </w:rPr>
            </w:r>
            <w:r w:rsidR="009D3CEE">
              <w:rPr>
                <w:noProof/>
                <w:webHidden/>
              </w:rPr>
              <w:fldChar w:fldCharType="separate"/>
            </w:r>
            <w:r w:rsidR="009D3CEE">
              <w:rPr>
                <w:noProof/>
                <w:webHidden/>
              </w:rPr>
              <w:t>9</w:t>
            </w:r>
            <w:r w:rsidR="009D3CEE">
              <w:rPr>
                <w:noProof/>
                <w:webHidden/>
              </w:rPr>
              <w:fldChar w:fldCharType="end"/>
            </w:r>
          </w:hyperlink>
        </w:p>
        <w:p w14:paraId="7C02AF81" w14:textId="11B4A204" w:rsidR="009D3CEE" w:rsidRDefault="00995872">
          <w:pPr>
            <w:pStyle w:val="Cuprins1"/>
            <w:tabs>
              <w:tab w:val="right" w:leader="dot" w:pos="9220"/>
            </w:tabs>
            <w:rPr>
              <w:rFonts w:asciiTheme="minorHAnsi" w:eastAsiaTheme="minorEastAsia" w:hAnsiTheme="minorHAnsi" w:cstheme="minorBidi"/>
              <w:noProof/>
              <w:sz w:val="22"/>
              <w:lang w:val="en-IN" w:eastAsia="en-IN"/>
            </w:rPr>
          </w:pPr>
          <w:hyperlink w:anchor="_Toc107956224" w:history="1">
            <w:r w:rsidR="009D3CEE" w:rsidRPr="00445E05">
              <w:rPr>
                <w:rStyle w:val="Hyperlink"/>
                <w:noProof/>
                <w:w w:val="95"/>
                <w:lang w:val="en-GB"/>
              </w:rPr>
              <w:t>Reference</w:t>
            </w:r>
            <w:r w:rsidR="009D3CEE" w:rsidRPr="00445E05">
              <w:rPr>
                <w:rStyle w:val="Hyperlink"/>
                <w:noProof/>
                <w:spacing w:val="-23"/>
                <w:w w:val="95"/>
                <w:lang w:val="en-GB"/>
              </w:rPr>
              <w:t xml:space="preserve"> </w:t>
            </w:r>
            <w:r w:rsidR="009D3CEE" w:rsidRPr="00445E05">
              <w:rPr>
                <w:rStyle w:val="Hyperlink"/>
                <w:noProof/>
                <w:w w:val="95"/>
                <w:lang w:val="en-GB"/>
              </w:rPr>
              <w:t>List</w:t>
            </w:r>
            <w:r w:rsidR="009D3CEE">
              <w:rPr>
                <w:noProof/>
                <w:webHidden/>
              </w:rPr>
              <w:tab/>
            </w:r>
            <w:r w:rsidR="009D3CEE">
              <w:rPr>
                <w:noProof/>
                <w:webHidden/>
              </w:rPr>
              <w:fldChar w:fldCharType="begin"/>
            </w:r>
            <w:r w:rsidR="009D3CEE">
              <w:rPr>
                <w:noProof/>
                <w:webHidden/>
              </w:rPr>
              <w:instrText xml:space="preserve"> PAGEREF _Toc107956224 \h </w:instrText>
            </w:r>
            <w:r w:rsidR="009D3CEE">
              <w:rPr>
                <w:noProof/>
                <w:webHidden/>
              </w:rPr>
            </w:r>
            <w:r w:rsidR="009D3CEE">
              <w:rPr>
                <w:noProof/>
                <w:webHidden/>
              </w:rPr>
              <w:fldChar w:fldCharType="separate"/>
            </w:r>
            <w:r w:rsidR="009D3CEE">
              <w:rPr>
                <w:noProof/>
                <w:webHidden/>
              </w:rPr>
              <w:t>10</w:t>
            </w:r>
            <w:r w:rsidR="009D3CEE">
              <w:rPr>
                <w:noProof/>
                <w:webHidden/>
              </w:rPr>
              <w:fldChar w:fldCharType="end"/>
            </w:r>
          </w:hyperlink>
        </w:p>
        <w:p w14:paraId="6497F809" w14:textId="0E13EA77" w:rsidR="007546FD" w:rsidRPr="005D0B37" w:rsidRDefault="007546FD">
          <w:pPr>
            <w:rPr>
              <w:lang w:val="en-GB"/>
            </w:rPr>
          </w:pPr>
          <w:r w:rsidRPr="005D0B37">
            <w:rPr>
              <w:rFonts w:cs="Times New Roman"/>
              <w:b/>
              <w:bCs/>
              <w:noProof/>
              <w:lang w:val="en-GB"/>
            </w:rPr>
            <w:fldChar w:fldCharType="end"/>
          </w:r>
        </w:p>
      </w:sdtContent>
    </w:sdt>
    <w:p w14:paraId="0F367982" w14:textId="3085C5D4" w:rsidR="007546FD" w:rsidRPr="005D0B37" w:rsidRDefault="007546FD">
      <w:pPr>
        <w:rPr>
          <w:lang w:val="en-GB"/>
        </w:rPr>
        <w:sectPr w:rsidR="007546FD" w:rsidRPr="005D0B37">
          <w:pgSz w:w="11910" w:h="16840"/>
          <w:pgMar w:top="1420" w:right="1340" w:bottom="1200" w:left="1340" w:header="0" w:footer="1001" w:gutter="0"/>
          <w:cols w:space="720"/>
        </w:sectPr>
      </w:pPr>
    </w:p>
    <w:p w14:paraId="184A6A80" w14:textId="57DBBA94" w:rsidR="004200F2" w:rsidRPr="005D0B37" w:rsidRDefault="00BA4B18" w:rsidP="009C06FF">
      <w:pPr>
        <w:pStyle w:val="Titlu1"/>
        <w:numPr>
          <w:ilvl w:val="0"/>
          <w:numId w:val="8"/>
        </w:numPr>
        <w:rPr>
          <w:lang w:val="en-GB"/>
        </w:rPr>
      </w:pPr>
      <w:bookmarkStart w:id="1" w:name="1._Introduction"/>
      <w:bookmarkStart w:id="2" w:name="_TOC_250005"/>
      <w:bookmarkStart w:id="3" w:name="_Toc107956217"/>
      <w:bookmarkEnd w:id="1"/>
      <w:r w:rsidRPr="00083521">
        <w:lastRenderedPageBreak/>
        <w:t>I</w:t>
      </w:r>
      <w:bookmarkEnd w:id="2"/>
      <w:r w:rsidRPr="00083521">
        <w:t>ntroduction</w:t>
      </w:r>
      <w:bookmarkEnd w:id="3"/>
    </w:p>
    <w:p w14:paraId="5E7B70DF" w14:textId="62311266" w:rsidR="00E1490E" w:rsidRPr="005D0B37" w:rsidRDefault="00E1490E" w:rsidP="00E1490E">
      <w:pPr>
        <w:jc w:val="both"/>
        <w:rPr>
          <w:lang w:val="en-GB"/>
        </w:rPr>
      </w:pPr>
      <w:r w:rsidRPr="005D0B37">
        <w:rPr>
          <w:lang w:val="en-GB"/>
        </w:rPr>
        <w:t xml:space="preserve">In regards to the importance of achieving organizational goals, the word </w:t>
      </w:r>
      <w:r w:rsidR="009C06FF">
        <w:rPr>
          <w:lang w:val="en-GB"/>
        </w:rPr>
        <w:t>“</w:t>
      </w:r>
      <w:r w:rsidRPr="005D0B37">
        <w:rPr>
          <w:lang w:val="en-GB"/>
        </w:rPr>
        <w:t>budget</w:t>
      </w:r>
      <w:r w:rsidR="009C06FF">
        <w:rPr>
          <w:lang w:val="en-GB"/>
        </w:rPr>
        <w:t>”</w:t>
      </w:r>
      <w:r w:rsidRPr="005D0B37">
        <w:rPr>
          <w:lang w:val="en-GB"/>
        </w:rPr>
        <w:t xml:space="preserve"> is used by the majority of businesses. From the time of conception to the moment of execution, budgeting is essential to the sustainability of every firm (Asogwa and Etim, 2017). Accounting systems largely rely on cost, standard, quality, and goal data to help management and judgment set priorities within resource constraints. In this regard, different types of budgets encompass the financial process of the business. </w:t>
      </w:r>
    </w:p>
    <w:p w14:paraId="30053CB0" w14:textId="2E85F3DB" w:rsidR="00AB0F10" w:rsidRPr="005D0B37" w:rsidRDefault="00E1490E" w:rsidP="005D0B37">
      <w:pPr>
        <w:jc w:val="both"/>
        <w:rPr>
          <w:lang w:val="en-GB"/>
        </w:rPr>
        <w:sectPr w:rsidR="00AB0F10" w:rsidRPr="005D0B37">
          <w:pgSz w:w="11910" w:h="16840"/>
          <w:pgMar w:top="1420" w:right="1340" w:bottom="1200" w:left="1340" w:header="0" w:footer="1001" w:gutter="0"/>
          <w:cols w:space="720"/>
        </w:sectPr>
      </w:pPr>
      <w:r w:rsidRPr="005D0B37">
        <w:rPr>
          <w:lang w:val="en-GB"/>
        </w:rPr>
        <w:t>In that case, Zero-based budgeting (ZBB) is a method of planning finances in which the budget is created in accordance with the aims and objectives of the company. The activity in ZBB begins from base zero (Emerling and Wojcik-Jurkiewicz, 2018). The financing of a conglomerate or SME has enhanced some strategic choices. Regarding this concern, this report will provide the concept of ZBB and its advantages over the traditional-based budget with the appropriate sources of information</w:t>
      </w:r>
      <w:r w:rsidR="005D0B37" w:rsidRPr="005D0B37">
        <w:rPr>
          <w:lang w:val="en-GB"/>
        </w:rPr>
        <w:t>.</w:t>
      </w:r>
    </w:p>
    <w:p w14:paraId="1FF518B8" w14:textId="191AF713" w:rsidR="004200F2" w:rsidRPr="005D0B37" w:rsidRDefault="00B43F96" w:rsidP="00083521">
      <w:pPr>
        <w:pStyle w:val="Titlu1"/>
        <w:rPr>
          <w:lang w:val="en-GB"/>
        </w:rPr>
      </w:pPr>
      <w:bookmarkStart w:id="4" w:name="2._Zero_Based_Budgeting"/>
      <w:bookmarkStart w:id="5" w:name="_TOC_250004"/>
      <w:bookmarkStart w:id="6" w:name="_Toc107956218"/>
      <w:bookmarkEnd w:id="4"/>
      <w:r w:rsidRPr="005D0B37">
        <w:rPr>
          <w:lang w:val="en-GB"/>
        </w:rPr>
        <w:lastRenderedPageBreak/>
        <w:t>2.</w:t>
      </w:r>
      <w:r w:rsidR="005D0B37" w:rsidRPr="005D0B37">
        <w:rPr>
          <w:lang w:val="en-GB"/>
        </w:rPr>
        <w:t xml:space="preserve"> </w:t>
      </w:r>
      <w:r w:rsidR="00BA4B18" w:rsidRPr="005D0B37">
        <w:rPr>
          <w:lang w:val="en-GB"/>
        </w:rPr>
        <w:t>Zero Based</w:t>
      </w:r>
      <w:r w:rsidR="00BA4B18" w:rsidRPr="005D0B37">
        <w:rPr>
          <w:spacing w:val="-54"/>
          <w:lang w:val="en-GB"/>
        </w:rPr>
        <w:t xml:space="preserve"> </w:t>
      </w:r>
      <w:bookmarkEnd w:id="5"/>
      <w:r w:rsidR="00BA4B18" w:rsidRPr="005D0B37">
        <w:rPr>
          <w:lang w:val="en-GB"/>
        </w:rPr>
        <w:t>Budgeting</w:t>
      </w:r>
      <w:bookmarkEnd w:id="6"/>
    </w:p>
    <w:p w14:paraId="18C2024B" w14:textId="525CFDA3" w:rsidR="004200F2" w:rsidRPr="005D0B37" w:rsidRDefault="005D0B37" w:rsidP="00083521">
      <w:pPr>
        <w:pStyle w:val="Titlu2"/>
        <w:rPr>
          <w:lang w:val="en-GB"/>
        </w:rPr>
      </w:pPr>
      <w:bookmarkStart w:id="7" w:name="2.1_Zero-based_budgeting"/>
      <w:bookmarkStart w:id="8" w:name="_TOC_250003"/>
      <w:bookmarkStart w:id="9" w:name="_Toc107956219"/>
      <w:bookmarkEnd w:id="7"/>
      <w:r w:rsidRPr="005D0B37">
        <w:rPr>
          <w:lang w:val="en-GB"/>
        </w:rPr>
        <w:t xml:space="preserve">2.1 </w:t>
      </w:r>
      <w:r w:rsidR="00BA4B18" w:rsidRPr="005D0B37">
        <w:rPr>
          <w:lang w:val="en-GB"/>
        </w:rPr>
        <w:t>Zero-based</w:t>
      </w:r>
      <w:r w:rsidR="00BA4B18" w:rsidRPr="005D0B37">
        <w:rPr>
          <w:spacing w:val="-21"/>
          <w:lang w:val="en-GB"/>
        </w:rPr>
        <w:t xml:space="preserve"> </w:t>
      </w:r>
      <w:bookmarkEnd w:id="8"/>
      <w:r w:rsidR="00BA4B18" w:rsidRPr="00083521">
        <w:t>budgeting</w:t>
      </w:r>
      <w:bookmarkEnd w:id="9"/>
    </w:p>
    <w:p w14:paraId="068F7BED" w14:textId="66ED8931" w:rsidR="00E1490E" w:rsidRPr="005D0B37" w:rsidRDefault="00E1490E" w:rsidP="007546FD">
      <w:pPr>
        <w:jc w:val="both"/>
        <w:rPr>
          <w:shd w:val="clear" w:color="auto" w:fill="FFFFFF"/>
          <w:lang w:val="en-GB"/>
        </w:rPr>
      </w:pPr>
      <w:r w:rsidRPr="005D0B37">
        <w:rPr>
          <w:shd w:val="clear" w:color="auto" w:fill="FFFFFF"/>
          <w:lang w:val="en-GB"/>
        </w:rPr>
        <w:t>Zero-based budgeting (ZBB) is a budgeting method wherein the budget is developed in accordance with the organization</w:t>
      </w:r>
      <w:r w:rsidR="009C06FF">
        <w:rPr>
          <w:shd w:val="clear" w:color="auto" w:fill="FFFFFF"/>
          <w:lang w:val="en-GB"/>
        </w:rPr>
        <w:t>’</w:t>
      </w:r>
      <w:r w:rsidRPr="005D0B37">
        <w:rPr>
          <w:shd w:val="clear" w:color="auto" w:fill="FFFFFF"/>
          <w:lang w:val="en-GB"/>
        </w:rPr>
        <w:t>s strategy and objectives. In zero-based budgeting (ZBB), the budgeting process begins with a zero basis, and all budget items should be substantiated for every budgeting process</w:t>
      </w:r>
      <w:r w:rsidRPr="005D0B37">
        <w:rPr>
          <w:lang w:val="en-GB"/>
        </w:rPr>
        <w:t xml:space="preserve"> (Al-attara, Mashkourb, and Hassanc, 2020)</w:t>
      </w:r>
      <w:r w:rsidRPr="005D0B37">
        <w:rPr>
          <w:shd w:val="clear" w:color="auto" w:fill="FFFFFF"/>
          <w:lang w:val="en-GB"/>
        </w:rPr>
        <w:t xml:space="preserve">. Essentially, it is manufactured from scratch. In Zero-based budgeting, determining the budget values for each aspect, such as spending, cost, income, etc., for each year requires a thorough examination. This budget differs from conventional budgeting, in which the current budget is derived from the prior </w:t>
      </w:r>
      <w:r w:rsidR="008B4541" w:rsidRPr="005D0B37">
        <w:rPr>
          <w:shd w:val="clear" w:color="auto" w:fill="FFFFFF"/>
          <w:lang w:val="en-GB"/>
        </w:rPr>
        <w:t xml:space="preserve">time </w:t>
      </w:r>
      <w:r w:rsidRPr="005D0B37">
        <w:rPr>
          <w:shd w:val="clear" w:color="auto" w:fill="FFFFFF"/>
          <w:lang w:val="en-GB"/>
        </w:rPr>
        <w:t>budget rise or drop. The Comparison with the current budget to the prior budget, administration expenditures are projected to rise by 2%.</w:t>
      </w:r>
    </w:p>
    <w:p w14:paraId="4991E54D" w14:textId="58BF8838" w:rsidR="00E1490E" w:rsidRPr="005D0B37" w:rsidRDefault="00E1490E" w:rsidP="007546FD">
      <w:pPr>
        <w:jc w:val="both"/>
        <w:rPr>
          <w:lang w:val="en-GB"/>
        </w:rPr>
      </w:pPr>
      <w:r w:rsidRPr="005D0B37">
        <w:rPr>
          <w:lang w:val="en-GB"/>
        </w:rPr>
        <w:t xml:space="preserve">ZBB is a time-consuming procedure since it is more involved than typical cost-based budgeting. It leads the budget from recognizing </w:t>
      </w:r>
      <w:r w:rsidR="008B4541" w:rsidRPr="005D0B37">
        <w:rPr>
          <w:lang w:val="en-GB"/>
        </w:rPr>
        <w:t>drives of the cost</w:t>
      </w:r>
      <w:r w:rsidRPr="005D0B37">
        <w:rPr>
          <w:lang w:val="en-GB"/>
        </w:rPr>
        <w:t xml:space="preserve"> to </w:t>
      </w:r>
      <w:r w:rsidR="008B4541" w:rsidRPr="005D0B37">
        <w:rPr>
          <w:lang w:val="en-GB"/>
        </w:rPr>
        <w:t>recognise</w:t>
      </w:r>
      <w:r w:rsidRPr="005D0B37">
        <w:rPr>
          <w:lang w:val="en-GB"/>
        </w:rPr>
        <w:t xml:space="preserve"> past year</w:t>
      </w:r>
      <w:r w:rsidR="009C06FF">
        <w:rPr>
          <w:lang w:val="en-GB"/>
        </w:rPr>
        <w:t>’</w:t>
      </w:r>
      <w:r w:rsidRPr="005D0B37">
        <w:rPr>
          <w:lang w:val="en-GB"/>
        </w:rPr>
        <w:t>s spending and establishing the worth for recurrent expenses, justifying additional costs, and so on (Ibrahim, 2019). Cost control is achievable with this way of budgeting since it begins from zero rather than assigning an increase and drop from the prior budget.</w:t>
      </w:r>
    </w:p>
    <w:p w14:paraId="7D168945" w14:textId="29DFA72F" w:rsidR="00E1490E" w:rsidRPr="005D0B37" w:rsidRDefault="00E1490E" w:rsidP="007546FD">
      <w:pPr>
        <w:jc w:val="both"/>
        <w:rPr>
          <w:lang w:val="en-GB"/>
        </w:rPr>
      </w:pPr>
      <w:r w:rsidRPr="005D0B37">
        <w:rPr>
          <w:lang w:val="en-GB"/>
        </w:rPr>
        <w:t>In ZBB, the allocation of cash to costs is based on the needs and demands that drive the effectiveness and success of the company. It emphasizes justifiable spending in budgeting instead of following the planning patterns of the previous quarter. This is more of a comprehensive budget since it distributes funds after a thorough examination and justification of expenditures (Al-ddin and Ayedh, 2019). The approval of the spending plan by the members of the management team is conditional on the provision of the necessary paperwork and reasoning. As a consequence of ZBB</w:t>
      </w:r>
      <w:r w:rsidR="009C06FF">
        <w:rPr>
          <w:lang w:val="en-GB"/>
        </w:rPr>
        <w:t>’</w:t>
      </w:r>
      <w:r w:rsidRPr="005D0B37">
        <w:rPr>
          <w:lang w:val="en-GB"/>
        </w:rPr>
        <w:t>s implementation of spending and management disciplines into the structure of the organization, both monitoring and efficiency have been significantly improved.</w:t>
      </w:r>
    </w:p>
    <w:p w14:paraId="33EA53EF" w14:textId="7CDEA535" w:rsidR="00E1490E" w:rsidRPr="005D0B37" w:rsidRDefault="00E1490E" w:rsidP="005D0B37">
      <w:pPr>
        <w:jc w:val="both"/>
        <w:rPr>
          <w:lang w:val="en-GB"/>
        </w:rPr>
      </w:pPr>
      <w:r w:rsidRPr="005D0B37">
        <w:rPr>
          <w:lang w:val="en-GB"/>
        </w:rPr>
        <w:t xml:space="preserve">It comprises </w:t>
      </w:r>
      <w:r w:rsidR="009C06FF" w:rsidRPr="005D0B37">
        <w:rPr>
          <w:lang w:val="en-GB"/>
        </w:rPr>
        <w:t>analysing</w:t>
      </w:r>
      <w:r w:rsidRPr="005D0B37">
        <w:rPr>
          <w:lang w:val="en-GB"/>
        </w:rPr>
        <w:t xml:space="preserve"> the expenditures from the previous period while taking into consideration the demands of the current period, with the ultimate goal of decreasing any superfluous spending. It was tied to efforts to cut costs and look for </w:t>
      </w:r>
      <w:r w:rsidRPr="005D0B37">
        <w:rPr>
          <w:lang w:val="en-GB"/>
        </w:rPr>
        <w:lastRenderedPageBreak/>
        <w:t>places where money might be saved.</w:t>
      </w:r>
    </w:p>
    <w:p w14:paraId="65DEBA9B" w14:textId="5A0502E9" w:rsidR="004200F2" w:rsidRPr="005D0B37" w:rsidRDefault="005D0B37" w:rsidP="00083521">
      <w:pPr>
        <w:pStyle w:val="Titlu2"/>
        <w:rPr>
          <w:lang w:val="en-GB"/>
        </w:rPr>
      </w:pPr>
      <w:bookmarkStart w:id="10" w:name="2.2_Advantages_of_Zero-based_budgeting_o"/>
      <w:bookmarkStart w:id="11" w:name="_TOC_250002"/>
      <w:bookmarkStart w:id="12" w:name="_Toc107956220"/>
      <w:bookmarkEnd w:id="10"/>
      <w:r w:rsidRPr="005D0B37">
        <w:rPr>
          <w:lang w:val="en-GB"/>
        </w:rPr>
        <w:t xml:space="preserve">2.2 </w:t>
      </w:r>
      <w:r w:rsidR="00BA4B18" w:rsidRPr="005D0B37">
        <w:rPr>
          <w:lang w:val="en-GB"/>
        </w:rPr>
        <w:t>Advantages</w:t>
      </w:r>
      <w:r w:rsidR="00BA4B18" w:rsidRPr="005D0B37">
        <w:rPr>
          <w:spacing w:val="-33"/>
          <w:lang w:val="en-GB"/>
        </w:rPr>
        <w:t xml:space="preserve"> </w:t>
      </w:r>
      <w:r w:rsidR="00BA4B18" w:rsidRPr="005D0B37">
        <w:rPr>
          <w:lang w:val="en-GB"/>
        </w:rPr>
        <w:t>of</w:t>
      </w:r>
      <w:r w:rsidR="00BA4B18" w:rsidRPr="005D0B37">
        <w:rPr>
          <w:spacing w:val="-30"/>
          <w:lang w:val="en-GB"/>
        </w:rPr>
        <w:t xml:space="preserve"> </w:t>
      </w:r>
      <w:r w:rsidR="00BA4B18" w:rsidRPr="005D0B37">
        <w:rPr>
          <w:lang w:val="en-GB"/>
        </w:rPr>
        <w:t>Zero-based</w:t>
      </w:r>
      <w:r w:rsidR="00BA4B18" w:rsidRPr="005D0B37">
        <w:rPr>
          <w:spacing w:val="-32"/>
          <w:lang w:val="en-GB"/>
        </w:rPr>
        <w:t xml:space="preserve"> </w:t>
      </w:r>
      <w:r w:rsidR="00BA4B18" w:rsidRPr="00083521">
        <w:t>budgeting</w:t>
      </w:r>
      <w:r w:rsidR="00BA4B18" w:rsidRPr="005D0B37">
        <w:rPr>
          <w:spacing w:val="-33"/>
          <w:lang w:val="en-GB"/>
        </w:rPr>
        <w:t xml:space="preserve"> </w:t>
      </w:r>
      <w:r w:rsidR="00BA4B18" w:rsidRPr="005D0B37">
        <w:rPr>
          <w:lang w:val="en-GB"/>
        </w:rPr>
        <w:t>over</w:t>
      </w:r>
      <w:r w:rsidR="00BA4B18" w:rsidRPr="005D0B37">
        <w:rPr>
          <w:spacing w:val="-30"/>
          <w:lang w:val="en-GB"/>
        </w:rPr>
        <w:t xml:space="preserve"> </w:t>
      </w:r>
      <w:r w:rsidR="00BA4B18" w:rsidRPr="005D0B37">
        <w:rPr>
          <w:lang w:val="en-GB"/>
        </w:rPr>
        <w:t>Traditional</w:t>
      </w:r>
      <w:r w:rsidR="00BA4B18" w:rsidRPr="005D0B37">
        <w:rPr>
          <w:spacing w:val="-32"/>
          <w:lang w:val="en-GB"/>
        </w:rPr>
        <w:t xml:space="preserve"> </w:t>
      </w:r>
      <w:bookmarkEnd w:id="11"/>
      <w:r w:rsidR="00BA4B18" w:rsidRPr="005D0B37">
        <w:rPr>
          <w:lang w:val="en-GB"/>
        </w:rPr>
        <w:t>Based</w:t>
      </w:r>
      <w:bookmarkEnd w:id="12"/>
    </w:p>
    <w:p w14:paraId="5D92D922" w14:textId="77777777" w:rsidR="00E1490E" w:rsidRPr="005D0B37" w:rsidRDefault="00E1490E" w:rsidP="007546FD">
      <w:pPr>
        <w:jc w:val="both"/>
        <w:rPr>
          <w:lang w:val="en-GB"/>
        </w:rPr>
      </w:pPr>
      <w:r w:rsidRPr="005D0B37">
        <w:rPr>
          <w:lang w:val="en-GB"/>
        </w:rPr>
        <w:t>Zero-based budgeting is distinct from conventional budgeting in those businesses use it to develop a budget for every new time period. The advantages of this approach include its ability to control costs by limiting both current and future expenditures. The advantages of this approach include its ability to control costs by limiting both current and future expenditures (Serol, 2022). In contrast to traditional planning, which assumes that previous patterns, sales, or expenditures will continue, zero-based budgeting operates under the presumption that there are no accounts to be brought forward or pre-committed spending to be brought forward. To put it more simply, it is a method for drafting the budget from the ground up. Regardless of the expenditure structure that is already in place, it puts a significant amount of focus on identifying a task and then providing support for the expenses connected with it.</w:t>
      </w:r>
    </w:p>
    <w:p w14:paraId="65B5A112" w14:textId="4D537689" w:rsidR="00E1490E" w:rsidRPr="005D0B37" w:rsidRDefault="00E1490E" w:rsidP="007546FD">
      <w:pPr>
        <w:jc w:val="both"/>
        <w:rPr>
          <w:lang w:val="en-GB"/>
        </w:rPr>
      </w:pPr>
      <w:r w:rsidRPr="005D0B37">
        <w:rPr>
          <w:lang w:val="en-GB"/>
        </w:rPr>
        <w:t xml:space="preserve">Since zero-based budgeting involves building a brand-new budget from scratch, it is simple to remove an existing item from the current budget or add a new item to it.  The zero-based budgeting is more adaptable. With conventional budgeting, the situation is different. Modifying budget items is difficult when using conventional budgeting. Furthermore, the budgetary elements vary from year to year. Depending on the goals of the organization and the state of the market, different budget items are included (Adekunle </w:t>
      </w:r>
      <w:r w:rsidRPr="005D0B37">
        <w:rPr>
          <w:i/>
          <w:iCs/>
          <w:lang w:val="en-GB"/>
        </w:rPr>
        <w:t>et al</w:t>
      </w:r>
      <w:r w:rsidRPr="005D0B37">
        <w:rPr>
          <w:lang w:val="en-GB"/>
        </w:rPr>
        <w:t>., 2021). It is not required for the business to employ the same budget elements as it did in the previous year's budget since conventional budgeting is dependent on the budget from the previous year. Therefore, changing or removing an existing item from the current budget or adding a new one is highly challenging. On the other hand, conventional budgeting has a rather rigorous structure.</w:t>
      </w:r>
    </w:p>
    <w:p w14:paraId="0B382C99" w14:textId="0956D413" w:rsidR="00E1490E" w:rsidRPr="005D0B37" w:rsidRDefault="00E1490E" w:rsidP="007546FD">
      <w:pPr>
        <w:jc w:val="both"/>
        <w:rPr>
          <w:lang w:val="en-GB"/>
        </w:rPr>
      </w:pPr>
      <w:r w:rsidRPr="005D0B37">
        <w:rPr>
          <w:lang w:val="en-GB"/>
        </w:rPr>
        <w:t>Consequences-wise, ZBB has been largely regarded as having the objective of scrutinizing discretionary expenses and resulting in cost reductions. In Unilever</w:t>
      </w:r>
      <w:r w:rsidR="009C06FF">
        <w:rPr>
          <w:lang w:val="en-GB"/>
        </w:rPr>
        <w:t>’</w:t>
      </w:r>
      <w:r w:rsidRPr="005D0B37">
        <w:rPr>
          <w:lang w:val="en-GB"/>
        </w:rPr>
        <w:t xml:space="preserve">s 2017 full-year results press statement, the CEO said, </w:t>
      </w:r>
      <w:r w:rsidR="009C06FF">
        <w:rPr>
          <w:lang w:val="en-GB"/>
        </w:rPr>
        <w:t>“</w:t>
      </w:r>
      <w:r w:rsidRPr="005D0B37">
        <w:rPr>
          <w:lang w:val="en-GB"/>
        </w:rPr>
        <w:t>Zero-based budgeting (ZBB) is enhancing their efficiency in brand and marketing expenditure by reducing the cost of advertising creation and increasing investment in media platforms.</w:t>
      </w:r>
      <w:r w:rsidR="009C06FF">
        <w:rPr>
          <w:lang w:val="en-GB"/>
        </w:rPr>
        <w:t>”</w:t>
      </w:r>
      <w:r w:rsidRPr="005D0B37">
        <w:rPr>
          <w:lang w:val="en-GB"/>
        </w:rPr>
        <w:t xml:space="preserve"> In places where conventional media outlets are highly saturated, ZBB is also cutting waste and decreasing administrative costs (Coyte, Messner, and Zhou, 2020). Budgets are </w:t>
      </w:r>
      <w:r w:rsidRPr="005D0B37">
        <w:rPr>
          <w:lang w:val="en-GB"/>
        </w:rPr>
        <w:lastRenderedPageBreak/>
        <w:t>generated using zero-based budgeting by allocating the greatest quantity of funds to those activities that have the greatest impact on the company</w:t>
      </w:r>
      <w:r w:rsidR="009C06FF">
        <w:rPr>
          <w:lang w:val="en-GB"/>
        </w:rPr>
        <w:t>’</w:t>
      </w:r>
      <w:r w:rsidRPr="005D0B37">
        <w:rPr>
          <w:lang w:val="en-GB"/>
        </w:rPr>
        <w:t>s bottom line. Highest giving priority to activities that create revenue and are critical to a company</w:t>
      </w:r>
      <w:r w:rsidR="009C06FF">
        <w:rPr>
          <w:lang w:val="en-GB"/>
        </w:rPr>
        <w:t>’</w:t>
      </w:r>
      <w:r w:rsidRPr="005D0B37">
        <w:rPr>
          <w:lang w:val="en-GB"/>
        </w:rPr>
        <w:t>s survival. As a result, management may prioritize alternatives utilizing zero-based budgeting.</w:t>
      </w:r>
    </w:p>
    <w:p w14:paraId="2CA9B177" w14:textId="25360727" w:rsidR="004200F2" w:rsidRPr="005D0B37" w:rsidRDefault="00083521" w:rsidP="00083521">
      <w:pPr>
        <w:pStyle w:val="Titlu2"/>
        <w:rPr>
          <w:lang w:val="en-GB"/>
        </w:rPr>
      </w:pPr>
      <w:bookmarkStart w:id="13" w:name="2.3_How_the_Organisation_Might_introduce"/>
      <w:bookmarkStart w:id="14" w:name="_TOC_250001"/>
      <w:bookmarkStart w:id="15" w:name="_Toc107956221"/>
      <w:bookmarkEnd w:id="13"/>
      <w:r>
        <w:rPr>
          <w:lang w:val="en-GB"/>
        </w:rPr>
        <w:t xml:space="preserve">2.3 </w:t>
      </w:r>
      <w:r w:rsidR="00BA4B18" w:rsidRPr="005D0B37">
        <w:rPr>
          <w:lang w:val="en-GB"/>
        </w:rPr>
        <w:t>How</w:t>
      </w:r>
      <w:r w:rsidR="00BA4B18" w:rsidRPr="005D0B37">
        <w:rPr>
          <w:spacing w:val="-33"/>
          <w:lang w:val="en-GB"/>
        </w:rPr>
        <w:t xml:space="preserve"> </w:t>
      </w:r>
      <w:r w:rsidR="00BA4B18" w:rsidRPr="005D0B37">
        <w:rPr>
          <w:lang w:val="en-GB"/>
        </w:rPr>
        <w:t>the</w:t>
      </w:r>
      <w:r w:rsidR="00BA4B18" w:rsidRPr="005D0B37">
        <w:rPr>
          <w:spacing w:val="-29"/>
          <w:lang w:val="en-GB"/>
        </w:rPr>
        <w:t xml:space="preserve"> </w:t>
      </w:r>
      <w:r w:rsidR="00B43F96" w:rsidRPr="00083521">
        <w:t>Organization</w:t>
      </w:r>
      <w:r w:rsidR="00BA4B18" w:rsidRPr="005D0B37">
        <w:rPr>
          <w:spacing w:val="-36"/>
          <w:lang w:val="en-GB"/>
        </w:rPr>
        <w:t xml:space="preserve"> </w:t>
      </w:r>
      <w:r w:rsidR="00BA4B18" w:rsidRPr="005D0B37">
        <w:rPr>
          <w:lang w:val="en-GB"/>
        </w:rPr>
        <w:t>Might</w:t>
      </w:r>
      <w:r w:rsidR="00BA4B18" w:rsidRPr="005D0B37">
        <w:rPr>
          <w:spacing w:val="-31"/>
          <w:lang w:val="en-GB"/>
        </w:rPr>
        <w:t xml:space="preserve"> </w:t>
      </w:r>
      <w:r w:rsidR="00BA4B18" w:rsidRPr="005D0B37">
        <w:rPr>
          <w:lang w:val="en-GB"/>
        </w:rPr>
        <w:t>introduce</w:t>
      </w:r>
      <w:r w:rsidR="00BA4B18" w:rsidRPr="005D0B37">
        <w:rPr>
          <w:spacing w:val="-33"/>
          <w:lang w:val="en-GB"/>
        </w:rPr>
        <w:t xml:space="preserve"> </w:t>
      </w:r>
      <w:r w:rsidR="00BA4B18" w:rsidRPr="005D0B37">
        <w:rPr>
          <w:lang w:val="en-GB"/>
        </w:rPr>
        <w:t>Zero-based</w:t>
      </w:r>
      <w:r w:rsidR="00BA4B18" w:rsidRPr="005D0B37">
        <w:rPr>
          <w:spacing w:val="-31"/>
          <w:lang w:val="en-GB"/>
        </w:rPr>
        <w:t xml:space="preserve"> </w:t>
      </w:r>
      <w:bookmarkEnd w:id="14"/>
      <w:r w:rsidR="00BA4B18" w:rsidRPr="005D0B37">
        <w:rPr>
          <w:lang w:val="en-GB"/>
        </w:rPr>
        <w:t>Budgeting</w:t>
      </w:r>
      <w:bookmarkEnd w:id="15"/>
    </w:p>
    <w:p w14:paraId="0E760F33" w14:textId="314DB378" w:rsidR="00E1490E" w:rsidRPr="005D0B37" w:rsidRDefault="00E1490E" w:rsidP="00E1490E">
      <w:pPr>
        <w:jc w:val="both"/>
        <w:rPr>
          <w:lang w:val="en-GB"/>
        </w:rPr>
      </w:pPr>
      <w:r w:rsidRPr="005D0B37">
        <w:rPr>
          <w:lang w:val="en-GB"/>
        </w:rPr>
        <w:t xml:space="preserve">Beginning with a </w:t>
      </w:r>
      <w:r w:rsidR="009C06FF">
        <w:rPr>
          <w:lang w:val="en-GB"/>
        </w:rPr>
        <w:t>“</w:t>
      </w:r>
      <w:r w:rsidRPr="005D0B37">
        <w:rPr>
          <w:lang w:val="en-GB"/>
        </w:rPr>
        <w:t>zero foundation,</w:t>
      </w:r>
      <w:r w:rsidR="009C06FF">
        <w:rPr>
          <w:lang w:val="en-GB"/>
        </w:rPr>
        <w:t>”</w:t>
      </w:r>
      <w:r w:rsidRPr="005D0B37">
        <w:rPr>
          <w:lang w:val="en-GB"/>
        </w:rPr>
        <w:t xml:space="preserve"> every function inside an organization is examined for its demands and expenditures as part of the zero-based budgetary process. Then, irrespective of whether every budget is bigger or smaller than the preceding one, the budgets are constructed on what will be required for the following term (Alddin and Dali, 2021).</w:t>
      </w:r>
    </w:p>
    <w:p w14:paraId="6231C289" w14:textId="26823DBE" w:rsidR="00E1490E" w:rsidRPr="005D0B37" w:rsidRDefault="00E1490E" w:rsidP="00E1490E">
      <w:pPr>
        <w:jc w:val="both"/>
        <w:rPr>
          <w:lang w:val="en-GB"/>
        </w:rPr>
      </w:pPr>
      <w:r w:rsidRPr="005D0B37">
        <w:rPr>
          <w:lang w:val="en-GB"/>
        </w:rPr>
        <w:t xml:space="preserve">There are some factors that have to be maintained by an organization while they have initiated the Zero-Based Budget in their financial working process. These are the essential criteria that have helped a business employ the zero-based budget approach. In the initiation period, a company has to start this process with zero. In that case, the company has to </w:t>
      </w:r>
      <w:r w:rsidR="008B4541" w:rsidRPr="005D0B37">
        <w:rPr>
          <w:lang w:val="en-GB"/>
        </w:rPr>
        <w:t xml:space="preserve">make a new year financial </w:t>
      </w:r>
      <w:r w:rsidRPr="005D0B37">
        <w:rPr>
          <w:lang w:val="en-GB"/>
        </w:rPr>
        <w:t xml:space="preserve">budget from the start without </w:t>
      </w:r>
      <w:r w:rsidR="008B4541" w:rsidRPr="005D0B37">
        <w:rPr>
          <w:lang w:val="en-GB"/>
        </w:rPr>
        <w:t xml:space="preserve">apply the </w:t>
      </w:r>
      <w:r w:rsidRPr="005D0B37">
        <w:rPr>
          <w:lang w:val="en-GB"/>
        </w:rPr>
        <w:t>last year</w:t>
      </w:r>
      <w:r w:rsidR="009C06FF">
        <w:rPr>
          <w:lang w:val="en-GB"/>
        </w:rPr>
        <w:t>’</w:t>
      </w:r>
      <w:r w:rsidRPr="005D0B37">
        <w:rPr>
          <w:lang w:val="en-GB"/>
        </w:rPr>
        <w:t xml:space="preserve">s actuals as a foundation (Khalifa and Alodhaibi, 2021). ZBB should not be seen as a replacement for </w:t>
      </w:r>
      <w:r w:rsidR="008B4541" w:rsidRPr="005D0B37">
        <w:rPr>
          <w:lang w:val="en-GB"/>
        </w:rPr>
        <w:t xml:space="preserve">execute the whole </w:t>
      </w:r>
      <w:r w:rsidRPr="005D0B37">
        <w:rPr>
          <w:lang w:val="en-GB"/>
        </w:rPr>
        <w:t>processes but rather as a procedure performed every few years to concentrate expenditure on strategically significant activities and initiatives.</w:t>
      </w:r>
    </w:p>
    <w:p w14:paraId="2A00E5A7" w14:textId="77777777" w:rsidR="00E1490E" w:rsidRPr="005D0B37" w:rsidRDefault="00E1490E" w:rsidP="00E1490E">
      <w:pPr>
        <w:jc w:val="both"/>
        <w:rPr>
          <w:lang w:val="en-GB"/>
        </w:rPr>
      </w:pPr>
      <w:r w:rsidRPr="005D0B37">
        <w:rPr>
          <w:lang w:val="en-GB"/>
        </w:rPr>
        <w:t>The company has to evaluate its financial process critically and find out the unnecessary activities of expenses in the cost areas. In that case, the company has to eliminate these costs or services. SG&amp;A and other areas of expenses where indirect costs are significant and incompletely known are common places for organizations should focus their ZBB efforts (Dauda, 2019). There is no interruption to customer-facing commercial activities as a result of this, allowing the gain of large benefits at a low cost.</w:t>
      </w:r>
    </w:p>
    <w:p w14:paraId="7F76F003" w14:textId="77777777" w:rsidR="00E1490E" w:rsidRPr="005D0B37" w:rsidRDefault="00E1490E" w:rsidP="00E1490E">
      <w:pPr>
        <w:jc w:val="both"/>
        <w:rPr>
          <w:lang w:val="en-GB"/>
        </w:rPr>
      </w:pPr>
      <w:r w:rsidRPr="005D0B37">
        <w:rPr>
          <w:lang w:val="en-GB"/>
        </w:rPr>
        <w:t xml:space="preserve">Justification for each and every account with regard to each and every component of the budget. If this is the case, the company has to determine the cost efficiency as well as other areas where they may save money. The corporation will be better able to comprehend the future possibilities of the financial streamlining for their business </w:t>
      </w:r>
      <w:r w:rsidRPr="005D0B37">
        <w:rPr>
          <w:lang w:val="en-GB"/>
        </w:rPr>
        <w:lastRenderedPageBreak/>
        <w:t xml:space="preserve">if they do this, and it will be done in a regular approach. The next step in the process requires the company to define what kinds of activities will be included and in what form they will be involved (Coyte, Messner, and Zhou, 2020). This is a very important consideration when incorporating a zero-based budget into the financial process and the financial operation. After that point, the firm will be able to put its ideas into action. </w:t>
      </w:r>
    </w:p>
    <w:p w14:paraId="10E293B6" w14:textId="7FE73321" w:rsidR="00E1490E" w:rsidRPr="005D0B37" w:rsidRDefault="00E1490E" w:rsidP="00E1490E">
      <w:pPr>
        <w:jc w:val="both"/>
        <w:rPr>
          <w:lang w:val="en-GB"/>
        </w:rPr>
      </w:pPr>
      <w:r w:rsidRPr="005D0B37">
        <w:rPr>
          <w:lang w:val="en-GB"/>
        </w:rPr>
        <w:t>However, after the execution has been completed, there are some considerations that the company</w:t>
      </w:r>
      <w:r w:rsidR="009C06FF">
        <w:rPr>
          <w:lang w:val="en-GB"/>
        </w:rPr>
        <w:t>’</w:t>
      </w:r>
      <w:r w:rsidRPr="005D0B37">
        <w:rPr>
          <w:lang w:val="en-GB"/>
        </w:rPr>
        <w:t>s financial management must keep at the forefront of their minds at all times. Modifications to the system are required to support the financial plan and rolling projections, which will ultimately result in increased productivity and comprehension. As a consequence of this, ZBB is no longer an independent activity; rather, it is the first step toward changing corporate budgeting, which may eventually lead to integrated company management.</w:t>
      </w:r>
    </w:p>
    <w:p w14:paraId="0509DDF4" w14:textId="499A29A7" w:rsidR="00E1490E" w:rsidRPr="005D0B37" w:rsidRDefault="00E1490E">
      <w:pPr>
        <w:rPr>
          <w:lang w:val="en-GB"/>
        </w:rPr>
        <w:sectPr w:rsidR="00E1490E" w:rsidRPr="005D0B37">
          <w:pgSz w:w="11910" w:h="16840"/>
          <w:pgMar w:top="1420" w:right="1340" w:bottom="1200" w:left="1340" w:header="0" w:footer="1001" w:gutter="0"/>
          <w:cols w:space="720"/>
        </w:sectPr>
      </w:pPr>
    </w:p>
    <w:p w14:paraId="34B1362D" w14:textId="55FCC03F" w:rsidR="004200F2" w:rsidRPr="005D0B37" w:rsidRDefault="00B43F96" w:rsidP="00083521">
      <w:pPr>
        <w:pStyle w:val="Titlu1"/>
        <w:rPr>
          <w:lang w:val="en-GB"/>
        </w:rPr>
      </w:pPr>
      <w:bookmarkStart w:id="16" w:name="3._Conclusion"/>
      <w:bookmarkStart w:id="17" w:name="_TOC_250000"/>
      <w:bookmarkStart w:id="18" w:name="_Toc107956222"/>
      <w:bookmarkEnd w:id="16"/>
      <w:r w:rsidRPr="005D0B37">
        <w:rPr>
          <w:lang w:val="en-GB"/>
        </w:rPr>
        <w:lastRenderedPageBreak/>
        <w:t>3.</w:t>
      </w:r>
      <w:r w:rsidR="005D0B37" w:rsidRPr="005D0B37">
        <w:rPr>
          <w:lang w:val="en-GB"/>
        </w:rPr>
        <w:t xml:space="preserve"> </w:t>
      </w:r>
      <w:r w:rsidR="00BA4B18" w:rsidRPr="00083521">
        <w:t>C</w:t>
      </w:r>
      <w:bookmarkEnd w:id="17"/>
      <w:r w:rsidR="00BA4B18" w:rsidRPr="00083521">
        <w:t>onclusion</w:t>
      </w:r>
      <w:bookmarkEnd w:id="18"/>
    </w:p>
    <w:p w14:paraId="6EB6AF74" w14:textId="77777777" w:rsidR="00E1490E" w:rsidRPr="005D0B37" w:rsidRDefault="00E1490E" w:rsidP="0007428E">
      <w:pPr>
        <w:jc w:val="both"/>
        <w:rPr>
          <w:lang w:val="en-GB"/>
        </w:rPr>
      </w:pPr>
      <w:r w:rsidRPr="005D0B37">
        <w:rPr>
          <w:lang w:val="en-GB"/>
        </w:rPr>
        <w:t>Budgeting is essential to the success of any company from the minute it is conceived to the moment it is carried out. Accounting systems rely significantly on cost, standards, performance, and factual data to help management decide where to allocate resources and how to best use them. From the evaluation, it has been seen that a zero-based budget is one of the most favourable methods that can be applied. There are many advantages of this method over the traditional-based budget. Therefore, in order to get profit from the business, the companies can use this approach in their financial department. There are some fundamental steps of introducing the Zero-based budget, which is described in this report with proper sources</w:t>
      </w:r>
      <w:r w:rsidR="0007428E" w:rsidRPr="005D0B37">
        <w:rPr>
          <w:lang w:val="en-GB"/>
        </w:rPr>
        <w:t>.</w:t>
      </w:r>
    </w:p>
    <w:p w14:paraId="6AA078F5" w14:textId="2D569C4B" w:rsidR="0007428E" w:rsidRPr="005D0B37" w:rsidRDefault="0007428E" w:rsidP="0007428E">
      <w:pPr>
        <w:jc w:val="both"/>
        <w:rPr>
          <w:lang w:val="en-GB"/>
        </w:rPr>
        <w:sectPr w:rsidR="0007428E" w:rsidRPr="005D0B37">
          <w:pgSz w:w="11910" w:h="16840"/>
          <w:pgMar w:top="1420" w:right="1340" w:bottom="1200" w:left="1340" w:header="0" w:footer="1001" w:gutter="0"/>
          <w:cols w:space="720"/>
        </w:sectPr>
      </w:pPr>
    </w:p>
    <w:tbl>
      <w:tblPr>
        <w:tblpPr w:leftFromText="180" w:rightFromText="180" w:vertAnchor="page" w:horzAnchor="page" w:tblpX="238" w:tblpY="226"/>
        <w:tblW w:w="19221" w:type="dxa"/>
        <w:tblLook w:val="04A0" w:firstRow="1" w:lastRow="0" w:firstColumn="1" w:lastColumn="0" w:noHBand="0" w:noVBand="1"/>
      </w:tblPr>
      <w:tblGrid>
        <w:gridCol w:w="3625"/>
        <w:gridCol w:w="1058"/>
        <w:gridCol w:w="1183"/>
        <w:gridCol w:w="1143"/>
        <w:gridCol w:w="1143"/>
        <w:gridCol w:w="1143"/>
        <w:gridCol w:w="1143"/>
        <w:gridCol w:w="1143"/>
        <w:gridCol w:w="1143"/>
        <w:gridCol w:w="1399"/>
        <w:gridCol w:w="1143"/>
        <w:gridCol w:w="1352"/>
        <w:gridCol w:w="1322"/>
        <w:gridCol w:w="1275"/>
        <w:gridCol w:w="6"/>
      </w:tblGrid>
      <w:tr w:rsidR="009C06FF" w:rsidRPr="0007428E" w14:paraId="58691934" w14:textId="77777777" w:rsidTr="009C06FF">
        <w:trPr>
          <w:trHeight w:val="590"/>
        </w:trPr>
        <w:tc>
          <w:tcPr>
            <w:tcW w:w="19221" w:type="dxa"/>
            <w:gridSpan w:val="15"/>
            <w:tcBorders>
              <w:top w:val="single" w:sz="8" w:space="0" w:color="auto"/>
              <w:left w:val="single" w:sz="8" w:space="0" w:color="auto"/>
              <w:bottom w:val="single" w:sz="8" w:space="0" w:color="auto"/>
              <w:right w:val="single" w:sz="8" w:space="0" w:color="000000"/>
            </w:tcBorders>
            <w:shd w:val="clear" w:color="000000" w:fill="BDD6EE"/>
            <w:noWrap/>
            <w:vAlign w:val="center"/>
            <w:hideMark/>
          </w:tcPr>
          <w:p w14:paraId="4E637415" w14:textId="77777777" w:rsidR="009C06FF" w:rsidRPr="0007428E" w:rsidRDefault="009C06FF" w:rsidP="009C06FF">
            <w:pPr>
              <w:widowControl/>
              <w:autoSpaceDE/>
              <w:autoSpaceDN/>
              <w:spacing w:before="0" w:after="0" w:line="240" w:lineRule="auto"/>
              <w:jc w:val="center"/>
              <w:rPr>
                <w:rFonts w:ascii="Calibri" w:eastAsia="Times New Roman" w:hAnsi="Calibri" w:cs="Calibri"/>
                <w:b/>
                <w:bCs/>
                <w:color w:val="000000"/>
                <w:sz w:val="36"/>
                <w:szCs w:val="36"/>
                <w:lang w:val="en-GB" w:eastAsia="en-IN"/>
              </w:rPr>
            </w:pPr>
            <w:bookmarkStart w:id="19" w:name="4.Budget_Calculations"/>
            <w:bookmarkStart w:id="20" w:name="_Toc107956223"/>
            <w:bookmarkEnd w:id="19"/>
            <w:r w:rsidRPr="0007428E">
              <w:rPr>
                <w:rFonts w:ascii="Calibri" w:eastAsia="Times New Roman" w:hAnsi="Calibri" w:cs="Calibri"/>
                <w:b/>
                <w:bCs/>
                <w:color w:val="000000"/>
                <w:sz w:val="36"/>
                <w:szCs w:val="36"/>
                <w:lang w:val="en-GB" w:eastAsia="en-IN"/>
              </w:rPr>
              <w:lastRenderedPageBreak/>
              <w:t>Continental Hotel Budget Planner</w:t>
            </w:r>
          </w:p>
        </w:tc>
      </w:tr>
      <w:tr w:rsidR="009C06FF" w:rsidRPr="005D0B37" w14:paraId="3ADD9292" w14:textId="77777777" w:rsidTr="009C06FF">
        <w:trPr>
          <w:gridAfter w:val="1"/>
          <w:wAfter w:w="6" w:type="dxa"/>
          <w:trHeight w:val="368"/>
        </w:trPr>
        <w:tc>
          <w:tcPr>
            <w:tcW w:w="3625" w:type="dxa"/>
            <w:tcBorders>
              <w:top w:val="nil"/>
              <w:left w:val="single" w:sz="8" w:space="0" w:color="auto"/>
              <w:bottom w:val="nil"/>
              <w:right w:val="nil"/>
            </w:tcBorders>
            <w:shd w:val="clear" w:color="auto" w:fill="auto"/>
            <w:noWrap/>
            <w:vAlign w:val="center"/>
            <w:hideMark/>
          </w:tcPr>
          <w:p w14:paraId="52F8B5FB"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2A6A531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C01C12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A5C4A1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1941CE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A2629E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52173A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F5EC27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157C95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4FD3F4B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16099F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41FEEE5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6C09A0F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nil"/>
              <w:bottom w:val="nil"/>
              <w:right w:val="single" w:sz="8" w:space="0" w:color="auto"/>
            </w:tcBorders>
            <w:shd w:val="clear" w:color="auto" w:fill="auto"/>
            <w:noWrap/>
            <w:vAlign w:val="center"/>
            <w:hideMark/>
          </w:tcPr>
          <w:p w14:paraId="48713A7C"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42C16990" w14:textId="77777777" w:rsidTr="009C06FF">
        <w:trPr>
          <w:gridAfter w:val="1"/>
          <w:wAfter w:w="6" w:type="dxa"/>
          <w:trHeight w:val="368"/>
        </w:trPr>
        <w:tc>
          <w:tcPr>
            <w:tcW w:w="3625" w:type="dxa"/>
            <w:tcBorders>
              <w:top w:val="nil"/>
              <w:left w:val="single" w:sz="8" w:space="0" w:color="auto"/>
              <w:bottom w:val="nil"/>
              <w:right w:val="nil"/>
            </w:tcBorders>
            <w:shd w:val="clear" w:color="auto" w:fill="auto"/>
            <w:noWrap/>
            <w:vAlign w:val="center"/>
          </w:tcPr>
          <w:p w14:paraId="0766DAD8" w14:textId="10FBA463"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058" w:type="dxa"/>
            <w:tcBorders>
              <w:top w:val="nil"/>
              <w:left w:val="nil"/>
              <w:bottom w:val="nil"/>
              <w:right w:val="nil"/>
            </w:tcBorders>
            <w:shd w:val="clear" w:color="auto" w:fill="auto"/>
            <w:noWrap/>
            <w:vAlign w:val="bottom"/>
          </w:tcPr>
          <w:p w14:paraId="0FE64705"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tcPr>
          <w:p w14:paraId="103F474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669E8566"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6A7077A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77AAA36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684B4B3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2B91114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7750FFF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tcPr>
          <w:p w14:paraId="7978E73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tcPr>
          <w:p w14:paraId="2E4B419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tcPr>
          <w:p w14:paraId="1820D7A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tcPr>
          <w:p w14:paraId="3EFE4E0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nil"/>
              <w:bottom w:val="nil"/>
              <w:right w:val="single" w:sz="8" w:space="0" w:color="auto"/>
            </w:tcBorders>
            <w:shd w:val="clear" w:color="auto" w:fill="auto"/>
            <w:noWrap/>
            <w:vAlign w:val="center"/>
          </w:tcPr>
          <w:p w14:paraId="3D034D8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r>
      <w:tr w:rsidR="009C06FF" w:rsidRPr="005D0B37" w14:paraId="6F995940"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nil"/>
            </w:tcBorders>
            <w:shd w:val="clear" w:color="000000" w:fill="B8CCE4"/>
            <w:noWrap/>
            <w:vAlign w:val="center"/>
            <w:hideMark/>
          </w:tcPr>
          <w:p w14:paraId="614CB79D" w14:textId="77777777" w:rsidR="009C06FF" w:rsidRPr="0007428E" w:rsidRDefault="009C06FF" w:rsidP="009C06FF">
            <w:pPr>
              <w:widowControl/>
              <w:autoSpaceDE/>
              <w:autoSpaceDN/>
              <w:spacing w:before="0" w:after="0" w:line="240" w:lineRule="auto"/>
              <w:jc w:val="center"/>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(in £)</w:t>
            </w:r>
          </w:p>
        </w:tc>
        <w:tc>
          <w:tcPr>
            <w:tcW w:w="1058" w:type="dxa"/>
            <w:tcBorders>
              <w:top w:val="single" w:sz="8" w:space="0" w:color="auto"/>
              <w:left w:val="nil"/>
              <w:bottom w:val="single" w:sz="8" w:space="0" w:color="auto"/>
              <w:right w:val="nil"/>
            </w:tcBorders>
            <w:shd w:val="clear" w:color="000000" w:fill="95B3D7"/>
            <w:noWrap/>
            <w:vAlign w:val="center"/>
            <w:hideMark/>
          </w:tcPr>
          <w:p w14:paraId="572CF44D"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January</w:t>
            </w:r>
          </w:p>
        </w:tc>
        <w:tc>
          <w:tcPr>
            <w:tcW w:w="1183" w:type="dxa"/>
            <w:tcBorders>
              <w:top w:val="single" w:sz="8" w:space="0" w:color="auto"/>
              <w:left w:val="nil"/>
              <w:bottom w:val="single" w:sz="8" w:space="0" w:color="auto"/>
              <w:right w:val="nil"/>
            </w:tcBorders>
            <w:shd w:val="clear" w:color="000000" w:fill="95B3D7"/>
            <w:noWrap/>
            <w:vAlign w:val="center"/>
            <w:hideMark/>
          </w:tcPr>
          <w:p w14:paraId="72A507E2"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February</w:t>
            </w:r>
          </w:p>
        </w:tc>
        <w:tc>
          <w:tcPr>
            <w:tcW w:w="1143" w:type="dxa"/>
            <w:tcBorders>
              <w:top w:val="single" w:sz="8" w:space="0" w:color="auto"/>
              <w:left w:val="nil"/>
              <w:bottom w:val="single" w:sz="8" w:space="0" w:color="auto"/>
              <w:right w:val="nil"/>
            </w:tcBorders>
            <w:shd w:val="clear" w:color="000000" w:fill="95B3D7"/>
            <w:noWrap/>
            <w:vAlign w:val="center"/>
            <w:hideMark/>
          </w:tcPr>
          <w:p w14:paraId="402C681B"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March</w:t>
            </w:r>
          </w:p>
        </w:tc>
        <w:tc>
          <w:tcPr>
            <w:tcW w:w="1143" w:type="dxa"/>
            <w:tcBorders>
              <w:top w:val="single" w:sz="8" w:space="0" w:color="auto"/>
              <w:left w:val="nil"/>
              <w:bottom w:val="single" w:sz="8" w:space="0" w:color="auto"/>
              <w:right w:val="nil"/>
            </w:tcBorders>
            <w:shd w:val="clear" w:color="000000" w:fill="95B3D7"/>
            <w:noWrap/>
            <w:vAlign w:val="center"/>
            <w:hideMark/>
          </w:tcPr>
          <w:p w14:paraId="02A2A928"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April</w:t>
            </w:r>
          </w:p>
        </w:tc>
        <w:tc>
          <w:tcPr>
            <w:tcW w:w="1143" w:type="dxa"/>
            <w:tcBorders>
              <w:top w:val="single" w:sz="8" w:space="0" w:color="auto"/>
              <w:left w:val="nil"/>
              <w:bottom w:val="single" w:sz="8" w:space="0" w:color="auto"/>
              <w:right w:val="nil"/>
            </w:tcBorders>
            <w:shd w:val="clear" w:color="000000" w:fill="95B3D7"/>
            <w:noWrap/>
            <w:vAlign w:val="center"/>
            <w:hideMark/>
          </w:tcPr>
          <w:p w14:paraId="354012BD"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May</w:t>
            </w:r>
          </w:p>
        </w:tc>
        <w:tc>
          <w:tcPr>
            <w:tcW w:w="1143" w:type="dxa"/>
            <w:tcBorders>
              <w:top w:val="single" w:sz="8" w:space="0" w:color="auto"/>
              <w:left w:val="nil"/>
              <w:bottom w:val="single" w:sz="8" w:space="0" w:color="auto"/>
              <w:right w:val="nil"/>
            </w:tcBorders>
            <w:shd w:val="clear" w:color="000000" w:fill="95B3D7"/>
            <w:noWrap/>
            <w:vAlign w:val="center"/>
            <w:hideMark/>
          </w:tcPr>
          <w:p w14:paraId="761BA0C5"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June</w:t>
            </w:r>
          </w:p>
        </w:tc>
        <w:tc>
          <w:tcPr>
            <w:tcW w:w="1143" w:type="dxa"/>
            <w:tcBorders>
              <w:top w:val="single" w:sz="8" w:space="0" w:color="auto"/>
              <w:left w:val="nil"/>
              <w:bottom w:val="single" w:sz="8" w:space="0" w:color="auto"/>
              <w:right w:val="nil"/>
            </w:tcBorders>
            <w:shd w:val="clear" w:color="000000" w:fill="95B3D7"/>
            <w:noWrap/>
            <w:vAlign w:val="center"/>
            <w:hideMark/>
          </w:tcPr>
          <w:p w14:paraId="1CF39AAF"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July</w:t>
            </w:r>
          </w:p>
        </w:tc>
        <w:tc>
          <w:tcPr>
            <w:tcW w:w="1143" w:type="dxa"/>
            <w:tcBorders>
              <w:top w:val="single" w:sz="8" w:space="0" w:color="auto"/>
              <w:left w:val="nil"/>
              <w:bottom w:val="single" w:sz="8" w:space="0" w:color="auto"/>
              <w:right w:val="nil"/>
            </w:tcBorders>
            <w:shd w:val="clear" w:color="000000" w:fill="95B3D7"/>
            <w:noWrap/>
            <w:vAlign w:val="center"/>
            <w:hideMark/>
          </w:tcPr>
          <w:p w14:paraId="4881DB74"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August</w:t>
            </w:r>
          </w:p>
        </w:tc>
        <w:tc>
          <w:tcPr>
            <w:tcW w:w="1399" w:type="dxa"/>
            <w:tcBorders>
              <w:top w:val="single" w:sz="8" w:space="0" w:color="auto"/>
              <w:left w:val="nil"/>
              <w:bottom w:val="single" w:sz="8" w:space="0" w:color="auto"/>
              <w:right w:val="nil"/>
            </w:tcBorders>
            <w:shd w:val="clear" w:color="000000" w:fill="95B3D7"/>
            <w:noWrap/>
            <w:vAlign w:val="center"/>
            <w:hideMark/>
          </w:tcPr>
          <w:p w14:paraId="38CCCD9A"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September</w:t>
            </w:r>
          </w:p>
        </w:tc>
        <w:tc>
          <w:tcPr>
            <w:tcW w:w="1143" w:type="dxa"/>
            <w:tcBorders>
              <w:top w:val="single" w:sz="8" w:space="0" w:color="auto"/>
              <w:left w:val="nil"/>
              <w:bottom w:val="single" w:sz="8" w:space="0" w:color="auto"/>
              <w:right w:val="nil"/>
            </w:tcBorders>
            <w:shd w:val="clear" w:color="000000" w:fill="95B3D7"/>
            <w:noWrap/>
            <w:vAlign w:val="center"/>
            <w:hideMark/>
          </w:tcPr>
          <w:p w14:paraId="23F86C55"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October</w:t>
            </w:r>
          </w:p>
        </w:tc>
        <w:tc>
          <w:tcPr>
            <w:tcW w:w="1352" w:type="dxa"/>
            <w:tcBorders>
              <w:top w:val="single" w:sz="8" w:space="0" w:color="auto"/>
              <w:left w:val="nil"/>
              <w:bottom w:val="single" w:sz="8" w:space="0" w:color="auto"/>
              <w:right w:val="nil"/>
            </w:tcBorders>
            <w:shd w:val="clear" w:color="000000" w:fill="95B3D7"/>
            <w:noWrap/>
            <w:vAlign w:val="center"/>
            <w:hideMark/>
          </w:tcPr>
          <w:p w14:paraId="0C60B520"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November</w:t>
            </w:r>
          </w:p>
        </w:tc>
        <w:tc>
          <w:tcPr>
            <w:tcW w:w="1322" w:type="dxa"/>
            <w:tcBorders>
              <w:top w:val="single" w:sz="8" w:space="0" w:color="auto"/>
              <w:left w:val="nil"/>
              <w:bottom w:val="single" w:sz="8" w:space="0" w:color="auto"/>
              <w:right w:val="nil"/>
            </w:tcBorders>
            <w:shd w:val="clear" w:color="000000" w:fill="95B3D7"/>
            <w:noWrap/>
            <w:vAlign w:val="center"/>
            <w:hideMark/>
          </w:tcPr>
          <w:p w14:paraId="75114199"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December</w:t>
            </w:r>
          </w:p>
        </w:tc>
        <w:tc>
          <w:tcPr>
            <w:tcW w:w="127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320E7488" w14:textId="77777777" w:rsidR="009C06FF" w:rsidRPr="0007428E" w:rsidRDefault="009C06FF" w:rsidP="009C06FF">
            <w:pPr>
              <w:widowControl/>
              <w:autoSpaceDE/>
              <w:autoSpaceDN/>
              <w:spacing w:before="0" w:after="0" w:line="240" w:lineRule="auto"/>
              <w:jc w:val="center"/>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Total</w:t>
            </w:r>
          </w:p>
        </w:tc>
      </w:tr>
      <w:tr w:rsidR="009C06FF" w:rsidRPr="005D0B37" w14:paraId="1800D12B" w14:textId="77777777" w:rsidTr="009C06FF">
        <w:trPr>
          <w:gridAfter w:val="1"/>
          <w:wAfter w:w="6" w:type="dxa"/>
          <w:trHeight w:val="368"/>
        </w:trPr>
        <w:tc>
          <w:tcPr>
            <w:tcW w:w="3625" w:type="dxa"/>
            <w:tcBorders>
              <w:top w:val="nil"/>
              <w:left w:val="single" w:sz="8" w:space="0" w:color="auto"/>
              <w:bottom w:val="nil"/>
              <w:right w:val="nil"/>
            </w:tcBorders>
            <w:shd w:val="clear" w:color="000000" w:fill="B8CCE4"/>
            <w:noWrap/>
            <w:vAlign w:val="center"/>
            <w:hideMark/>
          </w:tcPr>
          <w:p w14:paraId="6901CFE7"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0591C13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3AEFF5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B86F06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2C11E3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5B127C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84FEA9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CE8637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A3CFC0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309CDDE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CF8AB9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3ADBE28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208E15A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05E0B15C"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3F9A481C"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single" w:sz="8" w:space="0" w:color="auto"/>
            </w:tcBorders>
            <w:shd w:val="clear" w:color="000000" w:fill="B8CCE4"/>
            <w:noWrap/>
            <w:vAlign w:val="center"/>
            <w:hideMark/>
          </w:tcPr>
          <w:p w14:paraId="726521AE"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Receipts:</w:t>
            </w:r>
          </w:p>
        </w:tc>
        <w:tc>
          <w:tcPr>
            <w:tcW w:w="1058" w:type="dxa"/>
            <w:tcBorders>
              <w:top w:val="single" w:sz="8" w:space="0" w:color="auto"/>
              <w:left w:val="nil"/>
              <w:bottom w:val="single" w:sz="8" w:space="0" w:color="auto"/>
              <w:right w:val="nil"/>
            </w:tcBorders>
            <w:shd w:val="clear" w:color="auto" w:fill="auto"/>
            <w:noWrap/>
            <w:vAlign w:val="center"/>
            <w:hideMark/>
          </w:tcPr>
          <w:p w14:paraId="2CC9FFDB"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83" w:type="dxa"/>
            <w:tcBorders>
              <w:top w:val="single" w:sz="8" w:space="0" w:color="auto"/>
              <w:left w:val="nil"/>
              <w:bottom w:val="single" w:sz="8" w:space="0" w:color="auto"/>
              <w:right w:val="nil"/>
            </w:tcBorders>
            <w:shd w:val="clear" w:color="auto" w:fill="auto"/>
            <w:noWrap/>
            <w:vAlign w:val="center"/>
            <w:hideMark/>
          </w:tcPr>
          <w:p w14:paraId="5C6940E9"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4CEC080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15FBF4A5"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7DE50F17"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5780EB8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07D9665B"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3A385447"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99" w:type="dxa"/>
            <w:tcBorders>
              <w:top w:val="single" w:sz="8" w:space="0" w:color="auto"/>
              <w:left w:val="nil"/>
              <w:bottom w:val="single" w:sz="8" w:space="0" w:color="auto"/>
              <w:right w:val="nil"/>
            </w:tcBorders>
            <w:shd w:val="clear" w:color="auto" w:fill="auto"/>
            <w:noWrap/>
            <w:vAlign w:val="center"/>
            <w:hideMark/>
          </w:tcPr>
          <w:p w14:paraId="1E05E982"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auto" w:fill="auto"/>
            <w:noWrap/>
            <w:vAlign w:val="center"/>
            <w:hideMark/>
          </w:tcPr>
          <w:p w14:paraId="63DBDF2A"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52" w:type="dxa"/>
            <w:tcBorders>
              <w:top w:val="single" w:sz="8" w:space="0" w:color="auto"/>
              <w:left w:val="nil"/>
              <w:bottom w:val="single" w:sz="8" w:space="0" w:color="auto"/>
              <w:right w:val="nil"/>
            </w:tcBorders>
            <w:shd w:val="clear" w:color="auto" w:fill="auto"/>
            <w:noWrap/>
            <w:vAlign w:val="center"/>
            <w:hideMark/>
          </w:tcPr>
          <w:p w14:paraId="050D3E48"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22" w:type="dxa"/>
            <w:tcBorders>
              <w:top w:val="single" w:sz="8" w:space="0" w:color="auto"/>
              <w:left w:val="nil"/>
              <w:bottom w:val="single" w:sz="8" w:space="0" w:color="auto"/>
              <w:right w:val="nil"/>
            </w:tcBorders>
            <w:shd w:val="clear" w:color="auto" w:fill="auto"/>
            <w:noWrap/>
            <w:vAlign w:val="center"/>
            <w:hideMark/>
          </w:tcPr>
          <w:p w14:paraId="681AF279"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275"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CD4ED2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76DDD3A5"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1CCD1F55"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Payment on business Accounts</w:t>
            </w:r>
          </w:p>
        </w:tc>
        <w:tc>
          <w:tcPr>
            <w:tcW w:w="1058" w:type="dxa"/>
            <w:tcBorders>
              <w:top w:val="nil"/>
              <w:left w:val="nil"/>
              <w:bottom w:val="nil"/>
              <w:right w:val="nil"/>
            </w:tcBorders>
            <w:shd w:val="clear" w:color="auto" w:fill="auto"/>
            <w:noWrap/>
            <w:vAlign w:val="center"/>
            <w:hideMark/>
          </w:tcPr>
          <w:p w14:paraId="0437CC7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83" w:type="dxa"/>
            <w:tcBorders>
              <w:top w:val="nil"/>
              <w:left w:val="nil"/>
              <w:bottom w:val="nil"/>
              <w:right w:val="nil"/>
            </w:tcBorders>
            <w:shd w:val="clear" w:color="auto" w:fill="auto"/>
            <w:noWrap/>
            <w:vAlign w:val="bottom"/>
            <w:hideMark/>
          </w:tcPr>
          <w:p w14:paraId="6BAB706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p>
        </w:tc>
        <w:tc>
          <w:tcPr>
            <w:tcW w:w="1143" w:type="dxa"/>
            <w:tcBorders>
              <w:top w:val="nil"/>
              <w:left w:val="nil"/>
              <w:bottom w:val="nil"/>
              <w:right w:val="nil"/>
            </w:tcBorders>
            <w:shd w:val="clear" w:color="auto" w:fill="auto"/>
            <w:noWrap/>
            <w:vAlign w:val="bottom"/>
            <w:hideMark/>
          </w:tcPr>
          <w:p w14:paraId="2B041FB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840C84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8512D9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D4F61E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96BEFE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CDE421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559B0EE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898835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4DF4B53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3FD8F9C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01F3891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r>
      <w:tr w:rsidR="009C06FF" w:rsidRPr="005D0B37" w14:paraId="068289F7"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370D60EC"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Cash sales</w:t>
            </w:r>
          </w:p>
        </w:tc>
        <w:tc>
          <w:tcPr>
            <w:tcW w:w="1058" w:type="dxa"/>
            <w:tcBorders>
              <w:top w:val="nil"/>
              <w:left w:val="nil"/>
              <w:bottom w:val="nil"/>
              <w:right w:val="nil"/>
            </w:tcBorders>
            <w:shd w:val="clear" w:color="auto" w:fill="auto"/>
            <w:noWrap/>
            <w:vAlign w:val="center"/>
            <w:hideMark/>
          </w:tcPr>
          <w:p w14:paraId="174C119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91,800</w:t>
            </w:r>
          </w:p>
        </w:tc>
        <w:tc>
          <w:tcPr>
            <w:tcW w:w="1183" w:type="dxa"/>
            <w:tcBorders>
              <w:top w:val="nil"/>
              <w:left w:val="nil"/>
              <w:bottom w:val="nil"/>
              <w:right w:val="nil"/>
            </w:tcBorders>
            <w:shd w:val="clear" w:color="auto" w:fill="auto"/>
            <w:noWrap/>
            <w:vAlign w:val="center"/>
            <w:hideMark/>
          </w:tcPr>
          <w:p w14:paraId="5C4B3E6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72,800</w:t>
            </w:r>
          </w:p>
        </w:tc>
        <w:tc>
          <w:tcPr>
            <w:tcW w:w="1143" w:type="dxa"/>
            <w:tcBorders>
              <w:top w:val="nil"/>
              <w:left w:val="nil"/>
              <w:bottom w:val="nil"/>
              <w:right w:val="nil"/>
            </w:tcBorders>
            <w:shd w:val="clear" w:color="auto" w:fill="auto"/>
            <w:noWrap/>
            <w:vAlign w:val="center"/>
            <w:hideMark/>
          </w:tcPr>
          <w:p w14:paraId="4DA67F0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91,800</w:t>
            </w:r>
          </w:p>
        </w:tc>
        <w:tc>
          <w:tcPr>
            <w:tcW w:w="1143" w:type="dxa"/>
            <w:tcBorders>
              <w:top w:val="nil"/>
              <w:left w:val="nil"/>
              <w:bottom w:val="nil"/>
              <w:right w:val="nil"/>
            </w:tcBorders>
            <w:shd w:val="clear" w:color="auto" w:fill="auto"/>
            <w:noWrap/>
            <w:vAlign w:val="center"/>
            <w:hideMark/>
          </w:tcPr>
          <w:p w14:paraId="0764794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46,800</w:t>
            </w:r>
          </w:p>
        </w:tc>
        <w:tc>
          <w:tcPr>
            <w:tcW w:w="1143" w:type="dxa"/>
            <w:tcBorders>
              <w:top w:val="nil"/>
              <w:left w:val="nil"/>
              <w:bottom w:val="nil"/>
              <w:right w:val="nil"/>
            </w:tcBorders>
            <w:shd w:val="clear" w:color="auto" w:fill="auto"/>
            <w:noWrap/>
            <w:vAlign w:val="center"/>
            <w:hideMark/>
          </w:tcPr>
          <w:p w14:paraId="348C653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48,800</w:t>
            </w:r>
          </w:p>
        </w:tc>
        <w:tc>
          <w:tcPr>
            <w:tcW w:w="1143" w:type="dxa"/>
            <w:tcBorders>
              <w:top w:val="nil"/>
              <w:left w:val="nil"/>
              <w:bottom w:val="nil"/>
              <w:right w:val="nil"/>
            </w:tcBorders>
            <w:shd w:val="clear" w:color="auto" w:fill="auto"/>
            <w:noWrap/>
            <w:vAlign w:val="center"/>
            <w:hideMark/>
          </w:tcPr>
          <w:p w14:paraId="0912D39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55,800</w:t>
            </w:r>
          </w:p>
        </w:tc>
        <w:tc>
          <w:tcPr>
            <w:tcW w:w="1143" w:type="dxa"/>
            <w:tcBorders>
              <w:top w:val="nil"/>
              <w:left w:val="nil"/>
              <w:bottom w:val="nil"/>
              <w:right w:val="nil"/>
            </w:tcBorders>
            <w:shd w:val="clear" w:color="auto" w:fill="auto"/>
            <w:noWrap/>
            <w:vAlign w:val="center"/>
            <w:hideMark/>
          </w:tcPr>
          <w:p w14:paraId="324BB93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63,300</w:t>
            </w:r>
          </w:p>
        </w:tc>
        <w:tc>
          <w:tcPr>
            <w:tcW w:w="1143" w:type="dxa"/>
            <w:tcBorders>
              <w:top w:val="nil"/>
              <w:left w:val="nil"/>
              <w:bottom w:val="nil"/>
              <w:right w:val="nil"/>
            </w:tcBorders>
            <w:shd w:val="clear" w:color="auto" w:fill="auto"/>
            <w:noWrap/>
            <w:vAlign w:val="center"/>
            <w:hideMark/>
          </w:tcPr>
          <w:p w14:paraId="1E0E6F9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73,700</w:t>
            </w:r>
          </w:p>
        </w:tc>
        <w:tc>
          <w:tcPr>
            <w:tcW w:w="1399" w:type="dxa"/>
            <w:tcBorders>
              <w:top w:val="nil"/>
              <w:left w:val="nil"/>
              <w:bottom w:val="nil"/>
              <w:right w:val="nil"/>
            </w:tcBorders>
            <w:shd w:val="clear" w:color="auto" w:fill="auto"/>
            <w:noWrap/>
            <w:vAlign w:val="center"/>
            <w:hideMark/>
          </w:tcPr>
          <w:p w14:paraId="2ADCD00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80,800</w:t>
            </w:r>
          </w:p>
        </w:tc>
        <w:tc>
          <w:tcPr>
            <w:tcW w:w="1143" w:type="dxa"/>
            <w:tcBorders>
              <w:top w:val="nil"/>
              <w:left w:val="nil"/>
              <w:bottom w:val="nil"/>
              <w:right w:val="nil"/>
            </w:tcBorders>
            <w:shd w:val="clear" w:color="auto" w:fill="auto"/>
            <w:noWrap/>
            <w:vAlign w:val="center"/>
            <w:hideMark/>
          </w:tcPr>
          <w:p w14:paraId="7426396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55,800</w:t>
            </w:r>
          </w:p>
        </w:tc>
        <w:tc>
          <w:tcPr>
            <w:tcW w:w="1352" w:type="dxa"/>
            <w:tcBorders>
              <w:top w:val="nil"/>
              <w:left w:val="nil"/>
              <w:bottom w:val="nil"/>
              <w:right w:val="nil"/>
            </w:tcBorders>
            <w:shd w:val="clear" w:color="auto" w:fill="auto"/>
            <w:noWrap/>
            <w:vAlign w:val="center"/>
            <w:hideMark/>
          </w:tcPr>
          <w:p w14:paraId="7975AEA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57,700</w:t>
            </w:r>
          </w:p>
        </w:tc>
        <w:tc>
          <w:tcPr>
            <w:tcW w:w="1322" w:type="dxa"/>
            <w:tcBorders>
              <w:top w:val="nil"/>
              <w:left w:val="nil"/>
              <w:bottom w:val="nil"/>
              <w:right w:val="nil"/>
            </w:tcBorders>
            <w:shd w:val="clear" w:color="auto" w:fill="auto"/>
            <w:noWrap/>
            <w:vAlign w:val="center"/>
            <w:hideMark/>
          </w:tcPr>
          <w:p w14:paraId="32B98B4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57,600</w:t>
            </w:r>
          </w:p>
        </w:tc>
        <w:tc>
          <w:tcPr>
            <w:tcW w:w="1275" w:type="dxa"/>
            <w:tcBorders>
              <w:top w:val="nil"/>
              <w:left w:val="single" w:sz="8" w:space="0" w:color="auto"/>
              <w:bottom w:val="nil"/>
              <w:right w:val="single" w:sz="8" w:space="0" w:color="auto"/>
            </w:tcBorders>
            <w:shd w:val="clear" w:color="auto" w:fill="auto"/>
            <w:noWrap/>
            <w:vAlign w:val="center"/>
            <w:hideMark/>
          </w:tcPr>
          <w:p w14:paraId="13217B4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7,96,700</w:t>
            </w:r>
          </w:p>
        </w:tc>
      </w:tr>
      <w:tr w:rsidR="009C06FF" w:rsidRPr="005D0B37" w14:paraId="599BD02C"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8F38D4A"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Interest Received</w:t>
            </w:r>
          </w:p>
        </w:tc>
        <w:tc>
          <w:tcPr>
            <w:tcW w:w="1058" w:type="dxa"/>
            <w:tcBorders>
              <w:top w:val="nil"/>
              <w:left w:val="nil"/>
              <w:bottom w:val="nil"/>
              <w:right w:val="nil"/>
            </w:tcBorders>
            <w:shd w:val="clear" w:color="auto" w:fill="auto"/>
            <w:noWrap/>
            <w:vAlign w:val="center"/>
            <w:hideMark/>
          </w:tcPr>
          <w:p w14:paraId="1280317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center"/>
            <w:hideMark/>
          </w:tcPr>
          <w:p w14:paraId="5AF5828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2,549</w:t>
            </w:r>
          </w:p>
        </w:tc>
        <w:tc>
          <w:tcPr>
            <w:tcW w:w="1143" w:type="dxa"/>
            <w:tcBorders>
              <w:top w:val="nil"/>
              <w:left w:val="nil"/>
              <w:bottom w:val="nil"/>
              <w:right w:val="nil"/>
            </w:tcBorders>
            <w:shd w:val="clear" w:color="auto" w:fill="auto"/>
            <w:noWrap/>
            <w:vAlign w:val="center"/>
            <w:hideMark/>
          </w:tcPr>
          <w:p w14:paraId="179E7ED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4,417</w:t>
            </w:r>
          </w:p>
        </w:tc>
        <w:tc>
          <w:tcPr>
            <w:tcW w:w="1143" w:type="dxa"/>
            <w:tcBorders>
              <w:top w:val="nil"/>
              <w:left w:val="nil"/>
              <w:bottom w:val="nil"/>
              <w:right w:val="nil"/>
            </w:tcBorders>
            <w:shd w:val="clear" w:color="auto" w:fill="auto"/>
            <w:noWrap/>
            <w:vAlign w:val="center"/>
            <w:hideMark/>
          </w:tcPr>
          <w:p w14:paraId="3675D91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6,918</w:t>
            </w:r>
          </w:p>
        </w:tc>
        <w:tc>
          <w:tcPr>
            <w:tcW w:w="1143" w:type="dxa"/>
            <w:tcBorders>
              <w:top w:val="nil"/>
              <w:left w:val="nil"/>
              <w:bottom w:val="nil"/>
              <w:right w:val="nil"/>
            </w:tcBorders>
            <w:shd w:val="clear" w:color="auto" w:fill="auto"/>
            <w:noWrap/>
            <w:vAlign w:val="center"/>
            <w:hideMark/>
          </w:tcPr>
          <w:p w14:paraId="621674B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8,034</w:t>
            </w:r>
          </w:p>
        </w:tc>
        <w:tc>
          <w:tcPr>
            <w:tcW w:w="1143" w:type="dxa"/>
            <w:tcBorders>
              <w:top w:val="nil"/>
              <w:left w:val="nil"/>
              <w:bottom w:val="nil"/>
              <w:right w:val="nil"/>
            </w:tcBorders>
            <w:shd w:val="clear" w:color="auto" w:fill="auto"/>
            <w:noWrap/>
            <w:vAlign w:val="center"/>
            <w:hideMark/>
          </w:tcPr>
          <w:p w14:paraId="12895CA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9,136</w:t>
            </w:r>
          </w:p>
        </w:tc>
        <w:tc>
          <w:tcPr>
            <w:tcW w:w="1143" w:type="dxa"/>
            <w:tcBorders>
              <w:top w:val="nil"/>
              <w:left w:val="nil"/>
              <w:bottom w:val="nil"/>
              <w:right w:val="nil"/>
            </w:tcBorders>
            <w:shd w:val="clear" w:color="auto" w:fill="auto"/>
            <w:noWrap/>
            <w:vAlign w:val="center"/>
            <w:hideMark/>
          </w:tcPr>
          <w:p w14:paraId="3AB3BB3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10,679</w:t>
            </w:r>
          </w:p>
        </w:tc>
        <w:tc>
          <w:tcPr>
            <w:tcW w:w="1143" w:type="dxa"/>
            <w:tcBorders>
              <w:top w:val="nil"/>
              <w:left w:val="nil"/>
              <w:bottom w:val="nil"/>
              <w:right w:val="nil"/>
            </w:tcBorders>
            <w:shd w:val="clear" w:color="auto" w:fill="auto"/>
            <w:noWrap/>
            <w:vAlign w:val="center"/>
            <w:hideMark/>
          </w:tcPr>
          <w:p w14:paraId="1C2243A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12,514</w:t>
            </w:r>
          </w:p>
        </w:tc>
        <w:tc>
          <w:tcPr>
            <w:tcW w:w="1399" w:type="dxa"/>
            <w:tcBorders>
              <w:top w:val="nil"/>
              <w:left w:val="nil"/>
              <w:bottom w:val="nil"/>
              <w:right w:val="nil"/>
            </w:tcBorders>
            <w:shd w:val="clear" w:color="auto" w:fill="auto"/>
            <w:noWrap/>
            <w:vAlign w:val="center"/>
            <w:hideMark/>
          </w:tcPr>
          <w:p w14:paraId="698A8EF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14,687</w:t>
            </w:r>
          </w:p>
        </w:tc>
        <w:tc>
          <w:tcPr>
            <w:tcW w:w="1143" w:type="dxa"/>
            <w:tcBorders>
              <w:top w:val="nil"/>
              <w:left w:val="nil"/>
              <w:bottom w:val="nil"/>
              <w:right w:val="nil"/>
            </w:tcBorders>
            <w:shd w:val="clear" w:color="auto" w:fill="auto"/>
            <w:noWrap/>
            <w:vAlign w:val="center"/>
            <w:hideMark/>
          </w:tcPr>
          <w:p w14:paraId="039AD0F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17,091</w:t>
            </w:r>
          </w:p>
        </w:tc>
        <w:tc>
          <w:tcPr>
            <w:tcW w:w="1352" w:type="dxa"/>
            <w:tcBorders>
              <w:top w:val="nil"/>
              <w:left w:val="nil"/>
              <w:bottom w:val="nil"/>
              <w:right w:val="nil"/>
            </w:tcBorders>
            <w:shd w:val="clear" w:color="auto" w:fill="auto"/>
            <w:noWrap/>
            <w:vAlign w:val="center"/>
            <w:hideMark/>
          </w:tcPr>
          <w:p w14:paraId="654FD25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18,873</w:t>
            </w:r>
          </w:p>
        </w:tc>
        <w:tc>
          <w:tcPr>
            <w:tcW w:w="1322" w:type="dxa"/>
            <w:tcBorders>
              <w:top w:val="nil"/>
              <w:left w:val="nil"/>
              <w:bottom w:val="nil"/>
              <w:right w:val="nil"/>
            </w:tcBorders>
            <w:shd w:val="clear" w:color="auto" w:fill="auto"/>
            <w:noWrap/>
            <w:vAlign w:val="center"/>
            <w:hideMark/>
          </w:tcPr>
          <w:p w14:paraId="42457DC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20,778</w:t>
            </w:r>
          </w:p>
        </w:tc>
        <w:tc>
          <w:tcPr>
            <w:tcW w:w="1275" w:type="dxa"/>
            <w:tcBorders>
              <w:top w:val="nil"/>
              <w:left w:val="single" w:sz="8" w:space="0" w:color="auto"/>
              <w:bottom w:val="nil"/>
              <w:right w:val="single" w:sz="8" w:space="0" w:color="auto"/>
            </w:tcBorders>
            <w:shd w:val="clear" w:color="auto" w:fill="auto"/>
            <w:noWrap/>
            <w:vAlign w:val="center"/>
            <w:hideMark/>
          </w:tcPr>
          <w:p w14:paraId="7EF6B57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1,25,675</w:t>
            </w:r>
          </w:p>
        </w:tc>
      </w:tr>
      <w:tr w:rsidR="009C06FF" w:rsidRPr="005D0B37" w14:paraId="23F7C0B2" w14:textId="77777777" w:rsidTr="009C06FF">
        <w:trPr>
          <w:gridAfter w:val="1"/>
          <w:wAfter w:w="6" w:type="dxa"/>
          <w:trHeight w:val="368"/>
        </w:trPr>
        <w:tc>
          <w:tcPr>
            <w:tcW w:w="3625" w:type="dxa"/>
            <w:tcBorders>
              <w:top w:val="nil"/>
              <w:left w:val="single" w:sz="8" w:space="0" w:color="auto"/>
              <w:bottom w:val="nil"/>
              <w:right w:val="nil"/>
            </w:tcBorders>
            <w:shd w:val="clear" w:color="000000" w:fill="B8CCE4"/>
            <w:noWrap/>
            <w:vAlign w:val="center"/>
            <w:hideMark/>
          </w:tcPr>
          <w:p w14:paraId="498E0844"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68E0023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74C1552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7EC0E2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5E80AD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1F4D30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851071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788E84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A42A74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7A1757C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C9068F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7B1740D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4620519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60E7496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035D9EE9"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nil"/>
            </w:tcBorders>
            <w:shd w:val="clear" w:color="000000" w:fill="95B3D7"/>
            <w:noWrap/>
            <w:vAlign w:val="center"/>
            <w:hideMark/>
          </w:tcPr>
          <w:p w14:paraId="72A8430E"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Total Receipts</w:t>
            </w:r>
          </w:p>
        </w:tc>
        <w:tc>
          <w:tcPr>
            <w:tcW w:w="1058" w:type="dxa"/>
            <w:tcBorders>
              <w:top w:val="single" w:sz="8" w:space="0" w:color="auto"/>
              <w:left w:val="nil"/>
              <w:bottom w:val="single" w:sz="8" w:space="0" w:color="auto"/>
              <w:right w:val="nil"/>
            </w:tcBorders>
            <w:shd w:val="clear" w:color="000000" w:fill="95B3D7"/>
            <w:noWrap/>
            <w:vAlign w:val="center"/>
            <w:hideMark/>
          </w:tcPr>
          <w:p w14:paraId="3C215A7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97,800</w:t>
            </w:r>
          </w:p>
        </w:tc>
        <w:tc>
          <w:tcPr>
            <w:tcW w:w="1183" w:type="dxa"/>
            <w:tcBorders>
              <w:top w:val="single" w:sz="8" w:space="0" w:color="auto"/>
              <w:left w:val="nil"/>
              <w:bottom w:val="single" w:sz="8" w:space="0" w:color="auto"/>
              <w:right w:val="nil"/>
            </w:tcBorders>
            <w:shd w:val="clear" w:color="000000" w:fill="95B3D7"/>
            <w:noWrap/>
            <w:vAlign w:val="center"/>
            <w:hideMark/>
          </w:tcPr>
          <w:p w14:paraId="66991E30"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75,349</w:t>
            </w:r>
          </w:p>
        </w:tc>
        <w:tc>
          <w:tcPr>
            <w:tcW w:w="1143" w:type="dxa"/>
            <w:tcBorders>
              <w:top w:val="single" w:sz="8" w:space="0" w:color="auto"/>
              <w:left w:val="nil"/>
              <w:bottom w:val="single" w:sz="8" w:space="0" w:color="auto"/>
              <w:right w:val="nil"/>
            </w:tcBorders>
            <w:shd w:val="clear" w:color="000000" w:fill="95B3D7"/>
            <w:noWrap/>
            <w:vAlign w:val="center"/>
            <w:hideMark/>
          </w:tcPr>
          <w:p w14:paraId="1B27FAC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96,217</w:t>
            </w:r>
          </w:p>
        </w:tc>
        <w:tc>
          <w:tcPr>
            <w:tcW w:w="1143" w:type="dxa"/>
            <w:tcBorders>
              <w:top w:val="single" w:sz="8" w:space="0" w:color="auto"/>
              <w:left w:val="nil"/>
              <w:bottom w:val="single" w:sz="8" w:space="0" w:color="auto"/>
              <w:right w:val="nil"/>
            </w:tcBorders>
            <w:shd w:val="clear" w:color="000000" w:fill="95B3D7"/>
            <w:noWrap/>
            <w:vAlign w:val="center"/>
            <w:hideMark/>
          </w:tcPr>
          <w:p w14:paraId="67CD120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53,718</w:t>
            </w:r>
          </w:p>
        </w:tc>
        <w:tc>
          <w:tcPr>
            <w:tcW w:w="1143" w:type="dxa"/>
            <w:tcBorders>
              <w:top w:val="single" w:sz="8" w:space="0" w:color="auto"/>
              <w:left w:val="nil"/>
              <w:bottom w:val="single" w:sz="8" w:space="0" w:color="auto"/>
              <w:right w:val="nil"/>
            </w:tcBorders>
            <w:shd w:val="clear" w:color="000000" w:fill="95B3D7"/>
            <w:noWrap/>
            <w:vAlign w:val="center"/>
            <w:hideMark/>
          </w:tcPr>
          <w:p w14:paraId="4139F0B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56,834</w:t>
            </w:r>
          </w:p>
        </w:tc>
        <w:tc>
          <w:tcPr>
            <w:tcW w:w="1143" w:type="dxa"/>
            <w:tcBorders>
              <w:top w:val="single" w:sz="8" w:space="0" w:color="auto"/>
              <w:left w:val="nil"/>
              <w:bottom w:val="single" w:sz="8" w:space="0" w:color="auto"/>
              <w:right w:val="nil"/>
            </w:tcBorders>
            <w:shd w:val="clear" w:color="000000" w:fill="95B3D7"/>
            <w:noWrap/>
            <w:vAlign w:val="center"/>
            <w:hideMark/>
          </w:tcPr>
          <w:p w14:paraId="66D533B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64,936</w:t>
            </w:r>
          </w:p>
        </w:tc>
        <w:tc>
          <w:tcPr>
            <w:tcW w:w="1143" w:type="dxa"/>
            <w:tcBorders>
              <w:top w:val="single" w:sz="8" w:space="0" w:color="auto"/>
              <w:left w:val="nil"/>
              <w:bottom w:val="single" w:sz="8" w:space="0" w:color="auto"/>
              <w:right w:val="nil"/>
            </w:tcBorders>
            <w:shd w:val="clear" w:color="000000" w:fill="95B3D7"/>
            <w:noWrap/>
            <w:vAlign w:val="center"/>
            <w:hideMark/>
          </w:tcPr>
          <w:p w14:paraId="1C2EB28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73,979</w:t>
            </w:r>
          </w:p>
        </w:tc>
        <w:tc>
          <w:tcPr>
            <w:tcW w:w="1143" w:type="dxa"/>
            <w:tcBorders>
              <w:top w:val="single" w:sz="8" w:space="0" w:color="auto"/>
              <w:left w:val="nil"/>
              <w:bottom w:val="single" w:sz="8" w:space="0" w:color="auto"/>
              <w:right w:val="nil"/>
            </w:tcBorders>
            <w:shd w:val="clear" w:color="000000" w:fill="95B3D7"/>
            <w:noWrap/>
            <w:vAlign w:val="center"/>
            <w:hideMark/>
          </w:tcPr>
          <w:p w14:paraId="4683A8D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86,214</w:t>
            </w:r>
          </w:p>
        </w:tc>
        <w:tc>
          <w:tcPr>
            <w:tcW w:w="1399" w:type="dxa"/>
            <w:tcBorders>
              <w:top w:val="single" w:sz="8" w:space="0" w:color="auto"/>
              <w:left w:val="nil"/>
              <w:bottom w:val="single" w:sz="8" w:space="0" w:color="auto"/>
              <w:right w:val="nil"/>
            </w:tcBorders>
            <w:shd w:val="clear" w:color="000000" w:fill="95B3D7"/>
            <w:noWrap/>
            <w:vAlign w:val="center"/>
            <w:hideMark/>
          </w:tcPr>
          <w:p w14:paraId="43F19BC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95,487</w:t>
            </w:r>
          </w:p>
        </w:tc>
        <w:tc>
          <w:tcPr>
            <w:tcW w:w="1143" w:type="dxa"/>
            <w:tcBorders>
              <w:top w:val="single" w:sz="8" w:space="0" w:color="auto"/>
              <w:left w:val="nil"/>
              <w:bottom w:val="single" w:sz="8" w:space="0" w:color="auto"/>
              <w:right w:val="nil"/>
            </w:tcBorders>
            <w:shd w:val="clear" w:color="000000" w:fill="95B3D7"/>
            <w:noWrap/>
            <w:vAlign w:val="center"/>
            <w:hideMark/>
          </w:tcPr>
          <w:p w14:paraId="26F2AA7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72,891</w:t>
            </w:r>
          </w:p>
        </w:tc>
        <w:tc>
          <w:tcPr>
            <w:tcW w:w="1352" w:type="dxa"/>
            <w:tcBorders>
              <w:top w:val="single" w:sz="8" w:space="0" w:color="auto"/>
              <w:left w:val="nil"/>
              <w:bottom w:val="single" w:sz="8" w:space="0" w:color="auto"/>
              <w:right w:val="nil"/>
            </w:tcBorders>
            <w:shd w:val="clear" w:color="000000" w:fill="95B3D7"/>
            <w:noWrap/>
            <w:vAlign w:val="center"/>
            <w:hideMark/>
          </w:tcPr>
          <w:p w14:paraId="46826A6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76,573</w:t>
            </w:r>
          </w:p>
        </w:tc>
        <w:tc>
          <w:tcPr>
            <w:tcW w:w="1322" w:type="dxa"/>
            <w:tcBorders>
              <w:top w:val="single" w:sz="8" w:space="0" w:color="auto"/>
              <w:left w:val="nil"/>
              <w:bottom w:val="single" w:sz="8" w:space="0" w:color="auto"/>
              <w:right w:val="nil"/>
            </w:tcBorders>
            <w:shd w:val="clear" w:color="000000" w:fill="95B3D7"/>
            <w:noWrap/>
            <w:vAlign w:val="center"/>
            <w:hideMark/>
          </w:tcPr>
          <w:p w14:paraId="1438BCB9"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78,378</w:t>
            </w:r>
          </w:p>
        </w:tc>
        <w:tc>
          <w:tcPr>
            <w:tcW w:w="127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5FACCDB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9,28,375</w:t>
            </w:r>
          </w:p>
        </w:tc>
      </w:tr>
      <w:tr w:rsidR="009C06FF" w:rsidRPr="005D0B37" w14:paraId="30E8D7F6" w14:textId="77777777" w:rsidTr="009C06FF">
        <w:trPr>
          <w:gridAfter w:val="1"/>
          <w:wAfter w:w="6" w:type="dxa"/>
          <w:trHeight w:val="368"/>
        </w:trPr>
        <w:tc>
          <w:tcPr>
            <w:tcW w:w="3625" w:type="dxa"/>
            <w:tcBorders>
              <w:top w:val="nil"/>
              <w:left w:val="single" w:sz="8" w:space="0" w:color="auto"/>
              <w:bottom w:val="nil"/>
              <w:right w:val="nil"/>
            </w:tcBorders>
            <w:shd w:val="clear" w:color="000000" w:fill="B8CCE4"/>
            <w:noWrap/>
            <w:vAlign w:val="center"/>
            <w:hideMark/>
          </w:tcPr>
          <w:p w14:paraId="39A5FC8E"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2FD697FF"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5691E54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614E3B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A712CB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2CE242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94DCFA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924DBB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60DDA6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6C80F3A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A10B4D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5DF5C41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386F899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29FED97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5EEF6721"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6FB1C145"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Payments:</w:t>
            </w:r>
          </w:p>
        </w:tc>
        <w:tc>
          <w:tcPr>
            <w:tcW w:w="1058" w:type="dxa"/>
            <w:tcBorders>
              <w:top w:val="single" w:sz="8" w:space="0" w:color="auto"/>
              <w:left w:val="nil"/>
              <w:bottom w:val="single" w:sz="8" w:space="0" w:color="auto"/>
              <w:right w:val="nil"/>
            </w:tcBorders>
            <w:shd w:val="clear" w:color="000000" w:fill="95B3D7"/>
            <w:noWrap/>
            <w:vAlign w:val="center"/>
            <w:hideMark/>
          </w:tcPr>
          <w:p w14:paraId="11506A28"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83" w:type="dxa"/>
            <w:tcBorders>
              <w:top w:val="single" w:sz="8" w:space="0" w:color="auto"/>
              <w:left w:val="nil"/>
              <w:bottom w:val="single" w:sz="8" w:space="0" w:color="auto"/>
              <w:right w:val="nil"/>
            </w:tcBorders>
            <w:shd w:val="clear" w:color="000000" w:fill="95B3D7"/>
            <w:noWrap/>
            <w:vAlign w:val="center"/>
            <w:hideMark/>
          </w:tcPr>
          <w:p w14:paraId="55053E32"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452FF0CF"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5B361D9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46196B37"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5832FC8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370E1E22"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33A6D17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99" w:type="dxa"/>
            <w:tcBorders>
              <w:top w:val="single" w:sz="8" w:space="0" w:color="auto"/>
              <w:left w:val="nil"/>
              <w:bottom w:val="single" w:sz="8" w:space="0" w:color="auto"/>
              <w:right w:val="nil"/>
            </w:tcBorders>
            <w:shd w:val="clear" w:color="000000" w:fill="95B3D7"/>
            <w:noWrap/>
            <w:vAlign w:val="center"/>
            <w:hideMark/>
          </w:tcPr>
          <w:p w14:paraId="21BDED1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143" w:type="dxa"/>
            <w:tcBorders>
              <w:top w:val="single" w:sz="8" w:space="0" w:color="auto"/>
              <w:left w:val="nil"/>
              <w:bottom w:val="single" w:sz="8" w:space="0" w:color="auto"/>
              <w:right w:val="nil"/>
            </w:tcBorders>
            <w:shd w:val="clear" w:color="000000" w:fill="95B3D7"/>
            <w:noWrap/>
            <w:vAlign w:val="center"/>
            <w:hideMark/>
          </w:tcPr>
          <w:p w14:paraId="0E3E3E3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52" w:type="dxa"/>
            <w:tcBorders>
              <w:top w:val="single" w:sz="8" w:space="0" w:color="auto"/>
              <w:left w:val="nil"/>
              <w:bottom w:val="single" w:sz="8" w:space="0" w:color="auto"/>
              <w:right w:val="nil"/>
            </w:tcBorders>
            <w:shd w:val="clear" w:color="000000" w:fill="95B3D7"/>
            <w:noWrap/>
            <w:vAlign w:val="center"/>
            <w:hideMark/>
          </w:tcPr>
          <w:p w14:paraId="04E48A5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322" w:type="dxa"/>
            <w:tcBorders>
              <w:top w:val="single" w:sz="8" w:space="0" w:color="auto"/>
              <w:left w:val="nil"/>
              <w:bottom w:val="single" w:sz="8" w:space="0" w:color="auto"/>
              <w:right w:val="nil"/>
            </w:tcBorders>
            <w:shd w:val="clear" w:color="000000" w:fill="95B3D7"/>
            <w:noWrap/>
            <w:vAlign w:val="center"/>
            <w:hideMark/>
          </w:tcPr>
          <w:p w14:paraId="4E9ACE7E"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27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23F090CA"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172F2742"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1543D59"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Freehold</w:t>
            </w:r>
          </w:p>
        </w:tc>
        <w:tc>
          <w:tcPr>
            <w:tcW w:w="1058" w:type="dxa"/>
            <w:tcBorders>
              <w:top w:val="nil"/>
              <w:left w:val="nil"/>
              <w:bottom w:val="nil"/>
              <w:right w:val="nil"/>
            </w:tcBorders>
            <w:shd w:val="clear" w:color="auto" w:fill="auto"/>
            <w:noWrap/>
            <w:vAlign w:val="bottom"/>
            <w:hideMark/>
          </w:tcPr>
          <w:p w14:paraId="37C2497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338819D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7532F6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D4D8EE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36F242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9C9F06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317DD1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58A382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529977B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492032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508F523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2553106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7EA83CB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589B2161"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0701C78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Fixtures and fittings</w:t>
            </w:r>
          </w:p>
        </w:tc>
        <w:tc>
          <w:tcPr>
            <w:tcW w:w="1058" w:type="dxa"/>
            <w:tcBorders>
              <w:top w:val="nil"/>
              <w:left w:val="nil"/>
              <w:bottom w:val="nil"/>
              <w:right w:val="nil"/>
            </w:tcBorders>
            <w:shd w:val="clear" w:color="auto" w:fill="auto"/>
            <w:noWrap/>
            <w:vAlign w:val="bottom"/>
            <w:hideMark/>
          </w:tcPr>
          <w:p w14:paraId="6A512504"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605FE8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F01F5A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939F07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ECBF01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0C72FF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48745B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48B09A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14FE02A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FB91A2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2B2E628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2D86ACC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229F6966"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0D08F1A2"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25C7056"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Property expenses</w:t>
            </w:r>
          </w:p>
        </w:tc>
        <w:tc>
          <w:tcPr>
            <w:tcW w:w="1058" w:type="dxa"/>
            <w:tcBorders>
              <w:top w:val="nil"/>
              <w:left w:val="nil"/>
              <w:bottom w:val="nil"/>
              <w:right w:val="nil"/>
            </w:tcBorders>
            <w:shd w:val="clear" w:color="auto" w:fill="auto"/>
            <w:noWrap/>
            <w:vAlign w:val="bottom"/>
            <w:hideMark/>
          </w:tcPr>
          <w:p w14:paraId="3F4E74E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3FE682D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936B7F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33D5A1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center"/>
            <w:hideMark/>
          </w:tcPr>
          <w:p w14:paraId="33B64E3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7,000</w:t>
            </w:r>
          </w:p>
        </w:tc>
        <w:tc>
          <w:tcPr>
            <w:tcW w:w="1143" w:type="dxa"/>
            <w:tcBorders>
              <w:top w:val="nil"/>
              <w:left w:val="nil"/>
              <w:bottom w:val="nil"/>
              <w:right w:val="nil"/>
            </w:tcBorders>
            <w:shd w:val="clear" w:color="auto" w:fill="auto"/>
            <w:noWrap/>
            <w:vAlign w:val="bottom"/>
            <w:hideMark/>
          </w:tcPr>
          <w:p w14:paraId="73E38BB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p>
        </w:tc>
        <w:tc>
          <w:tcPr>
            <w:tcW w:w="1143" w:type="dxa"/>
            <w:tcBorders>
              <w:top w:val="nil"/>
              <w:left w:val="nil"/>
              <w:bottom w:val="nil"/>
              <w:right w:val="nil"/>
            </w:tcBorders>
            <w:shd w:val="clear" w:color="auto" w:fill="auto"/>
            <w:noWrap/>
            <w:vAlign w:val="bottom"/>
            <w:hideMark/>
          </w:tcPr>
          <w:p w14:paraId="7B73CF5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4E6DB3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center"/>
            <w:hideMark/>
          </w:tcPr>
          <w:p w14:paraId="4774518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2,500</w:t>
            </w:r>
          </w:p>
        </w:tc>
        <w:tc>
          <w:tcPr>
            <w:tcW w:w="1143" w:type="dxa"/>
            <w:tcBorders>
              <w:top w:val="nil"/>
              <w:left w:val="nil"/>
              <w:bottom w:val="nil"/>
              <w:right w:val="nil"/>
            </w:tcBorders>
            <w:shd w:val="clear" w:color="auto" w:fill="auto"/>
            <w:noWrap/>
            <w:vAlign w:val="bottom"/>
            <w:hideMark/>
          </w:tcPr>
          <w:p w14:paraId="54696B2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p>
        </w:tc>
        <w:tc>
          <w:tcPr>
            <w:tcW w:w="1352" w:type="dxa"/>
            <w:tcBorders>
              <w:top w:val="nil"/>
              <w:left w:val="nil"/>
              <w:bottom w:val="nil"/>
              <w:right w:val="nil"/>
            </w:tcBorders>
            <w:shd w:val="clear" w:color="auto" w:fill="auto"/>
            <w:noWrap/>
            <w:vAlign w:val="bottom"/>
            <w:hideMark/>
          </w:tcPr>
          <w:p w14:paraId="6B3FDA2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0BA206F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61F19C6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9,500</w:t>
            </w:r>
          </w:p>
        </w:tc>
      </w:tr>
      <w:tr w:rsidR="009C06FF" w:rsidRPr="005D0B37" w14:paraId="66A4D7DF"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B2A96C4"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Laundry</w:t>
            </w:r>
          </w:p>
        </w:tc>
        <w:tc>
          <w:tcPr>
            <w:tcW w:w="1058" w:type="dxa"/>
            <w:tcBorders>
              <w:top w:val="nil"/>
              <w:left w:val="nil"/>
              <w:bottom w:val="nil"/>
              <w:right w:val="nil"/>
            </w:tcBorders>
            <w:shd w:val="clear" w:color="auto" w:fill="auto"/>
            <w:noWrap/>
            <w:vAlign w:val="bottom"/>
            <w:hideMark/>
          </w:tcPr>
          <w:p w14:paraId="1BE6988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7877074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9600A0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46CE47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084843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6D1F30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F65F9D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62F595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7183587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6E4A7D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1D08A7C6"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70190C4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0BF8E63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7848541D"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CFA6492"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Energy costs</w:t>
            </w:r>
          </w:p>
        </w:tc>
        <w:tc>
          <w:tcPr>
            <w:tcW w:w="1058" w:type="dxa"/>
            <w:tcBorders>
              <w:top w:val="nil"/>
              <w:left w:val="nil"/>
              <w:bottom w:val="nil"/>
              <w:right w:val="nil"/>
            </w:tcBorders>
            <w:shd w:val="clear" w:color="auto" w:fill="auto"/>
            <w:noWrap/>
            <w:vAlign w:val="center"/>
            <w:hideMark/>
          </w:tcPr>
          <w:p w14:paraId="0CF117B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83" w:type="dxa"/>
            <w:tcBorders>
              <w:top w:val="nil"/>
              <w:left w:val="nil"/>
              <w:bottom w:val="nil"/>
              <w:right w:val="nil"/>
            </w:tcBorders>
            <w:shd w:val="clear" w:color="auto" w:fill="auto"/>
            <w:noWrap/>
            <w:vAlign w:val="center"/>
            <w:hideMark/>
          </w:tcPr>
          <w:p w14:paraId="1827D02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4A6927A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3F2245E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20E140E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7C84CE4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0DE9DE7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600789D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399" w:type="dxa"/>
            <w:tcBorders>
              <w:top w:val="nil"/>
              <w:left w:val="nil"/>
              <w:bottom w:val="nil"/>
              <w:right w:val="nil"/>
            </w:tcBorders>
            <w:shd w:val="clear" w:color="auto" w:fill="auto"/>
            <w:noWrap/>
            <w:vAlign w:val="center"/>
            <w:hideMark/>
          </w:tcPr>
          <w:p w14:paraId="1C40C3F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143" w:type="dxa"/>
            <w:tcBorders>
              <w:top w:val="nil"/>
              <w:left w:val="nil"/>
              <w:bottom w:val="nil"/>
              <w:right w:val="nil"/>
            </w:tcBorders>
            <w:shd w:val="clear" w:color="auto" w:fill="auto"/>
            <w:noWrap/>
            <w:vAlign w:val="center"/>
            <w:hideMark/>
          </w:tcPr>
          <w:p w14:paraId="7BA9DA8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352" w:type="dxa"/>
            <w:tcBorders>
              <w:top w:val="nil"/>
              <w:left w:val="nil"/>
              <w:bottom w:val="nil"/>
              <w:right w:val="nil"/>
            </w:tcBorders>
            <w:shd w:val="clear" w:color="auto" w:fill="auto"/>
            <w:noWrap/>
            <w:vAlign w:val="center"/>
            <w:hideMark/>
          </w:tcPr>
          <w:p w14:paraId="3E314F0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322" w:type="dxa"/>
            <w:tcBorders>
              <w:top w:val="nil"/>
              <w:left w:val="nil"/>
              <w:bottom w:val="nil"/>
              <w:right w:val="nil"/>
            </w:tcBorders>
            <w:shd w:val="clear" w:color="auto" w:fill="auto"/>
            <w:noWrap/>
            <w:vAlign w:val="center"/>
            <w:hideMark/>
          </w:tcPr>
          <w:p w14:paraId="04B26FA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700</w:t>
            </w:r>
          </w:p>
        </w:tc>
        <w:tc>
          <w:tcPr>
            <w:tcW w:w="1275" w:type="dxa"/>
            <w:tcBorders>
              <w:top w:val="nil"/>
              <w:left w:val="single" w:sz="8" w:space="0" w:color="auto"/>
              <w:bottom w:val="nil"/>
              <w:right w:val="single" w:sz="8" w:space="0" w:color="auto"/>
            </w:tcBorders>
            <w:shd w:val="clear" w:color="auto" w:fill="auto"/>
            <w:noWrap/>
            <w:vAlign w:val="center"/>
            <w:hideMark/>
          </w:tcPr>
          <w:p w14:paraId="4C73246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8,400</w:t>
            </w:r>
          </w:p>
        </w:tc>
      </w:tr>
      <w:tr w:rsidR="009C06FF" w:rsidRPr="005D0B37" w14:paraId="48B6C18F"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09CFCE6E"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Payments to suppliers</w:t>
            </w:r>
          </w:p>
        </w:tc>
        <w:tc>
          <w:tcPr>
            <w:tcW w:w="1058" w:type="dxa"/>
            <w:tcBorders>
              <w:top w:val="nil"/>
              <w:left w:val="nil"/>
              <w:bottom w:val="nil"/>
              <w:right w:val="nil"/>
            </w:tcBorders>
            <w:shd w:val="clear" w:color="auto" w:fill="auto"/>
            <w:noWrap/>
            <w:vAlign w:val="center"/>
            <w:hideMark/>
          </w:tcPr>
          <w:p w14:paraId="042F090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4,900</w:t>
            </w:r>
          </w:p>
        </w:tc>
        <w:tc>
          <w:tcPr>
            <w:tcW w:w="1183" w:type="dxa"/>
            <w:tcBorders>
              <w:top w:val="nil"/>
              <w:left w:val="nil"/>
              <w:bottom w:val="nil"/>
              <w:right w:val="nil"/>
            </w:tcBorders>
            <w:shd w:val="clear" w:color="auto" w:fill="auto"/>
            <w:noWrap/>
            <w:vAlign w:val="center"/>
            <w:hideMark/>
          </w:tcPr>
          <w:p w14:paraId="1B7A652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5,150</w:t>
            </w:r>
          </w:p>
        </w:tc>
        <w:tc>
          <w:tcPr>
            <w:tcW w:w="1143" w:type="dxa"/>
            <w:tcBorders>
              <w:top w:val="nil"/>
              <w:left w:val="nil"/>
              <w:bottom w:val="nil"/>
              <w:right w:val="nil"/>
            </w:tcBorders>
            <w:shd w:val="clear" w:color="auto" w:fill="auto"/>
            <w:noWrap/>
            <w:vAlign w:val="center"/>
            <w:hideMark/>
          </w:tcPr>
          <w:p w14:paraId="41875C9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4,900</w:t>
            </w:r>
          </w:p>
        </w:tc>
        <w:tc>
          <w:tcPr>
            <w:tcW w:w="1143" w:type="dxa"/>
            <w:tcBorders>
              <w:top w:val="nil"/>
              <w:left w:val="nil"/>
              <w:bottom w:val="nil"/>
              <w:right w:val="nil"/>
            </w:tcBorders>
            <w:shd w:val="clear" w:color="auto" w:fill="auto"/>
            <w:noWrap/>
            <w:vAlign w:val="center"/>
            <w:hideMark/>
          </w:tcPr>
          <w:p w14:paraId="00F6E08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8,600</w:t>
            </w:r>
          </w:p>
        </w:tc>
        <w:tc>
          <w:tcPr>
            <w:tcW w:w="1143" w:type="dxa"/>
            <w:tcBorders>
              <w:top w:val="nil"/>
              <w:left w:val="nil"/>
              <w:bottom w:val="nil"/>
              <w:right w:val="nil"/>
            </w:tcBorders>
            <w:shd w:val="clear" w:color="auto" w:fill="auto"/>
            <w:noWrap/>
            <w:vAlign w:val="center"/>
            <w:hideMark/>
          </w:tcPr>
          <w:p w14:paraId="1A1030D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5,150</w:t>
            </w:r>
          </w:p>
        </w:tc>
        <w:tc>
          <w:tcPr>
            <w:tcW w:w="1143" w:type="dxa"/>
            <w:tcBorders>
              <w:top w:val="nil"/>
              <w:left w:val="nil"/>
              <w:bottom w:val="nil"/>
              <w:right w:val="nil"/>
            </w:tcBorders>
            <w:shd w:val="clear" w:color="auto" w:fill="auto"/>
            <w:noWrap/>
            <w:vAlign w:val="center"/>
            <w:hideMark/>
          </w:tcPr>
          <w:p w14:paraId="7A2EC93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5,600</w:t>
            </w:r>
          </w:p>
        </w:tc>
        <w:tc>
          <w:tcPr>
            <w:tcW w:w="1143" w:type="dxa"/>
            <w:tcBorders>
              <w:top w:val="nil"/>
              <w:left w:val="nil"/>
              <w:bottom w:val="nil"/>
              <w:right w:val="nil"/>
            </w:tcBorders>
            <w:shd w:val="clear" w:color="auto" w:fill="auto"/>
            <w:noWrap/>
            <w:vAlign w:val="center"/>
            <w:hideMark/>
          </w:tcPr>
          <w:p w14:paraId="6FE9A31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4,900</w:t>
            </w:r>
          </w:p>
        </w:tc>
        <w:tc>
          <w:tcPr>
            <w:tcW w:w="1143" w:type="dxa"/>
            <w:tcBorders>
              <w:top w:val="nil"/>
              <w:left w:val="nil"/>
              <w:bottom w:val="nil"/>
              <w:right w:val="nil"/>
            </w:tcBorders>
            <w:shd w:val="clear" w:color="auto" w:fill="auto"/>
            <w:noWrap/>
            <w:vAlign w:val="center"/>
            <w:hideMark/>
          </w:tcPr>
          <w:p w14:paraId="7122D82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5,850</w:t>
            </w:r>
          </w:p>
        </w:tc>
        <w:tc>
          <w:tcPr>
            <w:tcW w:w="1399" w:type="dxa"/>
            <w:tcBorders>
              <w:top w:val="nil"/>
              <w:left w:val="nil"/>
              <w:bottom w:val="nil"/>
              <w:right w:val="nil"/>
            </w:tcBorders>
            <w:shd w:val="clear" w:color="auto" w:fill="auto"/>
            <w:noWrap/>
            <w:vAlign w:val="center"/>
            <w:hideMark/>
          </w:tcPr>
          <w:p w14:paraId="60CB944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4,900</w:t>
            </w:r>
          </w:p>
        </w:tc>
        <w:tc>
          <w:tcPr>
            <w:tcW w:w="1143" w:type="dxa"/>
            <w:tcBorders>
              <w:top w:val="nil"/>
              <w:left w:val="nil"/>
              <w:bottom w:val="nil"/>
              <w:right w:val="nil"/>
            </w:tcBorders>
            <w:shd w:val="clear" w:color="auto" w:fill="auto"/>
            <w:noWrap/>
            <w:vAlign w:val="center"/>
            <w:hideMark/>
          </w:tcPr>
          <w:p w14:paraId="7D03691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5,600</w:t>
            </w:r>
          </w:p>
        </w:tc>
        <w:tc>
          <w:tcPr>
            <w:tcW w:w="1352" w:type="dxa"/>
            <w:tcBorders>
              <w:top w:val="nil"/>
              <w:left w:val="nil"/>
              <w:bottom w:val="nil"/>
              <w:right w:val="nil"/>
            </w:tcBorders>
            <w:shd w:val="clear" w:color="auto" w:fill="auto"/>
            <w:noWrap/>
            <w:vAlign w:val="center"/>
            <w:hideMark/>
          </w:tcPr>
          <w:p w14:paraId="06E36B4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5,150</w:t>
            </w:r>
          </w:p>
        </w:tc>
        <w:tc>
          <w:tcPr>
            <w:tcW w:w="1322" w:type="dxa"/>
            <w:tcBorders>
              <w:top w:val="nil"/>
              <w:left w:val="nil"/>
              <w:bottom w:val="nil"/>
              <w:right w:val="nil"/>
            </w:tcBorders>
            <w:shd w:val="clear" w:color="auto" w:fill="auto"/>
            <w:noWrap/>
            <w:vAlign w:val="center"/>
            <w:hideMark/>
          </w:tcPr>
          <w:p w14:paraId="5D97470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5,600</w:t>
            </w:r>
          </w:p>
        </w:tc>
        <w:tc>
          <w:tcPr>
            <w:tcW w:w="1275" w:type="dxa"/>
            <w:tcBorders>
              <w:top w:val="nil"/>
              <w:left w:val="single" w:sz="8" w:space="0" w:color="auto"/>
              <w:bottom w:val="nil"/>
              <w:right w:val="single" w:sz="8" w:space="0" w:color="auto"/>
            </w:tcBorders>
            <w:shd w:val="clear" w:color="auto" w:fill="auto"/>
            <w:noWrap/>
            <w:vAlign w:val="center"/>
            <w:hideMark/>
          </w:tcPr>
          <w:p w14:paraId="0F8DA9C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66,300</w:t>
            </w:r>
          </w:p>
        </w:tc>
      </w:tr>
      <w:tr w:rsidR="009C06FF" w:rsidRPr="005D0B37" w14:paraId="652481DD"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62C605F"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Wages</w:t>
            </w:r>
          </w:p>
        </w:tc>
        <w:tc>
          <w:tcPr>
            <w:tcW w:w="1058" w:type="dxa"/>
            <w:tcBorders>
              <w:top w:val="nil"/>
              <w:left w:val="nil"/>
              <w:bottom w:val="nil"/>
              <w:right w:val="nil"/>
            </w:tcBorders>
            <w:shd w:val="clear" w:color="auto" w:fill="auto"/>
            <w:noWrap/>
            <w:vAlign w:val="center"/>
            <w:hideMark/>
          </w:tcPr>
          <w:p w14:paraId="0F79D2B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83" w:type="dxa"/>
            <w:tcBorders>
              <w:top w:val="nil"/>
              <w:left w:val="nil"/>
              <w:bottom w:val="nil"/>
              <w:right w:val="nil"/>
            </w:tcBorders>
            <w:shd w:val="clear" w:color="auto" w:fill="auto"/>
            <w:noWrap/>
            <w:vAlign w:val="center"/>
            <w:hideMark/>
          </w:tcPr>
          <w:p w14:paraId="4F9469E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0BB0879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0E4E3AD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6A34308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6F36B6D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2111ED8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47D1A17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399" w:type="dxa"/>
            <w:tcBorders>
              <w:top w:val="nil"/>
              <w:left w:val="nil"/>
              <w:bottom w:val="nil"/>
              <w:right w:val="nil"/>
            </w:tcBorders>
            <w:shd w:val="clear" w:color="auto" w:fill="auto"/>
            <w:noWrap/>
            <w:vAlign w:val="center"/>
            <w:hideMark/>
          </w:tcPr>
          <w:p w14:paraId="502C3B2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143" w:type="dxa"/>
            <w:tcBorders>
              <w:top w:val="nil"/>
              <w:left w:val="nil"/>
              <w:bottom w:val="nil"/>
              <w:right w:val="nil"/>
            </w:tcBorders>
            <w:shd w:val="clear" w:color="auto" w:fill="auto"/>
            <w:noWrap/>
            <w:vAlign w:val="center"/>
            <w:hideMark/>
          </w:tcPr>
          <w:p w14:paraId="4BE5463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352" w:type="dxa"/>
            <w:tcBorders>
              <w:top w:val="nil"/>
              <w:left w:val="nil"/>
              <w:bottom w:val="nil"/>
              <w:right w:val="nil"/>
            </w:tcBorders>
            <w:shd w:val="clear" w:color="auto" w:fill="auto"/>
            <w:noWrap/>
            <w:vAlign w:val="center"/>
            <w:hideMark/>
          </w:tcPr>
          <w:p w14:paraId="35C3950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322" w:type="dxa"/>
            <w:tcBorders>
              <w:top w:val="nil"/>
              <w:left w:val="nil"/>
              <w:bottom w:val="nil"/>
              <w:right w:val="nil"/>
            </w:tcBorders>
            <w:shd w:val="clear" w:color="auto" w:fill="auto"/>
            <w:noWrap/>
            <w:vAlign w:val="center"/>
            <w:hideMark/>
          </w:tcPr>
          <w:p w14:paraId="2B3920B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c>
          <w:tcPr>
            <w:tcW w:w="1275" w:type="dxa"/>
            <w:tcBorders>
              <w:top w:val="nil"/>
              <w:left w:val="single" w:sz="8" w:space="0" w:color="auto"/>
              <w:bottom w:val="nil"/>
              <w:right w:val="single" w:sz="8" w:space="0" w:color="auto"/>
            </w:tcBorders>
            <w:shd w:val="clear" w:color="auto" w:fill="auto"/>
            <w:noWrap/>
            <w:vAlign w:val="center"/>
            <w:hideMark/>
          </w:tcPr>
          <w:p w14:paraId="49A8A09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72,000</w:t>
            </w:r>
          </w:p>
        </w:tc>
      </w:tr>
      <w:tr w:rsidR="009C06FF" w:rsidRPr="005D0B37" w14:paraId="0D8E4191"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4496D50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Salaries</w:t>
            </w:r>
          </w:p>
        </w:tc>
        <w:tc>
          <w:tcPr>
            <w:tcW w:w="1058" w:type="dxa"/>
            <w:tcBorders>
              <w:top w:val="nil"/>
              <w:left w:val="nil"/>
              <w:bottom w:val="nil"/>
              <w:right w:val="nil"/>
            </w:tcBorders>
            <w:shd w:val="clear" w:color="auto" w:fill="auto"/>
            <w:noWrap/>
            <w:vAlign w:val="bottom"/>
            <w:hideMark/>
          </w:tcPr>
          <w:p w14:paraId="69781E6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034191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9B41506"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C97567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4DC80B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A43184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B07BBF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2C351A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3A1FE91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53E733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77D61C7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6C0E7F8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033E715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7AC14CFA"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57604F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Vehicles</w:t>
            </w:r>
          </w:p>
        </w:tc>
        <w:tc>
          <w:tcPr>
            <w:tcW w:w="1058" w:type="dxa"/>
            <w:tcBorders>
              <w:top w:val="nil"/>
              <w:left w:val="nil"/>
              <w:bottom w:val="nil"/>
              <w:right w:val="nil"/>
            </w:tcBorders>
            <w:shd w:val="clear" w:color="auto" w:fill="auto"/>
            <w:noWrap/>
            <w:vAlign w:val="center"/>
            <w:hideMark/>
          </w:tcPr>
          <w:p w14:paraId="3BA82A9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450</w:t>
            </w:r>
          </w:p>
        </w:tc>
        <w:tc>
          <w:tcPr>
            <w:tcW w:w="1183" w:type="dxa"/>
            <w:tcBorders>
              <w:top w:val="nil"/>
              <w:left w:val="nil"/>
              <w:bottom w:val="nil"/>
              <w:right w:val="nil"/>
            </w:tcBorders>
            <w:shd w:val="clear" w:color="auto" w:fill="auto"/>
            <w:noWrap/>
            <w:vAlign w:val="center"/>
            <w:hideMark/>
          </w:tcPr>
          <w:p w14:paraId="3D763CD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143" w:type="dxa"/>
            <w:tcBorders>
              <w:top w:val="nil"/>
              <w:left w:val="nil"/>
              <w:bottom w:val="nil"/>
              <w:right w:val="nil"/>
            </w:tcBorders>
            <w:shd w:val="clear" w:color="auto" w:fill="auto"/>
            <w:noWrap/>
            <w:vAlign w:val="center"/>
            <w:hideMark/>
          </w:tcPr>
          <w:p w14:paraId="7C09E6F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450</w:t>
            </w:r>
          </w:p>
        </w:tc>
        <w:tc>
          <w:tcPr>
            <w:tcW w:w="1143" w:type="dxa"/>
            <w:tcBorders>
              <w:top w:val="nil"/>
              <w:left w:val="nil"/>
              <w:bottom w:val="nil"/>
              <w:right w:val="nil"/>
            </w:tcBorders>
            <w:shd w:val="clear" w:color="auto" w:fill="auto"/>
            <w:noWrap/>
            <w:vAlign w:val="center"/>
            <w:hideMark/>
          </w:tcPr>
          <w:p w14:paraId="22EE752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143" w:type="dxa"/>
            <w:tcBorders>
              <w:top w:val="nil"/>
              <w:left w:val="nil"/>
              <w:bottom w:val="nil"/>
              <w:right w:val="nil"/>
            </w:tcBorders>
            <w:shd w:val="clear" w:color="auto" w:fill="auto"/>
            <w:noWrap/>
            <w:vAlign w:val="center"/>
            <w:hideMark/>
          </w:tcPr>
          <w:p w14:paraId="3111813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450</w:t>
            </w:r>
          </w:p>
        </w:tc>
        <w:tc>
          <w:tcPr>
            <w:tcW w:w="1143" w:type="dxa"/>
            <w:tcBorders>
              <w:top w:val="nil"/>
              <w:left w:val="nil"/>
              <w:bottom w:val="nil"/>
              <w:right w:val="nil"/>
            </w:tcBorders>
            <w:shd w:val="clear" w:color="auto" w:fill="auto"/>
            <w:noWrap/>
            <w:vAlign w:val="center"/>
            <w:hideMark/>
          </w:tcPr>
          <w:p w14:paraId="07979E6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143" w:type="dxa"/>
            <w:tcBorders>
              <w:top w:val="nil"/>
              <w:left w:val="nil"/>
              <w:bottom w:val="nil"/>
              <w:right w:val="nil"/>
            </w:tcBorders>
            <w:shd w:val="clear" w:color="auto" w:fill="auto"/>
            <w:noWrap/>
            <w:vAlign w:val="center"/>
            <w:hideMark/>
          </w:tcPr>
          <w:p w14:paraId="5EA3E94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143" w:type="dxa"/>
            <w:tcBorders>
              <w:top w:val="nil"/>
              <w:left w:val="nil"/>
              <w:bottom w:val="nil"/>
              <w:right w:val="nil"/>
            </w:tcBorders>
            <w:shd w:val="clear" w:color="auto" w:fill="auto"/>
            <w:noWrap/>
            <w:vAlign w:val="center"/>
            <w:hideMark/>
          </w:tcPr>
          <w:p w14:paraId="5139DE5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399" w:type="dxa"/>
            <w:tcBorders>
              <w:top w:val="nil"/>
              <w:left w:val="nil"/>
              <w:bottom w:val="nil"/>
              <w:right w:val="nil"/>
            </w:tcBorders>
            <w:shd w:val="clear" w:color="auto" w:fill="auto"/>
            <w:noWrap/>
            <w:vAlign w:val="center"/>
            <w:hideMark/>
          </w:tcPr>
          <w:p w14:paraId="34130E9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450</w:t>
            </w:r>
          </w:p>
        </w:tc>
        <w:tc>
          <w:tcPr>
            <w:tcW w:w="1143" w:type="dxa"/>
            <w:tcBorders>
              <w:top w:val="nil"/>
              <w:left w:val="nil"/>
              <w:bottom w:val="nil"/>
              <w:right w:val="nil"/>
            </w:tcBorders>
            <w:shd w:val="clear" w:color="auto" w:fill="auto"/>
            <w:noWrap/>
            <w:vAlign w:val="center"/>
            <w:hideMark/>
          </w:tcPr>
          <w:p w14:paraId="5A22802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352" w:type="dxa"/>
            <w:tcBorders>
              <w:top w:val="nil"/>
              <w:left w:val="nil"/>
              <w:bottom w:val="nil"/>
              <w:right w:val="nil"/>
            </w:tcBorders>
            <w:shd w:val="clear" w:color="auto" w:fill="auto"/>
            <w:noWrap/>
            <w:vAlign w:val="center"/>
            <w:hideMark/>
          </w:tcPr>
          <w:p w14:paraId="789C44B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415</w:t>
            </w:r>
          </w:p>
        </w:tc>
        <w:tc>
          <w:tcPr>
            <w:tcW w:w="1322" w:type="dxa"/>
            <w:tcBorders>
              <w:top w:val="nil"/>
              <w:left w:val="nil"/>
              <w:bottom w:val="nil"/>
              <w:right w:val="nil"/>
            </w:tcBorders>
            <w:shd w:val="clear" w:color="auto" w:fill="auto"/>
            <w:noWrap/>
            <w:vAlign w:val="center"/>
            <w:hideMark/>
          </w:tcPr>
          <w:p w14:paraId="1E042E4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4,415</w:t>
            </w:r>
          </w:p>
        </w:tc>
        <w:tc>
          <w:tcPr>
            <w:tcW w:w="1275" w:type="dxa"/>
            <w:tcBorders>
              <w:top w:val="nil"/>
              <w:left w:val="single" w:sz="8" w:space="0" w:color="auto"/>
              <w:bottom w:val="nil"/>
              <w:right w:val="single" w:sz="8" w:space="0" w:color="auto"/>
            </w:tcBorders>
            <w:shd w:val="clear" w:color="auto" w:fill="auto"/>
            <w:noWrap/>
            <w:vAlign w:val="center"/>
            <w:hideMark/>
          </w:tcPr>
          <w:p w14:paraId="2170AD9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9,120</w:t>
            </w:r>
          </w:p>
        </w:tc>
      </w:tr>
      <w:tr w:rsidR="009C06FF" w:rsidRPr="005D0B37" w14:paraId="55F292B4"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64B3171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Van</w:t>
            </w:r>
          </w:p>
        </w:tc>
        <w:tc>
          <w:tcPr>
            <w:tcW w:w="1058" w:type="dxa"/>
            <w:tcBorders>
              <w:top w:val="nil"/>
              <w:left w:val="nil"/>
              <w:bottom w:val="nil"/>
              <w:right w:val="nil"/>
            </w:tcBorders>
            <w:shd w:val="clear" w:color="auto" w:fill="auto"/>
            <w:noWrap/>
            <w:vAlign w:val="bottom"/>
            <w:hideMark/>
          </w:tcPr>
          <w:p w14:paraId="4588D7F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2DD1208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ADA9F8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027FEB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963EDE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9A98F1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8E2D0E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074F13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4156361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3655D1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02B1A55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7421780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4305F0C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18145E1E"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5F2D4C3"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Petrol and Diesel</w:t>
            </w:r>
          </w:p>
        </w:tc>
        <w:tc>
          <w:tcPr>
            <w:tcW w:w="1058" w:type="dxa"/>
            <w:tcBorders>
              <w:top w:val="nil"/>
              <w:left w:val="nil"/>
              <w:bottom w:val="nil"/>
              <w:right w:val="nil"/>
            </w:tcBorders>
            <w:shd w:val="clear" w:color="auto" w:fill="auto"/>
            <w:noWrap/>
            <w:vAlign w:val="center"/>
            <w:hideMark/>
          </w:tcPr>
          <w:p w14:paraId="5FD920B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83" w:type="dxa"/>
            <w:tcBorders>
              <w:top w:val="nil"/>
              <w:left w:val="nil"/>
              <w:bottom w:val="nil"/>
              <w:right w:val="nil"/>
            </w:tcBorders>
            <w:shd w:val="clear" w:color="auto" w:fill="auto"/>
            <w:noWrap/>
            <w:vAlign w:val="center"/>
            <w:hideMark/>
          </w:tcPr>
          <w:p w14:paraId="27C9118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67B33ED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627E982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2DA0903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03C8C18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47B633E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33F33F6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399" w:type="dxa"/>
            <w:tcBorders>
              <w:top w:val="nil"/>
              <w:left w:val="nil"/>
              <w:bottom w:val="nil"/>
              <w:right w:val="nil"/>
            </w:tcBorders>
            <w:shd w:val="clear" w:color="auto" w:fill="auto"/>
            <w:noWrap/>
            <w:vAlign w:val="center"/>
            <w:hideMark/>
          </w:tcPr>
          <w:p w14:paraId="15D320C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143" w:type="dxa"/>
            <w:tcBorders>
              <w:top w:val="nil"/>
              <w:left w:val="nil"/>
              <w:bottom w:val="nil"/>
              <w:right w:val="nil"/>
            </w:tcBorders>
            <w:shd w:val="clear" w:color="auto" w:fill="auto"/>
            <w:noWrap/>
            <w:vAlign w:val="center"/>
            <w:hideMark/>
          </w:tcPr>
          <w:p w14:paraId="5F9CBF5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352" w:type="dxa"/>
            <w:tcBorders>
              <w:top w:val="nil"/>
              <w:left w:val="nil"/>
              <w:bottom w:val="nil"/>
              <w:right w:val="nil"/>
            </w:tcBorders>
            <w:shd w:val="clear" w:color="auto" w:fill="auto"/>
            <w:noWrap/>
            <w:vAlign w:val="center"/>
            <w:hideMark/>
          </w:tcPr>
          <w:p w14:paraId="1B65590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322" w:type="dxa"/>
            <w:tcBorders>
              <w:top w:val="nil"/>
              <w:left w:val="nil"/>
              <w:bottom w:val="nil"/>
              <w:right w:val="nil"/>
            </w:tcBorders>
            <w:shd w:val="clear" w:color="auto" w:fill="auto"/>
            <w:noWrap/>
            <w:vAlign w:val="center"/>
            <w:hideMark/>
          </w:tcPr>
          <w:p w14:paraId="1A15350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500</w:t>
            </w:r>
          </w:p>
        </w:tc>
        <w:tc>
          <w:tcPr>
            <w:tcW w:w="1275" w:type="dxa"/>
            <w:tcBorders>
              <w:top w:val="nil"/>
              <w:left w:val="single" w:sz="8" w:space="0" w:color="auto"/>
              <w:bottom w:val="nil"/>
              <w:right w:val="single" w:sz="8" w:space="0" w:color="auto"/>
            </w:tcBorders>
            <w:shd w:val="clear" w:color="auto" w:fill="auto"/>
            <w:noWrap/>
            <w:vAlign w:val="center"/>
            <w:hideMark/>
          </w:tcPr>
          <w:p w14:paraId="3A9F9B4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6,000</w:t>
            </w:r>
          </w:p>
        </w:tc>
      </w:tr>
      <w:tr w:rsidR="009C06FF" w:rsidRPr="005D0B37" w14:paraId="6CD578AD"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606B5347"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Rates</w:t>
            </w:r>
          </w:p>
        </w:tc>
        <w:tc>
          <w:tcPr>
            <w:tcW w:w="1058" w:type="dxa"/>
            <w:tcBorders>
              <w:top w:val="nil"/>
              <w:left w:val="nil"/>
              <w:bottom w:val="nil"/>
              <w:right w:val="nil"/>
            </w:tcBorders>
            <w:shd w:val="clear" w:color="auto" w:fill="auto"/>
            <w:noWrap/>
            <w:vAlign w:val="center"/>
            <w:hideMark/>
          </w:tcPr>
          <w:p w14:paraId="1066B55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83" w:type="dxa"/>
            <w:tcBorders>
              <w:top w:val="nil"/>
              <w:left w:val="nil"/>
              <w:bottom w:val="nil"/>
              <w:right w:val="nil"/>
            </w:tcBorders>
            <w:shd w:val="clear" w:color="auto" w:fill="auto"/>
            <w:noWrap/>
            <w:vAlign w:val="center"/>
            <w:hideMark/>
          </w:tcPr>
          <w:p w14:paraId="4F47AFA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0C2BA7B1"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01CCDFF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2BB9803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06799F20"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02DA358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0843C6D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399" w:type="dxa"/>
            <w:tcBorders>
              <w:top w:val="nil"/>
              <w:left w:val="nil"/>
              <w:bottom w:val="nil"/>
              <w:right w:val="nil"/>
            </w:tcBorders>
            <w:shd w:val="clear" w:color="auto" w:fill="auto"/>
            <w:noWrap/>
            <w:vAlign w:val="center"/>
            <w:hideMark/>
          </w:tcPr>
          <w:p w14:paraId="2B3027A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143" w:type="dxa"/>
            <w:tcBorders>
              <w:top w:val="nil"/>
              <w:left w:val="nil"/>
              <w:bottom w:val="nil"/>
              <w:right w:val="nil"/>
            </w:tcBorders>
            <w:shd w:val="clear" w:color="auto" w:fill="auto"/>
            <w:noWrap/>
            <w:vAlign w:val="center"/>
            <w:hideMark/>
          </w:tcPr>
          <w:p w14:paraId="716E4B09"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352" w:type="dxa"/>
            <w:tcBorders>
              <w:top w:val="nil"/>
              <w:left w:val="nil"/>
              <w:bottom w:val="nil"/>
              <w:right w:val="nil"/>
            </w:tcBorders>
            <w:shd w:val="clear" w:color="auto" w:fill="auto"/>
            <w:noWrap/>
            <w:vAlign w:val="center"/>
            <w:hideMark/>
          </w:tcPr>
          <w:p w14:paraId="2F41824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322" w:type="dxa"/>
            <w:tcBorders>
              <w:top w:val="nil"/>
              <w:left w:val="nil"/>
              <w:bottom w:val="nil"/>
              <w:right w:val="nil"/>
            </w:tcBorders>
            <w:shd w:val="clear" w:color="auto" w:fill="auto"/>
            <w:noWrap/>
            <w:vAlign w:val="center"/>
            <w:hideMark/>
          </w:tcPr>
          <w:p w14:paraId="7F2EE21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300</w:t>
            </w:r>
          </w:p>
        </w:tc>
        <w:tc>
          <w:tcPr>
            <w:tcW w:w="1275" w:type="dxa"/>
            <w:tcBorders>
              <w:top w:val="nil"/>
              <w:left w:val="single" w:sz="8" w:space="0" w:color="auto"/>
              <w:bottom w:val="nil"/>
              <w:right w:val="single" w:sz="8" w:space="0" w:color="auto"/>
            </w:tcBorders>
            <w:shd w:val="clear" w:color="auto" w:fill="auto"/>
            <w:noWrap/>
            <w:vAlign w:val="center"/>
            <w:hideMark/>
          </w:tcPr>
          <w:p w14:paraId="44A4441A"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3,600</w:t>
            </w:r>
          </w:p>
        </w:tc>
      </w:tr>
      <w:tr w:rsidR="009C06FF" w:rsidRPr="005D0B37" w14:paraId="27B7E4BF"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4837FE1"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Marketing</w:t>
            </w:r>
          </w:p>
        </w:tc>
        <w:tc>
          <w:tcPr>
            <w:tcW w:w="1058" w:type="dxa"/>
            <w:tcBorders>
              <w:top w:val="nil"/>
              <w:left w:val="nil"/>
              <w:bottom w:val="nil"/>
              <w:right w:val="nil"/>
            </w:tcBorders>
            <w:shd w:val="clear" w:color="auto" w:fill="auto"/>
            <w:noWrap/>
            <w:vAlign w:val="bottom"/>
            <w:hideMark/>
          </w:tcPr>
          <w:p w14:paraId="53CDBE78"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1710D25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B6332A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79ABD4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65B543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8BB51A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538FF3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6A4932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52AD869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611701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46066B1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7F471C6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661AA85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0CE4C2D3"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54CF4B8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Overdraft Interest</w:t>
            </w:r>
          </w:p>
        </w:tc>
        <w:tc>
          <w:tcPr>
            <w:tcW w:w="1058" w:type="dxa"/>
            <w:tcBorders>
              <w:top w:val="nil"/>
              <w:left w:val="nil"/>
              <w:bottom w:val="nil"/>
              <w:right w:val="nil"/>
            </w:tcBorders>
            <w:shd w:val="clear" w:color="auto" w:fill="auto"/>
            <w:noWrap/>
            <w:vAlign w:val="bottom"/>
            <w:hideMark/>
          </w:tcPr>
          <w:p w14:paraId="2F905EB8"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508E7DE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581D91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171579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43908D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B156F5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05DDFE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C64A08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1B701B1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6CB067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25C49C7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02B242E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0BBDD6C4"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3CF6F15C" w14:textId="77777777" w:rsidTr="009C06FF">
        <w:trPr>
          <w:gridAfter w:val="1"/>
          <w:wAfter w:w="6" w:type="dxa"/>
          <w:trHeight w:val="368"/>
        </w:trPr>
        <w:tc>
          <w:tcPr>
            <w:tcW w:w="3625" w:type="dxa"/>
            <w:tcBorders>
              <w:top w:val="nil"/>
              <w:left w:val="single" w:sz="8" w:space="0" w:color="auto"/>
              <w:bottom w:val="nil"/>
              <w:right w:val="nil"/>
            </w:tcBorders>
            <w:shd w:val="clear" w:color="000000" w:fill="B8CCE4"/>
            <w:noWrap/>
            <w:vAlign w:val="center"/>
            <w:hideMark/>
          </w:tcPr>
          <w:p w14:paraId="3F12C3CD"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4DEE7208"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F9978B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DB80BB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8A58CFF"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21EEA9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71AF93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0D7F378"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7A434C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4189D5F7"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5FE2417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05F753A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7C51993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6170BC5C"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1DCB7ED8"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nil"/>
            </w:tcBorders>
            <w:shd w:val="clear" w:color="000000" w:fill="95B3D7"/>
            <w:noWrap/>
            <w:vAlign w:val="center"/>
            <w:hideMark/>
          </w:tcPr>
          <w:p w14:paraId="68962B63"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Total Payments</w:t>
            </w:r>
          </w:p>
        </w:tc>
        <w:tc>
          <w:tcPr>
            <w:tcW w:w="1058" w:type="dxa"/>
            <w:tcBorders>
              <w:top w:val="single" w:sz="8" w:space="0" w:color="auto"/>
              <w:left w:val="nil"/>
              <w:bottom w:val="single" w:sz="8" w:space="0" w:color="auto"/>
              <w:right w:val="nil"/>
            </w:tcBorders>
            <w:shd w:val="clear" w:color="000000" w:fill="95B3D7"/>
            <w:noWrap/>
            <w:vAlign w:val="center"/>
            <w:hideMark/>
          </w:tcPr>
          <w:p w14:paraId="640B746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12,850</w:t>
            </w:r>
          </w:p>
        </w:tc>
        <w:tc>
          <w:tcPr>
            <w:tcW w:w="1183" w:type="dxa"/>
            <w:tcBorders>
              <w:top w:val="single" w:sz="8" w:space="0" w:color="auto"/>
              <w:left w:val="nil"/>
              <w:bottom w:val="single" w:sz="8" w:space="0" w:color="auto"/>
              <w:right w:val="nil"/>
            </w:tcBorders>
            <w:shd w:val="clear" w:color="000000" w:fill="95B3D7"/>
            <w:noWrap/>
            <w:vAlign w:val="center"/>
            <w:hideMark/>
          </w:tcPr>
          <w:p w14:paraId="267E059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13,065</w:t>
            </w:r>
          </w:p>
        </w:tc>
        <w:tc>
          <w:tcPr>
            <w:tcW w:w="1143" w:type="dxa"/>
            <w:tcBorders>
              <w:top w:val="single" w:sz="8" w:space="0" w:color="auto"/>
              <w:left w:val="nil"/>
              <w:bottom w:val="single" w:sz="8" w:space="0" w:color="auto"/>
              <w:right w:val="nil"/>
            </w:tcBorders>
            <w:shd w:val="clear" w:color="000000" w:fill="95B3D7"/>
            <w:noWrap/>
            <w:vAlign w:val="center"/>
            <w:hideMark/>
          </w:tcPr>
          <w:p w14:paraId="4BA927BB"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12,850</w:t>
            </w:r>
          </w:p>
        </w:tc>
        <w:tc>
          <w:tcPr>
            <w:tcW w:w="1143" w:type="dxa"/>
            <w:tcBorders>
              <w:top w:val="single" w:sz="8" w:space="0" w:color="auto"/>
              <w:left w:val="nil"/>
              <w:bottom w:val="single" w:sz="8" w:space="0" w:color="auto"/>
              <w:right w:val="nil"/>
            </w:tcBorders>
            <w:shd w:val="clear" w:color="000000" w:fill="95B3D7"/>
            <w:noWrap/>
            <w:vAlign w:val="center"/>
            <w:hideMark/>
          </w:tcPr>
          <w:p w14:paraId="3365FB6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16,515</w:t>
            </w:r>
          </w:p>
        </w:tc>
        <w:tc>
          <w:tcPr>
            <w:tcW w:w="1143" w:type="dxa"/>
            <w:tcBorders>
              <w:top w:val="single" w:sz="8" w:space="0" w:color="auto"/>
              <w:left w:val="nil"/>
              <w:bottom w:val="single" w:sz="8" w:space="0" w:color="auto"/>
              <w:right w:val="nil"/>
            </w:tcBorders>
            <w:shd w:val="clear" w:color="000000" w:fill="95B3D7"/>
            <w:noWrap/>
            <w:vAlign w:val="center"/>
            <w:hideMark/>
          </w:tcPr>
          <w:p w14:paraId="6A6ADA1C"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20,100</w:t>
            </w:r>
          </w:p>
        </w:tc>
        <w:tc>
          <w:tcPr>
            <w:tcW w:w="1143" w:type="dxa"/>
            <w:tcBorders>
              <w:top w:val="single" w:sz="8" w:space="0" w:color="auto"/>
              <w:left w:val="nil"/>
              <w:bottom w:val="single" w:sz="8" w:space="0" w:color="auto"/>
              <w:right w:val="nil"/>
            </w:tcBorders>
            <w:shd w:val="clear" w:color="000000" w:fill="95B3D7"/>
            <w:noWrap/>
            <w:vAlign w:val="center"/>
            <w:hideMark/>
          </w:tcPr>
          <w:p w14:paraId="203E64C0"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13,515</w:t>
            </w:r>
          </w:p>
        </w:tc>
        <w:tc>
          <w:tcPr>
            <w:tcW w:w="1143" w:type="dxa"/>
            <w:tcBorders>
              <w:top w:val="single" w:sz="8" w:space="0" w:color="auto"/>
              <w:left w:val="nil"/>
              <w:bottom w:val="single" w:sz="8" w:space="0" w:color="auto"/>
              <w:right w:val="nil"/>
            </w:tcBorders>
            <w:shd w:val="clear" w:color="000000" w:fill="95B3D7"/>
            <w:noWrap/>
            <w:vAlign w:val="center"/>
            <w:hideMark/>
          </w:tcPr>
          <w:p w14:paraId="14ABE7E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12,815</w:t>
            </w:r>
          </w:p>
        </w:tc>
        <w:tc>
          <w:tcPr>
            <w:tcW w:w="1143" w:type="dxa"/>
            <w:tcBorders>
              <w:top w:val="single" w:sz="8" w:space="0" w:color="auto"/>
              <w:left w:val="nil"/>
              <w:bottom w:val="single" w:sz="8" w:space="0" w:color="auto"/>
              <w:right w:val="nil"/>
            </w:tcBorders>
            <w:shd w:val="clear" w:color="000000" w:fill="95B3D7"/>
            <w:noWrap/>
            <w:vAlign w:val="center"/>
            <w:hideMark/>
          </w:tcPr>
          <w:p w14:paraId="21EC4DB4"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13,765</w:t>
            </w:r>
          </w:p>
        </w:tc>
        <w:tc>
          <w:tcPr>
            <w:tcW w:w="1399" w:type="dxa"/>
            <w:tcBorders>
              <w:top w:val="single" w:sz="8" w:space="0" w:color="auto"/>
              <w:left w:val="nil"/>
              <w:bottom w:val="single" w:sz="8" w:space="0" w:color="auto"/>
              <w:right w:val="nil"/>
            </w:tcBorders>
            <w:shd w:val="clear" w:color="000000" w:fill="95B3D7"/>
            <w:noWrap/>
            <w:vAlign w:val="center"/>
            <w:hideMark/>
          </w:tcPr>
          <w:p w14:paraId="016DC27E"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15,350</w:t>
            </w:r>
          </w:p>
        </w:tc>
        <w:tc>
          <w:tcPr>
            <w:tcW w:w="1143" w:type="dxa"/>
            <w:tcBorders>
              <w:top w:val="single" w:sz="8" w:space="0" w:color="auto"/>
              <w:left w:val="nil"/>
              <w:bottom w:val="single" w:sz="8" w:space="0" w:color="auto"/>
              <w:right w:val="nil"/>
            </w:tcBorders>
            <w:shd w:val="clear" w:color="000000" w:fill="95B3D7"/>
            <w:noWrap/>
            <w:vAlign w:val="center"/>
            <w:hideMark/>
          </w:tcPr>
          <w:p w14:paraId="6ACB15E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13,515</w:t>
            </w:r>
          </w:p>
        </w:tc>
        <w:tc>
          <w:tcPr>
            <w:tcW w:w="1352" w:type="dxa"/>
            <w:tcBorders>
              <w:top w:val="single" w:sz="8" w:space="0" w:color="auto"/>
              <w:left w:val="nil"/>
              <w:bottom w:val="single" w:sz="8" w:space="0" w:color="auto"/>
              <w:right w:val="nil"/>
            </w:tcBorders>
            <w:shd w:val="clear" w:color="000000" w:fill="95B3D7"/>
            <w:noWrap/>
            <w:vAlign w:val="center"/>
            <w:hideMark/>
          </w:tcPr>
          <w:p w14:paraId="0C14B06B"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13,065</w:t>
            </w:r>
          </w:p>
        </w:tc>
        <w:tc>
          <w:tcPr>
            <w:tcW w:w="1322" w:type="dxa"/>
            <w:tcBorders>
              <w:top w:val="single" w:sz="8" w:space="0" w:color="auto"/>
              <w:left w:val="nil"/>
              <w:bottom w:val="single" w:sz="8" w:space="0" w:color="auto"/>
              <w:right w:val="nil"/>
            </w:tcBorders>
            <w:shd w:val="clear" w:color="000000" w:fill="95B3D7"/>
            <w:noWrap/>
            <w:vAlign w:val="center"/>
            <w:hideMark/>
          </w:tcPr>
          <w:p w14:paraId="10C0A203"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17,515</w:t>
            </w:r>
          </w:p>
        </w:tc>
        <w:tc>
          <w:tcPr>
            <w:tcW w:w="127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4913F5D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1,74,920</w:t>
            </w:r>
          </w:p>
        </w:tc>
      </w:tr>
      <w:tr w:rsidR="009C06FF" w:rsidRPr="005D0B37" w14:paraId="0580BFF5"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2CDE55C"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4FE4B97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14AACE50"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7B9979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5FA9052"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187F6073"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9A3DA44"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4DF94F46"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706311D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23B01DA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66F551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681FDB4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292CD631"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3821D8A3"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43EE44F3"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3750CC35"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Balance b/f</w:t>
            </w:r>
          </w:p>
        </w:tc>
        <w:tc>
          <w:tcPr>
            <w:tcW w:w="1058" w:type="dxa"/>
            <w:tcBorders>
              <w:top w:val="nil"/>
              <w:left w:val="nil"/>
              <w:bottom w:val="nil"/>
              <w:right w:val="nil"/>
            </w:tcBorders>
            <w:shd w:val="clear" w:color="auto" w:fill="auto"/>
            <w:noWrap/>
            <w:vAlign w:val="center"/>
            <w:hideMark/>
          </w:tcPr>
          <w:p w14:paraId="31B6DB8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0</w:t>
            </w:r>
          </w:p>
        </w:tc>
        <w:tc>
          <w:tcPr>
            <w:tcW w:w="1183" w:type="dxa"/>
            <w:tcBorders>
              <w:top w:val="nil"/>
              <w:left w:val="nil"/>
              <w:bottom w:val="nil"/>
              <w:right w:val="nil"/>
            </w:tcBorders>
            <w:shd w:val="clear" w:color="auto" w:fill="auto"/>
            <w:noWrap/>
            <w:vAlign w:val="center"/>
            <w:hideMark/>
          </w:tcPr>
          <w:p w14:paraId="4F11A94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84,950</w:t>
            </w:r>
          </w:p>
        </w:tc>
        <w:tc>
          <w:tcPr>
            <w:tcW w:w="1143" w:type="dxa"/>
            <w:tcBorders>
              <w:top w:val="nil"/>
              <w:left w:val="nil"/>
              <w:bottom w:val="nil"/>
              <w:right w:val="nil"/>
            </w:tcBorders>
            <w:shd w:val="clear" w:color="auto" w:fill="auto"/>
            <w:noWrap/>
            <w:vAlign w:val="center"/>
            <w:hideMark/>
          </w:tcPr>
          <w:p w14:paraId="7399038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1,47,234</w:t>
            </w:r>
          </w:p>
        </w:tc>
        <w:tc>
          <w:tcPr>
            <w:tcW w:w="1143" w:type="dxa"/>
            <w:tcBorders>
              <w:top w:val="nil"/>
              <w:left w:val="nil"/>
              <w:bottom w:val="nil"/>
              <w:right w:val="nil"/>
            </w:tcBorders>
            <w:shd w:val="clear" w:color="auto" w:fill="auto"/>
            <w:noWrap/>
            <w:vAlign w:val="center"/>
            <w:hideMark/>
          </w:tcPr>
          <w:p w14:paraId="502A3FD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2,30,601</w:t>
            </w:r>
          </w:p>
        </w:tc>
        <w:tc>
          <w:tcPr>
            <w:tcW w:w="1143" w:type="dxa"/>
            <w:tcBorders>
              <w:top w:val="nil"/>
              <w:left w:val="nil"/>
              <w:bottom w:val="nil"/>
              <w:right w:val="nil"/>
            </w:tcBorders>
            <w:shd w:val="clear" w:color="auto" w:fill="auto"/>
            <w:noWrap/>
            <w:vAlign w:val="center"/>
            <w:hideMark/>
          </w:tcPr>
          <w:p w14:paraId="7FE0129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2,67,804</w:t>
            </w:r>
          </w:p>
        </w:tc>
        <w:tc>
          <w:tcPr>
            <w:tcW w:w="1143" w:type="dxa"/>
            <w:tcBorders>
              <w:top w:val="nil"/>
              <w:left w:val="nil"/>
              <w:bottom w:val="nil"/>
              <w:right w:val="nil"/>
            </w:tcBorders>
            <w:shd w:val="clear" w:color="auto" w:fill="auto"/>
            <w:noWrap/>
            <w:vAlign w:val="center"/>
            <w:hideMark/>
          </w:tcPr>
          <w:p w14:paraId="5237065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3,04,538</w:t>
            </w:r>
          </w:p>
        </w:tc>
        <w:tc>
          <w:tcPr>
            <w:tcW w:w="1143" w:type="dxa"/>
            <w:tcBorders>
              <w:top w:val="nil"/>
              <w:left w:val="nil"/>
              <w:bottom w:val="nil"/>
              <w:right w:val="nil"/>
            </w:tcBorders>
            <w:shd w:val="clear" w:color="auto" w:fill="auto"/>
            <w:noWrap/>
            <w:vAlign w:val="center"/>
            <w:hideMark/>
          </w:tcPr>
          <w:p w14:paraId="23FC55B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3,55,959</w:t>
            </w:r>
          </w:p>
        </w:tc>
        <w:tc>
          <w:tcPr>
            <w:tcW w:w="1143" w:type="dxa"/>
            <w:tcBorders>
              <w:top w:val="nil"/>
              <w:left w:val="nil"/>
              <w:bottom w:val="nil"/>
              <w:right w:val="nil"/>
            </w:tcBorders>
            <w:shd w:val="clear" w:color="auto" w:fill="auto"/>
            <w:noWrap/>
            <w:vAlign w:val="center"/>
            <w:hideMark/>
          </w:tcPr>
          <w:p w14:paraId="2271E45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4,17,123</w:t>
            </w:r>
          </w:p>
        </w:tc>
        <w:tc>
          <w:tcPr>
            <w:tcW w:w="1399" w:type="dxa"/>
            <w:tcBorders>
              <w:top w:val="nil"/>
              <w:left w:val="nil"/>
              <w:bottom w:val="nil"/>
              <w:right w:val="nil"/>
            </w:tcBorders>
            <w:shd w:val="clear" w:color="auto" w:fill="auto"/>
            <w:noWrap/>
            <w:vAlign w:val="center"/>
            <w:hideMark/>
          </w:tcPr>
          <w:p w14:paraId="0652A02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4,89,571</w:t>
            </w:r>
          </w:p>
        </w:tc>
        <w:tc>
          <w:tcPr>
            <w:tcW w:w="1143" w:type="dxa"/>
            <w:tcBorders>
              <w:top w:val="nil"/>
              <w:left w:val="nil"/>
              <w:bottom w:val="nil"/>
              <w:right w:val="nil"/>
            </w:tcBorders>
            <w:shd w:val="clear" w:color="auto" w:fill="auto"/>
            <w:noWrap/>
            <w:vAlign w:val="center"/>
            <w:hideMark/>
          </w:tcPr>
          <w:p w14:paraId="2AD7906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5,69,708</w:t>
            </w:r>
          </w:p>
        </w:tc>
        <w:tc>
          <w:tcPr>
            <w:tcW w:w="1352" w:type="dxa"/>
            <w:tcBorders>
              <w:top w:val="nil"/>
              <w:left w:val="nil"/>
              <w:bottom w:val="nil"/>
              <w:right w:val="nil"/>
            </w:tcBorders>
            <w:shd w:val="clear" w:color="auto" w:fill="auto"/>
            <w:noWrap/>
            <w:vAlign w:val="center"/>
            <w:hideMark/>
          </w:tcPr>
          <w:p w14:paraId="2ACB7FC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6,29,085</w:t>
            </w:r>
          </w:p>
        </w:tc>
        <w:tc>
          <w:tcPr>
            <w:tcW w:w="1322" w:type="dxa"/>
            <w:tcBorders>
              <w:top w:val="nil"/>
              <w:left w:val="nil"/>
              <w:bottom w:val="nil"/>
              <w:right w:val="nil"/>
            </w:tcBorders>
            <w:shd w:val="clear" w:color="auto" w:fill="auto"/>
            <w:noWrap/>
            <w:vAlign w:val="center"/>
            <w:hideMark/>
          </w:tcPr>
          <w:p w14:paraId="5BF1F69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6,92,592</w:t>
            </w:r>
          </w:p>
        </w:tc>
        <w:tc>
          <w:tcPr>
            <w:tcW w:w="1275" w:type="dxa"/>
            <w:tcBorders>
              <w:top w:val="nil"/>
              <w:left w:val="single" w:sz="8" w:space="0" w:color="auto"/>
              <w:bottom w:val="nil"/>
              <w:right w:val="single" w:sz="8" w:space="0" w:color="auto"/>
            </w:tcBorders>
            <w:shd w:val="clear" w:color="auto" w:fill="auto"/>
            <w:noWrap/>
            <w:vAlign w:val="center"/>
            <w:hideMark/>
          </w:tcPr>
          <w:p w14:paraId="6C8EF8D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41,89,163</w:t>
            </w:r>
          </w:p>
        </w:tc>
      </w:tr>
      <w:tr w:rsidR="009C06FF" w:rsidRPr="005D0B37" w14:paraId="214B34A6" w14:textId="77777777" w:rsidTr="009C06FF">
        <w:trPr>
          <w:gridAfter w:val="1"/>
          <w:wAfter w:w="6" w:type="dxa"/>
          <w:trHeight w:val="354"/>
        </w:trPr>
        <w:tc>
          <w:tcPr>
            <w:tcW w:w="3625" w:type="dxa"/>
            <w:tcBorders>
              <w:top w:val="nil"/>
              <w:left w:val="single" w:sz="8" w:space="0" w:color="auto"/>
              <w:bottom w:val="nil"/>
              <w:right w:val="nil"/>
            </w:tcBorders>
            <w:shd w:val="clear" w:color="000000" w:fill="B8CCE4"/>
            <w:noWrap/>
            <w:vAlign w:val="center"/>
            <w:hideMark/>
          </w:tcPr>
          <w:p w14:paraId="26D7F220"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Net cashflow in month</w:t>
            </w:r>
          </w:p>
        </w:tc>
        <w:tc>
          <w:tcPr>
            <w:tcW w:w="1058" w:type="dxa"/>
            <w:tcBorders>
              <w:top w:val="nil"/>
              <w:left w:val="nil"/>
              <w:bottom w:val="nil"/>
              <w:right w:val="nil"/>
            </w:tcBorders>
            <w:shd w:val="clear" w:color="auto" w:fill="auto"/>
            <w:noWrap/>
            <w:vAlign w:val="center"/>
            <w:hideMark/>
          </w:tcPr>
          <w:p w14:paraId="457072E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84,950</w:t>
            </w:r>
          </w:p>
        </w:tc>
        <w:tc>
          <w:tcPr>
            <w:tcW w:w="1183" w:type="dxa"/>
            <w:tcBorders>
              <w:top w:val="nil"/>
              <w:left w:val="nil"/>
              <w:bottom w:val="nil"/>
              <w:right w:val="nil"/>
            </w:tcBorders>
            <w:shd w:val="clear" w:color="auto" w:fill="auto"/>
            <w:noWrap/>
            <w:vAlign w:val="center"/>
            <w:hideMark/>
          </w:tcPr>
          <w:p w14:paraId="05F56B2E"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62,284</w:t>
            </w:r>
          </w:p>
        </w:tc>
        <w:tc>
          <w:tcPr>
            <w:tcW w:w="1143" w:type="dxa"/>
            <w:tcBorders>
              <w:top w:val="nil"/>
              <w:left w:val="nil"/>
              <w:bottom w:val="nil"/>
              <w:right w:val="nil"/>
            </w:tcBorders>
            <w:shd w:val="clear" w:color="auto" w:fill="auto"/>
            <w:noWrap/>
            <w:vAlign w:val="center"/>
            <w:hideMark/>
          </w:tcPr>
          <w:p w14:paraId="331D73F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83,367</w:t>
            </w:r>
          </w:p>
        </w:tc>
        <w:tc>
          <w:tcPr>
            <w:tcW w:w="1143" w:type="dxa"/>
            <w:tcBorders>
              <w:top w:val="nil"/>
              <w:left w:val="nil"/>
              <w:bottom w:val="nil"/>
              <w:right w:val="nil"/>
            </w:tcBorders>
            <w:shd w:val="clear" w:color="auto" w:fill="auto"/>
            <w:noWrap/>
            <w:vAlign w:val="center"/>
            <w:hideMark/>
          </w:tcPr>
          <w:p w14:paraId="0BF6A3AD"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37,203</w:t>
            </w:r>
          </w:p>
        </w:tc>
        <w:tc>
          <w:tcPr>
            <w:tcW w:w="1143" w:type="dxa"/>
            <w:tcBorders>
              <w:top w:val="nil"/>
              <w:left w:val="nil"/>
              <w:bottom w:val="nil"/>
              <w:right w:val="nil"/>
            </w:tcBorders>
            <w:shd w:val="clear" w:color="auto" w:fill="auto"/>
            <w:noWrap/>
            <w:vAlign w:val="center"/>
            <w:hideMark/>
          </w:tcPr>
          <w:p w14:paraId="0FF1C844"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36,734</w:t>
            </w:r>
          </w:p>
        </w:tc>
        <w:tc>
          <w:tcPr>
            <w:tcW w:w="1143" w:type="dxa"/>
            <w:tcBorders>
              <w:top w:val="nil"/>
              <w:left w:val="nil"/>
              <w:bottom w:val="nil"/>
              <w:right w:val="nil"/>
            </w:tcBorders>
            <w:shd w:val="clear" w:color="auto" w:fill="auto"/>
            <w:noWrap/>
            <w:vAlign w:val="center"/>
            <w:hideMark/>
          </w:tcPr>
          <w:p w14:paraId="499C96D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51,421</w:t>
            </w:r>
          </w:p>
        </w:tc>
        <w:tc>
          <w:tcPr>
            <w:tcW w:w="1143" w:type="dxa"/>
            <w:tcBorders>
              <w:top w:val="nil"/>
              <w:left w:val="nil"/>
              <w:bottom w:val="nil"/>
              <w:right w:val="nil"/>
            </w:tcBorders>
            <w:shd w:val="clear" w:color="auto" w:fill="auto"/>
            <w:noWrap/>
            <w:vAlign w:val="center"/>
            <w:hideMark/>
          </w:tcPr>
          <w:p w14:paraId="1752C005"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61,164</w:t>
            </w:r>
          </w:p>
        </w:tc>
        <w:tc>
          <w:tcPr>
            <w:tcW w:w="1143" w:type="dxa"/>
            <w:tcBorders>
              <w:top w:val="nil"/>
              <w:left w:val="nil"/>
              <w:bottom w:val="nil"/>
              <w:right w:val="nil"/>
            </w:tcBorders>
            <w:shd w:val="clear" w:color="auto" w:fill="auto"/>
            <w:noWrap/>
            <w:vAlign w:val="center"/>
            <w:hideMark/>
          </w:tcPr>
          <w:p w14:paraId="5C9D4F77"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72,449</w:t>
            </w:r>
          </w:p>
        </w:tc>
        <w:tc>
          <w:tcPr>
            <w:tcW w:w="1399" w:type="dxa"/>
            <w:tcBorders>
              <w:top w:val="nil"/>
              <w:left w:val="nil"/>
              <w:bottom w:val="nil"/>
              <w:right w:val="nil"/>
            </w:tcBorders>
            <w:shd w:val="clear" w:color="auto" w:fill="auto"/>
            <w:noWrap/>
            <w:vAlign w:val="center"/>
            <w:hideMark/>
          </w:tcPr>
          <w:p w14:paraId="19FE654B"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80,137</w:t>
            </w:r>
          </w:p>
        </w:tc>
        <w:tc>
          <w:tcPr>
            <w:tcW w:w="1143" w:type="dxa"/>
            <w:tcBorders>
              <w:top w:val="nil"/>
              <w:left w:val="nil"/>
              <w:bottom w:val="nil"/>
              <w:right w:val="nil"/>
            </w:tcBorders>
            <w:shd w:val="clear" w:color="auto" w:fill="auto"/>
            <w:noWrap/>
            <w:vAlign w:val="center"/>
            <w:hideMark/>
          </w:tcPr>
          <w:p w14:paraId="4F80B8A6"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59,376</w:t>
            </w:r>
          </w:p>
        </w:tc>
        <w:tc>
          <w:tcPr>
            <w:tcW w:w="1352" w:type="dxa"/>
            <w:tcBorders>
              <w:top w:val="nil"/>
              <w:left w:val="nil"/>
              <w:bottom w:val="nil"/>
              <w:right w:val="nil"/>
            </w:tcBorders>
            <w:shd w:val="clear" w:color="auto" w:fill="auto"/>
            <w:noWrap/>
            <w:vAlign w:val="center"/>
            <w:hideMark/>
          </w:tcPr>
          <w:p w14:paraId="1838A04F"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63,508</w:t>
            </w:r>
          </w:p>
        </w:tc>
        <w:tc>
          <w:tcPr>
            <w:tcW w:w="1322" w:type="dxa"/>
            <w:tcBorders>
              <w:top w:val="nil"/>
              <w:left w:val="nil"/>
              <w:bottom w:val="nil"/>
              <w:right w:val="nil"/>
            </w:tcBorders>
            <w:shd w:val="clear" w:color="auto" w:fill="auto"/>
            <w:noWrap/>
            <w:vAlign w:val="center"/>
            <w:hideMark/>
          </w:tcPr>
          <w:p w14:paraId="4F6AAEAC"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60,863</w:t>
            </w:r>
          </w:p>
        </w:tc>
        <w:tc>
          <w:tcPr>
            <w:tcW w:w="1275" w:type="dxa"/>
            <w:tcBorders>
              <w:top w:val="nil"/>
              <w:left w:val="single" w:sz="8" w:space="0" w:color="auto"/>
              <w:bottom w:val="nil"/>
              <w:right w:val="single" w:sz="8" w:space="0" w:color="auto"/>
            </w:tcBorders>
            <w:shd w:val="clear" w:color="auto" w:fill="auto"/>
            <w:noWrap/>
            <w:vAlign w:val="center"/>
            <w:hideMark/>
          </w:tcPr>
          <w:p w14:paraId="4ABBCA42"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7,53,455</w:t>
            </w:r>
          </w:p>
        </w:tc>
      </w:tr>
      <w:tr w:rsidR="009C06FF" w:rsidRPr="005D0B37" w14:paraId="0C8553A3" w14:textId="77777777" w:rsidTr="009C06FF">
        <w:trPr>
          <w:gridAfter w:val="1"/>
          <w:wAfter w:w="6" w:type="dxa"/>
          <w:trHeight w:val="368"/>
        </w:trPr>
        <w:tc>
          <w:tcPr>
            <w:tcW w:w="3625" w:type="dxa"/>
            <w:tcBorders>
              <w:top w:val="nil"/>
              <w:left w:val="single" w:sz="8" w:space="0" w:color="auto"/>
              <w:bottom w:val="nil"/>
              <w:right w:val="nil"/>
            </w:tcBorders>
            <w:shd w:val="clear" w:color="000000" w:fill="B8CCE4"/>
            <w:noWrap/>
            <w:vAlign w:val="center"/>
            <w:hideMark/>
          </w:tcPr>
          <w:p w14:paraId="5D2F82A5"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c>
          <w:tcPr>
            <w:tcW w:w="1058" w:type="dxa"/>
            <w:tcBorders>
              <w:top w:val="nil"/>
              <w:left w:val="nil"/>
              <w:bottom w:val="nil"/>
              <w:right w:val="nil"/>
            </w:tcBorders>
            <w:shd w:val="clear" w:color="auto" w:fill="auto"/>
            <w:noWrap/>
            <w:vAlign w:val="bottom"/>
            <w:hideMark/>
          </w:tcPr>
          <w:p w14:paraId="02B3D294" w14:textId="77777777" w:rsidR="009C06FF" w:rsidRPr="0007428E" w:rsidRDefault="009C06FF" w:rsidP="009C06FF">
            <w:pPr>
              <w:widowControl/>
              <w:autoSpaceDE/>
              <w:autoSpaceDN/>
              <w:spacing w:before="0" w:after="0" w:line="240" w:lineRule="auto"/>
              <w:rPr>
                <w:rFonts w:ascii="Calibri" w:eastAsia="Times New Roman" w:hAnsi="Calibri" w:cs="Calibri"/>
                <w:color w:val="000000"/>
                <w:lang w:val="en-GB" w:eastAsia="en-IN"/>
              </w:rPr>
            </w:pPr>
          </w:p>
        </w:tc>
        <w:tc>
          <w:tcPr>
            <w:tcW w:w="1183" w:type="dxa"/>
            <w:tcBorders>
              <w:top w:val="nil"/>
              <w:left w:val="nil"/>
              <w:bottom w:val="nil"/>
              <w:right w:val="nil"/>
            </w:tcBorders>
            <w:shd w:val="clear" w:color="auto" w:fill="auto"/>
            <w:noWrap/>
            <w:vAlign w:val="bottom"/>
            <w:hideMark/>
          </w:tcPr>
          <w:p w14:paraId="47A23B0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5C03FE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2B60A47D"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59316E5"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66E20D9B"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930D8EA"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31FE482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99" w:type="dxa"/>
            <w:tcBorders>
              <w:top w:val="nil"/>
              <w:left w:val="nil"/>
              <w:bottom w:val="nil"/>
              <w:right w:val="nil"/>
            </w:tcBorders>
            <w:shd w:val="clear" w:color="auto" w:fill="auto"/>
            <w:noWrap/>
            <w:vAlign w:val="bottom"/>
            <w:hideMark/>
          </w:tcPr>
          <w:p w14:paraId="03239E8C"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143" w:type="dxa"/>
            <w:tcBorders>
              <w:top w:val="nil"/>
              <w:left w:val="nil"/>
              <w:bottom w:val="nil"/>
              <w:right w:val="nil"/>
            </w:tcBorders>
            <w:shd w:val="clear" w:color="auto" w:fill="auto"/>
            <w:noWrap/>
            <w:vAlign w:val="bottom"/>
            <w:hideMark/>
          </w:tcPr>
          <w:p w14:paraId="08861D2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52" w:type="dxa"/>
            <w:tcBorders>
              <w:top w:val="nil"/>
              <w:left w:val="nil"/>
              <w:bottom w:val="nil"/>
              <w:right w:val="nil"/>
            </w:tcBorders>
            <w:shd w:val="clear" w:color="auto" w:fill="auto"/>
            <w:noWrap/>
            <w:vAlign w:val="bottom"/>
            <w:hideMark/>
          </w:tcPr>
          <w:p w14:paraId="1C1A29A9"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322" w:type="dxa"/>
            <w:tcBorders>
              <w:top w:val="nil"/>
              <w:left w:val="nil"/>
              <w:bottom w:val="nil"/>
              <w:right w:val="nil"/>
            </w:tcBorders>
            <w:shd w:val="clear" w:color="auto" w:fill="auto"/>
            <w:noWrap/>
            <w:vAlign w:val="bottom"/>
            <w:hideMark/>
          </w:tcPr>
          <w:p w14:paraId="32BCE87E" w14:textId="77777777" w:rsidR="009C06FF" w:rsidRPr="0007428E" w:rsidRDefault="009C06FF" w:rsidP="009C06FF">
            <w:pPr>
              <w:widowControl/>
              <w:autoSpaceDE/>
              <w:autoSpaceDN/>
              <w:spacing w:before="0" w:after="0" w:line="240" w:lineRule="auto"/>
              <w:rPr>
                <w:rFonts w:ascii="Times New Roman" w:eastAsia="Times New Roman" w:hAnsi="Times New Roman" w:cs="Times New Roman"/>
                <w:sz w:val="20"/>
                <w:szCs w:val="20"/>
                <w:lang w:val="en-GB" w:eastAsia="en-IN"/>
              </w:rPr>
            </w:pPr>
          </w:p>
        </w:tc>
        <w:tc>
          <w:tcPr>
            <w:tcW w:w="1275" w:type="dxa"/>
            <w:tcBorders>
              <w:top w:val="nil"/>
              <w:left w:val="single" w:sz="8" w:space="0" w:color="auto"/>
              <w:bottom w:val="nil"/>
              <w:right w:val="single" w:sz="8" w:space="0" w:color="auto"/>
            </w:tcBorders>
            <w:shd w:val="clear" w:color="auto" w:fill="auto"/>
            <w:noWrap/>
            <w:vAlign w:val="center"/>
            <w:hideMark/>
          </w:tcPr>
          <w:p w14:paraId="142FE588" w14:textId="77777777" w:rsidR="009C06FF" w:rsidRPr="0007428E" w:rsidRDefault="009C06FF" w:rsidP="009C06FF">
            <w:pPr>
              <w:widowControl/>
              <w:autoSpaceDE/>
              <w:autoSpaceDN/>
              <w:spacing w:before="0" w:after="0" w:line="240" w:lineRule="auto"/>
              <w:jc w:val="right"/>
              <w:rPr>
                <w:rFonts w:ascii="Calibri" w:eastAsia="Times New Roman" w:hAnsi="Calibri" w:cs="Calibri"/>
                <w:color w:val="000000"/>
                <w:lang w:val="en-GB" w:eastAsia="en-IN"/>
              </w:rPr>
            </w:pPr>
            <w:r w:rsidRPr="0007428E">
              <w:rPr>
                <w:rFonts w:ascii="Calibri" w:eastAsia="Times New Roman" w:hAnsi="Calibri" w:cs="Calibri"/>
                <w:color w:val="000000"/>
                <w:lang w:val="en-GB" w:eastAsia="en-IN"/>
              </w:rPr>
              <w:t> </w:t>
            </w:r>
          </w:p>
        </w:tc>
      </w:tr>
      <w:tr w:rsidR="009C06FF" w:rsidRPr="005D0B37" w14:paraId="07FC29F5" w14:textId="77777777" w:rsidTr="009C06FF">
        <w:trPr>
          <w:gridAfter w:val="1"/>
          <w:wAfter w:w="6" w:type="dxa"/>
          <w:trHeight w:val="368"/>
        </w:trPr>
        <w:tc>
          <w:tcPr>
            <w:tcW w:w="3625" w:type="dxa"/>
            <w:tcBorders>
              <w:top w:val="single" w:sz="8" w:space="0" w:color="auto"/>
              <w:left w:val="single" w:sz="8" w:space="0" w:color="auto"/>
              <w:bottom w:val="single" w:sz="8" w:space="0" w:color="auto"/>
              <w:right w:val="nil"/>
            </w:tcBorders>
            <w:shd w:val="clear" w:color="000000" w:fill="95B3D7"/>
            <w:noWrap/>
            <w:vAlign w:val="center"/>
            <w:hideMark/>
          </w:tcPr>
          <w:p w14:paraId="71E6390A" w14:textId="77777777" w:rsidR="009C06FF" w:rsidRPr="0007428E" w:rsidRDefault="009C06FF" w:rsidP="009C06FF">
            <w:pPr>
              <w:widowControl/>
              <w:autoSpaceDE/>
              <w:autoSpaceDN/>
              <w:spacing w:before="0" w:after="0" w:line="240" w:lineRule="auto"/>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Balance c/f</w:t>
            </w:r>
          </w:p>
        </w:tc>
        <w:tc>
          <w:tcPr>
            <w:tcW w:w="1058" w:type="dxa"/>
            <w:tcBorders>
              <w:top w:val="single" w:sz="8" w:space="0" w:color="auto"/>
              <w:left w:val="nil"/>
              <w:bottom w:val="single" w:sz="8" w:space="0" w:color="auto"/>
              <w:right w:val="nil"/>
            </w:tcBorders>
            <w:shd w:val="clear" w:color="000000" w:fill="95B3D7"/>
            <w:noWrap/>
            <w:vAlign w:val="center"/>
            <w:hideMark/>
          </w:tcPr>
          <w:p w14:paraId="28272C42"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84,950</w:t>
            </w:r>
          </w:p>
        </w:tc>
        <w:tc>
          <w:tcPr>
            <w:tcW w:w="1183" w:type="dxa"/>
            <w:tcBorders>
              <w:top w:val="single" w:sz="8" w:space="0" w:color="auto"/>
              <w:left w:val="nil"/>
              <w:bottom w:val="single" w:sz="8" w:space="0" w:color="auto"/>
              <w:right w:val="nil"/>
            </w:tcBorders>
            <w:shd w:val="clear" w:color="000000" w:fill="95B3D7"/>
            <w:noWrap/>
            <w:vAlign w:val="center"/>
            <w:hideMark/>
          </w:tcPr>
          <w:p w14:paraId="01D9A65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1,47,234</w:t>
            </w:r>
          </w:p>
        </w:tc>
        <w:tc>
          <w:tcPr>
            <w:tcW w:w="1143" w:type="dxa"/>
            <w:tcBorders>
              <w:top w:val="single" w:sz="8" w:space="0" w:color="auto"/>
              <w:left w:val="nil"/>
              <w:bottom w:val="single" w:sz="8" w:space="0" w:color="auto"/>
              <w:right w:val="nil"/>
            </w:tcBorders>
            <w:shd w:val="clear" w:color="000000" w:fill="95B3D7"/>
            <w:noWrap/>
            <w:vAlign w:val="center"/>
            <w:hideMark/>
          </w:tcPr>
          <w:p w14:paraId="15CEFA3A"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2,30,601</w:t>
            </w:r>
          </w:p>
        </w:tc>
        <w:tc>
          <w:tcPr>
            <w:tcW w:w="1143" w:type="dxa"/>
            <w:tcBorders>
              <w:top w:val="single" w:sz="8" w:space="0" w:color="auto"/>
              <w:left w:val="nil"/>
              <w:bottom w:val="single" w:sz="8" w:space="0" w:color="auto"/>
              <w:right w:val="nil"/>
            </w:tcBorders>
            <w:shd w:val="clear" w:color="000000" w:fill="95B3D7"/>
            <w:noWrap/>
            <w:vAlign w:val="center"/>
            <w:hideMark/>
          </w:tcPr>
          <w:p w14:paraId="40623367"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2,67,804</w:t>
            </w:r>
          </w:p>
        </w:tc>
        <w:tc>
          <w:tcPr>
            <w:tcW w:w="1143" w:type="dxa"/>
            <w:tcBorders>
              <w:top w:val="single" w:sz="8" w:space="0" w:color="auto"/>
              <w:left w:val="nil"/>
              <w:bottom w:val="single" w:sz="8" w:space="0" w:color="auto"/>
              <w:right w:val="nil"/>
            </w:tcBorders>
            <w:shd w:val="clear" w:color="000000" w:fill="95B3D7"/>
            <w:noWrap/>
            <w:vAlign w:val="center"/>
            <w:hideMark/>
          </w:tcPr>
          <w:p w14:paraId="125AC6F8"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3,04,538</w:t>
            </w:r>
          </w:p>
        </w:tc>
        <w:tc>
          <w:tcPr>
            <w:tcW w:w="1143" w:type="dxa"/>
            <w:tcBorders>
              <w:top w:val="single" w:sz="8" w:space="0" w:color="auto"/>
              <w:left w:val="nil"/>
              <w:bottom w:val="single" w:sz="8" w:space="0" w:color="auto"/>
              <w:right w:val="nil"/>
            </w:tcBorders>
            <w:shd w:val="clear" w:color="000000" w:fill="95B3D7"/>
            <w:noWrap/>
            <w:vAlign w:val="center"/>
            <w:hideMark/>
          </w:tcPr>
          <w:p w14:paraId="3F8FD5AF"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3,55,959</w:t>
            </w:r>
          </w:p>
        </w:tc>
        <w:tc>
          <w:tcPr>
            <w:tcW w:w="1143" w:type="dxa"/>
            <w:tcBorders>
              <w:top w:val="single" w:sz="8" w:space="0" w:color="auto"/>
              <w:left w:val="nil"/>
              <w:bottom w:val="single" w:sz="8" w:space="0" w:color="auto"/>
              <w:right w:val="nil"/>
            </w:tcBorders>
            <w:shd w:val="clear" w:color="000000" w:fill="95B3D7"/>
            <w:noWrap/>
            <w:vAlign w:val="center"/>
            <w:hideMark/>
          </w:tcPr>
          <w:p w14:paraId="0C058041"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4,17,123</w:t>
            </w:r>
          </w:p>
        </w:tc>
        <w:tc>
          <w:tcPr>
            <w:tcW w:w="1143" w:type="dxa"/>
            <w:tcBorders>
              <w:top w:val="single" w:sz="8" w:space="0" w:color="auto"/>
              <w:left w:val="nil"/>
              <w:bottom w:val="single" w:sz="8" w:space="0" w:color="auto"/>
              <w:right w:val="nil"/>
            </w:tcBorders>
            <w:shd w:val="clear" w:color="000000" w:fill="95B3D7"/>
            <w:noWrap/>
            <w:vAlign w:val="center"/>
            <w:hideMark/>
          </w:tcPr>
          <w:p w14:paraId="4A1603BF"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4,89,571</w:t>
            </w:r>
          </w:p>
        </w:tc>
        <w:tc>
          <w:tcPr>
            <w:tcW w:w="1399" w:type="dxa"/>
            <w:tcBorders>
              <w:top w:val="single" w:sz="8" w:space="0" w:color="auto"/>
              <w:left w:val="nil"/>
              <w:bottom w:val="single" w:sz="8" w:space="0" w:color="auto"/>
              <w:right w:val="nil"/>
            </w:tcBorders>
            <w:shd w:val="clear" w:color="000000" w:fill="95B3D7"/>
            <w:noWrap/>
            <w:vAlign w:val="center"/>
            <w:hideMark/>
          </w:tcPr>
          <w:p w14:paraId="499A90D3"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5,69,708</w:t>
            </w:r>
          </w:p>
        </w:tc>
        <w:tc>
          <w:tcPr>
            <w:tcW w:w="1143" w:type="dxa"/>
            <w:tcBorders>
              <w:top w:val="single" w:sz="8" w:space="0" w:color="auto"/>
              <w:left w:val="nil"/>
              <w:bottom w:val="single" w:sz="8" w:space="0" w:color="auto"/>
              <w:right w:val="nil"/>
            </w:tcBorders>
            <w:shd w:val="clear" w:color="000000" w:fill="95B3D7"/>
            <w:noWrap/>
            <w:vAlign w:val="center"/>
            <w:hideMark/>
          </w:tcPr>
          <w:p w14:paraId="49B2D1B5"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6,29,085</w:t>
            </w:r>
          </w:p>
        </w:tc>
        <w:tc>
          <w:tcPr>
            <w:tcW w:w="1352" w:type="dxa"/>
            <w:tcBorders>
              <w:top w:val="single" w:sz="8" w:space="0" w:color="auto"/>
              <w:left w:val="nil"/>
              <w:bottom w:val="single" w:sz="8" w:space="0" w:color="auto"/>
              <w:right w:val="nil"/>
            </w:tcBorders>
            <w:shd w:val="clear" w:color="000000" w:fill="95B3D7"/>
            <w:noWrap/>
            <w:vAlign w:val="center"/>
            <w:hideMark/>
          </w:tcPr>
          <w:p w14:paraId="6C23EB89"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6,92,592</w:t>
            </w:r>
          </w:p>
        </w:tc>
        <w:tc>
          <w:tcPr>
            <w:tcW w:w="1322" w:type="dxa"/>
            <w:tcBorders>
              <w:top w:val="single" w:sz="8" w:space="0" w:color="auto"/>
              <w:left w:val="nil"/>
              <w:bottom w:val="single" w:sz="8" w:space="0" w:color="auto"/>
              <w:right w:val="nil"/>
            </w:tcBorders>
            <w:shd w:val="clear" w:color="000000" w:fill="95B3D7"/>
            <w:noWrap/>
            <w:vAlign w:val="center"/>
            <w:hideMark/>
          </w:tcPr>
          <w:p w14:paraId="390FDE5B"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7,53,455</w:t>
            </w:r>
          </w:p>
        </w:tc>
        <w:tc>
          <w:tcPr>
            <w:tcW w:w="1275" w:type="dxa"/>
            <w:tcBorders>
              <w:top w:val="single" w:sz="8" w:space="0" w:color="auto"/>
              <w:left w:val="single" w:sz="8" w:space="0" w:color="auto"/>
              <w:bottom w:val="single" w:sz="8" w:space="0" w:color="auto"/>
              <w:right w:val="single" w:sz="8" w:space="0" w:color="auto"/>
            </w:tcBorders>
            <w:shd w:val="clear" w:color="000000" w:fill="95B3D7"/>
            <w:noWrap/>
            <w:vAlign w:val="center"/>
            <w:hideMark/>
          </w:tcPr>
          <w:p w14:paraId="30D21F01" w14:textId="77777777" w:rsidR="009C06FF" w:rsidRPr="0007428E" w:rsidRDefault="009C06FF" w:rsidP="009C06FF">
            <w:pPr>
              <w:widowControl/>
              <w:autoSpaceDE/>
              <w:autoSpaceDN/>
              <w:spacing w:before="0" w:after="0" w:line="240" w:lineRule="auto"/>
              <w:jc w:val="right"/>
              <w:rPr>
                <w:rFonts w:ascii="Calibri" w:eastAsia="Times New Roman" w:hAnsi="Calibri" w:cs="Calibri"/>
                <w:b/>
                <w:bCs/>
                <w:color w:val="000000"/>
                <w:lang w:val="en-GB" w:eastAsia="en-IN"/>
              </w:rPr>
            </w:pPr>
            <w:r w:rsidRPr="0007428E">
              <w:rPr>
                <w:rFonts w:ascii="Calibri" w:eastAsia="Times New Roman" w:hAnsi="Calibri" w:cs="Calibri"/>
                <w:b/>
                <w:bCs/>
                <w:color w:val="000000"/>
                <w:lang w:val="en-GB" w:eastAsia="en-IN"/>
              </w:rPr>
              <w:t>49,42,618</w:t>
            </w:r>
          </w:p>
        </w:tc>
      </w:tr>
    </w:tbl>
    <w:p w14:paraId="21C42204" w14:textId="0F30D55F" w:rsidR="004200F2" w:rsidRPr="00083521" w:rsidRDefault="00B43F96" w:rsidP="00083521">
      <w:pPr>
        <w:pStyle w:val="Titlu1"/>
        <w:rPr>
          <w:color w:val="548DD4" w:themeColor="text2" w:themeTint="99"/>
          <w:lang w:val="en-GB"/>
        </w:rPr>
      </w:pPr>
      <w:r w:rsidRPr="005D0B37">
        <w:rPr>
          <w:lang w:val="en-GB"/>
        </w:rPr>
        <w:t>4.</w:t>
      </w:r>
      <w:r w:rsidR="005D0B37">
        <w:rPr>
          <w:lang w:val="en-GB"/>
        </w:rPr>
        <w:t xml:space="preserve"> </w:t>
      </w:r>
      <w:r w:rsidR="00BA4B18" w:rsidRPr="005D0B37">
        <w:rPr>
          <w:lang w:val="en-GB"/>
        </w:rPr>
        <w:t>Budget</w:t>
      </w:r>
      <w:r w:rsidR="00BA4B18" w:rsidRPr="005D0B37">
        <w:rPr>
          <w:spacing w:val="-26"/>
          <w:lang w:val="en-GB"/>
        </w:rPr>
        <w:t xml:space="preserve"> </w:t>
      </w:r>
      <w:r w:rsidR="00BA4B18" w:rsidRPr="00083521">
        <w:t>Calculations</w:t>
      </w:r>
      <w:bookmarkEnd w:id="20"/>
    </w:p>
    <w:p w14:paraId="1494250F" w14:textId="198F1923" w:rsidR="0007428E" w:rsidRPr="005D0B37" w:rsidRDefault="0007428E" w:rsidP="0007428E">
      <w:pPr>
        <w:pStyle w:val="Titlu1"/>
        <w:tabs>
          <w:tab w:val="left" w:pos="701"/>
        </w:tabs>
        <w:ind w:left="0" w:firstLine="0"/>
        <w:rPr>
          <w:lang w:val="en-GB"/>
        </w:rPr>
        <w:sectPr w:rsidR="0007428E" w:rsidRPr="005D0B37" w:rsidSect="0007428E">
          <w:pgSz w:w="23811" w:h="16838" w:orient="landscape" w:code="8"/>
          <w:pgMar w:top="1340" w:right="1200" w:bottom="1340" w:left="1420" w:header="0" w:footer="1001" w:gutter="0"/>
          <w:cols w:space="720"/>
          <w:docGrid w:linePitch="299"/>
        </w:sectPr>
      </w:pPr>
    </w:p>
    <w:p w14:paraId="2767E330" w14:textId="57886555" w:rsidR="00E1490E" w:rsidRPr="00083521" w:rsidRDefault="00BA4B18" w:rsidP="00083521">
      <w:pPr>
        <w:pStyle w:val="Titlu1"/>
        <w:rPr>
          <w:lang w:val="en-GB"/>
        </w:rPr>
      </w:pPr>
      <w:bookmarkStart w:id="21" w:name="5._Reference_List"/>
      <w:bookmarkStart w:id="22" w:name="_Toc107956224"/>
      <w:bookmarkEnd w:id="21"/>
      <w:r w:rsidRPr="00083521">
        <w:rPr>
          <w:w w:val="95"/>
          <w:lang w:val="en-GB"/>
        </w:rPr>
        <w:lastRenderedPageBreak/>
        <w:t>Reference</w:t>
      </w:r>
      <w:r w:rsidRPr="00083521">
        <w:rPr>
          <w:spacing w:val="-23"/>
          <w:w w:val="95"/>
          <w:lang w:val="en-GB"/>
        </w:rPr>
        <w:t xml:space="preserve"> </w:t>
      </w:r>
      <w:r w:rsidRPr="00083521">
        <w:rPr>
          <w:w w:val="95"/>
          <w:lang w:val="en-GB"/>
        </w:rPr>
        <w:t>List</w:t>
      </w:r>
      <w:bookmarkEnd w:id="22"/>
    </w:p>
    <w:p w14:paraId="08220C46" w14:textId="77777777" w:rsidR="00E1490E" w:rsidRPr="005D0B37" w:rsidRDefault="00E1490E" w:rsidP="00E1490E">
      <w:pPr>
        <w:jc w:val="both"/>
        <w:rPr>
          <w:lang w:val="en-GB"/>
        </w:rPr>
      </w:pPr>
      <w:r w:rsidRPr="005D0B37">
        <w:rPr>
          <w:lang w:val="en-GB"/>
        </w:rPr>
        <w:t>Adekunle, W., Bekoe, W., Badmus, S., Anagun, M. and Alimi, W., 2021. Nexus Between Fiscal Discipline And The Budget Process In Africa: Evidence From Nigeria.</w:t>
      </w:r>
    </w:p>
    <w:p w14:paraId="1D3D97B3" w14:textId="77777777" w:rsidR="00E1490E" w:rsidRPr="005D0B37" w:rsidRDefault="00E1490E" w:rsidP="00E1490E">
      <w:pPr>
        <w:jc w:val="both"/>
        <w:rPr>
          <w:lang w:val="en-GB"/>
        </w:rPr>
      </w:pPr>
      <w:r w:rsidRPr="005D0B37">
        <w:rPr>
          <w:lang w:val="en-GB"/>
        </w:rPr>
        <w:t>Al-attara, H.A., Mashkourb, S.C. and Hassanc, M.G., 2020. Zero-based budget system and its active role in choosing the best alternative to rationalise government spending. International Journal of Innovation, Creativity and Change, 13(9), pp.244-265.</w:t>
      </w:r>
    </w:p>
    <w:p w14:paraId="5EF15F54" w14:textId="77777777" w:rsidR="00E1490E" w:rsidRPr="005D0B37" w:rsidRDefault="00E1490E" w:rsidP="00E1490E">
      <w:pPr>
        <w:rPr>
          <w:lang w:val="en-GB"/>
        </w:rPr>
      </w:pPr>
      <w:r w:rsidRPr="005D0B37">
        <w:rPr>
          <w:lang w:val="en-GB"/>
        </w:rPr>
        <w:t>Alddin, A.E.M.S. and Dali, N.R.S.M., 2021. The Strengths And Weaknesses Of The Zero-Based Budgeting System: Future Agenda.</w:t>
      </w:r>
    </w:p>
    <w:p w14:paraId="6CE30748" w14:textId="77777777" w:rsidR="00E1490E" w:rsidRPr="005D0B37" w:rsidRDefault="00E1490E" w:rsidP="00E1490E">
      <w:pPr>
        <w:jc w:val="both"/>
        <w:rPr>
          <w:lang w:val="en-GB"/>
        </w:rPr>
      </w:pPr>
      <w:r w:rsidRPr="005D0B37">
        <w:rPr>
          <w:lang w:val="en-GB"/>
        </w:rPr>
        <w:t>Al-ddin, A.E.S.A. and Ayedh, A., 2019. Factors Influencing the Adoption of Zero-Based Budgeting Integrated with Cloud Based Platform (Paas) in Yemeni Public Sector: Moderating Role of Government Intervention Policies.</w:t>
      </w:r>
    </w:p>
    <w:p w14:paraId="5C9B5954" w14:textId="77777777" w:rsidR="00E1490E" w:rsidRPr="005D0B37" w:rsidRDefault="00E1490E" w:rsidP="00E1490E">
      <w:pPr>
        <w:jc w:val="both"/>
        <w:rPr>
          <w:lang w:val="en-GB"/>
        </w:rPr>
      </w:pPr>
      <w:r w:rsidRPr="005D0B37">
        <w:rPr>
          <w:lang w:val="en-GB"/>
        </w:rPr>
        <w:t>Asogwa, I.E. and Etim, O.E., 2017. Traditional Budgeting in Today's Business Environment. Journal of Applied Finance and Banking, 7(3), p.111.</w:t>
      </w:r>
    </w:p>
    <w:p w14:paraId="4EBED53D" w14:textId="77777777" w:rsidR="00E1490E" w:rsidRPr="005D0B37" w:rsidRDefault="00E1490E" w:rsidP="00E1490E">
      <w:pPr>
        <w:jc w:val="both"/>
        <w:rPr>
          <w:lang w:val="en-GB"/>
        </w:rPr>
      </w:pPr>
      <w:r w:rsidRPr="005D0B37">
        <w:rPr>
          <w:lang w:val="en-GB"/>
        </w:rPr>
        <w:t>Coyte, R., Messner, M. and Zhou, S., 2020. The revival of zero</w:t>
      </w:r>
      <w:r w:rsidRPr="005D0B37">
        <w:rPr>
          <w:rFonts w:ascii="Cambria Math" w:hAnsi="Cambria Math" w:cs="Cambria Math"/>
          <w:lang w:val="en-GB"/>
        </w:rPr>
        <w:t>‐</w:t>
      </w:r>
      <w:r w:rsidRPr="005D0B37">
        <w:rPr>
          <w:lang w:val="en-GB"/>
        </w:rPr>
        <w:t>based budgeting: drivers and consequences of firm</w:t>
      </w:r>
      <w:r w:rsidRPr="005D0B37">
        <w:rPr>
          <w:rFonts w:ascii="Cambria Math" w:hAnsi="Cambria Math" w:cs="Cambria Math"/>
          <w:lang w:val="en-GB"/>
        </w:rPr>
        <w:t>‐</w:t>
      </w:r>
      <w:r w:rsidRPr="005D0B37">
        <w:rPr>
          <w:lang w:val="en-GB"/>
        </w:rPr>
        <w:t>level adoptions. Accounting &amp; Finance.</w:t>
      </w:r>
    </w:p>
    <w:p w14:paraId="0A076A51" w14:textId="77777777" w:rsidR="00E1490E" w:rsidRPr="005D0B37" w:rsidRDefault="00E1490E" w:rsidP="00E1490E">
      <w:pPr>
        <w:jc w:val="both"/>
        <w:rPr>
          <w:lang w:val="en-GB"/>
        </w:rPr>
      </w:pPr>
      <w:r w:rsidRPr="005D0B37">
        <w:rPr>
          <w:lang w:val="en-GB"/>
        </w:rPr>
        <w:t>Dauda, H., 2019. Examining the Role of Budgeting and Budgetary Control in Achieving Objectives of Business Organisations.</w:t>
      </w:r>
    </w:p>
    <w:p w14:paraId="59866124" w14:textId="77777777" w:rsidR="00E1490E" w:rsidRPr="005D0B37" w:rsidRDefault="00E1490E" w:rsidP="00E1490E">
      <w:pPr>
        <w:jc w:val="both"/>
        <w:rPr>
          <w:lang w:val="en-GB"/>
        </w:rPr>
      </w:pPr>
      <w:r w:rsidRPr="005D0B37">
        <w:rPr>
          <w:lang w:val="en-GB"/>
        </w:rPr>
        <w:t>Emerling, I. and Wojcik-Jurkiewicz, M., 2018. The risk associated with the replacement of traditional budget with performance budgeting in the public finance sector management. Ekonomicko-manazerske spektrum, 12(1), pp.55-63.</w:t>
      </w:r>
    </w:p>
    <w:p w14:paraId="1349995E" w14:textId="77777777" w:rsidR="00E1490E" w:rsidRPr="005D0B37" w:rsidRDefault="00E1490E" w:rsidP="00E1490E">
      <w:pPr>
        <w:jc w:val="both"/>
        <w:rPr>
          <w:lang w:val="en-GB"/>
        </w:rPr>
      </w:pPr>
      <w:r w:rsidRPr="005D0B37">
        <w:rPr>
          <w:lang w:val="en-GB"/>
        </w:rPr>
        <w:t>Ibrahim, M.M., 2019. Designing zero-based budgeting for public organizations. Problems and Perspectives in Management, 17(2).</w:t>
      </w:r>
    </w:p>
    <w:p w14:paraId="098D6539" w14:textId="77777777" w:rsidR="00E1490E" w:rsidRPr="005D0B37" w:rsidRDefault="00E1490E" w:rsidP="00E1490E">
      <w:pPr>
        <w:jc w:val="both"/>
        <w:rPr>
          <w:lang w:val="en-GB"/>
        </w:rPr>
      </w:pPr>
      <w:r w:rsidRPr="005D0B37">
        <w:rPr>
          <w:lang w:val="en-GB"/>
        </w:rPr>
        <w:t>Khalifa, H.A.E.W. and Alodhaibi, S.S., 2021. Enhancing Zero-Based Budgeting Under Fuzzy Environment. International Journal of Fuzzy Logic and Intelligent Systems, 21(2), pp.152-158.</w:t>
      </w:r>
    </w:p>
    <w:p w14:paraId="61EEF633" w14:textId="244C5D05" w:rsidR="00E1490E" w:rsidRPr="009D3CEE" w:rsidRDefault="00E1490E" w:rsidP="009D3CEE">
      <w:pPr>
        <w:jc w:val="both"/>
        <w:rPr>
          <w:lang w:val="en-GB"/>
        </w:rPr>
      </w:pPr>
      <w:r w:rsidRPr="005D0B37">
        <w:rPr>
          <w:lang w:val="en-GB"/>
        </w:rPr>
        <w:t>Serol, P.A.G., 2022. Methodology proposal for budgeting process on manufacturing and logistics organisation (Doctoral dissertation).</w:t>
      </w:r>
    </w:p>
    <w:sectPr w:rsidR="00E1490E" w:rsidRPr="009D3CEE">
      <w:pgSz w:w="11910" w:h="16840"/>
      <w:pgMar w:top="1420" w:right="1340" w:bottom="1200" w:left="1340" w:header="0" w:footer="10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263F6" w14:textId="77777777" w:rsidR="00995872" w:rsidRDefault="00995872">
      <w:r>
        <w:separator/>
      </w:r>
    </w:p>
  </w:endnote>
  <w:endnote w:type="continuationSeparator" w:id="0">
    <w:p w14:paraId="2EB29FD7" w14:textId="77777777" w:rsidR="00995872" w:rsidRDefault="009958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rlito">
    <w:altName w:val="Calibri"/>
    <w:charset w:val="00"/>
    <w:family w:val="swiss"/>
    <w:pitch w:val="variable"/>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638595"/>
      <w:docPartObj>
        <w:docPartGallery w:val="Page Numbers (Bottom of Page)"/>
        <w:docPartUnique/>
      </w:docPartObj>
    </w:sdtPr>
    <w:sdtEndPr>
      <w:rPr>
        <w:noProof/>
      </w:rPr>
    </w:sdtEndPr>
    <w:sdtContent>
      <w:p w14:paraId="3547F481" w14:textId="2B7D874B" w:rsidR="0007428E" w:rsidRDefault="0007428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02F3F2F2" w14:textId="77777777" w:rsidR="0007428E" w:rsidRDefault="0007428E">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966621"/>
      <w:docPartObj>
        <w:docPartGallery w:val="Page Numbers (Bottom of Page)"/>
        <w:docPartUnique/>
      </w:docPartObj>
    </w:sdtPr>
    <w:sdtEndPr>
      <w:rPr>
        <w:noProof/>
      </w:rPr>
    </w:sdtEndPr>
    <w:sdtContent>
      <w:p w14:paraId="779E7D82" w14:textId="147FD36E" w:rsidR="004200F2" w:rsidRPr="0007428E" w:rsidRDefault="0007428E" w:rsidP="009D3CEE">
        <w:pPr>
          <w:pStyle w:val="Subsol"/>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5396C" w14:textId="77777777" w:rsidR="00995872" w:rsidRDefault="00995872">
      <w:r>
        <w:separator/>
      </w:r>
    </w:p>
  </w:footnote>
  <w:footnote w:type="continuationSeparator" w:id="0">
    <w:p w14:paraId="4D26CB96" w14:textId="77777777" w:rsidR="00995872" w:rsidRDefault="009958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F7DAF"/>
    <w:multiLevelType w:val="hybridMultilevel"/>
    <w:tmpl w:val="E740FEEE"/>
    <w:lvl w:ilvl="0" w:tplc="B436ED80">
      <w:start w:val="1"/>
      <w:numFmt w:val="decimal"/>
      <w:lvlText w:val="%1."/>
      <w:lvlJc w:val="left"/>
      <w:pPr>
        <w:ind w:left="720" w:hanging="360"/>
      </w:pPr>
      <w:rPr>
        <w:rFonts w:hint="default"/>
        <w:color w:val="2D74B5"/>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2F92904"/>
    <w:multiLevelType w:val="hybridMultilevel"/>
    <w:tmpl w:val="C52E00FE"/>
    <w:lvl w:ilvl="0" w:tplc="780034BE">
      <w:start w:val="1"/>
      <w:numFmt w:val="decimal"/>
      <w:lvlText w:val="%1."/>
      <w:lvlJc w:val="left"/>
      <w:pPr>
        <w:ind w:left="720" w:hanging="360"/>
      </w:pPr>
      <w:rPr>
        <w:rFonts w:hint="default"/>
        <w:color w:val="2D74B5"/>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6064688"/>
    <w:multiLevelType w:val="multilevel"/>
    <w:tmpl w:val="1E169FEE"/>
    <w:lvl w:ilvl="0">
      <w:start w:val="2"/>
      <w:numFmt w:val="decimal"/>
      <w:lvlText w:val="%1"/>
      <w:lvlJc w:val="left"/>
      <w:pPr>
        <w:ind w:left="384" w:hanging="384"/>
      </w:pPr>
      <w:rPr>
        <w:rFonts w:hint="default"/>
        <w:color w:val="2D74B5"/>
      </w:rPr>
    </w:lvl>
    <w:lvl w:ilvl="1">
      <w:start w:val="3"/>
      <w:numFmt w:val="decimal"/>
      <w:lvlText w:val="%1.%2"/>
      <w:lvlJc w:val="left"/>
      <w:pPr>
        <w:ind w:left="720" w:hanging="720"/>
      </w:pPr>
      <w:rPr>
        <w:rFonts w:hint="default"/>
        <w:color w:val="2D74B5"/>
      </w:rPr>
    </w:lvl>
    <w:lvl w:ilvl="2">
      <w:start w:val="1"/>
      <w:numFmt w:val="decimal"/>
      <w:lvlText w:val="%1.%2.%3"/>
      <w:lvlJc w:val="left"/>
      <w:pPr>
        <w:ind w:left="720" w:hanging="720"/>
      </w:pPr>
      <w:rPr>
        <w:rFonts w:hint="default"/>
        <w:color w:val="2D74B5"/>
      </w:rPr>
    </w:lvl>
    <w:lvl w:ilvl="3">
      <w:start w:val="1"/>
      <w:numFmt w:val="decimal"/>
      <w:lvlText w:val="%1.%2.%3.%4"/>
      <w:lvlJc w:val="left"/>
      <w:pPr>
        <w:ind w:left="1080" w:hanging="1080"/>
      </w:pPr>
      <w:rPr>
        <w:rFonts w:hint="default"/>
        <w:color w:val="2D74B5"/>
      </w:rPr>
    </w:lvl>
    <w:lvl w:ilvl="4">
      <w:start w:val="1"/>
      <w:numFmt w:val="decimal"/>
      <w:lvlText w:val="%1.%2.%3.%4.%5"/>
      <w:lvlJc w:val="left"/>
      <w:pPr>
        <w:ind w:left="1080" w:hanging="1080"/>
      </w:pPr>
      <w:rPr>
        <w:rFonts w:hint="default"/>
        <w:color w:val="2D74B5"/>
      </w:rPr>
    </w:lvl>
    <w:lvl w:ilvl="5">
      <w:start w:val="1"/>
      <w:numFmt w:val="decimal"/>
      <w:lvlText w:val="%1.%2.%3.%4.%5.%6"/>
      <w:lvlJc w:val="left"/>
      <w:pPr>
        <w:ind w:left="1440" w:hanging="1440"/>
      </w:pPr>
      <w:rPr>
        <w:rFonts w:hint="default"/>
        <w:color w:val="2D74B5"/>
      </w:rPr>
    </w:lvl>
    <w:lvl w:ilvl="6">
      <w:start w:val="1"/>
      <w:numFmt w:val="decimal"/>
      <w:lvlText w:val="%1.%2.%3.%4.%5.%6.%7"/>
      <w:lvlJc w:val="left"/>
      <w:pPr>
        <w:ind w:left="1800" w:hanging="1800"/>
      </w:pPr>
      <w:rPr>
        <w:rFonts w:hint="default"/>
        <w:color w:val="2D74B5"/>
      </w:rPr>
    </w:lvl>
    <w:lvl w:ilvl="7">
      <w:start w:val="1"/>
      <w:numFmt w:val="decimal"/>
      <w:lvlText w:val="%1.%2.%3.%4.%5.%6.%7.%8"/>
      <w:lvlJc w:val="left"/>
      <w:pPr>
        <w:ind w:left="1800" w:hanging="1800"/>
      </w:pPr>
      <w:rPr>
        <w:rFonts w:hint="default"/>
        <w:color w:val="2D74B5"/>
      </w:rPr>
    </w:lvl>
    <w:lvl w:ilvl="8">
      <w:start w:val="1"/>
      <w:numFmt w:val="decimal"/>
      <w:lvlText w:val="%1.%2.%3.%4.%5.%6.%7.%8.%9"/>
      <w:lvlJc w:val="left"/>
      <w:pPr>
        <w:ind w:left="2160" w:hanging="2160"/>
      </w:pPr>
      <w:rPr>
        <w:rFonts w:hint="default"/>
        <w:color w:val="2D74B5"/>
      </w:rPr>
    </w:lvl>
  </w:abstractNum>
  <w:abstractNum w:abstractNumId="3" w15:restartNumberingAfterBreak="0">
    <w:nsid w:val="39A23ADF"/>
    <w:multiLevelType w:val="hybridMultilevel"/>
    <w:tmpl w:val="5DF2858A"/>
    <w:lvl w:ilvl="0" w:tplc="84287460">
      <w:start w:val="1"/>
      <w:numFmt w:val="decimal"/>
      <w:lvlText w:val="%1."/>
      <w:lvlJc w:val="left"/>
      <w:pPr>
        <w:ind w:left="821" w:hanging="360"/>
      </w:pPr>
      <w:rPr>
        <w:rFonts w:ascii="Trebuchet MS" w:eastAsia="Trebuchet MS" w:hAnsi="Trebuchet MS" w:cs="Trebuchet MS" w:hint="default"/>
        <w:color w:val="2D74B5"/>
        <w:spacing w:val="-3"/>
        <w:w w:val="84"/>
        <w:sz w:val="32"/>
        <w:szCs w:val="32"/>
        <w:lang w:val="en-US" w:eastAsia="en-US" w:bidi="ar-SA"/>
      </w:rPr>
    </w:lvl>
    <w:lvl w:ilvl="1" w:tplc="E594DBD0">
      <w:numFmt w:val="bullet"/>
      <w:lvlText w:val="•"/>
      <w:lvlJc w:val="left"/>
      <w:pPr>
        <w:ind w:left="1660" w:hanging="360"/>
      </w:pPr>
      <w:rPr>
        <w:rFonts w:hint="default"/>
        <w:lang w:val="en-US" w:eastAsia="en-US" w:bidi="ar-SA"/>
      </w:rPr>
    </w:lvl>
    <w:lvl w:ilvl="2" w:tplc="5B9E3AE4">
      <w:numFmt w:val="bullet"/>
      <w:lvlText w:val="•"/>
      <w:lvlJc w:val="left"/>
      <w:pPr>
        <w:ind w:left="2501" w:hanging="360"/>
      </w:pPr>
      <w:rPr>
        <w:rFonts w:hint="default"/>
        <w:lang w:val="en-US" w:eastAsia="en-US" w:bidi="ar-SA"/>
      </w:rPr>
    </w:lvl>
    <w:lvl w:ilvl="3" w:tplc="C7FC9B18">
      <w:numFmt w:val="bullet"/>
      <w:lvlText w:val="•"/>
      <w:lvlJc w:val="left"/>
      <w:pPr>
        <w:ind w:left="3341" w:hanging="360"/>
      </w:pPr>
      <w:rPr>
        <w:rFonts w:hint="default"/>
        <w:lang w:val="en-US" w:eastAsia="en-US" w:bidi="ar-SA"/>
      </w:rPr>
    </w:lvl>
    <w:lvl w:ilvl="4" w:tplc="617EB11C">
      <w:numFmt w:val="bullet"/>
      <w:lvlText w:val="•"/>
      <w:lvlJc w:val="left"/>
      <w:pPr>
        <w:ind w:left="4182" w:hanging="360"/>
      </w:pPr>
      <w:rPr>
        <w:rFonts w:hint="default"/>
        <w:lang w:val="en-US" w:eastAsia="en-US" w:bidi="ar-SA"/>
      </w:rPr>
    </w:lvl>
    <w:lvl w:ilvl="5" w:tplc="F5D44D6E">
      <w:numFmt w:val="bullet"/>
      <w:lvlText w:val="•"/>
      <w:lvlJc w:val="left"/>
      <w:pPr>
        <w:ind w:left="5022" w:hanging="360"/>
      </w:pPr>
      <w:rPr>
        <w:rFonts w:hint="default"/>
        <w:lang w:val="en-US" w:eastAsia="en-US" w:bidi="ar-SA"/>
      </w:rPr>
    </w:lvl>
    <w:lvl w:ilvl="6" w:tplc="D222FE16">
      <w:numFmt w:val="bullet"/>
      <w:lvlText w:val="•"/>
      <w:lvlJc w:val="left"/>
      <w:pPr>
        <w:ind w:left="5863" w:hanging="360"/>
      </w:pPr>
      <w:rPr>
        <w:rFonts w:hint="default"/>
        <w:lang w:val="en-US" w:eastAsia="en-US" w:bidi="ar-SA"/>
      </w:rPr>
    </w:lvl>
    <w:lvl w:ilvl="7" w:tplc="57DAB832">
      <w:numFmt w:val="bullet"/>
      <w:lvlText w:val="•"/>
      <w:lvlJc w:val="left"/>
      <w:pPr>
        <w:ind w:left="6703" w:hanging="360"/>
      </w:pPr>
      <w:rPr>
        <w:rFonts w:hint="default"/>
        <w:lang w:val="en-US" w:eastAsia="en-US" w:bidi="ar-SA"/>
      </w:rPr>
    </w:lvl>
    <w:lvl w:ilvl="8" w:tplc="EA4C2524">
      <w:numFmt w:val="bullet"/>
      <w:lvlText w:val="•"/>
      <w:lvlJc w:val="left"/>
      <w:pPr>
        <w:ind w:left="7544" w:hanging="360"/>
      </w:pPr>
      <w:rPr>
        <w:rFonts w:hint="default"/>
        <w:lang w:val="en-US" w:eastAsia="en-US" w:bidi="ar-SA"/>
      </w:rPr>
    </w:lvl>
  </w:abstractNum>
  <w:abstractNum w:abstractNumId="4" w15:restartNumberingAfterBreak="0">
    <w:nsid w:val="4C1347BD"/>
    <w:multiLevelType w:val="hybridMultilevel"/>
    <w:tmpl w:val="7CD680EA"/>
    <w:lvl w:ilvl="0" w:tplc="D884F974">
      <w:start w:val="3"/>
      <w:numFmt w:val="decimal"/>
      <w:lvlText w:val="%1."/>
      <w:lvlJc w:val="left"/>
      <w:pPr>
        <w:ind w:left="735" w:hanging="375"/>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51475823"/>
    <w:multiLevelType w:val="multilevel"/>
    <w:tmpl w:val="B0949734"/>
    <w:lvl w:ilvl="0">
      <w:start w:val="2"/>
      <w:numFmt w:val="decimal"/>
      <w:lvlText w:val="%1"/>
      <w:lvlJc w:val="left"/>
      <w:pPr>
        <w:ind w:left="486" w:hanging="386"/>
      </w:pPr>
      <w:rPr>
        <w:rFonts w:hint="default"/>
        <w:lang w:val="en-US" w:eastAsia="en-US" w:bidi="ar-SA"/>
      </w:rPr>
    </w:lvl>
    <w:lvl w:ilvl="1">
      <w:start w:val="1"/>
      <w:numFmt w:val="decimal"/>
      <w:lvlText w:val="%1.%2"/>
      <w:lvlJc w:val="left"/>
      <w:pPr>
        <w:ind w:left="486" w:hanging="386"/>
      </w:pPr>
      <w:rPr>
        <w:rFonts w:ascii="Trebuchet MS" w:eastAsia="Trebuchet MS" w:hAnsi="Trebuchet MS" w:cs="Trebuchet MS" w:hint="default"/>
        <w:color w:val="2D74B5"/>
        <w:spacing w:val="-2"/>
        <w:w w:val="66"/>
        <w:sz w:val="26"/>
        <w:szCs w:val="26"/>
        <w:lang w:val="en-US" w:eastAsia="en-US" w:bidi="ar-SA"/>
      </w:rPr>
    </w:lvl>
    <w:lvl w:ilvl="2">
      <w:numFmt w:val="bullet"/>
      <w:lvlText w:val="•"/>
      <w:lvlJc w:val="left"/>
      <w:pPr>
        <w:ind w:left="2229" w:hanging="386"/>
      </w:pPr>
      <w:rPr>
        <w:rFonts w:hint="default"/>
        <w:lang w:val="en-US" w:eastAsia="en-US" w:bidi="ar-SA"/>
      </w:rPr>
    </w:lvl>
    <w:lvl w:ilvl="3">
      <w:numFmt w:val="bullet"/>
      <w:lvlText w:val="•"/>
      <w:lvlJc w:val="left"/>
      <w:pPr>
        <w:ind w:left="3103" w:hanging="386"/>
      </w:pPr>
      <w:rPr>
        <w:rFonts w:hint="default"/>
        <w:lang w:val="en-US" w:eastAsia="en-US" w:bidi="ar-SA"/>
      </w:rPr>
    </w:lvl>
    <w:lvl w:ilvl="4">
      <w:numFmt w:val="bullet"/>
      <w:lvlText w:val="•"/>
      <w:lvlJc w:val="left"/>
      <w:pPr>
        <w:ind w:left="3978" w:hanging="386"/>
      </w:pPr>
      <w:rPr>
        <w:rFonts w:hint="default"/>
        <w:lang w:val="en-US" w:eastAsia="en-US" w:bidi="ar-SA"/>
      </w:rPr>
    </w:lvl>
    <w:lvl w:ilvl="5">
      <w:numFmt w:val="bullet"/>
      <w:lvlText w:val="•"/>
      <w:lvlJc w:val="left"/>
      <w:pPr>
        <w:ind w:left="4852" w:hanging="386"/>
      </w:pPr>
      <w:rPr>
        <w:rFonts w:hint="default"/>
        <w:lang w:val="en-US" w:eastAsia="en-US" w:bidi="ar-SA"/>
      </w:rPr>
    </w:lvl>
    <w:lvl w:ilvl="6">
      <w:numFmt w:val="bullet"/>
      <w:lvlText w:val="•"/>
      <w:lvlJc w:val="left"/>
      <w:pPr>
        <w:ind w:left="5727" w:hanging="386"/>
      </w:pPr>
      <w:rPr>
        <w:rFonts w:hint="default"/>
        <w:lang w:val="en-US" w:eastAsia="en-US" w:bidi="ar-SA"/>
      </w:rPr>
    </w:lvl>
    <w:lvl w:ilvl="7">
      <w:numFmt w:val="bullet"/>
      <w:lvlText w:val="•"/>
      <w:lvlJc w:val="left"/>
      <w:pPr>
        <w:ind w:left="6601" w:hanging="386"/>
      </w:pPr>
      <w:rPr>
        <w:rFonts w:hint="default"/>
        <w:lang w:val="en-US" w:eastAsia="en-US" w:bidi="ar-SA"/>
      </w:rPr>
    </w:lvl>
    <w:lvl w:ilvl="8">
      <w:numFmt w:val="bullet"/>
      <w:lvlText w:val="•"/>
      <w:lvlJc w:val="left"/>
      <w:pPr>
        <w:ind w:left="7476" w:hanging="386"/>
      </w:pPr>
      <w:rPr>
        <w:rFonts w:hint="default"/>
        <w:lang w:val="en-US" w:eastAsia="en-US" w:bidi="ar-SA"/>
      </w:rPr>
    </w:lvl>
  </w:abstractNum>
  <w:abstractNum w:abstractNumId="6" w15:restartNumberingAfterBreak="0">
    <w:nsid w:val="5A8151CF"/>
    <w:multiLevelType w:val="multilevel"/>
    <w:tmpl w:val="7F3A76FA"/>
    <w:lvl w:ilvl="0">
      <w:start w:val="2"/>
      <w:numFmt w:val="decimal"/>
      <w:lvlText w:val="%1"/>
      <w:lvlJc w:val="left"/>
      <w:pPr>
        <w:ind w:left="360" w:hanging="360"/>
      </w:pPr>
      <w:rPr>
        <w:rFonts w:hint="default"/>
        <w:color w:val="2D74B5"/>
      </w:rPr>
    </w:lvl>
    <w:lvl w:ilvl="1">
      <w:start w:val="1"/>
      <w:numFmt w:val="decimal"/>
      <w:lvlText w:val="%1.%2"/>
      <w:lvlJc w:val="left"/>
      <w:pPr>
        <w:ind w:left="820" w:hanging="720"/>
      </w:pPr>
      <w:rPr>
        <w:rFonts w:hint="default"/>
        <w:color w:val="2D74B5"/>
      </w:rPr>
    </w:lvl>
    <w:lvl w:ilvl="2">
      <w:start w:val="1"/>
      <w:numFmt w:val="decimal"/>
      <w:lvlText w:val="%1.%2.%3"/>
      <w:lvlJc w:val="left"/>
      <w:pPr>
        <w:ind w:left="920" w:hanging="720"/>
      </w:pPr>
      <w:rPr>
        <w:rFonts w:hint="default"/>
        <w:color w:val="2D74B5"/>
      </w:rPr>
    </w:lvl>
    <w:lvl w:ilvl="3">
      <w:start w:val="1"/>
      <w:numFmt w:val="decimal"/>
      <w:lvlText w:val="%1.%2.%3.%4"/>
      <w:lvlJc w:val="left"/>
      <w:pPr>
        <w:ind w:left="1380" w:hanging="1080"/>
      </w:pPr>
      <w:rPr>
        <w:rFonts w:hint="default"/>
        <w:color w:val="2D74B5"/>
      </w:rPr>
    </w:lvl>
    <w:lvl w:ilvl="4">
      <w:start w:val="1"/>
      <w:numFmt w:val="decimal"/>
      <w:lvlText w:val="%1.%2.%3.%4.%5"/>
      <w:lvlJc w:val="left"/>
      <w:pPr>
        <w:ind w:left="1480" w:hanging="1080"/>
      </w:pPr>
      <w:rPr>
        <w:rFonts w:hint="default"/>
        <w:color w:val="2D74B5"/>
      </w:rPr>
    </w:lvl>
    <w:lvl w:ilvl="5">
      <w:start w:val="1"/>
      <w:numFmt w:val="decimal"/>
      <w:lvlText w:val="%1.%2.%3.%4.%5.%6"/>
      <w:lvlJc w:val="left"/>
      <w:pPr>
        <w:ind w:left="1940" w:hanging="1440"/>
      </w:pPr>
      <w:rPr>
        <w:rFonts w:hint="default"/>
        <w:color w:val="2D74B5"/>
      </w:rPr>
    </w:lvl>
    <w:lvl w:ilvl="6">
      <w:start w:val="1"/>
      <w:numFmt w:val="decimal"/>
      <w:lvlText w:val="%1.%2.%3.%4.%5.%6.%7"/>
      <w:lvlJc w:val="left"/>
      <w:pPr>
        <w:ind w:left="2400" w:hanging="1800"/>
      </w:pPr>
      <w:rPr>
        <w:rFonts w:hint="default"/>
        <w:color w:val="2D74B5"/>
      </w:rPr>
    </w:lvl>
    <w:lvl w:ilvl="7">
      <w:start w:val="1"/>
      <w:numFmt w:val="decimal"/>
      <w:lvlText w:val="%1.%2.%3.%4.%5.%6.%7.%8"/>
      <w:lvlJc w:val="left"/>
      <w:pPr>
        <w:ind w:left="2500" w:hanging="1800"/>
      </w:pPr>
      <w:rPr>
        <w:rFonts w:hint="default"/>
        <w:color w:val="2D74B5"/>
      </w:rPr>
    </w:lvl>
    <w:lvl w:ilvl="8">
      <w:start w:val="1"/>
      <w:numFmt w:val="decimal"/>
      <w:lvlText w:val="%1.%2.%3.%4.%5.%6.%7.%8.%9"/>
      <w:lvlJc w:val="left"/>
      <w:pPr>
        <w:ind w:left="2960" w:hanging="2160"/>
      </w:pPr>
      <w:rPr>
        <w:rFonts w:hint="default"/>
        <w:color w:val="2D74B5"/>
      </w:rPr>
    </w:lvl>
  </w:abstractNum>
  <w:abstractNum w:abstractNumId="7" w15:restartNumberingAfterBreak="0">
    <w:nsid w:val="5F145297"/>
    <w:multiLevelType w:val="multilevel"/>
    <w:tmpl w:val="29E6AFEE"/>
    <w:lvl w:ilvl="0">
      <w:start w:val="1"/>
      <w:numFmt w:val="decimal"/>
      <w:lvlText w:val="%1."/>
      <w:lvlJc w:val="left"/>
      <w:pPr>
        <w:ind w:left="506" w:hanging="406"/>
      </w:pPr>
      <w:rPr>
        <w:rFonts w:ascii="Carlito" w:eastAsia="Carlito" w:hAnsi="Carlito" w:cs="Carlito" w:hint="default"/>
        <w:spacing w:val="-2"/>
        <w:w w:val="100"/>
        <w:sz w:val="22"/>
        <w:szCs w:val="22"/>
        <w:lang w:val="en-US" w:eastAsia="en-US" w:bidi="ar-SA"/>
      </w:rPr>
    </w:lvl>
    <w:lvl w:ilvl="1">
      <w:start w:val="1"/>
      <w:numFmt w:val="decimal"/>
      <w:lvlText w:val="%1.%2"/>
      <w:lvlJc w:val="left"/>
      <w:pPr>
        <w:ind w:left="646" w:hanging="326"/>
      </w:pPr>
      <w:rPr>
        <w:rFonts w:ascii="Carlito" w:eastAsia="Carlito" w:hAnsi="Carlito" w:cs="Carlito" w:hint="default"/>
        <w:spacing w:val="-2"/>
        <w:w w:val="100"/>
        <w:sz w:val="22"/>
        <w:szCs w:val="22"/>
        <w:lang w:val="en-US" w:eastAsia="en-US" w:bidi="ar-SA"/>
      </w:rPr>
    </w:lvl>
    <w:lvl w:ilvl="2">
      <w:numFmt w:val="bullet"/>
      <w:lvlText w:val="•"/>
      <w:lvlJc w:val="left"/>
      <w:pPr>
        <w:ind w:left="1593" w:hanging="326"/>
      </w:pPr>
      <w:rPr>
        <w:rFonts w:hint="default"/>
        <w:lang w:val="en-US" w:eastAsia="en-US" w:bidi="ar-SA"/>
      </w:rPr>
    </w:lvl>
    <w:lvl w:ilvl="3">
      <w:numFmt w:val="bullet"/>
      <w:lvlText w:val="•"/>
      <w:lvlJc w:val="left"/>
      <w:pPr>
        <w:ind w:left="2547" w:hanging="326"/>
      </w:pPr>
      <w:rPr>
        <w:rFonts w:hint="default"/>
        <w:lang w:val="en-US" w:eastAsia="en-US" w:bidi="ar-SA"/>
      </w:rPr>
    </w:lvl>
    <w:lvl w:ilvl="4">
      <w:numFmt w:val="bullet"/>
      <w:lvlText w:val="•"/>
      <w:lvlJc w:val="left"/>
      <w:pPr>
        <w:ind w:left="3501" w:hanging="326"/>
      </w:pPr>
      <w:rPr>
        <w:rFonts w:hint="default"/>
        <w:lang w:val="en-US" w:eastAsia="en-US" w:bidi="ar-SA"/>
      </w:rPr>
    </w:lvl>
    <w:lvl w:ilvl="5">
      <w:numFmt w:val="bullet"/>
      <w:lvlText w:val="•"/>
      <w:lvlJc w:val="left"/>
      <w:pPr>
        <w:ind w:left="4455" w:hanging="326"/>
      </w:pPr>
      <w:rPr>
        <w:rFonts w:hint="default"/>
        <w:lang w:val="en-US" w:eastAsia="en-US" w:bidi="ar-SA"/>
      </w:rPr>
    </w:lvl>
    <w:lvl w:ilvl="6">
      <w:numFmt w:val="bullet"/>
      <w:lvlText w:val="•"/>
      <w:lvlJc w:val="left"/>
      <w:pPr>
        <w:ind w:left="5409" w:hanging="326"/>
      </w:pPr>
      <w:rPr>
        <w:rFonts w:hint="default"/>
        <w:lang w:val="en-US" w:eastAsia="en-US" w:bidi="ar-SA"/>
      </w:rPr>
    </w:lvl>
    <w:lvl w:ilvl="7">
      <w:numFmt w:val="bullet"/>
      <w:lvlText w:val="•"/>
      <w:lvlJc w:val="left"/>
      <w:pPr>
        <w:ind w:left="6363" w:hanging="326"/>
      </w:pPr>
      <w:rPr>
        <w:rFonts w:hint="default"/>
        <w:lang w:val="en-US" w:eastAsia="en-US" w:bidi="ar-SA"/>
      </w:rPr>
    </w:lvl>
    <w:lvl w:ilvl="8">
      <w:numFmt w:val="bullet"/>
      <w:lvlText w:val="•"/>
      <w:lvlJc w:val="left"/>
      <w:pPr>
        <w:ind w:left="7317" w:hanging="326"/>
      </w:pPr>
      <w:rPr>
        <w:rFonts w:hint="default"/>
        <w:lang w:val="en-US" w:eastAsia="en-US" w:bidi="ar-SA"/>
      </w:rPr>
    </w:lvl>
  </w:abstractNum>
  <w:num w:numId="1" w16cid:durableId="317535043">
    <w:abstractNumId w:val="5"/>
  </w:num>
  <w:num w:numId="2" w16cid:durableId="1704398428">
    <w:abstractNumId w:val="3"/>
  </w:num>
  <w:num w:numId="3" w16cid:durableId="716465385">
    <w:abstractNumId w:val="7"/>
  </w:num>
  <w:num w:numId="4" w16cid:durableId="212733614">
    <w:abstractNumId w:val="0"/>
  </w:num>
  <w:num w:numId="5" w16cid:durableId="1829858332">
    <w:abstractNumId w:val="6"/>
  </w:num>
  <w:num w:numId="6" w16cid:durableId="684746670">
    <w:abstractNumId w:val="1"/>
  </w:num>
  <w:num w:numId="7" w16cid:durableId="67385444">
    <w:abstractNumId w:val="2"/>
  </w:num>
  <w:num w:numId="8" w16cid:durableId="6553081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hyphenationZone w:val="425"/>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0F2"/>
    <w:rsid w:val="0007428E"/>
    <w:rsid w:val="00083521"/>
    <w:rsid w:val="00094A2B"/>
    <w:rsid w:val="001362CE"/>
    <w:rsid w:val="004200F2"/>
    <w:rsid w:val="00516D77"/>
    <w:rsid w:val="005D0B37"/>
    <w:rsid w:val="007135DF"/>
    <w:rsid w:val="007546FD"/>
    <w:rsid w:val="008B4541"/>
    <w:rsid w:val="00995872"/>
    <w:rsid w:val="009C06FF"/>
    <w:rsid w:val="009D3CEE"/>
    <w:rsid w:val="00A5101D"/>
    <w:rsid w:val="00AB0F10"/>
    <w:rsid w:val="00B43F96"/>
    <w:rsid w:val="00BA4B18"/>
    <w:rsid w:val="00E1490E"/>
    <w:rsid w:val="00F906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9AA20"/>
  <w15:docId w15:val="{02269152-7075-4168-B983-C11B18E19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6C1"/>
    <w:pPr>
      <w:spacing w:before="120" w:after="120" w:line="360" w:lineRule="auto"/>
    </w:pPr>
    <w:rPr>
      <w:rFonts w:ascii="Trebuchet MS" w:eastAsia="Trebuchet MS" w:hAnsi="Trebuchet MS" w:cs="Trebuchet MS"/>
      <w:sz w:val="24"/>
    </w:rPr>
  </w:style>
  <w:style w:type="paragraph" w:styleId="Titlu1">
    <w:name w:val="heading 1"/>
    <w:basedOn w:val="Normal"/>
    <w:uiPriority w:val="9"/>
    <w:qFormat/>
    <w:rsid w:val="00083521"/>
    <w:pPr>
      <w:ind w:left="361" w:hanging="361"/>
      <w:outlineLvl w:val="0"/>
    </w:pPr>
    <w:rPr>
      <w:color w:val="0070C0"/>
      <w:sz w:val="32"/>
      <w:szCs w:val="32"/>
    </w:rPr>
  </w:style>
  <w:style w:type="paragraph" w:styleId="Titlu2">
    <w:name w:val="heading 2"/>
    <w:basedOn w:val="Normal"/>
    <w:uiPriority w:val="9"/>
    <w:unhideWhenUsed/>
    <w:qFormat/>
    <w:rsid w:val="00083521"/>
    <w:pPr>
      <w:ind w:left="386" w:hanging="386"/>
      <w:outlineLvl w:val="1"/>
    </w:pPr>
    <w:rPr>
      <w:color w:val="548DD4" w:themeColor="text2" w:themeTint="99"/>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Cuprins1">
    <w:name w:val="toc 1"/>
    <w:basedOn w:val="Normal"/>
    <w:uiPriority w:val="39"/>
    <w:qFormat/>
    <w:pPr>
      <w:spacing w:before="122"/>
      <w:ind w:left="506" w:hanging="406"/>
    </w:pPr>
    <w:rPr>
      <w:rFonts w:ascii="Carlito" w:eastAsia="Carlito" w:hAnsi="Carlito" w:cs="Carlito"/>
    </w:rPr>
  </w:style>
  <w:style w:type="paragraph" w:styleId="Cuprins2">
    <w:name w:val="toc 2"/>
    <w:basedOn w:val="Normal"/>
    <w:uiPriority w:val="39"/>
    <w:qFormat/>
    <w:pPr>
      <w:spacing w:before="121"/>
      <w:ind w:left="646" w:hanging="326"/>
    </w:pPr>
    <w:rPr>
      <w:rFonts w:ascii="Carlito" w:eastAsia="Carlito" w:hAnsi="Carlito" w:cs="Carlito"/>
    </w:rPr>
  </w:style>
  <w:style w:type="paragraph" w:styleId="Corptext">
    <w:name w:val="Body Text"/>
    <w:basedOn w:val="Normal"/>
    <w:uiPriority w:val="1"/>
    <w:qFormat/>
    <w:rPr>
      <w:rFonts w:ascii="Carlito" w:eastAsia="Carlito" w:hAnsi="Carlito" w:cs="Carlito"/>
    </w:rPr>
  </w:style>
  <w:style w:type="paragraph" w:styleId="Titlu">
    <w:name w:val="Title"/>
    <w:basedOn w:val="Normal"/>
    <w:uiPriority w:val="10"/>
    <w:qFormat/>
    <w:pPr>
      <w:spacing w:line="878" w:lineRule="exact"/>
      <w:ind w:left="1246" w:right="1247"/>
      <w:jc w:val="center"/>
    </w:pPr>
    <w:rPr>
      <w:sz w:val="80"/>
      <w:szCs w:val="80"/>
    </w:rPr>
  </w:style>
  <w:style w:type="paragraph" w:styleId="Listparagraf">
    <w:name w:val="List Paragraph"/>
    <w:basedOn w:val="Normal"/>
    <w:uiPriority w:val="1"/>
    <w:qFormat/>
    <w:pPr>
      <w:spacing w:before="25"/>
      <w:ind w:left="506" w:hanging="406"/>
    </w:pPr>
  </w:style>
  <w:style w:type="paragraph" w:customStyle="1" w:styleId="TableParagraph">
    <w:name w:val="Table Paragraph"/>
    <w:basedOn w:val="Normal"/>
    <w:uiPriority w:val="1"/>
    <w:qFormat/>
  </w:style>
  <w:style w:type="paragraph" w:styleId="Titlucuprins">
    <w:name w:val="TOC Heading"/>
    <w:basedOn w:val="Titlu1"/>
    <w:next w:val="Normal"/>
    <w:uiPriority w:val="39"/>
    <w:unhideWhenUsed/>
    <w:qFormat/>
    <w:rsid w:val="007546FD"/>
    <w:pPr>
      <w:keepNext/>
      <w:keepLines/>
      <w:widowControl/>
      <w:autoSpaceDE/>
      <w:autoSpaceDN/>
      <w:spacing w:before="240" w:line="259" w:lineRule="auto"/>
      <w:ind w:left="0" w:firstLine="0"/>
      <w:outlineLvl w:val="9"/>
    </w:pPr>
    <w:rPr>
      <w:rFonts w:asciiTheme="majorHAnsi" w:eastAsiaTheme="majorEastAsia" w:hAnsiTheme="majorHAnsi" w:cstheme="majorBidi"/>
      <w:color w:val="365F91" w:themeColor="accent1" w:themeShade="BF"/>
    </w:rPr>
  </w:style>
  <w:style w:type="character" w:styleId="Hyperlink">
    <w:name w:val="Hyperlink"/>
    <w:basedOn w:val="Fontdeparagrafimplicit"/>
    <w:uiPriority w:val="99"/>
    <w:unhideWhenUsed/>
    <w:rsid w:val="007546FD"/>
    <w:rPr>
      <w:color w:val="0000FF" w:themeColor="hyperlink"/>
      <w:u w:val="single"/>
    </w:rPr>
  </w:style>
  <w:style w:type="paragraph" w:styleId="Antet">
    <w:name w:val="header"/>
    <w:basedOn w:val="Normal"/>
    <w:link w:val="AntetCaracter"/>
    <w:uiPriority w:val="99"/>
    <w:unhideWhenUsed/>
    <w:rsid w:val="0007428E"/>
    <w:pPr>
      <w:tabs>
        <w:tab w:val="center" w:pos="4513"/>
        <w:tab w:val="right" w:pos="9026"/>
      </w:tabs>
    </w:pPr>
  </w:style>
  <w:style w:type="character" w:customStyle="1" w:styleId="AntetCaracter">
    <w:name w:val="Antet Caracter"/>
    <w:basedOn w:val="Fontdeparagrafimplicit"/>
    <w:link w:val="Antet"/>
    <w:uiPriority w:val="99"/>
    <w:rsid w:val="0007428E"/>
    <w:rPr>
      <w:rFonts w:ascii="Trebuchet MS" w:eastAsia="Trebuchet MS" w:hAnsi="Trebuchet MS" w:cs="Trebuchet MS"/>
    </w:rPr>
  </w:style>
  <w:style w:type="paragraph" w:styleId="Subsol">
    <w:name w:val="footer"/>
    <w:basedOn w:val="Normal"/>
    <w:link w:val="SubsolCaracter"/>
    <w:uiPriority w:val="99"/>
    <w:unhideWhenUsed/>
    <w:rsid w:val="0007428E"/>
    <w:pPr>
      <w:tabs>
        <w:tab w:val="center" w:pos="4513"/>
        <w:tab w:val="right" w:pos="9026"/>
      </w:tabs>
    </w:pPr>
  </w:style>
  <w:style w:type="character" w:customStyle="1" w:styleId="SubsolCaracter">
    <w:name w:val="Subsol Caracter"/>
    <w:basedOn w:val="Fontdeparagrafimplicit"/>
    <w:link w:val="Subsol"/>
    <w:uiPriority w:val="99"/>
    <w:rsid w:val="0007428E"/>
    <w:rPr>
      <w:rFonts w:ascii="Trebuchet MS" w:eastAsia="Trebuchet MS" w:hAnsi="Trebuchet MS" w:cs="Trebuchet M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7771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CEE70-D0D2-4DE9-8B8D-8A423FBD1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2247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airpo</dc:creator>
  <cp:lastModifiedBy>airportexpertuk@gmail.com</cp:lastModifiedBy>
  <cp:revision>2</cp:revision>
  <dcterms:created xsi:type="dcterms:W3CDTF">2022-07-06T10:19:00Z</dcterms:created>
  <dcterms:modified xsi:type="dcterms:W3CDTF">2022-07-06T10:19:00Z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2022-03-09T00:00:00Z</vt:filetime>
  </property>
  <property fmtid="{D5CDD505-2E9C-101B-9397-08002B2CF9AE}" pid="3" name="Creator">
    <vt:lpwstr>Microsoft Word</vt:lpwstr>
  </property>
  <property fmtid="{D5CDD505-2E9C-101B-9397-08002B2CF9AE}" pid="4" name="LastSaved">
    <vt:filetime>2022-07-05T00:00:00Z</vt:filetime>
  </property>
</Properties>
</file>