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656139" w14:textId="13C69D8A" w:rsidR="00BF5CD6" w:rsidRDefault="007812EE">
      <w:pPr>
        <w:spacing w:after="187" w:line="275" w:lineRule="auto"/>
        <w:jc w:val="both"/>
        <w:rPr>
          <w:rFonts w:eastAsia="Google Sans"/>
          <w:b/>
          <w:bCs/>
          <w:color w:val="1F1F1F"/>
        </w:rPr>
      </w:pPr>
      <w:r>
        <w:rPr>
          <w:rFonts w:eastAsia="Google Sans"/>
          <w:b/>
          <w:bCs/>
          <w:noProof/>
          <w:color w:val="1F1F1F"/>
        </w:rPr>
        <w:drawing>
          <wp:inline distT="0" distB="0" distL="0" distR="0" wp14:anchorId="45967540" wp14:editId="54118A8A">
            <wp:extent cx="2325767" cy="984885"/>
            <wp:effectExtent l="0" t="0" r="0" b="5715"/>
            <wp:docPr id="7360831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344718" cy="992910"/>
                    </a:xfrm>
                    <a:prstGeom prst="rect">
                      <a:avLst/>
                    </a:prstGeom>
                    <a:noFill/>
                  </pic:spPr>
                </pic:pic>
              </a:graphicData>
            </a:graphic>
          </wp:inline>
        </w:drawing>
      </w:r>
    </w:p>
    <w:p w14:paraId="29650D78" w14:textId="44A69224" w:rsidR="00BF5CD6" w:rsidRDefault="00BF5CD6">
      <w:pPr>
        <w:spacing w:after="187" w:line="275" w:lineRule="auto"/>
        <w:jc w:val="both"/>
        <w:rPr>
          <w:rFonts w:eastAsia="Google Sans"/>
          <w:b/>
          <w:bCs/>
          <w:color w:val="1F1F1F"/>
        </w:rPr>
      </w:pPr>
    </w:p>
    <w:p w14:paraId="5504BF55" w14:textId="77777777" w:rsidR="00BF5CD6" w:rsidRDefault="00BF5CD6">
      <w:pPr>
        <w:spacing w:after="187" w:line="275" w:lineRule="auto"/>
        <w:jc w:val="both"/>
        <w:rPr>
          <w:rFonts w:eastAsia="Google Sans"/>
          <w:b/>
          <w:bCs/>
          <w:color w:val="1F1F1F"/>
        </w:rPr>
      </w:pPr>
    </w:p>
    <w:p w14:paraId="068E0A51" w14:textId="77777777" w:rsidR="00BF5CD6" w:rsidRDefault="00BF5CD6">
      <w:pPr>
        <w:spacing w:after="187" w:line="275" w:lineRule="auto"/>
        <w:jc w:val="both"/>
        <w:rPr>
          <w:rFonts w:eastAsia="Google Sans"/>
          <w:b/>
          <w:bCs/>
          <w:color w:val="1F1F1F"/>
        </w:rPr>
      </w:pPr>
    </w:p>
    <w:p w14:paraId="1A9C3635" w14:textId="77777777" w:rsidR="00BF5CD6" w:rsidRDefault="00BF5CD6">
      <w:pPr>
        <w:spacing w:after="187" w:line="275" w:lineRule="auto"/>
        <w:jc w:val="both"/>
        <w:rPr>
          <w:rFonts w:eastAsia="Google Sans"/>
          <w:b/>
          <w:bCs/>
          <w:color w:val="1F1F1F"/>
        </w:rPr>
      </w:pPr>
    </w:p>
    <w:p w14:paraId="053FA934" w14:textId="77777777" w:rsidR="00BF5CD6" w:rsidRDefault="00BF5CD6">
      <w:pPr>
        <w:spacing w:after="187" w:line="275" w:lineRule="auto"/>
        <w:jc w:val="both"/>
        <w:rPr>
          <w:rFonts w:eastAsia="Google Sans"/>
          <w:b/>
          <w:bCs/>
          <w:color w:val="1F1F1F"/>
        </w:rPr>
      </w:pPr>
    </w:p>
    <w:p w14:paraId="320CDE4E" w14:textId="77777777" w:rsidR="00BF5CD6" w:rsidRDefault="00BF5CD6">
      <w:pPr>
        <w:spacing w:after="187" w:line="275" w:lineRule="auto"/>
        <w:jc w:val="both"/>
        <w:rPr>
          <w:rFonts w:eastAsia="Google Sans"/>
          <w:b/>
          <w:bCs/>
          <w:color w:val="1F1F1F"/>
        </w:rPr>
      </w:pPr>
    </w:p>
    <w:p w14:paraId="2AB97B0D" w14:textId="351F4D45" w:rsidR="00B214B0" w:rsidRDefault="00D05999">
      <w:pPr>
        <w:spacing w:after="187" w:line="275" w:lineRule="auto"/>
        <w:jc w:val="both"/>
        <w:rPr>
          <w:rFonts w:eastAsia="Google Sans"/>
          <w:color w:val="1F1F1F"/>
        </w:rPr>
      </w:pPr>
      <w:r>
        <w:rPr>
          <w:rFonts w:eastAsia="Google Sans"/>
          <w:b/>
          <w:bCs/>
          <w:color w:val="1F1F1F"/>
        </w:rPr>
        <w:t>Student Name:</w:t>
      </w:r>
      <w:r>
        <w:rPr>
          <w:rFonts w:eastAsia="Google Sans"/>
          <w:color w:val="1F1F1F"/>
        </w:rPr>
        <w:t xml:space="preserve"> </w:t>
      </w:r>
      <w:r w:rsidR="00FD1F65">
        <w:rPr>
          <w:rFonts w:eastAsia="Google Sans"/>
          <w:color w:val="1F1F1F"/>
        </w:rPr>
        <w:t>Ferdoushi Rahman Monju</w:t>
      </w:r>
    </w:p>
    <w:p w14:paraId="2AB97B0E" w14:textId="630FCB45" w:rsidR="00B214B0" w:rsidRDefault="00D05999">
      <w:pPr>
        <w:spacing w:after="187" w:line="275" w:lineRule="auto"/>
        <w:jc w:val="both"/>
        <w:rPr>
          <w:rFonts w:eastAsia="Google Sans"/>
          <w:color w:val="1F1F1F"/>
        </w:rPr>
      </w:pPr>
      <w:r>
        <w:rPr>
          <w:rFonts w:eastAsia="Google Sans"/>
          <w:b/>
          <w:bCs/>
          <w:color w:val="1F1F1F"/>
        </w:rPr>
        <w:t>Student ID:</w:t>
      </w:r>
      <w:r>
        <w:rPr>
          <w:rFonts w:eastAsia="Google Sans"/>
          <w:color w:val="1F1F1F"/>
        </w:rPr>
        <w:t xml:space="preserve"> </w:t>
      </w:r>
      <w:r w:rsidR="00A16CED">
        <w:rPr>
          <w:rFonts w:eastAsia="Google Sans"/>
          <w:color w:val="1F1F1F"/>
        </w:rPr>
        <w:t>2430137</w:t>
      </w:r>
    </w:p>
    <w:p w14:paraId="2AB97B0F" w14:textId="1C866E00" w:rsidR="00B214B0" w:rsidRDefault="00D05999">
      <w:pPr>
        <w:spacing w:after="187" w:line="275" w:lineRule="auto"/>
        <w:jc w:val="both"/>
        <w:rPr>
          <w:rFonts w:eastAsia="Google Sans"/>
          <w:color w:val="1F1F1F"/>
        </w:rPr>
      </w:pPr>
      <w:r>
        <w:rPr>
          <w:rFonts w:eastAsia="Google Sans"/>
          <w:b/>
          <w:bCs/>
          <w:color w:val="1F1F1F"/>
        </w:rPr>
        <w:t>Module Name:</w:t>
      </w:r>
      <w:r>
        <w:rPr>
          <w:rFonts w:eastAsia="Google Sans"/>
          <w:color w:val="1F1F1F"/>
        </w:rPr>
        <w:t xml:space="preserve"> </w:t>
      </w:r>
      <w:r w:rsidR="00D26754">
        <w:rPr>
          <w:rFonts w:eastAsia="Google Sans"/>
          <w:color w:val="1F1F1F"/>
        </w:rPr>
        <w:t>Prot</w:t>
      </w:r>
      <w:r w:rsidR="009E413B">
        <w:rPr>
          <w:rFonts w:eastAsia="Google Sans"/>
          <w:color w:val="1F1F1F"/>
        </w:rPr>
        <w:t xml:space="preserve">ecting and </w:t>
      </w:r>
      <w:r w:rsidR="008363CD">
        <w:rPr>
          <w:rFonts w:eastAsia="Google Sans"/>
          <w:color w:val="1F1F1F"/>
        </w:rPr>
        <w:t>Supporting Families in Health</w:t>
      </w:r>
      <w:r w:rsidR="00317759">
        <w:rPr>
          <w:rFonts w:eastAsia="Google Sans"/>
          <w:color w:val="1F1F1F"/>
        </w:rPr>
        <w:t xml:space="preserve"> and </w:t>
      </w:r>
      <w:r w:rsidR="0055780B">
        <w:rPr>
          <w:rFonts w:eastAsia="Google Sans"/>
          <w:color w:val="1F1F1F"/>
        </w:rPr>
        <w:t>Care</w:t>
      </w:r>
    </w:p>
    <w:p w14:paraId="2AB97B10" w14:textId="7BC7ACC9" w:rsidR="00B214B0" w:rsidRDefault="00D05999">
      <w:pPr>
        <w:spacing w:after="187" w:line="275" w:lineRule="auto"/>
        <w:jc w:val="both"/>
        <w:rPr>
          <w:rFonts w:eastAsia="Google Sans"/>
          <w:color w:val="1F1F1F"/>
        </w:rPr>
      </w:pPr>
      <w:r>
        <w:rPr>
          <w:rFonts w:eastAsia="Google Sans"/>
          <w:b/>
          <w:bCs/>
          <w:color w:val="1F1F1F"/>
        </w:rPr>
        <w:t>Module Code:</w:t>
      </w:r>
      <w:r>
        <w:rPr>
          <w:rFonts w:eastAsia="Google Sans"/>
          <w:color w:val="1F1F1F"/>
        </w:rPr>
        <w:t xml:space="preserve"> </w:t>
      </w:r>
      <w:r w:rsidR="0055780B">
        <w:rPr>
          <w:rFonts w:eastAsia="Google Sans"/>
          <w:color w:val="1F1F1F"/>
        </w:rPr>
        <w:t>BMHP5021</w:t>
      </w:r>
    </w:p>
    <w:p w14:paraId="2AB97B11" w14:textId="3F0DE142" w:rsidR="00B214B0" w:rsidRDefault="00D05999">
      <w:pPr>
        <w:spacing w:after="187" w:line="275" w:lineRule="auto"/>
        <w:jc w:val="both"/>
        <w:rPr>
          <w:rFonts w:eastAsia="Google Sans"/>
          <w:color w:val="1F1F1F"/>
        </w:rPr>
      </w:pPr>
      <w:r>
        <w:rPr>
          <w:rFonts w:eastAsia="Google Sans"/>
          <w:b/>
          <w:bCs/>
          <w:color w:val="1F1F1F"/>
        </w:rPr>
        <w:t>Lecturer Name:</w:t>
      </w:r>
      <w:r>
        <w:rPr>
          <w:rFonts w:eastAsia="Google Sans"/>
          <w:color w:val="1F1F1F"/>
        </w:rPr>
        <w:t xml:space="preserve"> </w:t>
      </w:r>
      <w:r w:rsidR="00827F39">
        <w:rPr>
          <w:rFonts w:eastAsia="Google Sans"/>
          <w:color w:val="1F1F1F"/>
        </w:rPr>
        <w:t>Shaila Hussain</w:t>
      </w:r>
    </w:p>
    <w:p w14:paraId="2AB97B12" w14:textId="72D996B0" w:rsidR="00B214B0" w:rsidRDefault="00D05999">
      <w:pPr>
        <w:spacing w:after="187" w:line="275" w:lineRule="auto"/>
        <w:jc w:val="both"/>
        <w:rPr>
          <w:rFonts w:eastAsia="Google Sans"/>
          <w:color w:val="1F1F1F"/>
        </w:rPr>
      </w:pPr>
      <w:r>
        <w:rPr>
          <w:rFonts w:eastAsia="Google Sans"/>
          <w:b/>
          <w:bCs/>
          <w:color w:val="1F1F1F"/>
        </w:rPr>
        <w:t>Assessment (REPORT):</w:t>
      </w:r>
      <w:r>
        <w:rPr>
          <w:rFonts w:eastAsia="Google Sans"/>
          <w:color w:val="1F1F1F"/>
        </w:rPr>
        <w:t xml:space="preserve"> An examination and analysis of how the ‘Early Help’ system is signposted to UK families by their local authority website.</w:t>
      </w:r>
      <w:r w:rsidR="00BF5CD6">
        <w:rPr>
          <w:rFonts w:eastAsia="Google Sans"/>
          <w:color w:val="1F1F1F"/>
        </w:rPr>
        <w:t xml:space="preserve">  </w:t>
      </w:r>
    </w:p>
    <w:p w14:paraId="07272B97" w14:textId="77777777" w:rsidR="00BF5CD6" w:rsidRDefault="00BF5CD6">
      <w:pPr>
        <w:spacing w:after="187" w:line="275" w:lineRule="auto"/>
        <w:jc w:val="both"/>
        <w:rPr>
          <w:rFonts w:eastAsia="Google Sans"/>
          <w:color w:val="1F1F1F"/>
        </w:rPr>
      </w:pPr>
    </w:p>
    <w:p w14:paraId="53A76CE3" w14:textId="77777777" w:rsidR="00BF5CD6" w:rsidRDefault="00BF5CD6">
      <w:pPr>
        <w:spacing w:after="187" w:line="275" w:lineRule="auto"/>
        <w:jc w:val="both"/>
        <w:rPr>
          <w:rFonts w:eastAsia="Google Sans"/>
          <w:color w:val="1F1F1F"/>
        </w:rPr>
      </w:pPr>
    </w:p>
    <w:p w14:paraId="4C0F61D8" w14:textId="77777777" w:rsidR="00BF5CD6" w:rsidRDefault="00BF5CD6">
      <w:pPr>
        <w:spacing w:after="187" w:line="275" w:lineRule="auto"/>
        <w:jc w:val="both"/>
        <w:rPr>
          <w:rFonts w:eastAsia="Google Sans"/>
          <w:color w:val="1F1F1F"/>
        </w:rPr>
      </w:pPr>
    </w:p>
    <w:p w14:paraId="254C296E" w14:textId="77777777" w:rsidR="00BF5CD6" w:rsidRDefault="00BF5CD6">
      <w:pPr>
        <w:spacing w:after="187" w:line="275" w:lineRule="auto"/>
        <w:jc w:val="both"/>
        <w:rPr>
          <w:rFonts w:eastAsia="Google Sans"/>
          <w:color w:val="1F1F1F"/>
        </w:rPr>
      </w:pPr>
    </w:p>
    <w:p w14:paraId="6660A039" w14:textId="77777777" w:rsidR="00BF5CD6" w:rsidRDefault="00BF5CD6">
      <w:pPr>
        <w:spacing w:after="187" w:line="275" w:lineRule="auto"/>
        <w:jc w:val="both"/>
        <w:rPr>
          <w:rFonts w:eastAsia="Google Sans"/>
          <w:color w:val="1F1F1F"/>
        </w:rPr>
      </w:pPr>
    </w:p>
    <w:p w14:paraId="3C4300E7" w14:textId="77777777" w:rsidR="00BF5CD6" w:rsidRDefault="00BF5CD6">
      <w:pPr>
        <w:spacing w:after="187" w:line="275" w:lineRule="auto"/>
        <w:jc w:val="both"/>
        <w:rPr>
          <w:rFonts w:eastAsia="Google Sans"/>
          <w:color w:val="1F1F1F"/>
        </w:rPr>
      </w:pPr>
    </w:p>
    <w:p w14:paraId="4F765618" w14:textId="77777777" w:rsidR="00BF5CD6" w:rsidRDefault="00BF5CD6">
      <w:pPr>
        <w:spacing w:after="187" w:line="275" w:lineRule="auto"/>
        <w:jc w:val="both"/>
        <w:rPr>
          <w:rFonts w:eastAsia="Google Sans"/>
          <w:color w:val="1F1F1F"/>
        </w:rPr>
      </w:pPr>
    </w:p>
    <w:p w14:paraId="4F211095" w14:textId="77777777" w:rsidR="00BF5CD6" w:rsidRDefault="00BF5CD6">
      <w:pPr>
        <w:spacing w:after="187" w:line="275" w:lineRule="auto"/>
        <w:jc w:val="both"/>
        <w:rPr>
          <w:rFonts w:eastAsia="Google Sans"/>
          <w:color w:val="1F1F1F"/>
        </w:rPr>
      </w:pPr>
    </w:p>
    <w:p w14:paraId="2A9D970F" w14:textId="77777777" w:rsidR="00BF5CD6" w:rsidRDefault="00BF5CD6">
      <w:pPr>
        <w:spacing w:after="187" w:line="275" w:lineRule="auto"/>
        <w:jc w:val="both"/>
        <w:rPr>
          <w:rFonts w:eastAsia="Google Sans"/>
          <w:color w:val="1F1F1F"/>
        </w:rPr>
      </w:pPr>
    </w:p>
    <w:p w14:paraId="223626F0" w14:textId="77777777" w:rsidR="00BF5CD6" w:rsidRDefault="00BF5CD6">
      <w:pPr>
        <w:spacing w:after="187" w:line="275" w:lineRule="auto"/>
        <w:jc w:val="both"/>
        <w:rPr>
          <w:rFonts w:eastAsia="Google Sans"/>
          <w:color w:val="1F1F1F"/>
        </w:rPr>
      </w:pPr>
    </w:p>
    <w:p w14:paraId="76B135A3" w14:textId="77777777" w:rsidR="001D6DB6" w:rsidRDefault="001D6DB6">
      <w:pPr>
        <w:pStyle w:val="Heading2"/>
        <w:spacing w:before="0" w:after="120" w:line="275" w:lineRule="auto"/>
        <w:jc w:val="both"/>
        <w:rPr>
          <w:rFonts w:eastAsia="Google Sans"/>
          <w:color w:val="1F1F1F"/>
          <w:sz w:val="28"/>
          <w:szCs w:val="28"/>
        </w:rPr>
      </w:pPr>
    </w:p>
    <w:p w14:paraId="2AB97B13" w14:textId="19A21567" w:rsidR="00B214B0" w:rsidRPr="001806F0" w:rsidRDefault="003C5ECD">
      <w:pPr>
        <w:pStyle w:val="Heading2"/>
        <w:spacing w:before="0" w:after="120" w:line="275" w:lineRule="auto"/>
        <w:jc w:val="both"/>
        <w:rPr>
          <w:rFonts w:eastAsia="Google Sans"/>
          <w:color w:val="1F1F1F"/>
          <w:sz w:val="24"/>
          <w:szCs w:val="24"/>
        </w:rPr>
      </w:pPr>
      <w:r w:rsidRPr="001806F0">
        <w:rPr>
          <w:rFonts w:eastAsia="Google Sans"/>
          <w:color w:val="1F1F1F"/>
          <w:sz w:val="24"/>
          <w:szCs w:val="24"/>
        </w:rPr>
        <w:lastRenderedPageBreak/>
        <w:t>1</w:t>
      </w:r>
      <w:r w:rsidR="00FF01A1" w:rsidRPr="001806F0">
        <w:rPr>
          <w:rFonts w:eastAsia="Google Sans"/>
          <w:color w:val="1F1F1F"/>
          <w:sz w:val="24"/>
          <w:szCs w:val="24"/>
        </w:rPr>
        <w:t>.</w:t>
      </w:r>
      <w:r w:rsidR="00D05999" w:rsidRPr="001806F0">
        <w:rPr>
          <w:rFonts w:eastAsia="Google Sans"/>
          <w:color w:val="1F1F1F"/>
          <w:sz w:val="24"/>
          <w:szCs w:val="24"/>
        </w:rPr>
        <w:t xml:space="preserve"> Introduction</w:t>
      </w:r>
    </w:p>
    <w:p w14:paraId="2AB97B14" w14:textId="77777777" w:rsidR="00B214B0" w:rsidRDefault="00D05999">
      <w:pPr>
        <w:spacing w:after="187" w:line="275" w:lineRule="auto"/>
        <w:jc w:val="both"/>
        <w:rPr>
          <w:rFonts w:eastAsia="Google Sans"/>
          <w:color w:val="1F1F1F"/>
        </w:rPr>
      </w:pPr>
      <w:r>
        <w:rPr>
          <w:rFonts w:eastAsia="Google Sans"/>
          <w:color w:val="1F1F1F"/>
        </w:rPr>
        <w:t xml:space="preserve">Early Help operates as an integrated local partnership system rather than a single, isolated service. As articulated in the national framework </w:t>
      </w:r>
      <w:r>
        <w:rPr>
          <w:rFonts w:eastAsia="Google Sans"/>
          <w:i/>
          <w:iCs/>
          <w:color w:val="1F1F1F"/>
        </w:rPr>
        <w:t>Supporting Families: Early Help System Guide</w:t>
      </w:r>
      <w:r>
        <w:rPr>
          <w:rFonts w:eastAsia="Google Sans"/>
          <w:color w:val="1F1F1F"/>
        </w:rPr>
        <w:t>, a mature local Early Help system relies on strategic partners sharing collective responsibility to identify emerging family difficulties and deliver proportionate support before problems escalate into complex crises (Department for Education and Department for Levelling Up, Housing and Communities, 2022). Operating at the intersection of universal provision and statutory social care, Early Help establishes a continuum of support grounded in consent, multi-agency collaboration, and preventative intervention. It works in tandem with child protection frameworks, providing early support while maintaining seamless escalation pathways when a child is at risk of significant harm.</w:t>
      </w:r>
    </w:p>
    <w:p w14:paraId="2AB97B15" w14:textId="11276C23" w:rsidR="00B214B0" w:rsidRDefault="00D05999">
      <w:pPr>
        <w:spacing w:after="187" w:line="275" w:lineRule="auto"/>
        <w:jc w:val="both"/>
        <w:rPr>
          <w:rFonts w:eastAsia="Google Sans"/>
          <w:color w:val="1F1F1F"/>
        </w:rPr>
      </w:pPr>
      <w:r>
        <w:rPr>
          <w:rFonts w:eastAsia="Google Sans"/>
          <w:color w:val="1F1F1F"/>
        </w:rPr>
        <w:t xml:space="preserve">The statutory foundation governing this collaborative architecture is </w:t>
      </w:r>
      <w:r>
        <w:rPr>
          <w:rFonts w:eastAsia="Google Sans"/>
          <w:i/>
          <w:iCs/>
          <w:color w:val="1F1F1F"/>
        </w:rPr>
        <w:t>Working Together to Safeguard Children 2026</w:t>
      </w:r>
      <w:r>
        <w:rPr>
          <w:rFonts w:eastAsia="Google Sans"/>
          <w:color w:val="1F1F1F"/>
        </w:rPr>
        <w:t xml:space="preserve">, which sets out multi-agency duties across local authorities, healthcare, education, the police, and voluntary sector </w:t>
      </w:r>
      <w:r w:rsidR="006A083B">
        <w:rPr>
          <w:rFonts w:eastAsia="Google Sans"/>
          <w:color w:val="1F1F1F"/>
        </w:rPr>
        <w:t>organisations</w:t>
      </w:r>
      <w:r>
        <w:rPr>
          <w:rFonts w:eastAsia="Google Sans"/>
          <w:color w:val="1F1F1F"/>
        </w:rPr>
        <w:t xml:space="preserve"> (Department for Education, 2026). Because a local authority website serves as the primary digital "front door" for families seeking support, its layout, language, navigation, and service signposting directly influence whether families receive timely support or encounter administrative barriers.</w:t>
      </w:r>
    </w:p>
    <w:p w14:paraId="2AB97B16" w14:textId="77777777" w:rsidR="00B214B0" w:rsidRDefault="00D05999">
      <w:pPr>
        <w:spacing w:after="120" w:line="275" w:lineRule="auto"/>
        <w:jc w:val="both"/>
        <w:rPr>
          <w:rFonts w:eastAsia="Google Sans"/>
          <w:color w:val="1F1F1F"/>
        </w:rPr>
      </w:pPr>
      <w:r>
        <w:rPr>
          <w:rFonts w:eastAsia="Google Sans"/>
          <w:color w:val="1F1F1F"/>
        </w:rPr>
        <w:t>This report evaluates and compares the digital signposting of Early Help and family support services provided by three UK local authorities:</w:t>
      </w:r>
    </w:p>
    <w:p w14:paraId="2AB97B17" w14:textId="77777777" w:rsidR="00B214B0" w:rsidRDefault="00D05999">
      <w:pPr>
        <w:spacing w:line="275" w:lineRule="auto"/>
        <w:ind w:left="105"/>
        <w:jc w:val="both"/>
      </w:pPr>
      <w:r>
        <w:rPr>
          <w:rFonts w:eastAsia="Google Sans"/>
          <w:b/>
          <w:bCs/>
          <w:color w:val="1F1F1F"/>
          <w:lang w:val="en-US"/>
        </w:rPr>
        <w:t xml:space="preserve">1. </w:t>
      </w:r>
      <w:r>
        <w:rPr>
          <w:rFonts w:eastAsia="Google Sans"/>
          <w:b/>
          <w:bCs/>
          <w:color w:val="1F1F1F"/>
        </w:rPr>
        <w:t>Leicester City Council</w:t>
      </w:r>
      <w:r>
        <w:rPr>
          <w:rFonts w:eastAsia="Google Sans"/>
          <w:color w:val="1F1F1F"/>
        </w:rPr>
        <w:t xml:space="preserve"> (https://www.leicester.gov.uk)</w:t>
      </w:r>
    </w:p>
    <w:p w14:paraId="2AB97B18" w14:textId="77777777" w:rsidR="00B214B0" w:rsidRDefault="00D05999">
      <w:pPr>
        <w:spacing w:line="275" w:lineRule="auto"/>
        <w:ind w:left="105"/>
        <w:jc w:val="both"/>
      </w:pPr>
      <w:r>
        <w:rPr>
          <w:rFonts w:eastAsia="Google Sans"/>
          <w:b/>
          <w:bCs/>
          <w:color w:val="1F1F1F"/>
          <w:lang w:val="en-US"/>
        </w:rPr>
        <w:t xml:space="preserve">2. </w:t>
      </w:r>
      <w:r>
        <w:rPr>
          <w:rFonts w:eastAsia="Google Sans"/>
          <w:b/>
          <w:bCs/>
          <w:color w:val="1F1F1F"/>
        </w:rPr>
        <w:t>Norfolk County Council</w:t>
      </w:r>
      <w:r>
        <w:rPr>
          <w:rFonts w:eastAsia="Google Sans"/>
          <w:color w:val="1F1F1F"/>
        </w:rPr>
        <w:t xml:space="preserve"> (https://www.norfolk.gov.uk/)</w:t>
      </w:r>
    </w:p>
    <w:p w14:paraId="2AB97B19" w14:textId="77777777" w:rsidR="00B214B0" w:rsidRDefault="00D05999">
      <w:pPr>
        <w:spacing w:after="120" w:line="275" w:lineRule="auto"/>
        <w:ind w:left="105"/>
        <w:jc w:val="both"/>
      </w:pPr>
      <w:r>
        <w:rPr>
          <w:rFonts w:eastAsia="Google Sans"/>
          <w:b/>
          <w:bCs/>
          <w:color w:val="1F1F1F"/>
          <w:lang w:val="en-US"/>
        </w:rPr>
        <w:t xml:space="preserve">3. </w:t>
      </w:r>
      <w:r>
        <w:rPr>
          <w:rFonts w:eastAsia="Google Sans"/>
          <w:b/>
          <w:bCs/>
          <w:color w:val="1F1F1F"/>
        </w:rPr>
        <w:t>Tower Hamlets Council</w:t>
      </w:r>
      <w:r>
        <w:rPr>
          <w:rFonts w:eastAsia="Google Sans"/>
          <w:color w:val="1F1F1F"/>
        </w:rPr>
        <w:t xml:space="preserve"> (https://www.towerhamlets.gov.uk/)</w:t>
      </w:r>
    </w:p>
    <w:p w14:paraId="2AB97B1A" w14:textId="2512D314" w:rsidR="00B214B0" w:rsidRDefault="00D05999">
      <w:pPr>
        <w:spacing w:before="120" w:after="187" w:line="275" w:lineRule="auto"/>
        <w:jc w:val="both"/>
        <w:rPr>
          <w:rFonts w:eastAsia="Google Sans"/>
          <w:color w:val="1F1F1F"/>
        </w:rPr>
      </w:pPr>
      <w:r>
        <w:rPr>
          <w:rFonts w:eastAsia="Google Sans"/>
          <w:color w:val="1F1F1F"/>
        </w:rPr>
        <w:t xml:space="preserve">These local authorities represent three distinct service models: Leicester adopts a practice-led framework </w:t>
      </w:r>
      <w:r w:rsidR="00283904">
        <w:rPr>
          <w:rFonts w:eastAsia="Google Sans"/>
          <w:color w:val="1F1F1F"/>
        </w:rPr>
        <w:t>centred</w:t>
      </w:r>
      <w:r>
        <w:rPr>
          <w:rFonts w:eastAsia="Google Sans"/>
          <w:color w:val="1F1F1F"/>
        </w:rPr>
        <w:t xml:space="preserve"> on Signs of Safety; Norfolk </w:t>
      </w:r>
      <w:r w:rsidR="00283904">
        <w:rPr>
          <w:rFonts w:eastAsia="Google Sans"/>
          <w:color w:val="1F1F1F"/>
        </w:rPr>
        <w:t>emphasises</w:t>
      </w:r>
      <w:r>
        <w:rPr>
          <w:rFonts w:eastAsia="Google Sans"/>
          <w:color w:val="1F1F1F"/>
        </w:rPr>
        <w:t xml:space="preserve"> a place-based, community-focused Family Hub model; and Tower Hamlets </w:t>
      </w:r>
      <w:r w:rsidR="00283904">
        <w:rPr>
          <w:rFonts w:eastAsia="Google Sans"/>
          <w:color w:val="1F1F1F"/>
        </w:rPr>
        <w:t>utilises</w:t>
      </w:r>
      <w:r>
        <w:rPr>
          <w:rFonts w:eastAsia="Google Sans"/>
          <w:color w:val="1F1F1F"/>
        </w:rPr>
        <w:t xml:space="preserve"> a structurally integrated multi-agency front door through its Multi-Agency Support Team (MAST).</w:t>
      </w:r>
    </w:p>
    <w:p w14:paraId="2AB97B1B" w14:textId="64AF9713" w:rsidR="00B214B0" w:rsidRDefault="00D05999">
      <w:pPr>
        <w:spacing w:after="187" w:line="275" w:lineRule="auto"/>
        <w:jc w:val="both"/>
        <w:rPr>
          <w:rFonts w:eastAsia="Google Sans"/>
          <w:color w:val="1F1F1F"/>
        </w:rPr>
      </w:pPr>
      <w:r>
        <w:rPr>
          <w:rFonts w:eastAsia="Google Sans"/>
          <w:color w:val="1F1F1F"/>
        </w:rPr>
        <w:t xml:space="preserve">The report is structured into three subsequent sections. Section 2 provides a theoretical and statutory analysis of Early Help and multi-agency working, evaluates each council website across core user-experience criteria, and presents a narrative comparative synthesis. Section 3 </w:t>
      </w:r>
      <w:r w:rsidR="00283904">
        <w:rPr>
          <w:rFonts w:eastAsia="Google Sans"/>
          <w:color w:val="1F1F1F"/>
        </w:rPr>
        <w:t>summarises</w:t>
      </w:r>
      <w:r>
        <w:rPr>
          <w:rFonts w:eastAsia="Google Sans"/>
          <w:color w:val="1F1F1F"/>
        </w:rPr>
        <w:t xml:space="preserve"> the comparative findings and concludes which authority provides the most effective digital front door. Finally, Section 4 outlines strategic, evidence-based recommendations for local authorities to enhance digital accessibility and family navigation.</w:t>
      </w:r>
    </w:p>
    <w:p w14:paraId="65A46D06" w14:textId="77777777" w:rsidR="0049555A" w:rsidRDefault="0049555A">
      <w:pPr>
        <w:pStyle w:val="Heading2"/>
        <w:spacing w:before="0" w:after="120" w:line="275" w:lineRule="auto"/>
        <w:jc w:val="both"/>
        <w:rPr>
          <w:rFonts w:eastAsia="Google Sans"/>
          <w:color w:val="1F1F1F"/>
          <w:sz w:val="22"/>
          <w:szCs w:val="22"/>
        </w:rPr>
      </w:pPr>
    </w:p>
    <w:p w14:paraId="0307397D" w14:textId="77777777" w:rsidR="0049555A" w:rsidRDefault="0049555A">
      <w:pPr>
        <w:pStyle w:val="Heading2"/>
        <w:spacing w:before="0" w:after="120" w:line="275" w:lineRule="auto"/>
        <w:jc w:val="both"/>
        <w:rPr>
          <w:rFonts w:eastAsia="Google Sans"/>
          <w:color w:val="1F1F1F"/>
          <w:sz w:val="22"/>
          <w:szCs w:val="22"/>
        </w:rPr>
      </w:pPr>
    </w:p>
    <w:p w14:paraId="5A6FA701" w14:textId="77777777" w:rsidR="0049555A" w:rsidRDefault="0049555A">
      <w:pPr>
        <w:pStyle w:val="Heading2"/>
        <w:spacing w:before="0" w:after="120" w:line="275" w:lineRule="auto"/>
        <w:jc w:val="both"/>
        <w:rPr>
          <w:rFonts w:eastAsia="Google Sans"/>
          <w:color w:val="1F1F1F"/>
          <w:sz w:val="22"/>
          <w:szCs w:val="22"/>
        </w:rPr>
      </w:pPr>
    </w:p>
    <w:p w14:paraId="3BD2CB1E" w14:textId="77777777" w:rsidR="0049555A" w:rsidRDefault="0049555A">
      <w:pPr>
        <w:pStyle w:val="Heading2"/>
        <w:spacing w:before="0" w:after="120" w:line="275" w:lineRule="auto"/>
        <w:jc w:val="both"/>
        <w:rPr>
          <w:rFonts w:eastAsia="Google Sans"/>
          <w:color w:val="1F1F1F"/>
          <w:sz w:val="22"/>
          <w:szCs w:val="22"/>
        </w:rPr>
      </w:pPr>
    </w:p>
    <w:p w14:paraId="12452F8F" w14:textId="77777777" w:rsidR="0049555A" w:rsidRDefault="0049555A">
      <w:pPr>
        <w:pStyle w:val="Heading2"/>
        <w:spacing w:before="0" w:after="120" w:line="275" w:lineRule="auto"/>
        <w:jc w:val="both"/>
        <w:rPr>
          <w:rFonts w:eastAsia="Google Sans"/>
          <w:color w:val="1F1F1F"/>
          <w:sz w:val="22"/>
          <w:szCs w:val="22"/>
        </w:rPr>
      </w:pPr>
    </w:p>
    <w:p w14:paraId="28A546F2" w14:textId="77777777" w:rsidR="003C5ECD" w:rsidRDefault="003C5ECD">
      <w:pPr>
        <w:pStyle w:val="Heading2"/>
        <w:spacing w:before="0" w:after="120" w:line="275" w:lineRule="auto"/>
        <w:jc w:val="both"/>
        <w:rPr>
          <w:rFonts w:eastAsia="Google Sans"/>
          <w:color w:val="1F1F1F"/>
          <w:sz w:val="22"/>
          <w:szCs w:val="22"/>
        </w:rPr>
      </w:pPr>
    </w:p>
    <w:p w14:paraId="2AB97B1C" w14:textId="30C8F680" w:rsidR="00B214B0" w:rsidRPr="00FF01A1" w:rsidRDefault="00D05999">
      <w:pPr>
        <w:pStyle w:val="Heading2"/>
        <w:spacing w:before="0" w:after="120" w:line="275" w:lineRule="auto"/>
        <w:jc w:val="both"/>
        <w:rPr>
          <w:rFonts w:eastAsia="Google Sans"/>
          <w:color w:val="1F1F1F"/>
          <w:sz w:val="24"/>
          <w:szCs w:val="24"/>
        </w:rPr>
      </w:pPr>
      <w:r w:rsidRPr="00FF01A1">
        <w:rPr>
          <w:rFonts w:eastAsia="Google Sans"/>
          <w:color w:val="1F1F1F"/>
          <w:sz w:val="24"/>
          <w:szCs w:val="24"/>
        </w:rPr>
        <w:lastRenderedPageBreak/>
        <w:t>2. Main Body</w:t>
      </w:r>
    </w:p>
    <w:p w14:paraId="2AB97B1D" w14:textId="77777777" w:rsidR="00B214B0" w:rsidRDefault="00D05999">
      <w:pPr>
        <w:pStyle w:val="Heading3"/>
        <w:spacing w:before="0" w:after="120" w:line="275" w:lineRule="auto"/>
        <w:jc w:val="both"/>
        <w:rPr>
          <w:rFonts w:eastAsia="Google Sans"/>
          <w:color w:val="1F1F1F"/>
          <w:sz w:val="22"/>
          <w:szCs w:val="22"/>
        </w:rPr>
      </w:pPr>
      <w:r>
        <w:rPr>
          <w:rFonts w:eastAsia="Google Sans"/>
          <w:color w:val="1F1F1F"/>
          <w:sz w:val="22"/>
          <w:szCs w:val="22"/>
        </w:rPr>
        <w:t>2.1 The Early Help System</w:t>
      </w:r>
    </w:p>
    <w:p w14:paraId="2AB97B1E" w14:textId="77777777" w:rsidR="00B214B0" w:rsidRDefault="00D05999">
      <w:pPr>
        <w:spacing w:after="187" w:line="275" w:lineRule="auto"/>
        <w:jc w:val="both"/>
        <w:rPr>
          <w:rFonts w:eastAsia="Google Sans"/>
          <w:color w:val="1F1F1F"/>
        </w:rPr>
      </w:pPr>
      <w:r>
        <w:rPr>
          <w:rFonts w:eastAsia="Google Sans"/>
          <w:color w:val="1F1F1F"/>
        </w:rPr>
        <w:t xml:space="preserve">The core purpose of Early Help is to address family needs at the earliest opportunity. As outlined in </w:t>
      </w:r>
      <w:r>
        <w:rPr>
          <w:rFonts w:eastAsia="Google Sans"/>
          <w:i/>
          <w:iCs/>
          <w:color w:val="1F1F1F"/>
        </w:rPr>
        <w:t>Supporting Families: Early Help System Guide</w:t>
      </w:r>
      <w:r>
        <w:rPr>
          <w:rFonts w:eastAsia="Google Sans"/>
          <w:color w:val="1F1F1F"/>
        </w:rPr>
        <w:t>, Early Help is a multi-agency ecosystem where universal, targeted, and specialist provisions coordinate support around holistic family needs (Department for Education and Department for Levelling Up, Housing and Communities, 2022). Support spans diverse challenges, including parenting capacity, emotional wellbeing, educational attendance, domestic abuse prevention, housing precarity, financial instability, youth support, and assistance for children with special educational needs and disabilities (SEND). Early Help also provides crucial step-down support for families transitioning away from statutory social care (Brandon et al., 2018).</w:t>
      </w:r>
    </w:p>
    <w:p w14:paraId="2AB97B1F" w14:textId="77777777" w:rsidR="00B214B0" w:rsidRDefault="00D05999">
      <w:pPr>
        <w:spacing w:after="187" w:line="275" w:lineRule="auto"/>
        <w:jc w:val="both"/>
        <w:rPr>
          <w:rFonts w:eastAsia="Google Sans"/>
          <w:color w:val="1F1F1F"/>
        </w:rPr>
      </w:pPr>
      <w:r>
        <w:rPr>
          <w:rFonts w:eastAsia="Google Sans"/>
          <w:color w:val="1F1F1F"/>
        </w:rPr>
        <w:t>Because families facing challenges rarely search online using formal administrative terms such as "graduated threshold" or "Early Help Assessment" (Sidebotham et al., 2016), effective digital signposting requires plain English, concrete examples of family challenges, clear eligibility criteria, direct self-referral mechanisms, and an explicit distinction between voluntary support and emergency safeguarding. This child-centred approach mirrors Munro’s (2011) principle of eliminating institutional barriers to enable informed decision-making by families and practitioners alike.</w:t>
      </w:r>
    </w:p>
    <w:p w14:paraId="2AB97B20" w14:textId="77777777" w:rsidR="00B214B0" w:rsidRDefault="00D05999">
      <w:pPr>
        <w:pStyle w:val="Heading3"/>
        <w:spacing w:before="0" w:after="120" w:line="275" w:lineRule="auto"/>
        <w:jc w:val="both"/>
        <w:rPr>
          <w:rFonts w:eastAsia="Google Sans"/>
          <w:color w:val="1F1F1F"/>
          <w:sz w:val="22"/>
          <w:szCs w:val="22"/>
        </w:rPr>
      </w:pPr>
      <w:r>
        <w:rPr>
          <w:rFonts w:eastAsia="Google Sans"/>
          <w:color w:val="1F1F1F"/>
          <w:sz w:val="22"/>
          <w:szCs w:val="22"/>
        </w:rPr>
        <w:t>2.2 Multi-Agency and Interdisciplinary Working</w:t>
      </w:r>
    </w:p>
    <w:p w14:paraId="2AB97B21" w14:textId="308EE54D" w:rsidR="00B214B0" w:rsidRDefault="00D05999">
      <w:pPr>
        <w:spacing w:after="187" w:line="275" w:lineRule="auto"/>
        <w:jc w:val="both"/>
        <w:rPr>
          <w:rFonts w:eastAsia="Google Sans"/>
          <w:color w:val="1F1F1F"/>
        </w:rPr>
      </w:pPr>
      <w:r>
        <w:rPr>
          <w:rFonts w:eastAsia="Google Sans"/>
          <w:color w:val="1F1F1F"/>
        </w:rPr>
        <w:t xml:space="preserve">Multi-agency working refers to the collaborative policy framework where professionals from social care, education, early years, health, police, housing, and voluntary </w:t>
      </w:r>
      <w:r w:rsidR="00283904">
        <w:rPr>
          <w:rFonts w:eastAsia="Google Sans"/>
          <w:color w:val="1F1F1F"/>
        </w:rPr>
        <w:t>organisations</w:t>
      </w:r>
      <w:r>
        <w:rPr>
          <w:rFonts w:eastAsia="Google Sans"/>
          <w:color w:val="1F1F1F"/>
        </w:rPr>
        <w:t xml:space="preserve"> combine expertise and resources to support families (Anning et al., 2010). Interdisciplinary working deepens this collaboration by encouraging practitioners to work across traditional professional boundaries, </w:t>
      </w:r>
      <w:r w:rsidR="00283904">
        <w:rPr>
          <w:rFonts w:eastAsia="Google Sans"/>
          <w:color w:val="1F1F1F"/>
        </w:rPr>
        <w:t>utilising</w:t>
      </w:r>
      <w:r>
        <w:rPr>
          <w:rFonts w:eastAsia="Google Sans"/>
          <w:color w:val="1F1F1F"/>
        </w:rPr>
        <w:t xml:space="preserve"> shared assessment tools and holistic support plans. Interdisciplinary coordination is essential because complex family difficulties rarely occur in isolation; for example, chronic school absenteeism is frequently connected to parental mental health struggles, domestic abuse, or unaddressed learning needs (Laming, 2009).</w:t>
      </w:r>
    </w:p>
    <w:p w14:paraId="2AB97B22" w14:textId="2CAEA277" w:rsidR="00B214B0" w:rsidRDefault="00D05999">
      <w:pPr>
        <w:spacing w:after="187" w:line="275" w:lineRule="auto"/>
        <w:jc w:val="both"/>
        <w:rPr>
          <w:rFonts w:eastAsia="Google Sans"/>
          <w:color w:val="1F1F1F"/>
        </w:rPr>
      </w:pPr>
      <w:r>
        <w:rPr>
          <w:rFonts w:eastAsia="Google Sans"/>
          <w:color w:val="1F1F1F"/>
        </w:rPr>
        <w:t xml:space="preserve">Under </w:t>
      </w:r>
      <w:r>
        <w:rPr>
          <w:rFonts w:eastAsia="Google Sans"/>
          <w:i/>
          <w:iCs/>
          <w:color w:val="1F1F1F"/>
        </w:rPr>
        <w:t>Working Together to Safeguard Children 2026</w:t>
      </w:r>
      <w:r>
        <w:rPr>
          <w:rFonts w:eastAsia="Google Sans"/>
          <w:color w:val="1F1F1F"/>
        </w:rPr>
        <w:t xml:space="preserve">, multi-agency collaboration is established as a statutory requirement across local authorities, integrated care boards, and police forces (Department for Education, 2026). Effective joint working requires transparent information sharing, clear professional accountability, and active family participation. Establishing interdisciplinary working at the initial digital front door ensures family needs are </w:t>
      </w:r>
      <w:r w:rsidR="00283904">
        <w:rPr>
          <w:rFonts w:eastAsia="Google Sans"/>
          <w:color w:val="1F1F1F"/>
        </w:rPr>
        <w:t>recognised</w:t>
      </w:r>
      <w:r>
        <w:rPr>
          <w:rFonts w:eastAsia="Google Sans"/>
          <w:color w:val="1F1F1F"/>
        </w:rPr>
        <w:t xml:space="preserve"> holistically rather than fragmented across separate institutional channels.</w:t>
      </w:r>
    </w:p>
    <w:p w14:paraId="2AB97B23" w14:textId="77777777" w:rsidR="00B214B0" w:rsidRDefault="00D05999">
      <w:pPr>
        <w:pStyle w:val="Heading3"/>
        <w:spacing w:before="0" w:after="120" w:line="275" w:lineRule="auto"/>
        <w:jc w:val="both"/>
        <w:rPr>
          <w:rFonts w:eastAsia="Google Sans"/>
          <w:color w:val="1F1F1F"/>
          <w:sz w:val="22"/>
          <w:szCs w:val="22"/>
        </w:rPr>
      </w:pPr>
      <w:r>
        <w:rPr>
          <w:rFonts w:eastAsia="Google Sans"/>
          <w:color w:val="1F1F1F"/>
          <w:sz w:val="22"/>
          <w:szCs w:val="22"/>
        </w:rPr>
        <w:t>2.3 Evaluation of Leicester City Council Website</w:t>
      </w:r>
    </w:p>
    <w:p w14:paraId="2AB97B24" w14:textId="36577143" w:rsidR="00B214B0" w:rsidRDefault="00D05999">
      <w:pPr>
        <w:spacing w:after="187" w:line="275" w:lineRule="auto"/>
        <w:jc w:val="both"/>
        <w:rPr>
          <w:rFonts w:eastAsia="Google Sans"/>
          <w:color w:val="1F1F1F"/>
        </w:rPr>
      </w:pPr>
      <w:r>
        <w:rPr>
          <w:rFonts w:eastAsia="Google Sans"/>
          <w:color w:val="1F1F1F"/>
        </w:rPr>
        <w:t xml:space="preserve">Leicester City Council (https://www.leicester.gov.uk) delivers a practice-led digital approach to Early Help. Its platform explicitly communicates that support is available at the earliest emergence of need to prevent escalation, offering a direct contact telephone line and self-referral options for families (Leicester City Council, 2026a). The website provides clear, concrete examples of family needs, including child </w:t>
      </w:r>
      <w:r w:rsidR="00283904">
        <w:rPr>
          <w:rFonts w:eastAsia="Google Sans"/>
          <w:color w:val="1F1F1F"/>
        </w:rPr>
        <w:t>behaviour</w:t>
      </w:r>
      <w:r>
        <w:rPr>
          <w:rFonts w:eastAsia="Google Sans"/>
          <w:color w:val="1F1F1F"/>
        </w:rPr>
        <w:t>, emotional wellbeing, parenting support, housing challenges, and domestic abuse (Leicester City Council, 2026a).</w:t>
      </w:r>
    </w:p>
    <w:p w14:paraId="2AB97B25" w14:textId="2D3AC33A" w:rsidR="00B214B0" w:rsidRDefault="00D05999">
      <w:pPr>
        <w:spacing w:after="187" w:line="275" w:lineRule="auto"/>
        <w:jc w:val="both"/>
        <w:rPr>
          <w:rFonts w:eastAsia="Google Sans"/>
          <w:color w:val="1F1F1F"/>
        </w:rPr>
      </w:pPr>
      <w:r>
        <w:rPr>
          <w:rFonts w:eastAsia="Google Sans"/>
          <w:color w:val="1F1F1F"/>
        </w:rPr>
        <w:lastRenderedPageBreak/>
        <w:t xml:space="preserve">A major strength of Leicester's platform is its clear </w:t>
      </w:r>
      <w:r w:rsidR="00283904">
        <w:rPr>
          <w:rFonts w:eastAsia="Google Sans"/>
          <w:color w:val="1F1F1F"/>
        </w:rPr>
        <w:t>operationalisation</w:t>
      </w:r>
      <w:r>
        <w:rPr>
          <w:rFonts w:eastAsia="Google Sans"/>
          <w:color w:val="1F1F1F"/>
        </w:rPr>
        <w:t xml:space="preserve"> of the "team around the family" model. The site explains that a designated lead professional works collaboratively with the family, completes an Early Help Assessment, and coordinates multi-agency support (Leicester City Council, 2026b). Crucially, Leicester embeds the </w:t>
      </w:r>
      <w:r>
        <w:rPr>
          <w:rFonts w:eastAsia="Google Sans"/>
          <w:i/>
          <w:iCs/>
          <w:color w:val="1F1F1F"/>
        </w:rPr>
        <w:t>Signs of Safety</w:t>
      </w:r>
      <w:r>
        <w:rPr>
          <w:rFonts w:eastAsia="Google Sans"/>
          <w:color w:val="1F1F1F"/>
        </w:rPr>
        <w:t xml:space="preserve"> practice model across its Early Help infrastructure (Leicester City Council, 2026c). By structuring assessments around three core questions—what is working well, what are we worried about, and what needs to happen—the site establishes a transparent, </w:t>
      </w:r>
      <w:r w:rsidR="00283904">
        <w:rPr>
          <w:rFonts w:eastAsia="Google Sans"/>
          <w:color w:val="1F1F1F"/>
        </w:rPr>
        <w:t>child-centred</w:t>
      </w:r>
      <w:r>
        <w:rPr>
          <w:rFonts w:eastAsia="Google Sans"/>
          <w:color w:val="1F1F1F"/>
        </w:rPr>
        <w:t xml:space="preserve"> practice philosophy that demystifies multi-agency panel decisions.</w:t>
      </w:r>
    </w:p>
    <w:p w14:paraId="2AB97B26" w14:textId="77777777" w:rsidR="00B214B0" w:rsidRDefault="00D05999">
      <w:pPr>
        <w:spacing w:after="187" w:line="275" w:lineRule="auto"/>
        <w:jc w:val="both"/>
        <w:rPr>
          <w:rFonts w:eastAsia="Google Sans"/>
          <w:color w:val="1F1F1F"/>
        </w:rPr>
      </w:pPr>
      <w:r>
        <w:rPr>
          <w:rFonts w:eastAsia="Google Sans"/>
          <w:color w:val="1F1F1F"/>
        </w:rPr>
        <w:t>However, a significant limitation is that the public web pages attempt to serve two distinct audiences simultaneously: families and professional practitioners. Detailed practitioner guidance regarding Multi-Agency Referral Forms (MARFs), Multi-Agency Support Panels (MASP), and electronic recording systems appears alongside family-facing guidance. This increases cognitive load for parents seeking quick support. Leicester's digital front door would be strengthened by creating a clear structural separation between family signposting and professional resources.</w:t>
      </w:r>
    </w:p>
    <w:p w14:paraId="2AB97B27" w14:textId="77777777" w:rsidR="00B214B0" w:rsidRDefault="00D05999">
      <w:pPr>
        <w:pStyle w:val="Heading3"/>
        <w:spacing w:before="0" w:after="120" w:line="275" w:lineRule="auto"/>
        <w:jc w:val="both"/>
        <w:rPr>
          <w:rFonts w:eastAsia="Google Sans"/>
          <w:color w:val="1F1F1F"/>
          <w:sz w:val="22"/>
          <w:szCs w:val="22"/>
        </w:rPr>
      </w:pPr>
      <w:r>
        <w:rPr>
          <w:rFonts w:eastAsia="Google Sans"/>
          <w:color w:val="1F1F1F"/>
          <w:sz w:val="22"/>
          <w:szCs w:val="22"/>
        </w:rPr>
        <w:t>2.4 Evaluation of Norfolk County Council Website</w:t>
      </w:r>
    </w:p>
    <w:p w14:paraId="2AB97B28" w14:textId="65EDB6D3" w:rsidR="00B214B0" w:rsidRDefault="00D05999">
      <w:pPr>
        <w:spacing w:after="187" w:line="275" w:lineRule="auto"/>
        <w:jc w:val="both"/>
        <w:rPr>
          <w:rFonts w:eastAsia="Google Sans"/>
          <w:color w:val="1F1F1F"/>
        </w:rPr>
      </w:pPr>
      <w:r>
        <w:rPr>
          <w:rFonts w:eastAsia="Google Sans"/>
          <w:color w:val="1F1F1F"/>
        </w:rPr>
        <w:t xml:space="preserve">Norfolk County Council (https://www.norfolk.gov.uk/) implements a place-based, </w:t>
      </w:r>
      <w:r w:rsidR="00283904">
        <w:rPr>
          <w:rFonts w:eastAsia="Google Sans"/>
          <w:color w:val="1F1F1F"/>
        </w:rPr>
        <w:t>community-centred</w:t>
      </w:r>
      <w:r>
        <w:rPr>
          <w:rFonts w:eastAsia="Google Sans"/>
          <w:color w:val="1F1F1F"/>
        </w:rPr>
        <w:t xml:space="preserve"> model of Early Help. Its digital platform </w:t>
      </w:r>
      <w:r w:rsidR="00283904">
        <w:rPr>
          <w:rFonts w:eastAsia="Google Sans"/>
          <w:color w:val="1F1F1F"/>
        </w:rPr>
        <w:t>emphasises</w:t>
      </w:r>
      <w:r>
        <w:rPr>
          <w:rFonts w:eastAsia="Google Sans"/>
          <w:color w:val="1F1F1F"/>
        </w:rPr>
        <w:t xml:space="preserve"> a geographically distributed network of Family Hubs, joining services across children's services, health visiting, public libraries, and voluntary sector providers (Norfolk County Council, 2024). Norfolk treats accessibility as a multi-channel commitment, positioning information within physical community spaces as well as online platforms.</w:t>
      </w:r>
    </w:p>
    <w:p w14:paraId="2AB97B29" w14:textId="20D81866" w:rsidR="00B214B0" w:rsidRDefault="00D05999">
      <w:pPr>
        <w:spacing w:after="187" w:line="275" w:lineRule="auto"/>
        <w:jc w:val="both"/>
        <w:rPr>
          <w:rFonts w:eastAsia="Google Sans"/>
          <w:color w:val="1F1F1F"/>
        </w:rPr>
      </w:pPr>
      <w:r>
        <w:rPr>
          <w:rFonts w:eastAsia="Google Sans"/>
          <w:color w:val="1F1F1F"/>
        </w:rPr>
        <w:t xml:space="preserve">A key strength of Norfolk's framework is its focus on early, </w:t>
      </w:r>
      <w:r w:rsidR="00283904">
        <w:rPr>
          <w:rFonts w:eastAsia="Google Sans"/>
          <w:color w:val="1F1F1F"/>
        </w:rPr>
        <w:t>localised</w:t>
      </w:r>
      <w:r>
        <w:rPr>
          <w:rFonts w:eastAsia="Google Sans"/>
          <w:color w:val="1F1F1F"/>
        </w:rPr>
        <w:t xml:space="preserve"> access. The council has established fifteen School and Community Zones designed to bring targeted support into local </w:t>
      </w:r>
      <w:r w:rsidR="00283904">
        <w:rPr>
          <w:rFonts w:eastAsia="Google Sans"/>
          <w:color w:val="1F1F1F"/>
        </w:rPr>
        <w:t>neighbourhoods</w:t>
      </w:r>
      <w:r>
        <w:rPr>
          <w:rFonts w:eastAsia="Google Sans"/>
          <w:color w:val="1F1F1F"/>
        </w:rPr>
        <w:t xml:space="preserve"> (Norfolk County Council, 2025a). This place-based structure aligns closely with national system guidelines by shifting early intervention from a reactive, office-based service to an integrated community network (Department for Education, 2025; DfE and DLUHC, 2022). Practitioner guidance flowcharts clearly outline step-by-step navigation from universal Family Hub access to targeted multi-agency support and statutory escalation through the Children’s Advice and Duty Service (CADS) (Norfolk County Council, 2025b).</w:t>
      </w:r>
    </w:p>
    <w:p w14:paraId="2AB97B2A" w14:textId="77777777" w:rsidR="00B214B0" w:rsidRDefault="00D05999">
      <w:pPr>
        <w:spacing w:after="187" w:line="275" w:lineRule="auto"/>
        <w:jc w:val="both"/>
        <w:rPr>
          <w:rFonts w:eastAsia="Google Sans"/>
          <w:color w:val="1F1F1F"/>
        </w:rPr>
      </w:pPr>
      <w:r>
        <w:rPr>
          <w:rFonts w:eastAsia="Google Sans"/>
          <w:color w:val="1F1F1F"/>
        </w:rPr>
        <w:t>Despite these strengths, Norfolk's digital user journey is complex. Multiple coexisting service brands—such as Family Hubs, School and Community Teams, Early Help Assessments, and CADS—can overwhelm first-time visitors. While coherent at a strategic level, the digital pathway lacks a simplified "start here" landing page to guide families through direct self-referral routes.</w:t>
      </w:r>
    </w:p>
    <w:p w14:paraId="2AB97B2B" w14:textId="77777777" w:rsidR="00B214B0" w:rsidRDefault="00D05999">
      <w:pPr>
        <w:pStyle w:val="Heading3"/>
        <w:spacing w:before="0" w:after="120" w:line="275" w:lineRule="auto"/>
        <w:jc w:val="both"/>
        <w:rPr>
          <w:rFonts w:eastAsia="Google Sans"/>
          <w:color w:val="1F1F1F"/>
          <w:sz w:val="22"/>
          <w:szCs w:val="22"/>
        </w:rPr>
      </w:pPr>
      <w:r>
        <w:rPr>
          <w:rFonts w:eastAsia="Google Sans"/>
          <w:color w:val="1F1F1F"/>
          <w:sz w:val="22"/>
          <w:szCs w:val="22"/>
        </w:rPr>
        <w:t>2.5 Evaluation of Tower Hamlets Council Website</w:t>
      </w:r>
    </w:p>
    <w:p w14:paraId="2AB97B2C" w14:textId="77777777" w:rsidR="00B214B0" w:rsidRDefault="00D05999">
      <w:pPr>
        <w:spacing w:after="187" w:line="275" w:lineRule="auto"/>
        <w:jc w:val="both"/>
        <w:rPr>
          <w:rFonts w:eastAsia="Google Sans"/>
          <w:color w:val="1F1F1F"/>
        </w:rPr>
      </w:pPr>
      <w:r>
        <w:rPr>
          <w:rFonts w:eastAsia="Google Sans"/>
          <w:color w:val="1F1F1F"/>
        </w:rPr>
        <w:t>Tower Hamlets Council (https://www.towerhamlets.gov.uk/) delivers a structurally integrated online front door. The council has merged its Early Help Hub and Multi-Agency Safeguarding Hub into a single, co-located Multi-Agency Support Team (MAST) (Tower Hamlets Council, 2026a). MAST brings together professionals from children's social care, health, education, police, housing, youth services, CAMHS, domestic abuse specialists, and voluntary partners under one digital access point (Tower Hamlets Council, 2026a).</w:t>
      </w:r>
    </w:p>
    <w:p w14:paraId="2AB97B2D" w14:textId="6717EF01" w:rsidR="00B214B0" w:rsidRDefault="00D05999">
      <w:pPr>
        <w:spacing w:after="187" w:line="275" w:lineRule="auto"/>
        <w:jc w:val="both"/>
        <w:rPr>
          <w:rFonts w:eastAsia="Google Sans"/>
          <w:color w:val="1F1F1F"/>
        </w:rPr>
      </w:pPr>
      <w:r>
        <w:rPr>
          <w:rFonts w:eastAsia="Google Sans"/>
          <w:color w:val="1F1F1F"/>
        </w:rPr>
        <w:lastRenderedPageBreak/>
        <w:t xml:space="preserve">This integrated architecture directly eliminates the problem of families being passed between disconnected agencies. The website clearly explains the step-by-step pathway following a </w:t>
      </w:r>
      <w:r w:rsidR="00283904">
        <w:rPr>
          <w:rFonts w:eastAsia="Google Sans"/>
          <w:color w:val="1F1F1F"/>
        </w:rPr>
        <w:t>support request</w:t>
      </w:r>
      <w:r>
        <w:rPr>
          <w:rFonts w:eastAsia="Google Sans"/>
          <w:color w:val="1F1F1F"/>
        </w:rPr>
        <w:t xml:space="preserve">: an Early Help Manager evaluates the request, an Early Help practitioner contacts the family, and an Early Help Assessment is initiated or redirected to </w:t>
      </w:r>
      <w:r w:rsidR="00283904">
        <w:rPr>
          <w:rFonts w:eastAsia="Google Sans"/>
          <w:color w:val="1F1F1F"/>
        </w:rPr>
        <w:t>specialised</w:t>
      </w:r>
      <w:r>
        <w:rPr>
          <w:rFonts w:eastAsia="Google Sans"/>
          <w:color w:val="1F1F1F"/>
        </w:rPr>
        <w:t xml:space="preserve"> community teams (Tower Hamlets Council, 2026b). The platform lists everyday family challenges in plain language and provides an explicit operational distinction between voluntary early help and urgent child protection pathways, complete with emergency contact links (Tower Hamlets Council, 2026b).</w:t>
      </w:r>
    </w:p>
    <w:p w14:paraId="2AB97B2E" w14:textId="77777777" w:rsidR="00B214B0" w:rsidRDefault="00D05999">
      <w:pPr>
        <w:spacing w:after="187" w:line="275" w:lineRule="auto"/>
        <w:jc w:val="both"/>
        <w:rPr>
          <w:rFonts w:eastAsia="Google Sans"/>
          <w:color w:val="1F1F1F"/>
        </w:rPr>
      </w:pPr>
      <w:r>
        <w:rPr>
          <w:rFonts w:eastAsia="Google Sans"/>
          <w:color w:val="1F1F1F"/>
        </w:rPr>
        <w:t>Furthermore, the Early Help Assessment page explicitly clarifies that involvement is voluntary and designed to prevent families from repeatedly telling their story to different agencies (Tower Hamlets Council, 2026c). The primary limitation is the lingering use of institutional acronyms (such as MAST and CAMHS) on family-facing pages, which can present minor cognitive barriers. Nevertheless, Tower Hamlets offers the most effective digital front door among the three local authorities evaluated.</w:t>
      </w:r>
    </w:p>
    <w:p w14:paraId="2AB97B2F" w14:textId="77777777" w:rsidR="00B214B0" w:rsidRDefault="00D05999">
      <w:pPr>
        <w:pStyle w:val="Heading3"/>
        <w:spacing w:before="0" w:after="120" w:line="275" w:lineRule="auto"/>
        <w:jc w:val="both"/>
        <w:rPr>
          <w:rFonts w:eastAsia="Google Sans"/>
          <w:color w:val="1F1F1F"/>
          <w:sz w:val="22"/>
          <w:szCs w:val="22"/>
        </w:rPr>
      </w:pPr>
      <w:r>
        <w:rPr>
          <w:rFonts w:eastAsia="Google Sans"/>
          <w:color w:val="1F1F1F"/>
          <w:sz w:val="22"/>
          <w:szCs w:val="22"/>
        </w:rPr>
        <w:t>2.6 Comparative Analysis</w:t>
      </w:r>
    </w:p>
    <w:p w14:paraId="2AB97B30" w14:textId="77777777" w:rsidR="00B214B0" w:rsidRDefault="00D05999">
      <w:pPr>
        <w:spacing w:after="187" w:line="275" w:lineRule="auto"/>
        <w:jc w:val="both"/>
        <w:rPr>
          <w:rFonts w:eastAsia="Google Sans"/>
          <w:color w:val="1F1F1F"/>
        </w:rPr>
      </w:pPr>
      <w:r>
        <w:rPr>
          <w:rFonts w:eastAsia="Google Sans"/>
          <w:color w:val="1F1F1F"/>
        </w:rPr>
        <w:t>The three evaluated local authorities represent three distinct paradigms in digital signposting and service delivery: a practice-led approach in Leicester, a place-based community approach in Norfolk, and a structurally integrated front door in Tower Hamlets. Evaluating these models highlights distinct operational trade-offs across problem recognition, agency visibility, access routes, and safeguarding boundaries.</w:t>
      </w:r>
    </w:p>
    <w:p w14:paraId="2AB97B31" w14:textId="1825319B" w:rsidR="00B214B0" w:rsidRDefault="00D05999">
      <w:pPr>
        <w:spacing w:after="187" w:line="275" w:lineRule="auto"/>
        <w:jc w:val="both"/>
        <w:rPr>
          <w:rFonts w:eastAsia="Google Sans"/>
          <w:color w:val="1F1F1F"/>
        </w:rPr>
      </w:pPr>
      <w:r>
        <w:rPr>
          <w:rFonts w:eastAsia="Google Sans"/>
          <w:color w:val="1F1F1F"/>
        </w:rPr>
        <w:t xml:space="preserve">In terms of problem recognition and language, Tower Hamlets achieves the highest usability by describing common family struggles in everyday, empathetic terms and providing direct digital pathways for self-referral. Leicester also performs strongly by listing practical family concerns, though its messaging is somewhat obscured by technical practitioner guidance. Norfolk effectively </w:t>
      </w:r>
      <w:r w:rsidR="00283904">
        <w:rPr>
          <w:rFonts w:eastAsia="Google Sans"/>
          <w:color w:val="1F1F1F"/>
        </w:rPr>
        <w:t>emphasises</w:t>
      </w:r>
      <w:r>
        <w:rPr>
          <w:rFonts w:eastAsia="Google Sans"/>
          <w:color w:val="1F1F1F"/>
        </w:rPr>
        <w:t xml:space="preserve"> community-level support, but its reliance on coexisting service brands creates navigational friction for first-time web visitors.</w:t>
      </w:r>
    </w:p>
    <w:p w14:paraId="2AB97B32" w14:textId="77777777" w:rsidR="00B214B0" w:rsidRDefault="00D05999">
      <w:pPr>
        <w:spacing w:after="187" w:line="275" w:lineRule="auto"/>
        <w:jc w:val="both"/>
        <w:rPr>
          <w:rFonts w:eastAsia="Google Sans"/>
          <w:color w:val="1F1F1F"/>
        </w:rPr>
      </w:pPr>
      <w:r>
        <w:rPr>
          <w:rFonts w:eastAsia="Google Sans"/>
          <w:color w:val="1F1F1F"/>
        </w:rPr>
        <w:t>Regarding multi-agency visibility and structural transparency, Tower Hamlets excels by explicitly illustrating how different agencies co-locate within MAST to review requests collaboratively. Leicester renders multi-agency practice visible through its detailed explanation of lead professionals and Signs of Safety methodology, whereas Norfolk demonstrates strong strategic integration across physical community spaces that is less visible on its main digital landing page.</w:t>
      </w:r>
    </w:p>
    <w:p w14:paraId="2AB97B33" w14:textId="5C99E1F9" w:rsidR="00B214B0" w:rsidRDefault="00D05999">
      <w:pPr>
        <w:spacing w:after="187" w:line="275" w:lineRule="auto"/>
        <w:jc w:val="both"/>
        <w:rPr>
          <w:rFonts w:eastAsia="Google Sans"/>
          <w:color w:val="1F1F1F"/>
        </w:rPr>
      </w:pPr>
      <w:r>
        <w:rPr>
          <w:rFonts w:eastAsia="Google Sans"/>
          <w:color w:val="1F1F1F"/>
        </w:rPr>
        <w:t xml:space="preserve">Finally, in distinguishing voluntary support from emergency safeguarding, Tower Hamlets sets an exemplary standard by maintaining permanently visible, high-contrast operational links for urgent child protection alongside voluntary Early Help options. Leicester and Norfolk both maintain clear statutory referral pathways, yet Tower Hamlets provides the most coherent, single-portal digital user journey, </w:t>
      </w:r>
      <w:r w:rsidR="00283904">
        <w:rPr>
          <w:rFonts w:eastAsia="Google Sans"/>
          <w:color w:val="1F1F1F"/>
        </w:rPr>
        <w:t>minimising</w:t>
      </w:r>
      <w:r>
        <w:rPr>
          <w:rFonts w:eastAsia="Google Sans"/>
          <w:color w:val="1F1F1F"/>
        </w:rPr>
        <w:t xml:space="preserve"> cognitive burden for families in distress.</w:t>
      </w:r>
    </w:p>
    <w:p w14:paraId="6B5F3473" w14:textId="77777777" w:rsidR="001806F0" w:rsidRDefault="001806F0">
      <w:pPr>
        <w:pStyle w:val="Heading2"/>
        <w:spacing w:before="0" w:after="120" w:line="275" w:lineRule="auto"/>
        <w:jc w:val="both"/>
        <w:rPr>
          <w:rFonts w:eastAsia="Google Sans"/>
          <w:color w:val="1F1F1F"/>
          <w:sz w:val="22"/>
          <w:szCs w:val="22"/>
        </w:rPr>
      </w:pPr>
    </w:p>
    <w:p w14:paraId="54DD1450" w14:textId="77777777" w:rsidR="001806F0" w:rsidRDefault="001806F0">
      <w:pPr>
        <w:pStyle w:val="Heading2"/>
        <w:spacing w:before="0" w:after="120" w:line="275" w:lineRule="auto"/>
        <w:jc w:val="both"/>
        <w:rPr>
          <w:rFonts w:eastAsia="Google Sans"/>
          <w:color w:val="1F1F1F"/>
          <w:sz w:val="22"/>
          <w:szCs w:val="22"/>
        </w:rPr>
      </w:pPr>
    </w:p>
    <w:p w14:paraId="687CFFA6" w14:textId="77777777" w:rsidR="001806F0" w:rsidRDefault="001806F0">
      <w:pPr>
        <w:pStyle w:val="Heading2"/>
        <w:spacing w:before="0" w:after="120" w:line="275" w:lineRule="auto"/>
        <w:jc w:val="both"/>
        <w:rPr>
          <w:rFonts w:eastAsia="Google Sans"/>
          <w:color w:val="1F1F1F"/>
          <w:sz w:val="22"/>
          <w:szCs w:val="22"/>
        </w:rPr>
      </w:pPr>
    </w:p>
    <w:p w14:paraId="26F4ED28" w14:textId="77777777" w:rsidR="001806F0" w:rsidRDefault="001806F0">
      <w:pPr>
        <w:pStyle w:val="Heading2"/>
        <w:spacing w:before="0" w:after="120" w:line="275" w:lineRule="auto"/>
        <w:jc w:val="both"/>
        <w:rPr>
          <w:rFonts w:eastAsia="Google Sans"/>
          <w:color w:val="1F1F1F"/>
          <w:sz w:val="22"/>
          <w:szCs w:val="22"/>
        </w:rPr>
      </w:pPr>
    </w:p>
    <w:p w14:paraId="2AB97B34" w14:textId="1E686B9B" w:rsidR="00B214B0" w:rsidRPr="001806F0" w:rsidRDefault="00D05999">
      <w:pPr>
        <w:pStyle w:val="Heading2"/>
        <w:spacing w:before="0" w:after="120" w:line="275" w:lineRule="auto"/>
        <w:jc w:val="both"/>
        <w:rPr>
          <w:rFonts w:eastAsia="Google Sans"/>
          <w:color w:val="1F1F1F"/>
          <w:sz w:val="24"/>
          <w:szCs w:val="24"/>
        </w:rPr>
      </w:pPr>
      <w:r w:rsidRPr="001806F0">
        <w:rPr>
          <w:rFonts w:eastAsia="Google Sans"/>
          <w:color w:val="1F1F1F"/>
          <w:sz w:val="24"/>
          <w:szCs w:val="24"/>
        </w:rPr>
        <w:lastRenderedPageBreak/>
        <w:t>3. Conclusion</w:t>
      </w:r>
    </w:p>
    <w:p w14:paraId="2AB97B35" w14:textId="5CD0765E" w:rsidR="00B214B0" w:rsidRDefault="00D05999">
      <w:pPr>
        <w:spacing w:after="187" w:line="275" w:lineRule="auto"/>
        <w:jc w:val="both"/>
        <w:rPr>
          <w:rFonts w:eastAsia="Google Sans"/>
          <w:color w:val="1F1F1F"/>
        </w:rPr>
      </w:pPr>
      <w:r>
        <w:rPr>
          <w:rFonts w:eastAsia="Google Sans"/>
          <w:color w:val="1F1F1F"/>
        </w:rPr>
        <w:t xml:space="preserve">Early Help is a critical pillar of the UK safeguarding architecture, providing proactive support to address emerging family difficulties before statutory social care interventions become necessary. Effective Early Help depends on strong multi-agency partnerships across local authorities, health, education, police, and voluntary </w:t>
      </w:r>
      <w:r w:rsidR="00283904">
        <w:rPr>
          <w:rFonts w:eastAsia="Google Sans"/>
          <w:color w:val="1F1F1F"/>
        </w:rPr>
        <w:t>organisations</w:t>
      </w:r>
      <w:r>
        <w:rPr>
          <w:rFonts w:eastAsia="Google Sans"/>
          <w:color w:val="1F1F1F"/>
        </w:rPr>
        <w:t xml:space="preserve">. Because local authority websites serve as the primary digital gateway for families seeking support, web usability, clear language, and logical service </w:t>
      </w:r>
      <w:r w:rsidR="00283904">
        <w:rPr>
          <w:rFonts w:eastAsia="Google Sans"/>
          <w:color w:val="1F1F1F"/>
        </w:rPr>
        <w:t>organisation</w:t>
      </w:r>
      <w:r>
        <w:rPr>
          <w:rFonts w:eastAsia="Google Sans"/>
          <w:color w:val="1F1F1F"/>
        </w:rPr>
        <w:t xml:space="preserve"> are paramount.</w:t>
      </w:r>
    </w:p>
    <w:p w14:paraId="2AB97B36" w14:textId="77777777" w:rsidR="00B214B0" w:rsidRDefault="00D05999">
      <w:pPr>
        <w:spacing w:after="187" w:line="275" w:lineRule="auto"/>
        <w:jc w:val="both"/>
        <w:rPr>
          <w:rFonts w:eastAsia="Google Sans"/>
          <w:color w:val="1F1F1F"/>
        </w:rPr>
      </w:pPr>
      <w:r>
        <w:rPr>
          <w:rFonts w:eastAsia="Google Sans"/>
          <w:color w:val="1F1F1F"/>
        </w:rPr>
        <w:t>This report evaluated Leicester City Council, Norfolk County Council, and Tower Hamlets Council as digital front doors to Early Help. Leicester provides a strong practice philosophy through Signs of Safety, but clutter from professional guidance hinders user navigation. Norfolk delivers an impressive place-based network through Family Hubs, yet its multi-brand web structure can fragment the online journey.</w:t>
      </w:r>
    </w:p>
    <w:p w14:paraId="2AB97B37" w14:textId="77777777" w:rsidR="00B214B0" w:rsidRDefault="00D05999">
      <w:pPr>
        <w:spacing w:after="187" w:line="275" w:lineRule="auto"/>
        <w:jc w:val="both"/>
        <w:rPr>
          <w:rFonts w:eastAsia="Google Sans"/>
          <w:color w:val="1F1F1F"/>
        </w:rPr>
      </w:pPr>
      <w:r>
        <w:rPr>
          <w:rFonts w:eastAsia="Google Sans"/>
          <w:color w:val="1F1F1F"/>
        </w:rPr>
        <w:t>Tower Hamlets Council is concluded to offer the most effective digital signposting model. By integrating its Early Help Hub and safeguarding intake into the Multi-Agency Support Team (MAST), Tower Hamlets provides families with a clear, single access pathway. Its transparent explanation of the post-referral journey, explicit separation of voluntary help from emergency safeguarding, and clear multi-agency visibility make it an exemplary model aligned with national policy expectations (DfE and DLUHC, 2022; DfE, 2026).</w:t>
      </w:r>
    </w:p>
    <w:p w14:paraId="2AB97B38" w14:textId="77777777" w:rsidR="00B214B0" w:rsidRPr="001806F0" w:rsidRDefault="00D05999">
      <w:pPr>
        <w:pStyle w:val="Heading2"/>
        <w:spacing w:before="0" w:after="120" w:line="275" w:lineRule="auto"/>
        <w:jc w:val="both"/>
        <w:rPr>
          <w:rFonts w:eastAsia="Google Sans"/>
          <w:color w:val="1F1F1F"/>
          <w:sz w:val="24"/>
          <w:szCs w:val="24"/>
        </w:rPr>
      </w:pPr>
      <w:r w:rsidRPr="001806F0">
        <w:rPr>
          <w:rFonts w:eastAsia="Google Sans"/>
          <w:color w:val="1F1F1F"/>
          <w:sz w:val="24"/>
          <w:szCs w:val="24"/>
        </w:rPr>
        <w:t>4. Recommendations</w:t>
      </w:r>
    </w:p>
    <w:p w14:paraId="2AB97B39" w14:textId="77777777" w:rsidR="00B214B0" w:rsidRDefault="00D05999">
      <w:pPr>
        <w:spacing w:line="275" w:lineRule="auto"/>
        <w:ind w:left="120"/>
        <w:jc w:val="both"/>
      </w:pPr>
      <w:r>
        <w:rPr>
          <w:rFonts w:eastAsia="Google Sans"/>
          <w:b/>
          <w:bCs/>
          <w:color w:val="1F1F1F"/>
        </w:rPr>
        <w:t>Establish a Single "Get Help" Landing Page:</w:t>
      </w:r>
      <w:r>
        <w:rPr>
          <w:rFonts w:eastAsia="Google Sans"/>
          <w:color w:val="1F1F1F"/>
        </w:rPr>
        <w:t xml:space="preserve"> Local authorities should design a prominent, single-click "I Need Help" portal that uses simple decision choices based on family concerns rather than administrative department names.</w:t>
      </w:r>
    </w:p>
    <w:p w14:paraId="2AB97B3A" w14:textId="77777777" w:rsidR="00B214B0" w:rsidRDefault="00D05999">
      <w:pPr>
        <w:spacing w:line="275" w:lineRule="auto"/>
        <w:ind w:left="120"/>
        <w:jc w:val="both"/>
      </w:pPr>
      <w:r>
        <w:rPr>
          <w:rFonts w:eastAsia="Google Sans"/>
          <w:b/>
          <w:bCs/>
          <w:color w:val="1F1F1F"/>
        </w:rPr>
        <w:t>Separate Family and Professional Content:</w:t>
      </w:r>
      <w:r>
        <w:rPr>
          <w:rFonts w:eastAsia="Google Sans"/>
          <w:color w:val="1F1F1F"/>
        </w:rPr>
        <w:t xml:space="preserve"> Web developers must create distinct digital portals for families and practitioners. Professional tools (e.g., MARFs, MASP thresholds, electronic systems) should sit on dedicated professional pages to avoid overwhelming parents.</w:t>
      </w:r>
    </w:p>
    <w:p w14:paraId="2AB97B3B" w14:textId="543B5905" w:rsidR="00B214B0" w:rsidRDefault="00D05999">
      <w:pPr>
        <w:spacing w:line="275" w:lineRule="auto"/>
        <w:ind w:left="120"/>
        <w:jc w:val="both"/>
      </w:pPr>
      <w:r>
        <w:rPr>
          <w:rFonts w:eastAsia="Google Sans"/>
          <w:b/>
          <w:bCs/>
          <w:color w:val="1F1F1F"/>
        </w:rPr>
        <w:t>Eliminate Professional Acronyms:</w:t>
      </w:r>
      <w:r>
        <w:rPr>
          <w:rFonts w:eastAsia="Google Sans"/>
          <w:color w:val="1F1F1F"/>
        </w:rPr>
        <w:t xml:space="preserve"> Public-facing web copy should remove or immediately define administrative acronyms (e.g., MAST, MASP, CADS, CAMHS) in </w:t>
      </w:r>
      <w:r w:rsidR="00283904">
        <w:rPr>
          <w:rFonts w:eastAsia="Google Sans"/>
          <w:color w:val="1F1F1F"/>
        </w:rPr>
        <w:t>favour</w:t>
      </w:r>
      <w:r>
        <w:rPr>
          <w:rFonts w:eastAsia="Google Sans"/>
          <w:color w:val="1F1F1F"/>
        </w:rPr>
        <w:t xml:space="preserve"> of clear, </w:t>
      </w:r>
      <w:r w:rsidR="00283904">
        <w:rPr>
          <w:rFonts w:eastAsia="Google Sans"/>
          <w:color w:val="1F1F1F"/>
        </w:rPr>
        <w:t>non-stigmatising</w:t>
      </w:r>
      <w:r>
        <w:rPr>
          <w:rFonts w:eastAsia="Google Sans"/>
          <w:color w:val="1F1F1F"/>
        </w:rPr>
        <w:t xml:space="preserve"> plain English.</w:t>
      </w:r>
    </w:p>
    <w:p w14:paraId="2AB97B3C" w14:textId="77777777" w:rsidR="00B214B0" w:rsidRDefault="00D05999">
      <w:pPr>
        <w:spacing w:line="275" w:lineRule="auto"/>
        <w:ind w:left="120"/>
        <w:jc w:val="both"/>
      </w:pPr>
      <w:r>
        <w:rPr>
          <w:rFonts w:eastAsia="Google Sans"/>
          <w:b/>
          <w:bCs/>
          <w:color w:val="1F1F1F"/>
        </w:rPr>
        <w:t>Clarify the Post-Referral Journey:</w:t>
      </w:r>
      <w:r>
        <w:rPr>
          <w:rFonts w:eastAsia="Google Sans"/>
          <w:color w:val="1F1F1F"/>
        </w:rPr>
        <w:t xml:space="preserve"> Websites should visually explain what happens after a family requests support, detailing assessment timescales, consent principles, and how lead professionals coordinate multi-agency care.</w:t>
      </w:r>
    </w:p>
    <w:p w14:paraId="2AB97B3D" w14:textId="77777777" w:rsidR="00B214B0" w:rsidRDefault="00D05999">
      <w:pPr>
        <w:spacing w:line="275" w:lineRule="auto"/>
        <w:ind w:left="120"/>
        <w:jc w:val="both"/>
      </w:pPr>
      <w:r>
        <w:rPr>
          <w:rFonts w:eastAsia="Google Sans"/>
          <w:b/>
          <w:bCs/>
          <w:color w:val="1F1F1F"/>
        </w:rPr>
        <w:t>Maintain Prominent Safeguarding Separation:</w:t>
      </w:r>
      <w:r>
        <w:rPr>
          <w:rFonts w:eastAsia="Google Sans"/>
          <w:color w:val="1F1F1F"/>
        </w:rPr>
        <w:t xml:space="preserve"> Every Early Help web page must feature a permanently visible, high-priority link and telephone contact for urgent safeguarding and emergency child protection.</w:t>
      </w:r>
    </w:p>
    <w:p w14:paraId="2AB97B3E" w14:textId="77777777" w:rsidR="00B214B0" w:rsidRDefault="00D05999">
      <w:pPr>
        <w:spacing w:line="275" w:lineRule="auto"/>
        <w:ind w:left="120"/>
        <w:jc w:val="both"/>
      </w:pPr>
      <w:r>
        <w:rPr>
          <w:rFonts w:eastAsia="Google Sans"/>
          <w:b/>
          <w:bCs/>
          <w:color w:val="1F1F1F"/>
        </w:rPr>
        <w:t>Integrate Digital and Physical Access Routes:</w:t>
      </w:r>
      <w:r>
        <w:rPr>
          <w:rFonts w:eastAsia="Google Sans"/>
          <w:color w:val="1F1F1F"/>
        </w:rPr>
        <w:t xml:space="preserve"> Local authorities should combine digital portals with face-to-face community signposting across libraries, Family Hubs, and schools, ensuring families with low digital confidence are fully supported.</w:t>
      </w:r>
    </w:p>
    <w:p w14:paraId="2AB97B3F" w14:textId="4F69D0C7" w:rsidR="00B214B0" w:rsidRDefault="00D05999">
      <w:pPr>
        <w:spacing w:after="120" w:line="275" w:lineRule="auto"/>
        <w:ind w:left="120"/>
        <w:jc w:val="both"/>
      </w:pPr>
      <w:r>
        <w:rPr>
          <w:rFonts w:eastAsia="Google Sans"/>
          <w:b/>
          <w:bCs/>
          <w:color w:val="1F1F1F"/>
        </w:rPr>
        <w:t>Co-Design Web Architecture with Local Families:</w:t>
      </w:r>
      <w:r>
        <w:rPr>
          <w:rFonts w:eastAsia="Google Sans"/>
          <w:color w:val="1F1F1F"/>
        </w:rPr>
        <w:t xml:space="preserve"> Local authorities should conduct routine usability audits </w:t>
      </w:r>
      <w:r w:rsidR="00A47CB9">
        <w:rPr>
          <w:rFonts w:eastAsia="Google Sans"/>
          <w:color w:val="1F1F1F"/>
        </w:rPr>
        <w:t>with parents, carers, and young people to evaluate site navigation, test compliance with accessibility standards (WCAG 2.1 AA), and remove</w:t>
      </w:r>
      <w:r>
        <w:rPr>
          <w:rFonts w:eastAsia="Google Sans"/>
          <w:color w:val="1F1F1F"/>
        </w:rPr>
        <w:t xml:space="preserve"> broken or outdated content.</w:t>
      </w:r>
    </w:p>
    <w:p w14:paraId="2AB97B40" w14:textId="1053E4CC" w:rsidR="00B214B0" w:rsidRPr="00A47CB9" w:rsidRDefault="001D6DB6">
      <w:pPr>
        <w:pStyle w:val="Heading2"/>
        <w:spacing w:before="120" w:after="120" w:line="275" w:lineRule="auto"/>
        <w:jc w:val="both"/>
        <w:rPr>
          <w:rFonts w:eastAsia="Google Sans"/>
          <w:color w:val="1F1F1F"/>
          <w:sz w:val="22"/>
          <w:szCs w:val="22"/>
        </w:rPr>
      </w:pPr>
      <w:r>
        <w:rPr>
          <w:rFonts w:eastAsia="Google Sans"/>
          <w:color w:val="1F1F1F"/>
          <w:sz w:val="22"/>
          <w:szCs w:val="22"/>
        </w:rPr>
        <w:lastRenderedPageBreak/>
        <w:t xml:space="preserve"> </w:t>
      </w:r>
      <w:r w:rsidR="00D05999" w:rsidRPr="007A4EF1">
        <w:rPr>
          <w:rFonts w:eastAsia="Google Sans"/>
          <w:color w:val="1F1F1F"/>
          <w:sz w:val="24"/>
          <w:szCs w:val="24"/>
        </w:rPr>
        <w:t>References</w:t>
      </w:r>
    </w:p>
    <w:p w14:paraId="2AB97B41" w14:textId="77777777" w:rsidR="00B214B0" w:rsidRDefault="00D05999">
      <w:pPr>
        <w:spacing w:line="275" w:lineRule="auto"/>
        <w:ind w:left="105"/>
        <w:jc w:val="both"/>
      </w:pPr>
      <w:r>
        <w:rPr>
          <w:rFonts w:eastAsia="Google Sans"/>
          <w:color w:val="1F1F1F"/>
        </w:rPr>
        <w:t xml:space="preserve">Anning, A., Cottrell, D., Frost, N., Green, J. and Robinson, M. (2010) </w:t>
      </w:r>
      <w:r>
        <w:rPr>
          <w:rFonts w:eastAsia="Google Sans"/>
          <w:i/>
          <w:iCs/>
          <w:color w:val="1F1F1F"/>
        </w:rPr>
        <w:t>Developing Multi-Professional Teamwork in the Early Years</w:t>
      </w:r>
      <w:r>
        <w:rPr>
          <w:rFonts w:eastAsia="Google Sans"/>
          <w:color w:val="1F1F1F"/>
        </w:rPr>
        <w:t xml:space="preserve">. 2nd </w:t>
      </w:r>
      <w:proofErr w:type="spellStart"/>
      <w:r>
        <w:rPr>
          <w:rFonts w:eastAsia="Google Sans"/>
          <w:color w:val="1F1F1F"/>
        </w:rPr>
        <w:t>edn</w:t>
      </w:r>
      <w:proofErr w:type="spellEnd"/>
      <w:r>
        <w:rPr>
          <w:rFonts w:eastAsia="Google Sans"/>
          <w:color w:val="1F1F1F"/>
        </w:rPr>
        <w:t>. Maidenhead: Open University Press.</w:t>
      </w:r>
    </w:p>
    <w:p w14:paraId="2AB97B42" w14:textId="77777777" w:rsidR="00B214B0" w:rsidRDefault="00D05999">
      <w:pPr>
        <w:spacing w:line="275" w:lineRule="auto"/>
        <w:ind w:left="105"/>
        <w:jc w:val="both"/>
      </w:pPr>
      <w:r>
        <w:rPr>
          <w:rFonts w:eastAsia="Google Sans"/>
          <w:color w:val="1F1F1F"/>
        </w:rPr>
        <w:t xml:space="preserve">Brandon, M., Sidebotham, P., Belderson, P., Cleaver, H., Dickens, J., Powell, C. and Taylor, J. (2018) </w:t>
      </w:r>
      <w:r>
        <w:rPr>
          <w:rFonts w:eastAsia="Google Sans"/>
          <w:i/>
          <w:iCs/>
          <w:color w:val="1F1F1F"/>
        </w:rPr>
        <w:t>Complexity and Challenge: Triennial Analysis of Serious Case Reviews 2014 to 2017</w:t>
      </w:r>
      <w:r>
        <w:rPr>
          <w:rFonts w:eastAsia="Google Sans"/>
          <w:color w:val="1F1F1F"/>
        </w:rPr>
        <w:t>. Research Report DFE-RR850. London: Department for Education.</w:t>
      </w:r>
    </w:p>
    <w:p w14:paraId="2AB97B43" w14:textId="77777777" w:rsidR="00B214B0" w:rsidRDefault="00D05999">
      <w:pPr>
        <w:spacing w:line="275" w:lineRule="auto"/>
        <w:ind w:left="105"/>
        <w:jc w:val="both"/>
      </w:pPr>
      <w:r>
        <w:rPr>
          <w:rFonts w:eastAsia="Google Sans"/>
          <w:color w:val="1F1F1F"/>
        </w:rPr>
        <w:t xml:space="preserve">Department for Education (2025) </w:t>
      </w:r>
      <w:r>
        <w:rPr>
          <w:rFonts w:eastAsia="Google Sans"/>
          <w:i/>
          <w:iCs/>
          <w:color w:val="1F1F1F"/>
        </w:rPr>
        <w:t>Supporting Families – Whole Family Working: Informing Future System Reform, Annual Report 2024 to 2025</w:t>
      </w:r>
      <w:r>
        <w:rPr>
          <w:rFonts w:eastAsia="Google Sans"/>
          <w:color w:val="1F1F1F"/>
        </w:rPr>
        <w:t>. London: HM Government.</w:t>
      </w:r>
    </w:p>
    <w:p w14:paraId="2AB97B44" w14:textId="77777777" w:rsidR="00B214B0" w:rsidRDefault="00D05999">
      <w:pPr>
        <w:spacing w:line="275" w:lineRule="auto"/>
        <w:ind w:left="105"/>
        <w:jc w:val="both"/>
      </w:pPr>
      <w:r>
        <w:rPr>
          <w:rFonts w:eastAsia="Google Sans"/>
          <w:color w:val="1F1F1F"/>
        </w:rPr>
        <w:t xml:space="preserve">Department for Education (2026) </w:t>
      </w:r>
      <w:r>
        <w:rPr>
          <w:rFonts w:eastAsia="Google Sans"/>
          <w:i/>
          <w:iCs/>
          <w:color w:val="1F1F1F"/>
        </w:rPr>
        <w:t>Working Together to Safeguard Children 2026: Statutory Guidance on Multi-Agency Working to Help, Protect and Promote the Welfare of Children</w:t>
      </w:r>
      <w:r>
        <w:rPr>
          <w:rFonts w:eastAsia="Google Sans"/>
          <w:color w:val="1F1F1F"/>
        </w:rPr>
        <w:t>. London: HM Government.</w:t>
      </w:r>
    </w:p>
    <w:p w14:paraId="2AB97B45" w14:textId="77777777" w:rsidR="00B214B0" w:rsidRDefault="00D05999">
      <w:pPr>
        <w:spacing w:line="275" w:lineRule="auto"/>
        <w:ind w:left="105"/>
        <w:jc w:val="both"/>
      </w:pPr>
      <w:r>
        <w:rPr>
          <w:rFonts w:eastAsia="Google Sans"/>
          <w:color w:val="1F1F1F"/>
        </w:rPr>
        <w:t xml:space="preserve">Department for Education and Department for Levelling Up, Housing and Communities (2022) </w:t>
      </w:r>
      <w:r>
        <w:rPr>
          <w:rFonts w:eastAsia="Google Sans"/>
          <w:i/>
          <w:iCs/>
          <w:color w:val="1F1F1F"/>
        </w:rPr>
        <w:t>Supporting Families: Early Help System Guide</w:t>
      </w:r>
      <w:r>
        <w:rPr>
          <w:rFonts w:eastAsia="Google Sans"/>
          <w:color w:val="1F1F1F"/>
        </w:rPr>
        <w:t>. London: HM Government.</w:t>
      </w:r>
    </w:p>
    <w:p w14:paraId="2AB97B46" w14:textId="77777777" w:rsidR="00B214B0" w:rsidRDefault="00D05999">
      <w:pPr>
        <w:spacing w:line="275" w:lineRule="auto"/>
        <w:ind w:left="105"/>
        <w:jc w:val="both"/>
      </w:pPr>
      <w:r>
        <w:rPr>
          <w:rFonts w:eastAsia="Google Sans"/>
          <w:color w:val="1F1F1F"/>
        </w:rPr>
        <w:t xml:space="preserve">Laming, H. (2009) </w:t>
      </w:r>
      <w:r>
        <w:rPr>
          <w:rFonts w:eastAsia="Google Sans"/>
          <w:i/>
          <w:iCs/>
          <w:color w:val="1F1F1F"/>
        </w:rPr>
        <w:t>The Protection of Children in England: A Progress Report</w:t>
      </w:r>
      <w:r>
        <w:rPr>
          <w:rFonts w:eastAsia="Google Sans"/>
          <w:color w:val="1F1F1F"/>
        </w:rPr>
        <w:t>. HC 330. London: The Stationery Office.</w:t>
      </w:r>
    </w:p>
    <w:p w14:paraId="2AB97B47" w14:textId="77777777" w:rsidR="00B214B0" w:rsidRDefault="00D05999">
      <w:pPr>
        <w:spacing w:line="275" w:lineRule="auto"/>
        <w:ind w:left="105"/>
        <w:jc w:val="both"/>
      </w:pPr>
      <w:r>
        <w:rPr>
          <w:rFonts w:eastAsia="Google Sans"/>
          <w:color w:val="1F1F1F"/>
        </w:rPr>
        <w:t xml:space="preserve">Leicester City Council (2026a) </w:t>
      </w:r>
      <w:r>
        <w:rPr>
          <w:rFonts w:eastAsia="Google Sans"/>
          <w:i/>
          <w:iCs/>
          <w:color w:val="1F1F1F"/>
        </w:rPr>
        <w:t>Early Help for Children, Young People and Families</w:t>
      </w:r>
      <w:r>
        <w:rPr>
          <w:rFonts w:eastAsia="Google Sans"/>
          <w:color w:val="1F1F1F"/>
        </w:rPr>
        <w:t>. Leicester: Leicester City Council. Available at: https://www.leicester.gov.uk (Accessed: 15 February 2026).</w:t>
      </w:r>
    </w:p>
    <w:p w14:paraId="2AB97B48" w14:textId="77777777" w:rsidR="00B214B0" w:rsidRDefault="00D05999">
      <w:pPr>
        <w:spacing w:line="275" w:lineRule="auto"/>
        <w:ind w:left="105"/>
        <w:jc w:val="both"/>
      </w:pPr>
      <w:r>
        <w:rPr>
          <w:rFonts w:eastAsia="Google Sans"/>
          <w:color w:val="1F1F1F"/>
        </w:rPr>
        <w:t xml:space="preserve">Leicester City Council (2026b) </w:t>
      </w:r>
      <w:r>
        <w:rPr>
          <w:rFonts w:eastAsia="Google Sans"/>
          <w:i/>
          <w:iCs/>
          <w:color w:val="1F1F1F"/>
        </w:rPr>
        <w:t>Social Care and Early Help Support</w:t>
      </w:r>
      <w:r>
        <w:rPr>
          <w:rFonts w:eastAsia="Google Sans"/>
          <w:color w:val="1F1F1F"/>
        </w:rPr>
        <w:t>. Leicester: Leicester City Council. Available at: https://www.leicester.gov.uk (Accessed: 15 February 2026).</w:t>
      </w:r>
    </w:p>
    <w:p w14:paraId="2AB97B49" w14:textId="77777777" w:rsidR="00B214B0" w:rsidRDefault="00D05999">
      <w:pPr>
        <w:spacing w:line="275" w:lineRule="auto"/>
        <w:ind w:left="105"/>
        <w:jc w:val="both"/>
      </w:pPr>
      <w:r>
        <w:rPr>
          <w:rFonts w:eastAsia="Google Sans"/>
          <w:color w:val="1F1F1F"/>
        </w:rPr>
        <w:t xml:space="preserve">Leicester City Council (2026c) </w:t>
      </w:r>
      <w:r>
        <w:rPr>
          <w:rFonts w:eastAsia="Google Sans"/>
          <w:i/>
          <w:iCs/>
          <w:color w:val="1F1F1F"/>
        </w:rPr>
        <w:t>Our Early Help Offer and Signs of Safety</w:t>
      </w:r>
      <w:r>
        <w:rPr>
          <w:rFonts w:eastAsia="Google Sans"/>
          <w:color w:val="1F1F1F"/>
        </w:rPr>
        <w:t>. Leicester: Leicester City Council. Available at: https://www.leicester.gov.uk (Accessed: 15 February 2026).</w:t>
      </w:r>
    </w:p>
    <w:p w14:paraId="2AB97B4A" w14:textId="77777777" w:rsidR="00B214B0" w:rsidRDefault="00D05999">
      <w:pPr>
        <w:spacing w:line="275" w:lineRule="auto"/>
        <w:ind w:left="105"/>
        <w:jc w:val="both"/>
      </w:pPr>
      <w:r>
        <w:rPr>
          <w:rFonts w:eastAsia="Google Sans"/>
          <w:color w:val="1F1F1F"/>
        </w:rPr>
        <w:t xml:space="preserve">Munro, E. (2011) </w:t>
      </w:r>
      <w:r>
        <w:rPr>
          <w:rFonts w:eastAsia="Google Sans"/>
          <w:i/>
          <w:iCs/>
          <w:color w:val="1F1F1F"/>
        </w:rPr>
        <w:t>The Munro Review of Child Protection: Final Report – A Child-Centred System</w:t>
      </w:r>
      <w:r>
        <w:rPr>
          <w:rFonts w:eastAsia="Google Sans"/>
          <w:color w:val="1F1F1F"/>
        </w:rPr>
        <w:t>. Cm 8062. London: Department for Education.</w:t>
      </w:r>
    </w:p>
    <w:p w14:paraId="2AB97B4B" w14:textId="77777777" w:rsidR="00B214B0" w:rsidRDefault="00D05999">
      <w:pPr>
        <w:spacing w:line="275" w:lineRule="auto"/>
        <w:ind w:left="105"/>
        <w:jc w:val="both"/>
      </w:pPr>
      <w:r>
        <w:rPr>
          <w:rFonts w:eastAsia="Google Sans"/>
          <w:color w:val="1F1F1F"/>
        </w:rPr>
        <w:t xml:space="preserve">Norfolk County Council (2024) </w:t>
      </w:r>
      <w:r>
        <w:rPr>
          <w:rFonts w:eastAsia="Google Sans"/>
          <w:i/>
          <w:iCs/>
          <w:color w:val="1F1F1F"/>
        </w:rPr>
        <w:t>Start for Life and Family Hub Programme Briefing</w:t>
      </w:r>
      <w:r>
        <w:rPr>
          <w:rFonts w:eastAsia="Google Sans"/>
          <w:color w:val="1F1F1F"/>
        </w:rPr>
        <w:t>. Norfolk: Norfolk County Council. Available at: https://www.norfolk.gov.uk/ (Accessed: 15 February 2026).</w:t>
      </w:r>
    </w:p>
    <w:p w14:paraId="2AB97B4C" w14:textId="77777777" w:rsidR="00B214B0" w:rsidRDefault="00D05999">
      <w:pPr>
        <w:spacing w:line="275" w:lineRule="auto"/>
        <w:ind w:left="105"/>
        <w:jc w:val="both"/>
      </w:pPr>
      <w:r>
        <w:rPr>
          <w:rFonts w:eastAsia="Google Sans"/>
          <w:color w:val="1F1F1F"/>
        </w:rPr>
        <w:t xml:space="preserve">Norfolk County Council (2025a) </w:t>
      </w:r>
      <w:r>
        <w:rPr>
          <w:rFonts w:eastAsia="Google Sans"/>
          <w:i/>
          <w:iCs/>
          <w:color w:val="1F1F1F"/>
        </w:rPr>
        <w:t>Prevention and Early Help Strategy</w:t>
      </w:r>
      <w:r>
        <w:rPr>
          <w:rFonts w:eastAsia="Google Sans"/>
          <w:color w:val="1F1F1F"/>
        </w:rPr>
        <w:t>. Norfolk: Norfolk County Council. Available at: https://www.norfolk.gov.uk/ (Accessed: 15 February 2026).</w:t>
      </w:r>
    </w:p>
    <w:p w14:paraId="2AB97B4D" w14:textId="77777777" w:rsidR="00B214B0" w:rsidRDefault="00D05999">
      <w:pPr>
        <w:spacing w:line="275" w:lineRule="auto"/>
        <w:ind w:left="105"/>
        <w:jc w:val="both"/>
      </w:pPr>
      <w:r>
        <w:rPr>
          <w:rFonts w:eastAsia="Google Sans"/>
          <w:color w:val="1F1F1F"/>
        </w:rPr>
        <w:t xml:space="preserve">Norfolk County Council (2025b) </w:t>
      </w:r>
      <w:r>
        <w:rPr>
          <w:rFonts w:eastAsia="Google Sans"/>
          <w:i/>
          <w:iCs/>
          <w:color w:val="1F1F1F"/>
        </w:rPr>
        <w:t>Requesting Support and Professional Pathways Flowchart</w:t>
      </w:r>
      <w:r>
        <w:rPr>
          <w:rFonts w:eastAsia="Google Sans"/>
          <w:color w:val="1F1F1F"/>
        </w:rPr>
        <w:t>. Norfolk: Norfolk County Council. Available at: https://www.norfolk.gov.uk/ (Accessed: 15 February 2026).</w:t>
      </w:r>
    </w:p>
    <w:p w14:paraId="2AB97B4E" w14:textId="77777777" w:rsidR="00B214B0" w:rsidRDefault="00D05999">
      <w:pPr>
        <w:spacing w:line="275" w:lineRule="auto"/>
        <w:ind w:left="105"/>
        <w:jc w:val="both"/>
      </w:pPr>
      <w:r>
        <w:rPr>
          <w:rFonts w:eastAsia="Google Sans"/>
          <w:color w:val="1F1F1F"/>
        </w:rPr>
        <w:t xml:space="preserve">Norfolk Safeguarding Children Partnership (2026) </w:t>
      </w:r>
      <w:r>
        <w:rPr>
          <w:rFonts w:eastAsia="Google Sans"/>
          <w:i/>
          <w:iCs/>
          <w:color w:val="1F1F1F"/>
        </w:rPr>
        <w:t>Request Support for Universal, Community-Based Early Help and Family Help</w:t>
      </w:r>
      <w:r>
        <w:rPr>
          <w:rFonts w:eastAsia="Google Sans"/>
          <w:color w:val="1F1F1F"/>
        </w:rPr>
        <w:t>. Norfolk: NSCP.</w:t>
      </w:r>
    </w:p>
    <w:p w14:paraId="2AB97B4F" w14:textId="77777777" w:rsidR="00B214B0" w:rsidRDefault="00D05999">
      <w:pPr>
        <w:spacing w:line="275" w:lineRule="auto"/>
        <w:ind w:left="105"/>
        <w:jc w:val="both"/>
      </w:pPr>
      <w:r>
        <w:rPr>
          <w:rFonts w:eastAsia="Google Sans"/>
          <w:color w:val="1F1F1F"/>
        </w:rPr>
        <w:t xml:space="preserve">Sidebotham, P., Brandon, M., Bailey, S., Powell, C., Belderson, P., Gorin, S. and </w:t>
      </w:r>
      <w:proofErr w:type="spellStart"/>
      <w:r>
        <w:rPr>
          <w:rFonts w:eastAsia="Google Sans"/>
          <w:color w:val="1F1F1F"/>
        </w:rPr>
        <w:t>Chattenden</w:t>
      </w:r>
      <w:proofErr w:type="spellEnd"/>
      <w:r>
        <w:rPr>
          <w:rFonts w:eastAsia="Google Sans"/>
          <w:color w:val="1F1F1F"/>
        </w:rPr>
        <w:t xml:space="preserve">, C. (2016) </w:t>
      </w:r>
      <w:r>
        <w:rPr>
          <w:rFonts w:eastAsia="Google Sans"/>
          <w:i/>
          <w:iCs/>
          <w:color w:val="1F1F1F"/>
        </w:rPr>
        <w:t>Pathways to Harm, Pathways to Protection: Triennial Analysis of Serious Case Reviews 2011 to 2014</w:t>
      </w:r>
      <w:r>
        <w:rPr>
          <w:rFonts w:eastAsia="Google Sans"/>
          <w:color w:val="1F1F1F"/>
        </w:rPr>
        <w:t>. London: Department for Education.</w:t>
      </w:r>
    </w:p>
    <w:p w14:paraId="2AB97B50" w14:textId="77777777" w:rsidR="00B214B0" w:rsidRDefault="00D05999">
      <w:pPr>
        <w:spacing w:line="275" w:lineRule="auto"/>
        <w:ind w:left="105"/>
        <w:jc w:val="both"/>
      </w:pPr>
      <w:r>
        <w:rPr>
          <w:rFonts w:eastAsia="Google Sans"/>
          <w:color w:val="1F1F1F"/>
        </w:rPr>
        <w:t xml:space="preserve">Tower Hamlets Council (2026a) </w:t>
      </w:r>
      <w:r>
        <w:rPr>
          <w:rFonts w:eastAsia="Google Sans"/>
          <w:i/>
          <w:iCs/>
          <w:color w:val="1F1F1F"/>
        </w:rPr>
        <w:t>About Early Help and Multi-Agency Support Teams</w:t>
      </w:r>
      <w:r>
        <w:rPr>
          <w:rFonts w:eastAsia="Google Sans"/>
          <w:color w:val="1F1F1F"/>
        </w:rPr>
        <w:t>. London: Tower Hamlets Council. Available at: https://www.towerhamlets.gov.uk/ (Accessed: 15 February 2026).</w:t>
      </w:r>
    </w:p>
    <w:p w14:paraId="2AB97B51" w14:textId="77777777" w:rsidR="00B214B0" w:rsidRDefault="00D05999">
      <w:pPr>
        <w:spacing w:line="275" w:lineRule="auto"/>
        <w:ind w:left="105"/>
        <w:jc w:val="both"/>
      </w:pPr>
      <w:r>
        <w:rPr>
          <w:rFonts w:eastAsia="Google Sans"/>
          <w:color w:val="1F1F1F"/>
        </w:rPr>
        <w:t xml:space="preserve">Tower Hamlets Council (2026b) </w:t>
      </w:r>
      <w:r>
        <w:rPr>
          <w:rFonts w:eastAsia="Google Sans"/>
          <w:i/>
          <w:iCs/>
          <w:color w:val="1F1F1F"/>
        </w:rPr>
        <w:t>Early Help at the Front Door</w:t>
      </w:r>
      <w:r>
        <w:rPr>
          <w:rFonts w:eastAsia="Google Sans"/>
          <w:color w:val="1F1F1F"/>
        </w:rPr>
        <w:t>. London: Tower Hamlets Council. Available at: https://www.towerhamlets.gov.uk/ (Accessed: 15 February 2026).</w:t>
      </w:r>
    </w:p>
    <w:p w14:paraId="2AB97B52" w14:textId="77777777" w:rsidR="00B214B0" w:rsidRDefault="00D05999">
      <w:pPr>
        <w:spacing w:after="120" w:line="275" w:lineRule="auto"/>
        <w:ind w:left="105"/>
        <w:jc w:val="both"/>
      </w:pPr>
      <w:r>
        <w:rPr>
          <w:rFonts w:eastAsia="Google Sans"/>
          <w:color w:val="1F1F1F"/>
        </w:rPr>
        <w:t xml:space="preserve">Tower Hamlets Council (2026c) </w:t>
      </w:r>
      <w:r>
        <w:rPr>
          <w:rFonts w:eastAsia="Google Sans"/>
          <w:i/>
          <w:iCs/>
          <w:color w:val="1F1F1F"/>
        </w:rPr>
        <w:t>Early Help Assessment and Family Support Pathways</w:t>
      </w:r>
      <w:r>
        <w:rPr>
          <w:rFonts w:eastAsia="Google Sans"/>
          <w:color w:val="1F1F1F"/>
        </w:rPr>
        <w:t>. London: Tower Hamlets Council. Available at: https://www.towerhamlets.gov.uk/ (Accessed: 15 February 2026).</w:t>
      </w:r>
    </w:p>
    <w:sectPr w:rsidR="00B214B0">
      <w:pgSz w:w="12240" w:h="15840"/>
      <w:pgMar w:top="1440" w:right="1440" w:bottom="1440" w:left="1440" w:header="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Italic r:id="rId1" w:fontKey="{AF1CDDA7-130B-431E-8C61-65171642EBD1}"/>
  </w:font>
  <w:font w:name="Google Sans">
    <w:altName w:val="Siyam Rupali"/>
    <w:charset w:val="00"/>
    <w:family w:val="auto"/>
    <w:pitch w:val="default"/>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embedRegular r:id="rId2" w:fontKey="{A3B25A85-D278-4FFE-AB8A-4180DA574282}"/>
  </w:font>
  <w:font w:name="Cambria">
    <w:panose1 w:val="02040503050406030204"/>
    <w:charset w:val="00"/>
    <w:family w:val="roman"/>
    <w:pitch w:val="variable"/>
    <w:sig w:usb0="E00006FF" w:usb1="420024FF" w:usb2="02000000" w:usb3="00000000" w:csb0="0000019F" w:csb1="00000000"/>
    <w:embedRegular r:id="rId3" w:fontKey="{CF93C189-3D1F-404E-9B49-87A54ED188C4}"/>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214B0"/>
    <w:rsid w:val="00042304"/>
    <w:rsid w:val="00130176"/>
    <w:rsid w:val="001806F0"/>
    <w:rsid w:val="001D6DB6"/>
    <w:rsid w:val="00283904"/>
    <w:rsid w:val="002D6750"/>
    <w:rsid w:val="00317759"/>
    <w:rsid w:val="00395FC5"/>
    <w:rsid w:val="003C5ECD"/>
    <w:rsid w:val="0049555A"/>
    <w:rsid w:val="0055780B"/>
    <w:rsid w:val="005B3CCE"/>
    <w:rsid w:val="0060426D"/>
    <w:rsid w:val="006A083B"/>
    <w:rsid w:val="007047B4"/>
    <w:rsid w:val="007812EE"/>
    <w:rsid w:val="007A4EF1"/>
    <w:rsid w:val="00827F39"/>
    <w:rsid w:val="008363CD"/>
    <w:rsid w:val="00837BC3"/>
    <w:rsid w:val="00964F90"/>
    <w:rsid w:val="009E413B"/>
    <w:rsid w:val="00A16CED"/>
    <w:rsid w:val="00A47CB9"/>
    <w:rsid w:val="00B214B0"/>
    <w:rsid w:val="00B62339"/>
    <w:rsid w:val="00BF5CD6"/>
    <w:rsid w:val="00C667B0"/>
    <w:rsid w:val="00C95976"/>
    <w:rsid w:val="00D05999"/>
    <w:rsid w:val="00D26754"/>
    <w:rsid w:val="00FD1F65"/>
    <w:rsid w:val="00FF01A1"/>
    <w:rsid w:val="149818CD"/>
    <w:rsid w:val="4F7E4F5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AB97B0D"/>
  <w15:docId w15:val="{6AF174A0-9652-6D4D-BFEC-2341F15032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qFormat="1"/>
    <w:lsdException w:name="heading 6"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semiHidden="1" w:qFormat="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pPr>
      <w:widowControl w:val="0"/>
    </w:pPr>
    <w:rPr>
      <w:sz w:val="22"/>
      <w:szCs w:val="22"/>
    </w:rPr>
  </w:style>
  <w:style w:type="paragraph" w:styleId="Heading1">
    <w:name w:val="heading 1"/>
    <w:basedOn w:val="Normal"/>
    <w:next w:val="Normal"/>
    <w:qFormat/>
    <w:pPr>
      <w:spacing w:before="240" w:after="240"/>
      <w:outlineLvl w:val="0"/>
    </w:pPr>
    <w:rPr>
      <w:b/>
      <w:bCs/>
      <w:sz w:val="48"/>
      <w:szCs w:val="48"/>
    </w:rPr>
  </w:style>
  <w:style w:type="paragraph" w:styleId="Heading2">
    <w:name w:val="heading 2"/>
    <w:basedOn w:val="Normal"/>
    <w:next w:val="Normal"/>
    <w:qFormat/>
    <w:pPr>
      <w:spacing w:before="225" w:after="225"/>
      <w:outlineLvl w:val="1"/>
    </w:pPr>
    <w:rPr>
      <w:b/>
      <w:bCs/>
      <w:sz w:val="36"/>
      <w:szCs w:val="36"/>
    </w:rPr>
  </w:style>
  <w:style w:type="paragraph" w:styleId="Heading3">
    <w:name w:val="heading 3"/>
    <w:basedOn w:val="Normal"/>
    <w:next w:val="Normal"/>
    <w:qFormat/>
    <w:pPr>
      <w:spacing w:before="240" w:after="240"/>
      <w:outlineLvl w:val="2"/>
    </w:pPr>
    <w:rPr>
      <w:b/>
      <w:bCs/>
      <w:sz w:val="28"/>
      <w:szCs w:val="28"/>
    </w:rPr>
  </w:style>
  <w:style w:type="paragraph" w:styleId="Heading4">
    <w:name w:val="heading 4"/>
    <w:basedOn w:val="Normal"/>
    <w:next w:val="Normal"/>
    <w:qFormat/>
    <w:pPr>
      <w:spacing w:before="255" w:after="255"/>
      <w:outlineLvl w:val="3"/>
    </w:pPr>
    <w:rPr>
      <w:b/>
      <w:bCs/>
      <w:sz w:val="24"/>
      <w:szCs w:val="24"/>
    </w:rPr>
  </w:style>
  <w:style w:type="paragraph" w:styleId="Heading5">
    <w:name w:val="heading 5"/>
    <w:basedOn w:val="Normal"/>
    <w:next w:val="Normal"/>
    <w:qFormat/>
    <w:pPr>
      <w:spacing w:before="255" w:after="255"/>
      <w:outlineLvl w:val="4"/>
    </w:pPr>
    <w:rPr>
      <w:b/>
      <w:bCs/>
      <w:sz w:val="18"/>
      <w:szCs w:val="18"/>
    </w:rPr>
  </w:style>
  <w:style w:type="paragraph" w:styleId="Heading6">
    <w:name w:val="heading 6"/>
    <w:basedOn w:val="Normal"/>
    <w:next w:val="Normal"/>
    <w:qFormat/>
    <w:pPr>
      <w:spacing w:before="360" w:after="360"/>
      <w:outlineLvl w:val="5"/>
    </w:pPr>
    <w:rPr>
      <w:b/>
      <w:bCs/>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next w:val="Normal"/>
    <w:qFormat/>
    <w:pPr>
      <w:keepNext/>
      <w:keepLines/>
      <w:spacing w:before="360" w:after="80"/>
    </w:pPr>
    <w:rPr>
      <w:rFonts w:ascii="Georgia" w:eastAsia="Georgia" w:hAnsi="Georgia" w:cs="Georgia"/>
      <w:i/>
      <w:iCs/>
      <w:color w:val="666666"/>
      <w:sz w:val="48"/>
      <w:szCs w:val="48"/>
    </w:rPr>
  </w:style>
  <w:style w:type="paragraph" w:styleId="Title">
    <w:name w:val="Title"/>
    <w:basedOn w:val="Normal"/>
    <w:next w:val="Normal"/>
    <w:qFormat/>
    <w:pPr>
      <w:keepNext/>
      <w:keepLines/>
      <w:spacing w:before="480" w:after="120"/>
    </w:pPr>
    <w:rPr>
      <w:b/>
      <w:bCs/>
      <w:sz w:val="72"/>
      <w:szCs w:val="72"/>
    </w:rPr>
  </w:style>
  <w:style w:type="table" w:customStyle="1" w:styleId="TableNormal0">
    <w:name w:val="TableNormal"/>
    <w:tblPr>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7</Pages>
  <Words>2857</Words>
  <Characters>16285</Characters>
  <Application>Microsoft Office Word</Application>
  <DocSecurity>0</DocSecurity>
  <Lines>135</Lines>
  <Paragraphs>38</Paragraphs>
  <ScaleCrop>false</ScaleCrop>
  <Company/>
  <LinksUpToDate>false</LinksUpToDate>
  <CharactersWithSpaces>19104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ROWTECH</dc:creator>
  <cp:lastModifiedBy>Ferdoushi Rahman Monju (2430137)</cp:lastModifiedBy>
  <cp:revision>31</cp:revision>
  <dcterms:created xsi:type="dcterms:W3CDTF">2026-08-12T11:43:00Z</dcterms:created>
  <dcterms:modified xsi:type="dcterms:W3CDTF">2026-08-14T11:18:00Z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eyJoZGlkIjoiNzc1OGY5NzE2NGM3ZjM0ZmEzNmYwOGRhYzAzNzUxOTEiLCJ1c2VySWQiOiIzMTc4NDk0ODI4MTMwIn0=</vt:lpwstr>
  </property>
  <property fmtid="{D5CDD505-2E9C-101B-9397-08002B2CF9AE}" pid="3" name="KSOProductBuildVer">
    <vt:lpwstr>1033-12.1.0.28032</vt:lpwstr>
  </property>
  <property fmtid="{D5CDD505-2E9C-101B-9397-08002B2CF9AE}" pid="4" name="ICV">
    <vt:lpwstr>901CFB85D2A74E7D89F4E48E055007E0_13</vt:lpwstr>
  </property>
  <property fmtid="{D5CDD505-2E9C-101B-9397-08002B2CF9AE}" pid="5" name="GrammarlyDocumentId">
    <vt:lpwstr>b67d07b9-fb5b-4116-b392-fe63f360a451</vt:lpwstr>
  </property>
</Properties>
</file>