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FCB" w14:textId="77777777" w:rsidR="00B4127B" w:rsidRDefault="0038713F" w:rsidP="00B4127B">
      <w:pPr>
        <w:pStyle w:val="NormalWeb"/>
        <w:rPr>
          <w:rFonts w:ascii="Arial" w:hAnsi="Arial" w:cs="Arial"/>
        </w:rPr>
      </w:pPr>
      <w:r w:rsidRPr="00B4127B">
        <w:rPr>
          <w:rFonts w:ascii="Arial" w:hAnsi="Arial" w:cs="Arial"/>
        </w:rPr>
        <w:t xml:space="preserve">Good Afternoon. My name is Chelsey Imms and this afternoon I will be presenting to you my personal refection on my scrapbook and critically evaluate how it links to sustainability in the early years. My scrapbook was based on our family farm which has been in our family for over 100 years. The farm holds a really special place in my heart as it’s where I spent most of my childhood and with my great-grandmother who sadly isn’t here with us anymore. Our farm is based in </w:t>
      </w:r>
      <w:proofErr w:type="spellStart"/>
      <w:r w:rsidRPr="00B4127B">
        <w:rPr>
          <w:rFonts w:ascii="Arial" w:hAnsi="Arial" w:cs="Arial"/>
        </w:rPr>
        <w:t>Gilwern</w:t>
      </w:r>
      <w:proofErr w:type="spellEnd"/>
      <w:r w:rsidRPr="00B4127B">
        <w:rPr>
          <w:rFonts w:ascii="Arial" w:hAnsi="Arial" w:cs="Arial"/>
        </w:rPr>
        <w:t>, Monmouthshire, and holds almost 100 acres of land. We are very lucky to have a very large garden, where we are able to grow our own fruit and vegetables; as a family we feel very passionate about growing our own fruits and vegetables and putting “farm to fork”. As a child, I learnt very early on how growing your own fruit and vegetables is important for sustainable living because it reduces the need for packaging and transportation, lowers your carbon footprint, and helps you eat fresh, healthy food. It also saves money and promotes self-reliance.</w:t>
      </w:r>
      <w:r w:rsidR="00B4127B" w:rsidRPr="00B4127B">
        <w:rPr>
          <w:rFonts w:ascii="Arial" w:hAnsi="Arial" w:cs="Arial"/>
        </w:rPr>
        <w:t xml:space="preserve"> Taking on the John Muir award and creating a scrapbook made me fall in love with our garden all over again and allowed me to appreciate it as an adult as </w:t>
      </w:r>
      <w:r w:rsidR="00B4127B">
        <w:rPr>
          <w:rFonts w:ascii="Arial" w:hAnsi="Arial" w:cs="Arial"/>
        </w:rPr>
        <w:t xml:space="preserve">much as </w:t>
      </w:r>
      <w:r w:rsidR="00B4127B" w:rsidRPr="00B4127B">
        <w:rPr>
          <w:rFonts w:ascii="Arial" w:hAnsi="Arial" w:cs="Arial"/>
        </w:rPr>
        <w:t xml:space="preserve">it did when I was a child. This experience deepened my connection to the garden because it made me slow down and really notice the details I might have overlooked before </w:t>
      </w:r>
      <w:r w:rsidR="00B4127B">
        <w:rPr>
          <w:rFonts w:ascii="Arial" w:hAnsi="Arial" w:cs="Arial"/>
        </w:rPr>
        <w:t>such as</w:t>
      </w:r>
      <w:r w:rsidR="00B4127B" w:rsidRPr="00B4127B">
        <w:rPr>
          <w:rFonts w:ascii="Arial" w:hAnsi="Arial" w:cs="Arial"/>
        </w:rPr>
        <w:t xml:space="preserve"> the different insects visiting the plants, the changing seasons, and the ways the garden supports local wildlife. It also reminded me how important it is to care for this space, not just as a source of food, but as a vibrant ecosystem that contributes to sustainability.</w:t>
      </w:r>
    </w:p>
    <w:p w14:paraId="66795E1F" w14:textId="77777777" w:rsidR="00FC500E" w:rsidRPr="00FC500E" w:rsidRDefault="00FC500E" w:rsidP="00B4127B">
      <w:pPr>
        <w:pStyle w:val="NormalWeb"/>
        <w:rPr>
          <w:rFonts w:ascii="Arial" w:hAnsi="Arial" w:cs="Arial"/>
        </w:rPr>
      </w:pPr>
      <w:r w:rsidRPr="00FC500E">
        <w:rPr>
          <w:rFonts w:ascii="Arial" w:hAnsi="Arial" w:cs="Arial"/>
        </w:rPr>
        <w:t xml:space="preserve">One memory that stands out to me is helping my great-grandmother pick raspberries from the garden each summer. I remember how carefully she showed me which berries were ripe and how important it was not to damage the plants so they could keep producing. That simple experience taught me patience, respect for nature, and the value of food grown with care. It also made me realise how much effort goes into growing fruit and vegetables </w:t>
      </w:r>
      <w:r w:rsidR="00423499">
        <w:rPr>
          <w:rFonts w:ascii="Arial" w:hAnsi="Arial" w:cs="Arial"/>
        </w:rPr>
        <w:t xml:space="preserve">- </w:t>
      </w:r>
      <w:r w:rsidRPr="00FC500E">
        <w:rPr>
          <w:rFonts w:ascii="Arial" w:hAnsi="Arial" w:cs="Arial"/>
        </w:rPr>
        <w:t>something you don’t always see when food comes from a supermarket. These early lessons truly shaped how I think about sustainability and where our food comes from.</w:t>
      </w:r>
      <w:r>
        <w:rPr>
          <w:rFonts w:ascii="Arial" w:hAnsi="Arial" w:cs="Arial"/>
        </w:rPr>
        <w:t xml:space="preserve"> It also helps me to realise how lucky I was as a child to have experienced this and how it can promote curiosity for young children.</w:t>
      </w:r>
    </w:p>
    <w:p w14:paraId="591CC35F" w14:textId="77777777" w:rsidR="00B4127B" w:rsidRPr="00FC500E" w:rsidRDefault="00B4127B" w:rsidP="00B4127B">
      <w:pPr>
        <w:pStyle w:val="NormalWeb"/>
        <w:rPr>
          <w:rFonts w:ascii="Arial" w:hAnsi="Arial" w:cs="Arial"/>
        </w:rPr>
      </w:pPr>
      <w:r w:rsidRPr="00FC500E">
        <w:rPr>
          <w:rFonts w:ascii="Arial" w:hAnsi="Arial" w:cs="Arial"/>
        </w:rPr>
        <w:t xml:space="preserve">The John Muir Award helped me see the garden as a living classroom, a place where children can learn about the environment hands-on, </w:t>
      </w:r>
      <w:r w:rsidR="00FC500E" w:rsidRPr="00FC500E">
        <w:rPr>
          <w:rFonts w:ascii="Arial" w:hAnsi="Arial" w:cs="Arial"/>
        </w:rPr>
        <w:t xml:space="preserve">just like I did as a child, as also </w:t>
      </w:r>
      <w:r w:rsidRPr="00FC500E">
        <w:rPr>
          <w:rFonts w:ascii="Arial" w:hAnsi="Arial" w:cs="Arial"/>
        </w:rPr>
        <w:t>develop a sense of responsibility, and feel inspired to protect the natural world. It reinforced my belief that fostering these connections early in life is essential for building a more sustainable future.</w:t>
      </w:r>
    </w:p>
    <w:p w14:paraId="3F7FF3DF" w14:textId="003030FD" w:rsidR="00B4127B" w:rsidRPr="00B4127B" w:rsidRDefault="00B4127B" w:rsidP="00B4127B">
      <w:pPr>
        <w:pStyle w:val="NormalWeb"/>
        <w:rPr>
          <w:rFonts w:ascii="Arial" w:hAnsi="Arial" w:cs="Arial"/>
        </w:rPr>
      </w:pPr>
      <w:r w:rsidRPr="00B4127B">
        <w:rPr>
          <w:rFonts w:ascii="Arial" w:hAnsi="Arial" w:cs="Arial"/>
        </w:rPr>
        <w:t>As an adult revisiting the garden, I feel a deeper appreciation for the knowledge and skills involved in sustainable farming</w:t>
      </w:r>
      <w:r w:rsidR="00D37F20">
        <w:rPr>
          <w:rFonts w:ascii="Arial" w:hAnsi="Arial" w:cs="Arial"/>
        </w:rPr>
        <w:t xml:space="preserve"> - </w:t>
      </w:r>
      <w:r w:rsidRPr="00B4127B">
        <w:rPr>
          <w:rFonts w:ascii="Arial" w:hAnsi="Arial" w:cs="Arial"/>
        </w:rPr>
        <w:t>the patience required to nurture plants, the seasonal cycles, and the delicate balance of nature that supports growth. I also appreciate how the garden represents more than just food; it’s a place of history, family stories, and traditions passed down through generations.</w:t>
      </w:r>
    </w:p>
    <w:p w14:paraId="2ABB7C1E" w14:textId="77777777" w:rsidR="00B4127B" w:rsidRPr="00B4127B" w:rsidRDefault="00B4127B" w:rsidP="00B4127B">
      <w:pPr>
        <w:pStyle w:val="NormalWeb"/>
        <w:rPr>
          <w:rFonts w:ascii="Arial" w:hAnsi="Arial" w:cs="Arial"/>
        </w:rPr>
      </w:pPr>
      <w:r w:rsidRPr="00B4127B">
        <w:rPr>
          <w:rFonts w:ascii="Arial" w:hAnsi="Arial" w:cs="Arial"/>
        </w:rPr>
        <w:t>There’s so much more I could learn about the garden now, such as the biodiversity it supports, the soil health, and the ways we can improve sustainability practices to protect the environment for future generations. Exploring these topics makes me think about how children can connect with nature not just through play, but by understanding the impact of their actions and the importance of caring for the earth.</w:t>
      </w:r>
    </w:p>
    <w:p w14:paraId="75955706" w14:textId="77777777" w:rsidR="00B4127B" w:rsidRDefault="00B4127B" w:rsidP="00B4127B">
      <w:pPr>
        <w:pStyle w:val="NormalWeb"/>
        <w:rPr>
          <w:rFonts w:ascii="Arial" w:hAnsi="Arial" w:cs="Arial"/>
        </w:rPr>
      </w:pPr>
      <w:r w:rsidRPr="00B4127B">
        <w:rPr>
          <w:rFonts w:ascii="Arial" w:hAnsi="Arial" w:cs="Arial"/>
        </w:rPr>
        <w:lastRenderedPageBreak/>
        <w:t>The garden reminds me of my childhood by bringing back memories of discovery, wonder, and the joy of being outdoors. It inspires me to encourage children to build their own connections with nature, to nurture their curiosity, and to develop a sense of responsibility for the world around them. By fostering these values early on, we can help raise a generation that is more aware, compassionate, and proactive about sustainability.</w:t>
      </w:r>
    </w:p>
    <w:p w14:paraId="7AFF82AB"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The goal of sustainability is to responsibly handle the environment, people, and resources so that we can live comfortably now without endangering the ability of future generations to do the same. It includes preserving the environment, making equitable use of resources, and considering long-term effects on local and global communities (Brundtland Report, 1987). "Meeting the needs of the present without compromising the ability of future generations to meet their own needs" is how the Brundtland Report defines sustainable development. The United Nations Sustainable Development Goals (SDGs) and the 1992 Earth Summit are two significant global agreements and policies that have been influenced by this concept. One of the objectives, SDG 4.7, emphasises how education may assist students in acquiring the values, attitudes, knowledge, and skills necessary to uphold human rights, advance gender equality, live sustainably, and be engaged global citizens (UNESCO, 2017; Davis, 2015).</w:t>
      </w:r>
    </w:p>
    <w:p w14:paraId="690DC196"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In early childhood education, ambitious goals like teaching children about sustainability must be suitable for their ages. This means utilising teaching methods that align with the ways in which young children learn—through play, practical experiences, and exploration of their surroundings (Cutter-Mackenzie et al., 2014). ESDGC, or education for sustainable development and global citizenship (</w:t>
      </w:r>
      <w:proofErr w:type="spellStart"/>
      <w:proofErr w:type="gramStart"/>
      <w:r w:rsidRPr="006D5360">
        <w:rPr>
          <w:rFonts w:ascii="Arial" w:eastAsia="Times New Roman" w:hAnsi="Arial" w:cs="Arial"/>
          <w:sz w:val="24"/>
          <w:szCs w:val="24"/>
          <w:lang w:eastAsia="en-GB"/>
        </w:rPr>
        <w:t>gov.wales</w:t>
      </w:r>
      <w:proofErr w:type="spellEnd"/>
      <w:proofErr w:type="gramEnd"/>
      <w:r w:rsidRPr="006D5360">
        <w:rPr>
          <w:rFonts w:ascii="Arial" w:eastAsia="Times New Roman" w:hAnsi="Arial" w:cs="Arial"/>
          <w:sz w:val="24"/>
          <w:szCs w:val="24"/>
          <w:lang w:eastAsia="en-GB"/>
        </w:rPr>
        <w:t>, 2012), is embedded within the curriculum in Wales (2022). The Curriculum for Non-Maintained Settings and the Curriculum for Wales both support children's development into responsible adults, a sense of belonging (</w:t>
      </w:r>
      <w:proofErr w:type="spellStart"/>
      <w:r w:rsidRPr="006D5360">
        <w:rPr>
          <w:rFonts w:ascii="Arial" w:eastAsia="Times New Roman" w:hAnsi="Arial" w:cs="Arial"/>
          <w:sz w:val="24"/>
          <w:szCs w:val="24"/>
          <w:lang w:eastAsia="en-GB"/>
        </w:rPr>
        <w:t>Cynefin</w:t>
      </w:r>
      <w:proofErr w:type="spellEnd"/>
      <w:r w:rsidRPr="006D5360">
        <w:rPr>
          <w:rFonts w:ascii="Arial" w:eastAsia="Times New Roman" w:hAnsi="Arial" w:cs="Arial"/>
          <w:sz w:val="24"/>
          <w:szCs w:val="24"/>
          <w:lang w:eastAsia="en-GB"/>
        </w:rPr>
        <w:t>), and an awareness of the global connections between people and places (Siraj-Blatchford et al., 2018). Policies such as the Well-being of Future Generations (Wales) Act (2015), which requires public organisations to consider the long-term future and the welfare of both present and future generations, also supports those goals. Additionally, according to Articles 12, 13, and 29 of the United Nations Convention on the Rights of the Child (UNCRC, 1989), children have the right to be heard, to learn about the environment, and to grow up in a safe and healthy world (Davies et al., 2009).</w:t>
      </w:r>
    </w:p>
    <w:p w14:paraId="5C8783CF"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Taking part in the John Muir Award and spending time in the farm garden gave me a meaningful chance to think about how Education for Sustainable Development and Global Citizenship (ESDGC) can be embedded in early years education. Being actively involved in observing the growth of rhubarb, blackcurrants, raspberries, lettuce, onions, peas, beans, and various flowers helped me develop a much deeper, personal connection with nature. These kinds of hands-on experiences capture some of the core principles of ESDGC—learning that is practical, led by the interests of the child, rooted in the local environment, and designed to encourage a sense of care and responsibility for the world around us (UNESCO, 2017; MacQuarrie et al., 2015).</w:t>
      </w:r>
    </w:p>
    <w:p w14:paraId="702BE1A6"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lastRenderedPageBreak/>
        <w:t xml:space="preserve">Early childhood education for sustainability should involve more than just allowing children to spend time outdoors. They should be able to think critically about nature, take action to protect it, and comprehend how it relates to broader global and societal issues. Activities like discovering, exploring, conserving nature, and sharing what has been discovered are all part of the John Muir Award. This promotes children's involvement and voice, which are the core values of contemporary educational theory as well as the United Nations Convention on the Rights of the Child (UNCRC, 1989) (Samuelsson and Park, 2017). However, there is a chance that early nature-based learning could become overly portrayed or simplified, as </w:t>
      </w:r>
      <w:proofErr w:type="spellStart"/>
      <w:r w:rsidRPr="006D5360">
        <w:rPr>
          <w:rFonts w:ascii="Arial" w:eastAsia="Times New Roman" w:hAnsi="Arial" w:cs="Arial"/>
          <w:sz w:val="24"/>
          <w:szCs w:val="24"/>
          <w:lang w:eastAsia="en-GB"/>
        </w:rPr>
        <w:t>Hedefalk</w:t>
      </w:r>
      <w:proofErr w:type="spellEnd"/>
      <w:r w:rsidRPr="006D5360">
        <w:rPr>
          <w:rFonts w:ascii="Arial" w:eastAsia="Times New Roman" w:hAnsi="Arial" w:cs="Arial"/>
          <w:sz w:val="24"/>
          <w:szCs w:val="24"/>
          <w:lang w:eastAsia="en-GB"/>
        </w:rPr>
        <w:t>, Almqvist, and Östman (2015) caution. The opportunity to teach children how environmental issues are linked to social issues, the economy, and justice may be lost if the focus is solely on encouraging them to "care for nature" without further consideration. This echoes the warnings by Prince (2010) who critiques "light green" sustainability practices that neglect systemic understanding.</w:t>
      </w:r>
    </w:p>
    <w:p w14:paraId="6E17F185"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For young children, nature and outdoor learning are essential, as demonstrated by numerous theorists. Froebel (1826), who created the concept of kindergarten, thought that children learn about themselves and the world by spending time in nature. His description of nature as the "living garment of God" (Froebel, 1826) highlights his strong belief in the importance of exploring the outdoors for children’s emotional and personal development. An important believer of learning through experience, particularly in natural settings, was Maria Montessori. When children are allowed to utilise all of their senses and explore and make their own discoveries, she claimed that they learn best (Montessori, 1966). Along with adults and other children, the environment is seen as the "third teacher" in Loris Malaguzzi's Reggio Emilia approach because it is claimed that a thoughtfully designed, engaging place can capture children's attention and foster their creativity (Malaguzzi, 1993; Edwards, Gandini &amp; Forman, 2011). All of these methods are based on the idea that children learn best when they are actively engaged with their environment, particularly in natural settings where they can see, feel, and investigate real objects (Barrable, 2019).</w:t>
      </w:r>
    </w:p>
    <w:p w14:paraId="43CBAA2B"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 xml:space="preserve">There is strong evidence that children who regularly spend time in nature are more likely to grow up to be compassionate, empathetic, and environmentally conscious. According to studies by Davis (2015), Elliott and Davis (2020), and Sobel (2014), early exposures in natural environments support children's development of emotional bonds with their environment. It is believed that these healthy connections with nature provide the groundwork for future concerns about the environment (Davis, 2010; </w:t>
      </w:r>
      <w:proofErr w:type="spellStart"/>
      <w:r w:rsidRPr="006D5360">
        <w:rPr>
          <w:rFonts w:ascii="Arial" w:eastAsia="Times New Roman" w:hAnsi="Arial" w:cs="Arial"/>
          <w:sz w:val="24"/>
          <w:szCs w:val="24"/>
          <w:lang w:eastAsia="en-GB"/>
        </w:rPr>
        <w:t>Ärlemalm-Hagsér</w:t>
      </w:r>
      <w:proofErr w:type="spellEnd"/>
      <w:r w:rsidRPr="006D5360">
        <w:rPr>
          <w:rFonts w:ascii="Arial" w:eastAsia="Times New Roman" w:hAnsi="Arial" w:cs="Arial"/>
          <w:sz w:val="24"/>
          <w:szCs w:val="24"/>
          <w:lang w:eastAsia="en-GB"/>
        </w:rPr>
        <w:t>, 2013). This is demonstrated well in my scrapbook from the John Muir Award. It shows how taking notes on what I observed in the garden, including changes in the seasons, various plants and wildlife, and the growth of different fruits and vegetables, can contribute to a deeper awareness of the natural world. This type of education includes more than just facts; it also involves meaningfully observing, experiencing, and relating to nature (David, 2010).</w:t>
      </w:r>
    </w:p>
    <w:p w14:paraId="3A8AE69A"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 xml:space="preserve">As an element of children's holistic development as well as understanding of their place in the world, sustainability should be emphasised in early childhood education, according to an increasing number of early childhood researchers and authors. </w:t>
      </w:r>
      <w:r w:rsidRPr="006D5360">
        <w:rPr>
          <w:rFonts w:ascii="Arial" w:eastAsia="Times New Roman" w:hAnsi="Arial" w:cs="Arial"/>
          <w:sz w:val="24"/>
          <w:szCs w:val="24"/>
          <w:lang w:eastAsia="en-GB"/>
        </w:rPr>
        <w:lastRenderedPageBreak/>
        <w:t xml:space="preserve">According to Davis (2015), when explored through real-life experiences, young children can gain a better understanding of complicated concepts like fairness, caring for living things, and community responsibility. Growing fruits and vegetables </w:t>
      </w:r>
      <w:proofErr w:type="gramStart"/>
      <w:r w:rsidRPr="006D5360">
        <w:rPr>
          <w:rFonts w:ascii="Arial" w:eastAsia="Times New Roman" w:hAnsi="Arial" w:cs="Arial"/>
          <w:sz w:val="24"/>
          <w:szCs w:val="24"/>
          <w:lang w:eastAsia="en-GB"/>
        </w:rPr>
        <w:t>is</w:t>
      </w:r>
      <w:proofErr w:type="gramEnd"/>
      <w:r w:rsidRPr="006D5360">
        <w:rPr>
          <w:rFonts w:ascii="Arial" w:eastAsia="Times New Roman" w:hAnsi="Arial" w:cs="Arial"/>
          <w:sz w:val="24"/>
          <w:szCs w:val="24"/>
          <w:lang w:eastAsia="en-GB"/>
        </w:rPr>
        <w:t xml:space="preserve"> one activity that teaches children about the origins of food, the functioning of natural systems, and the need of preserving lives. According to Edwards and Cutter-Mackenzie (2013), sustainability is not just a subject that should be taught; rather, it is a way of thinking and doing that can be applied to daily activities like planting, harvesting, and composting, which helps children better understand more abstract concepts (Davis et al., 2014; Miller, 2012).</w:t>
      </w:r>
    </w:p>
    <w:p w14:paraId="6856EA4B"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 xml:space="preserve">Some authors, however, disagree with the way sustainability is frequently handled in early childhood settings. Although sustainability is becoming more and more emphasised in curriculum and policy documents, </w:t>
      </w:r>
      <w:proofErr w:type="spellStart"/>
      <w:r w:rsidRPr="006D5360">
        <w:rPr>
          <w:rFonts w:ascii="Arial" w:eastAsia="Times New Roman" w:hAnsi="Arial" w:cs="Arial"/>
          <w:sz w:val="24"/>
          <w:szCs w:val="24"/>
          <w:lang w:eastAsia="en-GB"/>
        </w:rPr>
        <w:t>Hedefalk</w:t>
      </w:r>
      <w:proofErr w:type="spellEnd"/>
      <w:r w:rsidRPr="006D5360">
        <w:rPr>
          <w:rFonts w:ascii="Arial" w:eastAsia="Times New Roman" w:hAnsi="Arial" w:cs="Arial"/>
          <w:sz w:val="24"/>
          <w:szCs w:val="24"/>
          <w:lang w:eastAsia="en-GB"/>
        </w:rPr>
        <w:t>, Almqvist, and Östman (2015) note that educators are not always fully aware of or competent at implementing it. "Light green" methods run the risk of teaching children to recycle, for example, without requiring them to think critically or understand systems more deeply. Additionally, Elliott and Young (2016) claim that rather than serving as rich learning opportunities, gardening activities are sometimes used more for routine or behaviour control. They emphasise the value of purposeful education, in which adults assist children in drawing links between their garden activities and more general concepts of the environment and food systems (Dyment et al., 2014; Korkmaz and Guler Yildiz, 2017). This critique highlights the need for professional development to boost educators' confidence and knowledge in sustainability education (Dyment et al., 2014).</w:t>
      </w:r>
    </w:p>
    <w:p w14:paraId="37CEFDE6" w14:textId="77777777" w:rsidR="006D5360" w:rsidRPr="006D5360"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Growing food is still a great way for young children to get started with sustainability, even with these obstacles. UNESCO (2017) states that it promotes the growth of respect for life, patience, and responsibility—all of which are essential components of education for sustainable development. Children can observe the effects of their actions over time when they plant a seed, take care of it, and finally harvest the food in place-based and experiential learning activities like gardening. An "emotional ecology"—the relationship between the child and the environment that may encourage lifetime environmental care—is created by this hands-on interaction, according to Sobel (2014). Growing fruits and vegetables can be much more than just a gardening activity when guided by educated adults and integrated into a larger curriculum of critical thinking and global citizenship (Engdahl, 2015; Hägglund and Samuelsson, 2009).</w:t>
      </w:r>
    </w:p>
    <w:p w14:paraId="58919F7F" w14:textId="678BBBC2" w:rsidR="00354D6B" w:rsidRPr="00354D6B" w:rsidRDefault="006D5360" w:rsidP="006D5360">
      <w:pPr>
        <w:rPr>
          <w:rFonts w:ascii="Arial" w:eastAsia="Times New Roman" w:hAnsi="Arial" w:cs="Arial"/>
          <w:sz w:val="24"/>
          <w:szCs w:val="24"/>
          <w:lang w:eastAsia="en-GB"/>
        </w:rPr>
      </w:pPr>
      <w:r w:rsidRPr="006D5360">
        <w:rPr>
          <w:rFonts w:ascii="Arial" w:eastAsia="Times New Roman" w:hAnsi="Arial" w:cs="Arial"/>
          <w:sz w:val="24"/>
          <w:szCs w:val="24"/>
          <w:lang w:eastAsia="en-GB"/>
        </w:rPr>
        <w:t xml:space="preserve">In conclusion, experiences such as the John Muir Award scrapbook and gardening activities provide rich, practical opportunities to enact the principles of early childhood education for sustainability. They allow young children to build meaningful, emotional connections with the natural world and to develop critical thinking skills about their place within global environmental and social systems. However, careful attention must be paid to ensure such experiences move beyond simple ‘caring for nature’ towards fostering systemic understanding and action, requiring skilled educators who are confident in delivering sustainability education. Embedding these experiences within policy frameworks and curricula, as seen in Wales, further supports the long-term goal of cultivating responsible, engaged global citizens </w:t>
      </w:r>
      <w:r w:rsidRPr="006D5360">
        <w:rPr>
          <w:rFonts w:ascii="Arial" w:eastAsia="Times New Roman" w:hAnsi="Arial" w:cs="Arial"/>
          <w:sz w:val="24"/>
          <w:szCs w:val="24"/>
          <w:lang w:eastAsia="en-GB"/>
        </w:rPr>
        <w:lastRenderedPageBreak/>
        <w:t>committed to sustainable futures (Prince, 2010; Siraj-Blatchford et al., 2018; Tinney and Merriman, 2018).</w:t>
      </w:r>
    </w:p>
    <w:p w14:paraId="1338AA7A" w14:textId="77777777" w:rsidR="00354D6B" w:rsidRPr="00FA1728" w:rsidRDefault="00354D6B" w:rsidP="00FA1728">
      <w:pPr>
        <w:rPr>
          <w:rFonts w:ascii="Times New Roman" w:eastAsia="Times New Roman" w:hAnsi="Times New Roman" w:cs="Times New Roman"/>
          <w:sz w:val="24"/>
          <w:szCs w:val="24"/>
          <w:lang w:eastAsia="en-GB"/>
        </w:rPr>
      </w:pPr>
    </w:p>
    <w:p w14:paraId="77D2A3E5" w14:textId="77777777" w:rsidR="00FA1728" w:rsidRPr="00FA1728" w:rsidRDefault="00FA1728" w:rsidP="00FA1728">
      <w:pPr>
        <w:spacing w:after="0" w:line="240" w:lineRule="auto"/>
        <w:rPr>
          <w:rFonts w:ascii="Arial" w:eastAsia="Times New Roman" w:hAnsi="Arial" w:cs="Arial"/>
          <w:sz w:val="24"/>
          <w:szCs w:val="24"/>
          <w:lang w:eastAsia="en-GB"/>
        </w:rPr>
      </w:pPr>
    </w:p>
    <w:p w14:paraId="66E69175" w14:textId="77777777" w:rsidR="00FA1728" w:rsidRPr="00FA1728" w:rsidRDefault="00FA1728" w:rsidP="00FA1728">
      <w:pPr>
        <w:spacing w:after="0" w:line="240" w:lineRule="auto"/>
        <w:rPr>
          <w:rFonts w:ascii="Arial" w:eastAsia="Times New Roman" w:hAnsi="Arial" w:cs="Arial"/>
          <w:sz w:val="24"/>
          <w:szCs w:val="24"/>
          <w:lang w:eastAsia="en-GB"/>
        </w:rPr>
      </w:pPr>
    </w:p>
    <w:p w14:paraId="36672CB7" w14:textId="77777777" w:rsidR="006D5360" w:rsidRDefault="006D5360"/>
    <w:p w14:paraId="2F2B41F2" w14:textId="77777777" w:rsidR="0050164A" w:rsidRDefault="0050164A"/>
    <w:p w14:paraId="298DB61C" w14:textId="77777777" w:rsidR="0050164A" w:rsidRDefault="0050164A"/>
    <w:p w14:paraId="3C9017CE" w14:textId="77777777" w:rsidR="0050164A" w:rsidRDefault="0050164A"/>
    <w:p w14:paraId="7EEE062F" w14:textId="77777777" w:rsidR="0050164A" w:rsidRDefault="0050164A"/>
    <w:p w14:paraId="0C703CCD" w14:textId="77777777" w:rsidR="0050164A" w:rsidRDefault="0050164A"/>
    <w:p w14:paraId="48D94489" w14:textId="77777777" w:rsidR="0050164A" w:rsidRDefault="0050164A"/>
    <w:p w14:paraId="52272139" w14:textId="77777777" w:rsidR="0050164A" w:rsidRDefault="0050164A"/>
    <w:p w14:paraId="42325F4C" w14:textId="77777777" w:rsidR="0050164A" w:rsidRDefault="0050164A"/>
    <w:p w14:paraId="217ECD6A" w14:textId="77777777" w:rsidR="0050164A" w:rsidRDefault="0050164A"/>
    <w:p w14:paraId="189B1714" w14:textId="77777777" w:rsidR="0050164A" w:rsidRDefault="0050164A"/>
    <w:p w14:paraId="10D11D41" w14:textId="77777777" w:rsidR="0050164A" w:rsidRDefault="0050164A"/>
    <w:p w14:paraId="415C08ED" w14:textId="77777777" w:rsidR="0050164A" w:rsidRDefault="0050164A"/>
    <w:p w14:paraId="02CF3C6D" w14:textId="77777777" w:rsidR="0050164A" w:rsidRDefault="0050164A"/>
    <w:p w14:paraId="634DCA48" w14:textId="77777777" w:rsidR="0050164A" w:rsidRDefault="0050164A"/>
    <w:p w14:paraId="3A561E33" w14:textId="77777777" w:rsidR="0050164A" w:rsidRDefault="0050164A"/>
    <w:p w14:paraId="14D1668B" w14:textId="77777777" w:rsidR="0050164A" w:rsidRDefault="0050164A"/>
    <w:p w14:paraId="40579812" w14:textId="77777777" w:rsidR="0050164A" w:rsidRDefault="0050164A"/>
    <w:p w14:paraId="7B71BF81" w14:textId="77777777" w:rsidR="0050164A" w:rsidRDefault="0050164A"/>
    <w:p w14:paraId="5E836498" w14:textId="77777777" w:rsidR="00E70765" w:rsidRDefault="00E70765"/>
    <w:p w14:paraId="2E28F833" w14:textId="77777777" w:rsidR="006D5360" w:rsidRDefault="006D5360"/>
    <w:p w14:paraId="02245E95" w14:textId="77777777" w:rsidR="006D5360" w:rsidRDefault="006D5360"/>
    <w:p w14:paraId="53B8E689" w14:textId="77777777" w:rsidR="006D5360" w:rsidRDefault="006D5360"/>
    <w:p w14:paraId="41EFED7E" w14:textId="77777777" w:rsidR="006D5360" w:rsidRDefault="006D5360"/>
    <w:p w14:paraId="6462ECBE" w14:textId="77777777" w:rsidR="006D5360" w:rsidRDefault="006D5360"/>
    <w:p w14:paraId="0B0A3187" w14:textId="77777777" w:rsidR="006D5360" w:rsidRDefault="006D5360"/>
    <w:p w14:paraId="19AFADF5" w14:textId="77777777" w:rsidR="006D5360" w:rsidRDefault="006D5360"/>
    <w:p w14:paraId="21695263" w14:textId="688FC3CC" w:rsidR="006D5360" w:rsidRDefault="006D5360">
      <w:pPr>
        <w:rPr>
          <w:rFonts w:ascii="Arial" w:hAnsi="Arial" w:cs="Arial"/>
          <w:sz w:val="24"/>
          <w:szCs w:val="24"/>
          <w:u w:val="single"/>
        </w:rPr>
      </w:pPr>
      <w:r w:rsidRPr="006D5360">
        <w:rPr>
          <w:rFonts w:ascii="Arial" w:hAnsi="Arial" w:cs="Arial"/>
          <w:sz w:val="24"/>
          <w:szCs w:val="24"/>
          <w:u w:val="single"/>
        </w:rPr>
        <w:lastRenderedPageBreak/>
        <w:t>Reference List</w:t>
      </w:r>
    </w:p>
    <w:p w14:paraId="60E68677"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Barrable, A. (2019) ‘Refocusing environmental education in the early years: A brief introduction to a pedagogy for connection’, </w:t>
      </w:r>
      <w:r w:rsidRPr="006D5360">
        <w:rPr>
          <w:rFonts w:ascii="Arial" w:hAnsi="Arial" w:cs="Arial"/>
          <w:i/>
          <w:iCs/>
          <w:sz w:val="24"/>
          <w:szCs w:val="24"/>
        </w:rPr>
        <w:t>Education Sciences</w:t>
      </w:r>
      <w:r w:rsidRPr="006D5360">
        <w:rPr>
          <w:rFonts w:ascii="Arial" w:hAnsi="Arial" w:cs="Arial"/>
          <w:sz w:val="24"/>
          <w:szCs w:val="24"/>
        </w:rPr>
        <w:t>, 9(1), p. 61.</w:t>
      </w:r>
    </w:p>
    <w:p w14:paraId="06C15B6D"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Brundtland Report (1987) </w:t>
      </w:r>
      <w:r w:rsidRPr="006D5360">
        <w:rPr>
          <w:rFonts w:ascii="Arial" w:hAnsi="Arial" w:cs="Arial"/>
          <w:i/>
          <w:iCs/>
          <w:sz w:val="24"/>
          <w:szCs w:val="24"/>
        </w:rPr>
        <w:t>Our common future: Report of the World Commission on Environment and Development</w:t>
      </w:r>
      <w:r w:rsidRPr="006D5360">
        <w:rPr>
          <w:rFonts w:ascii="Arial" w:hAnsi="Arial" w:cs="Arial"/>
          <w:sz w:val="24"/>
          <w:szCs w:val="24"/>
        </w:rPr>
        <w:t>. Oxford: Oxford University Press.</w:t>
      </w:r>
    </w:p>
    <w:p w14:paraId="42DD100E"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Cutter-Mackenzie, A., Boyd, W., Moore, D. and Edwards, S. (2014) </w:t>
      </w:r>
      <w:r w:rsidRPr="006D5360">
        <w:rPr>
          <w:rFonts w:ascii="Arial" w:hAnsi="Arial" w:cs="Arial"/>
          <w:i/>
          <w:iCs/>
          <w:sz w:val="24"/>
          <w:szCs w:val="24"/>
        </w:rPr>
        <w:t>Young children’s play and environmental education in early childhood education</w:t>
      </w:r>
      <w:r w:rsidRPr="006D5360">
        <w:rPr>
          <w:rFonts w:ascii="Arial" w:hAnsi="Arial" w:cs="Arial"/>
          <w:sz w:val="24"/>
          <w:szCs w:val="24"/>
        </w:rPr>
        <w:t>. Cham: Springer.</w:t>
      </w:r>
    </w:p>
    <w:p w14:paraId="35BDD06A"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Davies, J., Engdahl, I., Otieno, L., </w:t>
      </w:r>
      <w:proofErr w:type="spellStart"/>
      <w:r w:rsidRPr="006D5360">
        <w:rPr>
          <w:rFonts w:ascii="Arial" w:hAnsi="Arial" w:cs="Arial"/>
          <w:sz w:val="24"/>
          <w:szCs w:val="24"/>
        </w:rPr>
        <w:t>Pramling</w:t>
      </w:r>
      <w:proofErr w:type="spellEnd"/>
      <w:r w:rsidRPr="006D5360">
        <w:rPr>
          <w:rFonts w:ascii="Arial" w:hAnsi="Arial" w:cs="Arial"/>
          <w:sz w:val="24"/>
          <w:szCs w:val="24"/>
        </w:rPr>
        <w:t xml:space="preserve">-Samuelson, I., Siraj-Blatchford, J. and Vallabh, P. (2009) ‘Early childhood education for sustainability: Recommendations for development’, </w:t>
      </w:r>
      <w:r w:rsidRPr="006D5360">
        <w:rPr>
          <w:rFonts w:ascii="Arial" w:hAnsi="Arial" w:cs="Arial"/>
          <w:i/>
          <w:iCs/>
          <w:sz w:val="24"/>
          <w:szCs w:val="24"/>
        </w:rPr>
        <w:t>International Journal of Early Childhood</w:t>
      </w:r>
      <w:r w:rsidRPr="006D5360">
        <w:rPr>
          <w:rFonts w:ascii="Arial" w:hAnsi="Arial" w:cs="Arial"/>
          <w:sz w:val="24"/>
          <w:szCs w:val="24"/>
        </w:rPr>
        <w:t>, 41(2), pp. 113–118.</w:t>
      </w:r>
    </w:p>
    <w:p w14:paraId="4DF1387E"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Davis, J. M. (2010) </w:t>
      </w:r>
      <w:r w:rsidRPr="006D5360">
        <w:rPr>
          <w:rFonts w:ascii="Arial" w:hAnsi="Arial" w:cs="Arial"/>
          <w:i/>
          <w:iCs/>
          <w:sz w:val="24"/>
          <w:szCs w:val="24"/>
        </w:rPr>
        <w:t>Young children and the environment: Early education for sustainability</w:t>
      </w:r>
      <w:r w:rsidRPr="006D5360">
        <w:rPr>
          <w:rFonts w:ascii="Arial" w:hAnsi="Arial" w:cs="Arial"/>
          <w:sz w:val="24"/>
          <w:szCs w:val="24"/>
        </w:rPr>
        <w:t xml:space="preserve">. 2nd </w:t>
      </w:r>
      <w:proofErr w:type="spellStart"/>
      <w:r w:rsidRPr="006D5360">
        <w:rPr>
          <w:rFonts w:ascii="Arial" w:hAnsi="Arial" w:cs="Arial"/>
          <w:sz w:val="24"/>
          <w:szCs w:val="24"/>
        </w:rPr>
        <w:t>edn</w:t>
      </w:r>
      <w:proofErr w:type="spellEnd"/>
      <w:r w:rsidRPr="006D5360">
        <w:rPr>
          <w:rFonts w:ascii="Arial" w:hAnsi="Arial" w:cs="Arial"/>
          <w:sz w:val="24"/>
          <w:szCs w:val="24"/>
        </w:rPr>
        <w:t>. Port Melbourne, Victoria: Cambridge University Press.</w:t>
      </w:r>
    </w:p>
    <w:p w14:paraId="3A110647"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David, A. (2010) </w:t>
      </w:r>
      <w:r w:rsidRPr="006D5360">
        <w:rPr>
          <w:rFonts w:ascii="Arial" w:hAnsi="Arial" w:cs="Arial"/>
          <w:i/>
          <w:iCs/>
          <w:sz w:val="24"/>
          <w:szCs w:val="24"/>
        </w:rPr>
        <w:t xml:space="preserve">Sustainability: A step-by-step guide to creating a </w:t>
      </w:r>
      <w:proofErr w:type="gramStart"/>
      <w:r w:rsidRPr="006D5360">
        <w:rPr>
          <w:rFonts w:ascii="Arial" w:hAnsi="Arial" w:cs="Arial"/>
          <w:i/>
          <w:iCs/>
          <w:sz w:val="24"/>
          <w:szCs w:val="24"/>
        </w:rPr>
        <w:t>sustainable early years</w:t>
      </w:r>
      <w:proofErr w:type="gramEnd"/>
      <w:r w:rsidRPr="006D5360">
        <w:rPr>
          <w:rFonts w:ascii="Arial" w:hAnsi="Arial" w:cs="Arial"/>
          <w:i/>
          <w:iCs/>
          <w:sz w:val="24"/>
          <w:szCs w:val="24"/>
        </w:rPr>
        <w:t xml:space="preserve"> setting</w:t>
      </w:r>
      <w:r w:rsidRPr="006D5360">
        <w:rPr>
          <w:rFonts w:ascii="Arial" w:hAnsi="Arial" w:cs="Arial"/>
          <w:sz w:val="24"/>
          <w:szCs w:val="24"/>
        </w:rPr>
        <w:t>. London: Practical Pre-School Books.</w:t>
      </w:r>
    </w:p>
    <w:p w14:paraId="3A2A96BA"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Dyment, J. E., Davis, J. M., Nailon, D., Emery, S., </w:t>
      </w:r>
      <w:proofErr w:type="spellStart"/>
      <w:r w:rsidRPr="006D5360">
        <w:rPr>
          <w:rFonts w:ascii="Arial" w:hAnsi="Arial" w:cs="Arial"/>
          <w:sz w:val="24"/>
          <w:szCs w:val="24"/>
        </w:rPr>
        <w:t>Getenet</w:t>
      </w:r>
      <w:proofErr w:type="spellEnd"/>
      <w:r w:rsidRPr="006D5360">
        <w:rPr>
          <w:rFonts w:ascii="Arial" w:hAnsi="Arial" w:cs="Arial"/>
          <w:sz w:val="24"/>
          <w:szCs w:val="24"/>
        </w:rPr>
        <w:t xml:space="preserve">, S., McCrea, N. and Hill, A. (2014) ‘The impact of professional development on early childhood educators’ confidence, understanding and knowledge of education for sustainability’, </w:t>
      </w:r>
      <w:r w:rsidRPr="006D5360">
        <w:rPr>
          <w:rFonts w:ascii="Arial" w:hAnsi="Arial" w:cs="Arial"/>
          <w:i/>
          <w:iCs/>
          <w:sz w:val="24"/>
          <w:szCs w:val="24"/>
        </w:rPr>
        <w:t>Environmental Education Research</w:t>
      </w:r>
      <w:r w:rsidRPr="006D5360">
        <w:rPr>
          <w:rFonts w:ascii="Arial" w:hAnsi="Arial" w:cs="Arial"/>
          <w:sz w:val="24"/>
          <w:szCs w:val="24"/>
        </w:rPr>
        <w:t>, 20(5), pp. 660–680.</w:t>
      </w:r>
    </w:p>
    <w:p w14:paraId="0EE53B9C"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Edwards, S. and Cutter-Mackenzie, A. (2013) ‘Researching early childhood education for sustainability: challenging assumptions and orthodoxies’, </w:t>
      </w:r>
      <w:r w:rsidRPr="006D5360">
        <w:rPr>
          <w:rFonts w:ascii="Arial" w:hAnsi="Arial" w:cs="Arial"/>
          <w:i/>
          <w:iCs/>
          <w:sz w:val="24"/>
          <w:szCs w:val="24"/>
        </w:rPr>
        <w:t>Environmental Education Research</w:t>
      </w:r>
      <w:r w:rsidRPr="006D5360">
        <w:rPr>
          <w:rFonts w:ascii="Arial" w:hAnsi="Arial" w:cs="Arial"/>
          <w:sz w:val="24"/>
          <w:szCs w:val="24"/>
        </w:rPr>
        <w:t>, 19(5), pp. 658–677.</w:t>
      </w:r>
    </w:p>
    <w:p w14:paraId="0B2C8194"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Elliott, S. and Davis, J. (2020) </w:t>
      </w:r>
      <w:r w:rsidRPr="006D5360">
        <w:rPr>
          <w:rFonts w:ascii="Arial" w:hAnsi="Arial" w:cs="Arial"/>
          <w:i/>
          <w:iCs/>
          <w:sz w:val="24"/>
          <w:szCs w:val="24"/>
        </w:rPr>
        <w:t>Research in early childhood education for sustainability: International perspectives and provocations</w:t>
      </w:r>
      <w:r w:rsidRPr="006D5360">
        <w:rPr>
          <w:rFonts w:ascii="Arial" w:hAnsi="Arial" w:cs="Arial"/>
          <w:sz w:val="24"/>
          <w:szCs w:val="24"/>
        </w:rPr>
        <w:t>. Abingdon: Routledge.</w:t>
      </w:r>
    </w:p>
    <w:p w14:paraId="4573BD31"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Engdahl, I. (2015) ‘Early childhood education for sustainability: The OMEP World Project’, </w:t>
      </w:r>
      <w:r w:rsidRPr="006D5360">
        <w:rPr>
          <w:rFonts w:ascii="Arial" w:hAnsi="Arial" w:cs="Arial"/>
          <w:i/>
          <w:iCs/>
          <w:sz w:val="24"/>
          <w:szCs w:val="24"/>
        </w:rPr>
        <w:t>International Journal of Early Childhood</w:t>
      </w:r>
      <w:r w:rsidRPr="006D5360">
        <w:rPr>
          <w:rFonts w:ascii="Arial" w:hAnsi="Arial" w:cs="Arial"/>
          <w:sz w:val="24"/>
          <w:szCs w:val="24"/>
        </w:rPr>
        <w:t>, 47(3), pp. 347–367.</w:t>
      </w:r>
    </w:p>
    <w:p w14:paraId="042DE403"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Froebel, F. (1826) </w:t>
      </w:r>
      <w:r w:rsidRPr="006D5360">
        <w:rPr>
          <w:rFonts w:ascii="Arial" w:hAnsi="Arial" w:cs="Arial"/>
          <w:i/>
          <w:iCs/>
          <w:sz w:val="24"/>
          <w:szCs w:val="24"/>
        </w:rPr>
        <w:t>The education of man</w:t>
      </w:r>
      <w:r w:rsidRPr="006D5360">
        <w:rPr>
          <w:rFonts w:ascii="Arial" w:hAnsi="Arial" w:cs="Arial"/>
          <w:sz w:val="24"/>
          <w:szCs w:val="24"/>
        </w:rPr>
        <w:t xml:space="preserve">. Translated by W. N. </w:t>
      </w:r>
      <w:proofErr w:type="spellStart"/>
      <w:r w:rsidRPr="006D5360">
        <w:rPr>
          <w:rFonts w:ascii="Arial" w:hAnsi="Arial" w:cs="Arial"/>
          <w:sz w:val="24"/>
          <w:szCs w:val="24"/>
        </w:rPr>
        <w:t>Hailmann</w:t>
      </w:r>
      <w:proofErr w:type="spellEnd"/>
      <w:r w:rsidRPr="006D5360">
        <w:rPr>
          <w:rFonts w:ascii="Arial" w:hAnsi="Arial" w:cs="Arial"/>
          <w:sz w:val="24"/>
          <w:szCs w:val="24"/>
        </w:rPr>
        <w:t>. New York: D. Appleton &amp; Company.</w:t>
      </w:r>
    </w:p>
    <w:p w14:paraId="6F90E715" w14:textId="77777777" w:rsidR="006D5360" w:rsidRPr="006D5360" w:rsidRDefault="006D5360" w:rsidP="006D5360">
      <w:pPr>
        <w:rPr>
          <w:rFonts w:ascii="Arial" w:hAnsi="Arial" w:cs="Arial"/>
          <w:sz w:val="24"/>
          <w:szCs w:val="24"/>
        </w:rPr>
      </w:pPr>
      <w:proofErr w:type="spellStart"/>
      <w:r w:rsidRPr="006D5360">
        <w:rPr>
          <w:rFonts w:ascii="Arial" w:hAnsi="Arial" w:cs="Arial"/>
          <w:sz w:val="24"/>
          <w:szCs w:val="24"/>
        </w:rPr>
        <w:t>Gov.Wales</w:t>
      </w:r>
      <w:proofErr w:type="spellEnd"/>
      <w:r w:rsidRPr="006D5360">
        <w:rPr>
          <w:rFonts w:ascii="Arial" w:hAnsi="Arial" w:cs="Arial"/>
          <w:sz w:val="24"/>
          <w:szCs w:val="24"/>
        </w:rPr>
        <w:t xml:space="preserve"> (2012) </w:t>
      </w:r>
      <w:r w:rsidRPr="006D5360">
        <w:rPr>
          <w:rFonts w:ascii="Arial" w:hAnsi="Arial" w:cs="Arial"/>
          <w:i/>
          <w:iCs/>
          <w:sz w:val="24"/>
          <w:szCs w:val="24"/>
        </w:rPr>
        <w:t>Education for sustainable development and global citizenship: A common understanding for the adult and community learning sector</w:t>
      </w:r>
      <w:r w:rsidRPr="006D5360">
        <w:rPr>
          <w:rFonts w:ascii="Arial" w:hAnsi="Arial" w:cs="Arial"/>
          <w:sz w:val="24"/>
          <w:szCs w:val="24"/>
        </w:rPr>
        <w:t xml:space="preserve">. Cardiff: Welsh Government. Available at: </w:t>
      </w:r>
      <w:hyperlink r:id="rId4" w:tgtFrame="_new" w:history="1">
        <w:r w:rsidRPr="006D5360">
          <w:rPr>
            <w:rStyle w:val="Hyperlink"/>
            <w:rFonts w:ascii="Arial" w:hAnsi="Arial" w:cs="Arial"/>
            <w:sz w:val="24"/>
            <w:szCs w:val="24"/>
            <w:u w:val="none"/>
          </w:rPr>
          <w:t>https://www.gov.wales/sites/default/files/publications/2018-02/education-for-sustainable-development-and-global-citizenship-a-common-understanding-for-the-adult-and-community-learning-sector.pdf</w:t>
        </w:r>
      </w:hyperlink>
      <w:r w:rsidRPr="006D5360">
        <w:rPr>
          <w:rFonts w:ascii="Arial" w:hAnsi="Arial" w:cs="Arial"/>
          <w:sz w:val="24"/>
          <w:szCs w:val="24"/>
        </w:rPr>
        <w:t xml:space="preserve"> [Accessed: 5 July 2025].</w:t>
      </w:r>
    </w:p>
    <w:p w14:paraId="24FDFFF9"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Hägglund, S. and Samuelsson, I. P. (2009) ‘Early childhood education and learning for sustainable development and citizenship’, </w:t>
      </w:r>
      <w:r w:rsidRPr="006D5360">
        <w:rPr>
          <w:rFonts w:ascii="Arial" w:hAnsi="Arial" w:cs="Arial"/>
          <w:i/>
          <w:iCs/>
          <w:sz w:val="24"/>
          <w:szCs w:val="24"/>
        </w:rPr>
        <w:t>International Journal of Early Childhood</w:t>
      </w:r>
      <w:r w:rsidRPr="006D5360">
        <w:rPr>
          <w:rFonts w:ascii="Arial" w:hAnsi="Arial" w:cs="Arial"/>
          <w:sz w:val="24"/>
          <w:szCs w:val="24"/>
        </w:rPr>
        <w:t>, 41(2), pp. 49–64.</w:t>
      </w:r>
    </w:p>
    <w:p w14:paraId="3F51CA4D" w14:textId="77777777" w:rsidR="006D5360" w:rsidRPr="006D5360" w:rsidRDefault="006D5360" w:rsidP="006D5360">
      <w:pPr>
        <w:rPr>
          <w:rFonts w:ascii="Arial" w:hAnsi="Arial" w:cs="Arial"/>
          <w:sz w:val="24"/>
          <w:szCs w:val="24"/>
        </w:rPr>
      </w:pPr>
      <w:proofErr w:type="spellStart"/>
      <w:r w:rsidRPr="006D5360">
        <w:rPr>
          <w:rFonts w:ascii="Arial" w:hAnsi="Arial" w:cs="Arial"/>
          <w:sz w:val="24"/>
          <w:szCs w:val="24"/>
        </w:rPr>
        <w:t>Hedefalk</w:t>
      </w:r>
      <w:proofErr w:type="spellEnd"/>
      <w:r w:rsidRPr="006D5360">
        <w:rPr>
          <w:rFonts w:ascii="Arial" w:hAnsi="Arial" w:cs="Arial"/>
          <w:sz w:val="24"/>
          <w:szCs w:val="24"/>
        </w:rPr>
        <w:t xml:space="preserve">, M., Almqvist, J. and Östman, L. (2015) ‘Education for sustainable development in early childhood education: A review of the research literature’, </w:t>
      </w:r>
      <w:r w:rsidRPr="006D5360">
        <w:rPr>
          <w:rFonts w:ascii="Arial" w:hAnsi="Arial" w:cs="Arial"/>
          <w:i/>
          <w:iCs/>
          <w:sz w:val="24"/>
          <w:szCs w:val="24"/>
        </w:rPr>
        <w:t>Environmental Education Research</w:t>
      </w:r>
      <w:r w:rsidRPr="006D5360">
        <w:rPr>
          <w:rFonts w:ascii="Arial" w:hAnsi="Arial" w:cs="Arial"/>
          <w:sz w:val="24"/>
          <w:szCs w:val="24"/>
        </w:rPr>
        <w:t>, 21(7), pp. 975–991.</w:t>
      </w:r>
    </w:p>
    <w:p w14:paraId="3FCAB374" w14:textId="77777777" w:rsidR="006D5360" w:rsidRPr="006D5360" w:rsidRDefault="006D5360" w:rsidP="006D5360">
      <w:pPr>
        <w:rPr>
          <w:rFonts w:ascii="Arial" w:hAnsi="Arial" w:cs="Arial"/>
          <w:sz w:val="24"/>
          <w:szCs w:val="24"/>
        </w:rPr>
      </w:pPr>
      <w:r w:rsidRPr="006D5360">
        <w:rPr>
          <w:rFonts w:ascii="Arial" w:hAnsi="Arial" w:cs="Arial"/>
          <w:sz w:val="24"/>
          <w:szCs w:val="24"/>
        </w:rPr>
        <w:lastRenderedPageBreak/>
        <w:t xml:space="preserve">Korkmaz, A. and Guler Yildiz, T. (2017) ‘Assessing preschools using the Eco-Schools program in terms of educating for sustainable development in early childhood education’, </w:t>
      </w:r>
      <w:r w:rsidRPr="006D5360">
        <w:rPr>
          <w:rFonts w:ascii="Arial" w:hAnsi="Arial" w:cs="Arial"/>
          <w:i/>
          <w:iCs/>
          <w:sz w:val="24"/>
          <w:szCs w:val="24"/>
        </w:rPr>
        <w:t>European Early Childhood Education Research Journal</w:t>
      </w:r>
      <w:r w:rsidRPr="006D5360">
        <w:rPr>
          <w:rFonts w:ascii="Arial" w:hAnsi="Arial" w:cs="Arial"/>
          <w:sz w:val="24"/>
          <w:szCs w:val="24"/>
        </w:rPr>
        <w:t>, 25(4), pp. 595–612.</w:t>
      </w:r>
    </w:p>
    <w:p w14:paraId="5E534DEB"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MacQuarrie, S., Nugent, C. and Warden, C. (2015) ‘Learning with nature and learning from others: Nature as setting and resource for early childhood education’, </w:t>
      </w:r>
      <w:r w:rsidRPr="006D5360">
        <w:rPr>
          <w:rFonts w:ascii="Arial" w:hAnsi="Arial" w:cs="Arial"/>
          <w:i/>
          <w:iCs/>
          <w:sz w:val="24"/>
          <w:szCs w:val="24"/>
        </w:rPr>
        <w:t>Journal of Adventure Education &amp; Outdoor Learning</w:t>
      </w:r>
      <w:r w:rsidRPr="006D5360">
        <w:rPr>
          <w:rFonts w:ascii="Arial" w:hAnsi="Arial" w:cs="Arial"/>
          <w:sz w:val="24"/>
          <w:szCs w:val="24"/>
        </w:rPr>
        <w:t>, 15(1), pp. 1–24.</w:t>
      </w:r>
    </w:p>
    <w:p w14:paraId="3CE115F9"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Malaguzzi, L. (1993) ‘History, ideas and basic philosophy: An interview with Loris Malaguzzi’, </w:t>
      </w:r>
      <w:r w:rsidRPr="006D5360">
        <w:rPr>
          <w:rFonts w:ascii="Arial" w:hAnsi="Arial" w:cs="Arial"/>
          <w:i/>
          <w:iCs/>
          <w:sz w:val="24"/>
          <w:szCs w:val="24"/>
        </w:rPr>
        <w:t>In C. Edwards, L. Gandini and G. Forman (eds.) The hundred languages of children: The Reggio Emilia approach to early childhood education</w:t>
      </w:r>
      <w:r w:rsidRPr="006D5360">
        <w:rPr>
          <w:rFonts w:ascii="Arial" w:hAnsi="Arial" w:cs="Arial"/>
          <w:sz w:val="24"/>
          <w:szCs w:val="24"/>
        </w:rPr>
        <w:t xml:space="preserve">. Norwood, NJ: </w:t>
      </w:r>
      <w:proofErr w:type="spellStart"/>
      <w:r w:rsidRPr="006D5360">
        <w:rPr>
          <w:rFonts w:ascii="Arial" w:hAnsi="Arial" w:cs="Arial"/>
          <w:sz w:val="24"/>
          <w:szCs w:val="24"/>
        </w:rPr>
        <w:t>Ablex</w:t>
      </w:r>
      <w:proofErr w:type="spellEnd"/>
      <w:r w:rsidRPr="006D5360">
        <w:rPr>
          <w:rFonts w:ascii="Arial" w:hAnsi="Arial" w:cs="Arial"/>
          <w:sz w:val="24"/>
          <w:szCs w:val="24"/>
        </w:rPr>
        <w:t xml:space="preserve"> Publishing Corporation, pp. 41–89.</w:t>
      </w:r>
    </w:p>
    <w:p w14:paraId="2214D6FD"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Miller, M. (2012) ‘Sustainability initiatives in early years settings’, </w:t>
      </w:r>
      <w:r w:rsidRPr="006D5360">
        <w:rPr>
          <w:rFonts w:ascii="Arial" w:hAnsi="Arial" w:cs="Arial"/>
          <w:i/>
          <w:iCs/>
          <w:sz w:val="24"/>
          <w:szCs w:val="24"/>
        </w:rPr>
        <w:t>Educating Young Children: Learning &amp; Teaching in the Early Childhood Years</w:t>
      </w:r>
      <w:r w:rsidRPr="006D5360">
        <w:rPr>
          <w:rFonts w:ascii="Arial" w:hAnsi="Arial" w:cs="Arial"/>
          <w:sz w:val="24"/>
          <w:szCs w:val="24"/>
        </w:rPr>
        <w:t>, 18(1), pp. 39–42.</w:t>
      </w:r>
    </w:p>
    <w:p w14:paraId="1488601C"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Montessori, M. (1966) </w:t>
      </w:r>
      <w:r w:rsidRPr="006D5360">
        <w:rPr>
          <w:rFonts w:ascii="Arial" w:hAnsi="Arial" w:cs="Arial"/>
          <w:i/>
          <w:iCs/>
          <w:sz w:val="24"/>
          <w:szCs w:val="24"/>
        </w:rPr>
        <w:t>The secret of childhood</w:t>
      </w:r>
      <w:r w:rsidRPr="006D5360">
        <w:rPr>
          <w:rFonts w:ascii="Arial" w:hAnsi="Arial" w:cs="Arial"/>
          <w:sz w:val="24"/>
          <w:szCs w:val="24"/>
        </w:rPr>
        <w:t>. New York: Ballantine Books.</w:t>
      </w:r>
    </w:p>
    <w:p w14:paraId="4EDBCE7D"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Prince, C. (2010) ‘Sowing the seeds: Education for sustainability within the early years curriculum’, </w:t>
      </w:r>
      <w:r w:rsidRPr="006D5360">
        <w:rPr>
          <w:rFonts w:ascii="Arial" w:hAnsi="Arial" w:cs="Arial"/>
          <w:i/>
          <w:iCs/>
          <w:sz w:val="24"/>
          <w:szCs w:val="24"/>
        </w:rPr>
        <w:t>European Early Childhood Education Research Journal</w:t>
      </w:r>
      <w:r w:rsidRPr="006D5360">
        <w:rPr>
          <w:rFonts w:ascii="Arial" w:hAnsi="Arial" w:cs="Arial"/>
          <w:sz w:val="24"/>
          <w:szCs w:val="24"/>
        </w:rPr>
        <w:t>, 18(3), pp. 273–285.</w:t>
      </w:r>
    </w:p>
    <w:p w14:paraId="618D73B7"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Samuelsson, I. and Park, E. (2017) ‘How to educate children for sustainable learning and for a sustainable world’, </w:t>
      </w:r>
      <w:r w:rsidRPr="006D5360">
        <w:rPr>
          <w:rFonts w:ascii="Arial" w:hAnsi="Arial" w:cs="Arial"/>
          <w:i/>
          <w:iCs/>
          <w:sz w:val="24"/>
          <w:szCs w:val="24"/>
        </w:rPr>
        <w:t>International Journal of Early Childhood</w:t>
      </w:r>
      <w:r w:rsidRPr="006D5360">
        <w:rPr>
          <w:rFonts w:ascii="Arial" w:hAnsi="Arial" w:cs="Arial"/>
          <w:sz w:val="24"/>
          <w:szCs w:val="24"/>
        </w:rPr>
        <w:t>, 49(3), pp. 273–286.</w:t>
      </w:r>
    </w:p>
    <w:p w14:paraId="0A9D1950"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Siraj-Blatchford, J., Hirst, N. and Boyd, D. (2018) </w:t>
      </w:r>
      <w:r w:rsidRPr="006D5360">
        <w:rPr>
          <w:rFonts w:ascii="Arial" w:hAnsi="Arial" w:cs="Arial"/>
          <w:i/>
          <w:iCs/>
          <w:sz w:val="24"/>
          <w:szCs w:val="24"/>
        </w:rPr>
        <w:t>Understanding sustainability in early childhood education: Case studies and approaches from across the UK</w:t>
      </w:r>
      <w:r w:rsidRPr="006D5360">
        <w:rPr>
          <w:rFonts w:ascii="Arial" w:hAnsi="Arial" w:cs="Arial"/>
          <w:sz w:val="24"/>
          <w:szCs w:val="24"/>
        </w:rPr>
        <w:t>. Abingdon: Routledge.</w:t>
      </w:r>
    </w:p>
    <w:p w14:paraId="47E0BFC5"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Sobel, D. (2014) </w:t>
      </w:r>
      <w:r w:rsidRPr="006D5360">
        <w:rPr>
          <w:rFonts w:ascii="Arial" w:hAnsi="Arial" w:cs="Arial"/>
          <w:i/>
          <w:iCs/>
          <w:sz w:val="24"/>
          <w:szCs w:val="24"/>
        </w:rPr>
        <w:t>Nature preschools and forest kindergartens: The handbook for outdoor learning</w:t>
      </w:r>
      <w:r w:rsidRPr="006D5360">
        <w:rPr>
          <w:rFonts w:ascii="Arial" w:hAnsi="Arial" w:cs="Arial"/>
          <w:sz w:val="24"/>
          <w:szCs w:val="24"/>
        </w:rPr>
        <w:t>. St Paul, MN: Redleaf Press.</w:t>
      </w:r>
    </w:p>
    <w:p w14:paraId="1429BAC4" w14:textId="77777777" w:rsidR="006D5360" w:rsidRPr="006D5360" w:rsidRDefault="006D5360" w:rsidP="006D5360">
      <w:pPr>
        <w:rPr>
          <w:rFonts w:ascii="Arial" w:hAnsi="Arial" w:cs="Arial"/>
          <w:sz w:val="24"/>
          <w:szCs w:val="24"/>
        </w:rPr>
      </w:pPr>
      <w:r w:rsidRPr="006D5360">
        <w:rPr>
          <w:rFonts w:ascii="Arial" w:hAnsi="Arial" w:cs="Arial"/>
          <w:sz w:val="24"/>
          <w:szCs w:val="24"/>
        </w:rPr>
        <w:t xml:space="preserve">Tinney, G. and Merriman, E. (2018) ‘Early years education and education for sustainable development and global citizenship (ESDGC) – Two sides of the same coin?’, </w:t>
      </w:r>
      <w:r w:rsidRPr="006D5360">
        <w:rPr>
          <w:rFonts w:ascii="Arial" w:hAnsi="Arial" w:cs="Arial"/>
          <w:i/>
          <w:iCs/>
          <w:sz w:val="24"/>
          <w:szCs w:val="24"/>
        </w:rPr>
        <w:t>Education 3-13</w:t>
      </w:r>
      <w:r w:rsidRPr="006D5360">
        <w:rPr>
          <w:rFonts w:ascii="Arial" w:hAnsi="Arial" w:cs="Arial"/>
          <w:sz w:val="24"/>
          <w:szCs w:val="24"/>
        </w:rPr>
        <w:t>, 46(7), pp. 800–810.</w:t>
      </w:r>
    </w:p>
    <w:p w14:paraId="1FEEAEA6" w14:textId="57D9FBC7" w:rsidR="006D5360" w:rsidRPr="006D5360" w:rsidRDefault="006D5360" w:rsidP="006D5360">
      <w:pPr>
        <w:rPr>
          <w:rFonts w:ascii="Arial" w:hAnsi="Arial" w:cs="Arial"/>
          <w:sz w:val="24"/>
          <w:szCs w:val="24"/>
        </w:rPr>
      </w:pPr>
      <w:r w:rsidRPr="006D5360">
        <w:rPr>
          <w:rFonts w:ascii="Arial" w:hAnsi="Arial" w:cs="Arial"/>
          <w:sz w:val="24"/>
          <w:szCs w:val="24"/>
        </w:rPr>
        <w:t>UNESCO</w:t>
      </w:r>
      <w:r>
        <w:rPr>
          <w:rFonts w:ascii="Arial" w:hAnsi="Arial" w:cs="Arial"/>
          <w:sz w:val="24"/>
          <w:szCs w:val="24"/>
        </w:rPr>
        <w:t>.</w:t>
      </w:r>
      <w:r w:rsidRPr="006D5360">
        <w:rPr>
          <w:rFonts w:ascii="Arial" w:hAnsi="Arial" w:cs="Arial"/>
          <w:sz w:val="24"/>
          <w:szCs w:val="24"/>
        </w:rPr>
        <w:t xml:space="preserve"> (2017) </w:t>
      </w:r>
      <w:r w:rsidRPr="006D5360">
        <w:rPr>
          <w:rFonts w:ascii="Arial" w:hAnsi="Arial" w:cs="Arial"/>
          <w:i/>
          <w:iCs/>
          <w:sz w:val="24"/>
          <w:szCs w:val="24"/>
        </w:rPr>
        <w:t>Education for sustainable development goals: Learning objectives</w:t>
      </w:r>
      <w:r w:rsidRPr="006D5360">
        <w:rPr>
          <w:rFonts w:ascii="Arial" w:hAnsi="Arial" w:cs="Arial"/>
          <w:sz w:val="24"/>
          <w:szCs w:val="24"/>
        </w:rPr>
        <w:t>. Paris: UNESCO Publishing.</w:t>
      </w:r>
    </w:p>
    <w:p w14:paraId="22AEC7AF" w14:textId="609CE146" w:rsidR="006D5360" w:rsidRPr="006D5360" w:rsidRDefault="006D5360" w:rsidP="006D5360">
      <w:pPr>
        <w:rPr>
          <w:rFonts w:ascii="Arial" w:hAnsi="Arial" w:cs="Arial"/>
          <w:sz w:val="24"/>
          <w:szCs w:val="24"/>
        </w:rPr>
      </w:pPr>
      <w:r w:rsidRPr="006D5360">
        <w:rPr>
          <w:rFonts w:ascii="Arial" w:hAnsi="Arial" w:cs="Arial"/>
          <w:sz w:val="24"/>
          <w:szCs w:val="24"/>
        </w:rPr>
        <w:t>UNCRC</w:t>
      </w:r>
      <w:r>
        <w:rPr>
          <w:rFonts w:ascii="Arial" w:hAnsi="Arial" w:cs="Arial"/>
          <w:sz w:val="24"/>
          <w:szCs w:val="24"/>
        </w:rPr>
        <w:t>.</w:t>
      </w:r>
      <w:r w:rsidRPr="006D5360">
        <w:rPr>
          <w:rFonts w:ascii="Arial" w:hAnsi="Arial" w:cs="Arial"/>
          <w:sz w:val="24"/>
          <w:szCs w:val="24"/>
        </w:rPr>
        <w:t xml:space="preserve"> (1989) </w:t>
      </w:r>
      <w:r w:rsidRPr="006D5360">
        <w:rPr>
          <w:rFonts w:ascii="Arial" w:hAnsi="Arial" w:cs="Arial"/>
          <w:i/>
          <w:iCs/>
          <w:sz w:val="24"/>
          <w:szCs w:val="24"/>
        </w:rPr>
        <w:t>United Nations Convention on the Rights of the Child</w:t>
      </w:r>
      <w:r w:rsidRPr="006D5360">
        <w:rPr>
          <w:rFonts w:ascii="Arial" w:hAnsi="Arial" w:cs="Arial"/>
          <w:sz w:val="24"/>
          <w:szCs w:val="24"/>
        </w:rPr>
        <w:t>. Available at: https://www.ohchr.org/en/instruments-mechanisms/instruments/convention-rights-child [Accessed: 6 July 2025].</w:t>
      </w:r>
    </w:p>
    <w:p w14:paraId="262F52F3" w14:textId="7D7B2E6A" w:rsidR="006D5360" w:rsidRPr="006D5360" w:rsidRDefault="006D5360" w:rsidP="006D5360">
      <w:pPr>
        <w:rPr>
          <w:rFonts w:ascii="Arial" w:hAnsi="Arial" w:cs="Arial"/>
          <w:sz w:val="24"/>
          <w:szCs w:val="24"/>
        </w:rPr>
      </w:pPr>
      <w:r w:rsidRPr="006D5360">
        <w:rPr>
          <w:rFonts w:ascii="Arial" w:hAnsi="Arial" w:cs="Arial"/>
          <w:sz w:val="24"/>
          <w:szCs w:val="24"/>
        </w:rPr>
        <w:t>Welsh Government</w:t>
      </w:r>
      <w:r>
        <w:rPr>
          <w:rFonts w:ascii="Arial" w:hAnsi="Arial" w:cs="Arial"/>
          <w:sz w:val="24"/>
          <w:szCs w:val="24"/>
        </w:rPr>
        <w:t>.</w:t>
      </w:r>
      <w:r w:rsidRPr="006D5360">
        <w:rPr>
          <w:rFonts w:ascii="Arial" w:hAnsi="Arial" w:cs="Arial"/>
          <w:sz w:val="24"/>
          <w:szCs w:val="24"/>
        </w:rPr>
        <w:t xml:space="preserve"> (2015) </w:t>
      </w:r>
      <w:r w:rsidRPr="006D5360">
        <w:rPr>
          <w:rFonts w:ascii="Arial" w:hAnsi="Arial" w:cs="Arial"/>
          <w:i/>
          <w:iCs/>
          <w:sz w:val="24"/>
          <w:szCs w:val="24"/>
        </w:rPr>
        <w:t>Well-being of Future Generations (Wales) Act</w:t>
      </w:r>
      <w:r w:rsidRPr="006D5360">
        <w:rPr>
          <w:rFonts w:ascii="Arial" w:hAnsi="Arial" w:cs="Arial"/>
          <w:sz w:val="24"/>
          <w:szCs w:val="24"/>
        </w:rPr>
        <w:t>. Available at: https://www.futuregenerations.wales/wp-content/uploads/2017/02/150623-guide-to-the-fg-act-en.pdf [Accessed: 6 July 2025].</w:t>
      </w:r>
    </w:p>
    <w:p w14:paraId="3A45FA72" w14:textId="77777777" w:rsidR="006D5360" w:rsidRPr="006D5360" w:rsidRDefault="006D5360">
      <w:pPr>
        <w:rPr>
          <w:rFonts w:ascii="Arial" w:hAnsi="Arial" w:cs="Arial"/>
          <w:sz w:val="24"/>
          <w:szCs w:val="24"/>
          <w:u w:val="single"/>
        </w:rPr>
      </w:pPr>
    </w:p>
    <w:sectPr w:rsidR="006D5360" w:rsidRPr="006D53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13F"/>
    <w:rsid w:val="00354D6B"/>
    <w:rsid w:val="0038713F"/>
    <w:rsid w:val="00423499"/>
    <w:rsid w:val="004F4303"/>
    <w:rsid w:val="0050164A"/>
    <w:rsid w:val="005278DD"/>
    <w:rsid w:val="00636CE5"/>
    <w:rsid w:val="006868AC"/>
    <w:rsid w:val="006D5360"/>
    <w:rsid w:val="00905B65"/>
    <w:rsid w:val="00A613FC"/>
    <w:rsid w:val="00A74DF4"/>
    <w:rsid w:val="00B11309"/>
    <w:rsid w:val="00B4127B"/>
    <w:rsid w:val="00BB63D5"/>
    <w:rsid w:val="00D37F20"/>
    <w:rsid w:val="00D522A9"/>
    <w:rsid w:val="00E70765"/>
    <w:rsid w:val="00FA1728"/>
    <w:rsid w:val="00FC5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34F4A"/>
  <w15:chartTrackingRefBased/>
  <w15:docId w15:val="{44BC3F8F-71DF-4E73-8C58-440B639B9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127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70765"/>
    <w:rPr>
      <w:color w:val="0563C1" w:themeColor="hyperlink"/>
      <w:u w:val="single"/>
    </w:rPr>
  </w:style>
  <w:style w:type="character" w:styleId="UnresolvedMention">
    <w:name w:val="Unresolved Mention"/>
    <w:basedOn w:val="DefaultParagraphFont"/>
    <w:uiPriority w:val="99"/>
    <w:semiHidden/>
    <w:unhideWhenUsed/>
    <w:rsid w:val="00E70765"/>
    <w:rPr>
      <w:color w:val="605E5C"/>
      <w:shd w:val="clear" w:color="auto" w:fill="E1DFDD"/>
    </w:rPr>
  </w:style>
  <w:style w:type="character" w:styleId="Emphasis">
    <w:name w:val="Emphasis"/>
    <w:basedOn w:val="DefaultParagraphFont"/>
    <w:uiPriority w:val="20"/>
    <w:qFormat/>
    <w:rsid w:val="00E707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2700">
      <w:bodyDiv w:val="1"/>
      <w:marLeft w:val="0"/>
      <w:marRight w:val="0"/>
      <w:marTop w:val="0"/>
      <w:marBottom w:val="0"/>
      <w:divBdr>
        <w:top w:val="none" w:sz="0" w:space="0" w:color="auto"/>
        <w:left w:val="none" w:sz="0" w:space="0" w:color="auto"/>
        <w:bottom w:val="none" w:sz="0" w:space="0" w:color="auto"/>
        <w:right w:val="none" w:sz="0" w:space="0" w:color="auto"/>
      </w:divBdr>
    </w:div>
    <w:div w:id="54402484">
      <w:bodyDiv w:val="1"/>
      <w:marLeft w:val="0"/>
      <w:marRight w:val="0"/>
      <w:marTop w:val="0"/>
      <w:marBottom w:val="0"/>
      <w:divBdr>
        <w:top w:val="none" w:sz="0" w:space="0" w:color="auto"/>
        <w:left w:val="none" w:sz="0" w:space="0" w:color="auto"/>
        <w:bottom w:val="none" w:sz="0" w:space="0" w:color="auto"/>
        <w:right w:val="none" w:sz="0" w:space="0" w:color="auto"/>
      </w:divBdr>
    </w:div>
    <w:div w:id="80953591">
      <w:bodyDiv w:val="1"/>
      <w:marLeft w:val="0"/>
      <w:marRight w:val="0"/>
      <w:marTop w:val="0"/>
      <w:marBottom w:val="0"/>
      <w:divBdr>
        <w:top w:val="none" w:sz="0" w:space="0" w:color="auto"/>
        <w:left w:val="none" w:sz="0" w:space="0" w:color="auto"/>
        <w:bottom w:val="none" w:sz="0" w:space="0" w:color="auto"/>
        <w:right w:val="none" w:sz="0" w:space="0" w:color="auto"/>
      </w:divBdr>
    </w:div>
    <w:div w:id="203449698">
      <w:bodyDiv w:val="1"/>
      <w:marLeft w:val="0"/>
      <w:marRight w:val="0"/>
      <w:marTop w:val="0"/>
      <w:marBottom w:val="0"/>
      <w:divBdr>
        <w:top w:val="none" w:sz="0" w:space="0" w:color="auto"/>
        <w:left w:val="none" w:sz="0" w:space="0" w:color="auto"/>
        <w:bottom w:val="none" w:sz="0" w:space="0" w:color="auto"/>
        <w:right w:val="none" w:sz="0" w:space="0" w:color="auto"/>
      </w:divBdr>
    </w:div>
    <w:div w:id="445469459">
      <w:bodyDiv w:val="1"/>
      <w:marLeft w:val="0"/>
      <w:marRight w:val="0"/>
      <w:marTop w:val="0"/>
      <w:marBottom w:val="0"/>
      <w:divBdr>
        <w:top w:val="none" w:sz="0" w:space="0" w:color="auto"/>
        <w:left w:val="none" w:sz="0" w:space="0" w:color="auto"/>
        <w:bottom w:val="none" w:sz="0" w:space="0" w:color="auto"/>
        <w:right w:val="none" w:sz="0" w:space="0" w:color="auto"/>
      </w:divBdr>
    </w:div>
    <w:div w:id="447624787">
      <w:bodyDiv w:val="1"/>
      <w:marLeft w:val="0"/>
      <w:marRight w:val="0"/>
      <w:marTop w:val="0"/>
      <w:marBottom w:val="0"/>
      <w:divBdr>
        <w:top w:val="none" w:sz="0" w:space="0" w:color="auto"/>
        <w:left w:val="none" w:sz="0" w:space="0" w:color="auto"/>
        <w:bottom w:val="none" w:sz="0" w:space="0" w:color="auto"/>
        <w:right w:val="none" w:sz="0" w:space="0" w:color="auto"/>
      </w:divBdr>
    </w:div>
    <w:div w:id="463668495">
      <w:bodyDiv w:val="1"/>
      <w:marLeft w:val="0"/>
      <w:marRight w:val="0"/>
      <w:marTop w:val="0"/>
      <w:marBottom w:val="0"/>
      <w:divBdr>
        <w:top w:val="none" w:sz="0" w:space="0" w:color="auto"/>
        <w:left w:val="none" w:sz="0" w:space="0" w:color="auto"/>
        <w:bottom w:val="none" w:sz="0" w:space="0" w:color="auto"/>
        <w:right w:val="none" w:sz="0" w:space="0" w:color="auto"/>
      </w:divBdr>
    </w:div>
    <w:div w:id="494303866">
      <w:bodyDiv w:val="1"/>
      <w:marLeft w:val="0"/>
      <w:marRight w:val="0"/>
      <w:marTop w:val="0"/>
      <w:marBottom w:val="0"/>
      <w:divBdr>
        <w:top w:val="none" w:sz="0" w:space="0" w:color="auto"/>
        <w:left w:val="none" w:sz="0" w:space="0" w:color="auto"/>
        <w:bottom w:val="none" w:sz="0" w:space="0" w:color="auto"/>
        <w:right w:val="none" w:sz="0" w:space="0" w:color="auto"/>
      </w:divBdr>
    </w:div>
    <w:div w:id="556279000">
      <w:bodyDiv w:val="1"/>
      <w:marLeft w:val="0"/>
      <w:marRight w:val="0"/>
      <w:marTop w:val="0"/>
      <w:marBottom w:val="0"/>
      <w:divBdr>
        <w:top w:val="none" w:sz="0" w:space="0" w:color="auto"/>
        <w:left w:val="none" w:sz="0" w:space="0" w:color="auto"/>
        <w:bottom w:val="none" w:sz="0" w:space="0" w:color="auto"/>
        <w:right w:val="none" w:sz="0" w:space="0" w:color="auto"/>
      </w:divBdr>
    </w:div>
    <w:div w:id="570315682">
      <w:bodyDiv w:val="1"/>
      <w:marLeft w:val="0"/>
      <w:marRight w:val="0"/>
      <w:marTop w:val="0"/>
      <w:marBottom w:val="0"/>
      <w:divBdr>
        <w:top w:val="none" w:sz="0" w:space="0" w:color="auto"/>
        <w:left w:val="none" w:sz="0" w:space="0" w:color="auto"/>
        <w:bottom w:val="none" w:sz="0" w:space="0" w:color="auto"/>
        <w:right w:val="none" w:sz="0" w:space="0" w:color="auto"/>
      </w:divBdr>
    </w:div>
    <w:div w:id="579481521">
      <w:bodyDiv w:val="1"/>
      <w:marLeft w:val="0"/>
      <w:marRight w:val="0"/>
      <w:marTop w:val="0"/>
      <w:marBottom w:val="0"/>
      <w:divBdr>
        <w:top w:val="none" w:sz="0" w:space="0" w:color="auto"/>
        <w:left w:val="none" w:sz="0" w:space="0" w:color="auto"/>
        <w:bottom w:val="none" w:sz="0" w:space="0" w:color="auto"/>
        <w:right w:val="none" w:sz="0" w:space="0" w:color="auto"/>
      </w:divBdr>
    </w:div>
    <w:div w:id="601646950">
      <w:bodyDiv w:val="1"/>
      <w:marLeft w:val="0"/>
      <w:marRight w:val="0"/>
      <w:marTop w:val="0"/>
      <w:marBottom w:val="0"/>
      <w:divBdr>
        <w:top w:val="none" w:sz="0" w:space="0" w:color="auto"/>
        <w:left w:val="none" w:sz="0" w:space="0" w:color="auto"/>
        <w:bottom w:val="none" w:sz="0" w:space="0" w:color="auto"/>
        <w:right w:val="none" w:sz="0" w:space="0" w:color="auto"/>
      </w:divBdr>
    </w:div>
    <w:div w:id="717121794">
      <w:bodyDiv w:val="1"/>
      <w:marLeft w:val="0"/>
      <w:marRight w:val="0"/>
      <w:marTop w:val="0"/>
      <w:marBottom w:val="0"/>
      <w:divBdr>
        <w:top w:val="none" w:sz="0" w:space="0" w:color="auto"/>
        <w:left w:val="none" w:sz="0" w:space="0" w:color="auto"/>
        <w:bottom w:val="none" w:sz="0" w:space="0" w:color="auto"/>
        <w:right w:val="none" w:sz="0" w:space="0" w:color="auto"/>
      </w:divBdr>
    </w:div>
    <w:div w:id="867984091">
      <w:bodyDiv w:val="1"/>
      <w:marLeft w:val="0"/>
      <w:marRight w:val="0"/>
      <w:marTop w:val="0"/>
      <w:marBottom w:val="0"/>
      <w:divBdr>
        <w:top w:val="none" w:sz="0" w:space="0" w:color="auto"/>
        <w:left w:val="none" w:sz="0" w:space="0" w:color="auto"/>
        <w:bottom w:val="none" w:sz="0" w:space="0" w:color="auto"/>
        <w:right w:val="none" w:sz="0" w:space="0" w:color="auto"/>
      </w:divBdr>
    </w:div>
    <w:div w:id="918825862">
      <w:bodyDiv w:val="1"/>
      <w:marLeft w:val="0"/>
      <w:marRight w:val="0"/>
      <w:marTop w:val="0"/>
      <w:marBottom w:val="0"/>
      <w:divBdr>
        <w:top w:val="none" w:sz="0" w:space="0" w:color="auto"/>
        <w:left w:val="none" w:sz="0" w:space="0" w:color="auto"/>
        <w:bottom w:val="none" w:sz="0" w:space="0" w:color="auto"/>
        <w:right w:val="none" w:sz="0" w:space="0" w:color="auto"/>
      </w:divBdr>
    </w:div>
    <w:div w:id="951785968">
      <w:bodyDiv w:val="1"/>
      <w:marLeft w:val="0"/>
      <w:marRight w:val="0"/>
      <w:marTop w:val="0"/>
      <w:marBottom w:val="0"/>
      <w:divBdr>
        <w:top w:val="none" w:sz="0" w:space="0" w:color="auto"/>
        <w:left w:val="none" w:sz="0" w:space="0" w:color="auto"/>
        <w:bottom w:val="none" w:sz="0" w:space="0" w:color="auto"/>
        <w:right w:val="none" w:sz="0" w:space="0" w:color="auto"/>
      </w:divBdr>
    </w:div>
    <w:div w:id="968630486">
      <w:bodyDiv w:val="1"/>
      <w:marLeft w:val="0"/>
      <w:marRight w:val="0"/>
      <w:marTop w:val="0"/>
      <w:marBottom w:val="0"/>
      <w:divBdr>
        <w:top w:val="none" w:sz="0" w:space="0" w:color="auto"/>
        <w:left w:val="none" w:sz="0" w:space="0" w:color="auto"/>
        <w:bottom w:val="none" w:sz="0" w:space="0" w:color="auto"/>
        <w:right w:val="none" w:sz="0" w:space="0" w:color="auto"/>
      </w:divBdr>
    </w:div>
    <w:div w:id="1334334935">
      <w:bodyDiv w:val="1"/>
      <w:marLeft w:val="0"/>
      <w:marRight w:val="0"/>
      <w:marTop w:val="0"/>
      <w:marBottom w:val="0"/>
      <w:divBdr>
        <w:top w:val="none" w:sz="0" w:space="0" w:color="auto"/>
        <w:left w:val="none" w:sz="0" w:space="0" w:color="auto"/>
        <w:bottom w:val="none" w:sz="0" w:space="0" w:color="auto"/>
        <w:right w:val="none" w:sz="0" w:space="0" w:color="auto"/>
      </w:divBdr>
    </w:div>
    <w:div w:id="1391078698">
      <w:bodyDiv w:val="1"/>
      <w:marLeft w:val="0"/>
      <w:marRight w:val="0"/>
      <w:marTop w:val="0"/>
      <w:marBottom w:val="0"/>
      <w:divBdr>
        <w:top w:val="none" w:sz="0" w:space="0" w:color="auto"/>
        <w:left w:val="none" w:sz="0" w:space="0" w:color="auto"/>
        <w:bottom w:val="none" w:sz="0" w:space="0" w:color="auto"/>
        <w:right w:val="none" w:sz="0" w:space="0" w:color="auto"/>
      </w:divBdr>
    </w:div>
    <w:div w:id="1498575790">
      <w:bodyDiv w:val="1"/>
      <w:marLeft w:val="0"/>
      <w:marRight w:val="0"/>
      <w:marTop w:val="0"/>
      <w:marBottom w:val="0"/>
      <w:divBdr>
        <w:top w:val="none" w:sz="0" w:space="0" w:color="auto"/>
        <w:left w:val="none" w:sz="0" w:space="0" w:color="auto"/>
        <w:bottom w:val="none" w:sz="0" w:space="0" w:color="auto"/>
        <w:right w:val="none" w:sz="0" w:space="0" w:color="auto"/>
      </w:divBdr>
    </w:div>
    <w:div w:id="1547251183">
      <w:bodyDiv w:val="1"/>
      <w:marLeft w:val="0"/>
      <w:marRight w:val="0"/>
      <w:marTop w:val="0"/>
      <w:marBottom w:val="0"/>
      <w:divBdr>
        <w:top w:val="none" w:sz="0" w:space="0" w:color="auto"/>
        <w:left w:val="none" w:sz="0" w:space="0" w:color="auto"/>
        <w:bottom w:val="none" w:sz="0" w:space="0" w:color="auto"/>
        <w:right w:val="none" w:sz="0" w:space="0" w:color="auto"/>
      </w:divBdr>
    </w:div>
    <w:div w:id="1572498413">
      <w:bodyDiv w:val="1"/>
      <w:marLeft w:val="0"/>
      <w:marRight w:val="0"/>
      <w:marTop w:val="0"/>
      <w:marBottom w:val="0"/>
      <w:divBdr>
        <w:top w:val="none" w:sz="0" w:space="0" w:color="auto"/>
        <w:left w:val="none" w:sz="0" w:space="0" w:color="auto"/>
        <w:bottom w:val="none" w:sz="0" w:space="0" w:color="auto"/>
        <w:right w:val="none" w:sz="0" w:space="0" w:color="auto"/>
      </w:divBdr>
    </w:div>
    <w:div w:id="1686321361">
      <w:bodyDiv w:val="1"/>
      <w:marLeft w:val="0"/>
      <w:marRight w:val="0"/>
      <w:marTop w:val="0"/>
      <w:marBottom w:val="0"/>
      <w:divBdr>
        <w:top w:val="none" w:sz="0" w:space="0" w:color="auto"/>
        <w:left w:val="none" w:sz="0" w:space="0" w:color="auto"/>
        <w:bottom w:val="none" w:sz="0" w:space="0" w:color="auto"/>
        <w:right w:val="none" w:sz="0" w:space="0" w:color="auto"/>
      </w:divBdr>
    </w:div>
    <w:div w:id="1740246824">
      <w:bodyDiv w:val="1"/>
      <w:marLeft w:val="0"/>
      <w:marRight w:val="0"/>
      <w:marTop w:val="0"/>
      <w:marBottom w:val="0"/>
      <w:divBdr>
        <w:top w:val="none" w:sz="0" w:space="0" w:color="auto"/>
        <w:left w:val="none" w:sz="0" w:space="0" w:color="auto"/>
        <w:bottom w:val="none" w:sz="0" w:space="0" w:color="auto"/>
        <w:right w:val="none" w:sz="0" w:space="0" w:color="auto"/>
      </w:divBdr>
    </w:div>
    <w:div w:id="1768385632">
      <w:bodyDiv w:val="1"/>
      <w:marLeft w:val="0"/>
      <w:marRight w:val="0"/>
      <w:marTop w:val="0"/>
      <w:marBottom w:val="0"/>
      <w:divBdr>
        <w:top w:val="none" w:sz="0" w:space="0" w:color="auto"/>
        <w:left w:val="none" w:sz="0" w:space="0" w:color="auto"/>
        <w:bottom w:val="none" w:sz="0" w:space="0" w:color="auto"/>
        <w:right w:val="none" w:sz="0" w:space="0" w:color="auto"/>
      </w:divBdr>
    </w:div>
    <w:div w:id="1836795337">
      <w:bodyDiv w:val="1"/>
      <w:marLeft w:val="0"/>
      <w:marRight w:val="0"/>
      <w:marTop w:val="0"/>
      <w:marBottom w:val="0"/>
      <w:divBdr>
        <w:top w:val="none" w:sz="0" w:space="0" w:color="auto"/>
        <w:left w:val="none" w:sz="0" w:space="0" w:color="auto"/>
        <w:bottom w:val="none" w:sz="0" w:space="0" w:color="auto"/>
        <w:right w:val="none" w:sz="0" w:space="0" w:color="auto"/>
      </w:divBdr>
    </w:div>
    <w:div w:id="1902982578">
      <w:bodyDiv w:val="1"/>
      <w:marLeft w:val="0"/>
      <w:marRight w:val="0"/>
      <w:marTop w:val="0"/>
      <w:marBottom w:val="0"/>
      <w:divBdr>
        <w:top w:val="none" w:sz="0" w:space="0" w:color="auto"/>
        <w:left w:val="none" w:sz="0" w:space="0" w:color="auto"/>
        <w:bottom w:val="none" w:sz="0" w:space="0" w:color="auto"/>
        <w:right w:val="none" w:sz="0" w:space="0" w:color="auto"/>
      </w:divBdr>
    </w:div>
    <w:div w:id="1937403969">
      <w:bodyDiv w:val="1"/>
      <w:marLeft w:val="0"/>
      <w:marRight w:val="0"/>
      <w:marTop w:val="0"/>
      <w:marBottom w:val="0"/>
      <w:divBdr>
        <w:top w:val="none" w:sz="0" w:space="0" w:color="auto"/>
        <w:left w:val="none" w:sz="0" w:space="0" w:color="auto"/>
        <w:bottom w:val="none" w:sz="0" w:space="0" w:color="auto"/>
        <w:right w:val="none" w:sz="0" w:space="0" w:color="auto"/>
      </w:divBdr>
    </w:div>
    <w:div w:id="1990819497">
      <w:bodyDiv w:val="1"/>
      <w:marLeft w:val="0"/>
      <w:marRight w:val="0"/>
      <w:marTop w:val="0"/>
      <w:marBottom w:val="0"/>
      <w:divBdr>
        <w:top w:val="none" w:sz="0" w:space="0" w:color="auto"/>
        <w:left w:val="none" w:sz="0" w:space="0" w:color="auto"/>
        <w:bottom w:val="none" w:sz="0" w:space="0" w:color="auto"/>
        <w:right w:val="none" w:sz="0" w:space="0" w:color="auto"/>
      </w:divBdr>
    </w:div>
    <w:div w:id="207631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ov.wales/sites/default/files/publications/2018-02/education-for-sustainable-development-and-global-citizenship-a-common-understanding-for-the-adult-and-community-learning-secto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7</Pages>
  <Words>2913</Words>
  <Characters>16607</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USK.CImms</dc:creator>
  <cp:keywords/>
  <dc:description/>
  <cp:lastModifiedBy>Chelsey Imms</cp:lastModifiedBy>
  <cp:revision>2</cp:revision>
  <dcterms:created xsi:type="dcterms:W3CDTF">2025-07-06T20:20:00Z</dcterms:created>
  <dcterms:modified xsi:type="dcterms:W3CDTF">2025-07-06T20:20:00Z</dcterms:modified>
</cp:coreProperties>
</file>