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C500B62" w14:textId="77777777" w:rsidR="00487FC7" w:rsidRDefault="00487FC7" w:rsidP="001634F5">
      <w:pPr>
        <w:spacing w:before="0" w:after="0"/>
        <w:jc w:val="center"/>
        <w:rPr>
          <w:b/>
          <w:sz w:val="36"/>
          <w:szCs w:val="36"/>
        </w:rPr>
      </w:pPr>
    </w:p>
    <w:p w14:paraId="47BC2E3A" w14:textId="77777777" w:rsidR="00487FC7" w:rsidRDefault="00487FC7" w:rsidP="001634F5">
      <w:pPr>
        <w:spacing w:before="0" w:after="0"/>
        <w:jc w:val="center"/>
        <w:rPr>
          <w:b/>
          <w:sz w:val="36"/>
          <w:szCs w:val="36"/>
        </w:rPr>
      </w:pPr>
    </w:p>
    <w:p w14:paraId="4FC9D004" w14:textId="77777777" w:rsidR="00487FC7" w:rsidRDefault="00487FC7" w:rsidP="001634F5">
      <w:pPr>
        <w:spacing w:before="0" w:after="0"/>
        <w:jc w:val="center"/>
        <w:rPr>
          <w:b/>
          <w:sz w:val="36"/>
          <w:szCs w:val="36"/>
        </w:rPr>
      </w:pPr>
    </w:p>
    <w:p w14:paraId="4CF5016D" w14:textId="77777777" w:rsidR="00487FC7" w:rsidRDefault="00487FC7" w:rsidP="001634F5">
      <w:pPr>
        <w:spacing w:before="0" w:after="0"/>
        <w:jc w:val="center"/>
        <w:rPr>
          <w:b/>
          <w:sz w:val="36"/>
          <w:szCs w:val="36"/>
        </w:rPr>
      </w:pPr>
    </w:p>
    <w:p w14:paraId="416B73ED" w14:textId="77777777" w:rsidR="00487FC7" w:rsidRDefault="00487FC7" w:rsidP="001634F5">
      <w:pPr>
        <w:spacing w:before="0" w:after="0"/>
        <w:jc w:val="center"/>
        <w:rPr>
          <w:b/>
          <w:sz w:val="36"/>
          <w:szCs w:val="36"/>
        </w:rPr>
      </w:pPr>
    </w:p>
    <w:p w14:paraId="45239FAD" w14:textId="39E1E027" w:rsidR="001634F5" w:rsidRDefault="003E5CFA" w:rsidP="001634F5">
      <w:pPr>
        <w:spacing w:before="0" w:after="0"/>
        <w:jc w:val="center"/>
        <w:rPr>
          <w:b/>
          <w:sz w:val="36"/>
          <w:szCs w:val="36"/>
        </w:rPr>
      </w:pPr>
      <w:r>
        <w:rPr>
          <w:b/>
          <w:sz w:val="36"/>
          <w:szCs w:val="36"/>
        </w:rPr>
        <w:t xml:space="preserve">Module: Professional Development within Health and Social Care </w:t>
      </w:r>
    </w:p>
    <w:p w14:paraId="02B18113" w14:textId="77777777" w:rsidR="001634F5" w:rsidRDefault="003E5CFA" w:rsidP="001634F5">
      <w:pPr>
        <w:spacing w:before="0" w:after="0"/>
        <w:jc w:val="center"/>
        <w:rPr>
          <w:b/>
          <w:sz w:val="36"/>
          <w:szCs w:val="36"/>
        </w:rPr>
      </w:pPr>
      <w:r>
        <w:rPr>
          <w:b/>
          <w:sz w:val="36"/>
          <w:szCs w:val="36"/>
        </w:rPr>
        <w:t>Module Code: LCHS4009</w:t>
      </w:r>
    </w:p>
    <w:p w14:paraId="6EB1657B" w14:textId="77777777" w:rsidR="001634F5" w:rsidRDefault="003E5CFA" w:rsidP="001634F5">
      <w:pPr>
        <w:spacing w:before="0" w:after="0"/>
        <w:jc w:val="center"/>
      </w:pPr>
      <w:r>
        <w:rPr>
          <w:b/>
          <w:sz w:val="36"/>
          <w:szCs w:val="36"/>
        </w:rPr>
        <w:t>Assignment Title: Self-Awareness Presentation</w:t>
      </w:r>
      <w:r>
        <w:t xml:space="preserve"> </w:t>
      </w:r>
    </w:p>
    <w:p w14:paraId="268F06A4" w14:textId="77777777" w:rsidR="001634F5" w:rsidRDefault="003E5CFA">
      <w:r>
        <w:br w:type="page"/>
      </w:r>
    </w:p>
    <w:sdt>
      <w:sdtPr>
        <w:rPr>
          <w:rFonts w:ascii="Times New Roman" w:eastAsia="Times New Roman" w:hAnsi="Times New Roman" w:cs="Times New Roman"/>
          <w:b/>
          <w:bCs/>
          <w:color w:val="000000" w:themeColor="text1"/>
          <w:sz w:val="28"/>
          <w:szCs w:val="28"/>
          <w:lang w:val="en-GB" w:eastAsia="en-GB"/>
        </w:rPr>
        <w:id w:val="-1051377798"/>
        <w:docPartObj>
          <w:docPartGallery w:val="Table of Contents"/>
          <w:docPartUnique/>
        </w:docPartObj>
      </w:sdtPr>
      <w:sdtEndPr>
        <w:rPr>
          <w:noProof/>
          <w:color w:val="auto"/>
          <w:sz w:val="24"/>
          <w:szCs w:val="24"/>
        </w:rPr>
      </w:sdtEndPr>
      <w:sdtContent>
        <w:p w14:paraId="57FE7BCC" w14:textId="77777777" w:rsidR="001634F5" w:rsidRPr="001634F5" w:rsidRDefault="003E5CFA" w:rsidP="001634F5">
          <w:pPr>
            <w:pStyle w:val="TOCHeading"/>
            <w:spacing w:before="0" w:line="360" w:lineRule="auto"/>
            <w:jc w:val="center"/>
            <w:rPr>
              <w:rFonts w:ascii="Times New Roman" w:hAnsi="Times New Roman" w:cs="Times New Roman"/>
              <w:b/>
              <w:bCs/>
              <w:color w:val="000000" w:themeColor="text1"/>
              <w:sz w:val="28"/>
              <w:szCs w:val="28"/>
            </w:rPr>
          </w:pPr>
          <w:r w:rsidRPr="001634F5">
            <w:rPr>
              <w:rFonts w:ascii="Times New Roman" w:hAnsi="Times New Roman" w:cs="Times New Roman"/>
              <w:b/>
              <w:bCs/>
              <w:color w:val="000000" w:themeColor="text1"/>
              <w:sz w:val="28"/>
              <w:szCs w:val="28"/>
            </w:rPr>
            <w:t>Table of Contents</w:t>
          </w:r>
        </w:p>
        <w:p w14:paraId="58E0201E" w14:textId="77777777" w:rsidR="001634F5" w:rsidRPr="001634F5" w:rsidRDefault="003E5CFA" w:rsidP="001634F5">
          <w:pPr>
            <w:pStyle w:val="TOC1"/>
            <w:tabs>
              <w:tab w:val="right" w:leader="dot" w:pos="9019"/>
            </w:tabs>
            <w:spacing w:before="0"/>
            <w:rPr>
              <w:rFonts w:eastAsiaTheme="minorEastAsia"/>
              <w:noProof/>
              <w:color w:val="000000" w:themeColor="text1"/>
              <w:kern w:val="2"/>
              <w:lang w:val="en-US" w:eastAsia="en-US"/>
              <w14:ligatures w14:val="standardContextual"/>
            </w:rPr>
          </w:pPr>
          <w:r w:rsidRPr="001634F5">
            <w:rPr>
              <w:color w:val="000000" w:themeColor="text1"/>
            </w:rPr>
            <w:fldChar w:fldCharType="begin"/>
          </w:r>
          <w:r w:rsidRPr="001634F5">
            <w:rPr>
              <w:color w:val="000000" w:themeColor="text1"/>
            </w:rPr>
            <w:instrText xml:space="preserve"> TOC \o "1-3" \h \z \u </w:instrText>
          </w:r>
          <w:r w:rsidRPr="001634F5">
            <w:rPr>
              <w:color w:val="000000" w:themeColor="text1"/>
            </w:rPr>
            <w:fldChar w:fldCharType="separate"/>
          </w:r>
          <w:hyperlink w:anchor="_Toc210822675" w:history="1">
            <w:r w:rsidR="001634F5" w:rsidRPr="001634F5">
              <w:rPr>
                <w:rStyle w:val="Hyperlink"/>
                <w:noProof/>
                <w:color w:val="000000" w:themeColor="text1"/>
              </w:rPr>
              <w:t>Introduction</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_Toc210822675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3</w:t>
            </w:r>
            <w:r w:rsidR="001634F5" w:rsidRPr="001634F5">
              <w:rPr>
                <w:noProof/>
                <w:webHidden/>
                <w:color w:val="000000" w:themeColor="text1"/>
              </w:rPr>
              <w:fldChar w:fldCharType="end"/>
            </w:r>
          </w:hyperlink>
        </w:p>
        <w:p w14:paraId="293D0507" w14:textId="77777777" w:rsidR="001634F5" w:rsidRPr="001634F5" w:rsidRDefault="00726775" w:rsidP="001634F5">
          <w:pPr>
            <w:pStyle w:val="TOC1"/>
            <w:tabs>
              <w:tab w:val="right" w:leader="dot" w:pos="9019"/>
            </w:tabs>
            <w:spacing w:before="0"/>
            <w:rPr>
              <w:rFonts w:eastAsiaTheme="minorEastAsia"/>
              <w:noProof/>
              <w:color w:val="000000" w:themeColor="text1"/>
              <w:kern w:val="2"/>
              <w:lang w:val="en-US" w:eastAsia="en-US"/>
              <w14:ligatures w14:val="standardContextual"/>
            </w:rPr>
          </w:pPr>
          <w:hyperlink w:anchor="_Toc210822676" w:history="1">
            <w:r w:rsidR="001634F5" w:rsidRPr="001634F5">
              <w:rPr>
                <w:rStyle w:val="Hyperlink"/>
                <w:noProof/>
                <w:color w:val="000000" w:themeColor="text1"/>
              </w:rPr>
              <w:t>Personal SWOT Analysis</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_Toc210822676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3</w:t>
            </w:r>
            <w:r w:rsidR="001634F5" w:rsidRPr="001634F5">
              <w:rPr>
                <w:noProof/>
                <w:webHidden/>
                <w:color w:val="000000" w:themeColor="text1"/>
              </w:rPr>
              <w:fldChar w:fldCharType="end"/>
            </w:r>
          </w:hyperlink>
        </w:p>
        <w:p w14:paraId="24F6A720" w14:textId="77777777" w:rsidR="001634F5" w:rsidRPr="001634F5" w:rsidRDefault="00726775" w:rsidP="001634F5">
          <w:pPr>
            <w:pStyle w:val="TOC1"/>
            <w:tabs>
              <w:tab w:val="right" w:leader="dot" w:pos="9019"/>
            </w:tabs>
            <w:spacing w:before="0"/>
            <w:rPr>
              <w:rFonts w:eastAsiaTheme="minorEastAsia"/>
              <w:noProof/>
              <w:color w:val="000000" w:themeColor="text1"/>
              <w:kern w:val="2"/>
              <w:lang w:val="en-US" w:eastAsia="en-US"/>
              <w14:ligatures w14:val="standardContextual"/>
            </w:rPr>
          </w:pPr>
          <w:hyperlink w:anchor="_Toc210822677" w:history="1">
            <w:r w:rsidR="001634F5" w:rsidRPr="001634F5">
              <w:rPr>
                <w:rStyle w:val="Hyperlink"/>
                <w:noProof/>
                <w:color w:val="000000" w:themeColor="text1"/>
              </w:rPr>
              <w:t>Practical examples (use strength to overcome weakness and minimise threats)</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_Toc210822677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5</w:t>
            </w:r>
            <w:r w:rsidR="001634F5" w:rsidRPr="001634F5">
              <w:rPr>
                <w:noProof/>
                <w:webHidden/>
                <w:color w:val="000000" w:themeColor="text1"/>
              </w:rPr>
              <w:fldChar w:fldCharType="end"/>
            </w:r>
          </w:hyperlink>
        </w:p>
        <w:p w14:paraId="25763857" w14:textId="77777777" w:rsidR="001634F5" w:rsidRPr="001634F5" w:rsidRDefault="00726775" w:rsidP="001634F5">
          <w:pPr>
            <w:pStyle w:val="TOC1"/>
            <w:tabs>
              <w:tab w:val="right" w:leader="dot" w:pos="9019"/>
            </w:tabs>
            <w:spacing w:before="0"/>
            <w:rPr>
              <w:rFonts w:eastAsiaTheme="minorEastAsia"/>
              <w:noProof/>
              <w:color w:val="000000" w:themeColor="text1"/>
              <w:kern w:val="2"/>
              <w:lang w:val="en-US" w:eastAsia="en-US"/>
              <w14:ligatures w14:val="standardContextual"/>
            </w:rPr>
          </w:pPr>
          <w:hyperlink w:anchor="_Toc210822678" w:history="1">
            <w:r w:rsidR="001634F5" w:rsidRPr="001634F5">
              <w:rPr>
                <w:rStyle w:val="Hyperlink"/>
                <w:noProof/>
                <w:color w:val="000000" w:themeColor="text1"/>
              </w:rPr>
              <w:t>Utilisation of  opportunities to associate with strengths</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_Toc210822678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6</w:t>
            </w:r>
            <w:r w:rsidR="001634F5" w:rsidRPr="001634F5">
              <w:rPr>
                <w:noProof/>
                <w:webHidden/>
                <w:color w:val="000000" w:themeColor="text1"/>
              </w:rPr>
              <w:fldChar w:fldCharType="end"/>
            </w:r>
          </w:hyperlink>
        </w:p>
        <w:p w14:paraId="435C208C" w14:textId="77777777" w:rsidR="001634F5" w:rsidRPr="001634F5" w:rsidRDefault="00726775" w:rsidP="001634F5">
          <w:pPr>
            <w:pStyle w:val="TOC1"/>
            <w:tabs>
              <w:tab w:val="right" w:leader="dot" w:pos="9019"/>
            </w:tabs>
            <w:spacing w:before="0"/>
            <w:rPr>
              <w:rFonts w:eastAsiaTheme="minorEastAsia"/>
              <w:noProof/>
              <w:color w:val="000000" w:themeColor="text1"/>
              <w:kern w:val="2"/>
              <w:lang w:val="en-US" w:eastAsia="en-US"/>
              <w14:ligatures w14:val="standardContextual"/>
            </w:rPr>
          </w:pPr>
          <w:hyperlink w:anchor="_Toc210822679" w:history="1">
            <w:r w:rsidR="001634F5" w:rsidRPr="001634F5">
              <w:rPr>
                <w:rStyle w:val="Hyperlink"/>
                <w:noProof/>
                <w:color w:val="000000" w:themeColor="text1"/>
              </w:rPr>
              <w:t>Conclusion</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_Toc210822679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7</w:t>
            </w:r>
            <w:r w:rsidR="001634F5" w:rsidRPr="001634F5">
              <w:rPr>
                <w:noProof/>
                <w:webHidden/>
                <w:color w:val="000000" w:themeColor="text1"/>
              </w:rPr>
              <w:fldChar w:fldCharType="end"/>
            </w:r>
          </w:hyperlink>
        </w:p>
        <w:p w14:paraId="40596484" w14:textId="2AD69D97" w:rsidR="001634F5" w:rsidRPr="001634F5" w:rsidRDefault="00726775" w:rsidP="001634F5">
          <w:pPr>
            <w:pStyle w:val="TOC1"/>
            <w:tabs>
              <w:tab w:val="right" w:leader="dot" w:pos="9019"/>
            </w:tabs>
            <w:spacing w:before="0"/>
            <w:rPr>
              <w:rFonts w:eastAsiaTheme="minorEastAsia"/>
              <w:noProof/>
              <w:color w:val="000000" w:themeColor="text1"/>
              <w:kern w:val="2"/>
              <w:lang w:val="en-US" w:eastAsia="en-US"/>
              <w14:ligatures w14:val="standardContextual"/>
            </w:rPr>
          </w:pPr>
          <w:hyperlink w:anchor="_Toc210822680" w:history="1">
            <w:r w:rsidR="001634F5" w:rsidRPr="001634F5">
              <w:rPr>
                <w:rStyle w:val="Hyperlink"/>
                <w:noProof/>
                <w:color w:val="000000" w:themeColor="text1"/>
              </w:rPr>
              <w:t>References</w:t>
            </w:r>
            <w:r w:rsidR="001634F5" w:rsidRPr="001634F5">
              <w:rPr>
                <w:noProof/>
                <w:webHidden/>
                <w:color w:val="000000" w:themeColor="text1"/>
              </w:rPr>
              <w:tab/>
            </w:r>
            <w:r w:rsidR="001634F5" w:rsidRPr="001634F5">
              <w:rPr>
                <w:noProof/>
                <w:webHidden/>
                <w:color w:val="000000" w:themeColor="text1"/>
              </w:rPr>
              <w:fldChar w:fldCharType="begin"/>
            </w:r>
            <w:r w:rsidR="001634F5" w:rsidRPr="001634F5">
              <w:rPr>
                <w:noProof/>
                <w:webHidden/>
                <w:color w:val="000000" w:themeColor="text1"/>
              </w:rPr>
              <w:instrText xml:space="preserve"> PAGEREF _Toc210822680 \h </w:instrText>
            </w:r>
            <w:r w:rsidR="001634F5" w:rsidRPr="001634F5">
              <w:rPr>
                <w:noProof/>
                <w:webHidden/>
                <w:color w:val="000000" w:themeColor="text1"/>
              </w:rPr>
            </w:r>
            <w:r w:rsidR="001634F5" w:rsidRPr="001634F5">
              <w:rPr>
                <w:noProof/>
                <w:webHidden/>
                <w:color w:val="000000" w:themeColor="text1"/>
              </w:rPr>
              <w:fldChar w:fldCharType="separate"/>
            </w:r>
            <w:r w:rsidR="001634F5" w:rsidRPr="001634F5">
              <w:rPr>
                <w:noProof/>
                <w:webHidden/>
                <w:color w:val="000000" w:themeColor="text1"/>
              </w:rPr>
              <w:t>9</w:t>
            </w:r>
            <w:r w:rsidR="001634F5" w:rsidRPr="001634F5">
              <w:rPr>
                <w:noProof/>
                <w:webHidden/>
                <w:color w:val="000000" w:themeColor="text1"/>
              </w:rPr>
              <w:fldChar w:fldCharType="end"/>
            </w:r>
          </w:hyperlink>
        </w:p>
        <w:p w14:paraId="4071E4A2" w14:textId="77777777" w:rsidR="001634F5" w:rsidRDefault="003E5CFA" w:rsidP="001634F5">
          <w:pPr>
            <w:spacing w:before="0"/>
          </w:pPr>
          <w:r w:rsidRPr="001634F5">
            <w:rPr>
              <w:b/>
              <w:bCs/>
              <w:noProof/>
              <w:color w:val="000000" w:themeColor="text1"/>
            </w:rPr>
            <w:fldChar w:fldCharType="end"/>
          </w:r>
        </w:p>
      </w:sdtContent>
    </w:sdt>
    <w:p w14:paraId="6C5CFC08" w14:textId="77777777" w:rsidR="001634F5" w:rsidRDefault="003E5CFA" w:rsidP="001634F5">
      <w:pPr>
        <w:spacing w:before="0" w:after="0"/>
      </w:pPr>
      <w:r>
        <w:br w:type="page"/>
      </w:r>
      <w:bookmarkStart w:id="0" w:name="_GoBack"/>
      <w:bookmarkEnd w:id="0"/>
    </w:p>
    <w:p w14:paraId="463DAF4C" w14:textId="77777777" w:rsidR="001634F5" w:rsidRDefault="003E5CFA" w:rsidP="001634F5">
      <w:pPr>
        <w:pStyle w:val="Heading1"/>
        <w:spacing w:before="0" w:after="0"/>
      </w:pPr>
      <w:bookmarkStart w:id="1" w:name="_bjx503m8r052" w:colFirst="0" w:colLast="0"/>
      <w:bookmarkStart w:id="2" w:name="_Toc210822675"/>
      <w:bookmarkEnd w:id="1"/>
      <w:r>
        <w:lastRenderedPageBreak/>
        <w:t>Introduction</w:t>
      </w:r>
      <w:bookmarkEnd w:id="2"/>
      <w:r>
        <w:t xml:space="preserve"> </w:t>
      </w:r>
    </w:p>
    <w:p w14:paraId="60CFF503" w14:textId="23AB6871" w:rsidR="00FF6DD8" w:rsidRDefault="00FF6DD8" w:rsidP="001634F5">
      <w:pPr>
        <w:spacing w:before="0" w:after="0"/>
        <w:rPr>
          <w:b/>
        </w:rPr>
      </w:pPr>
      <w:r>
        <w:rPr>
          <w:noProof/>
          <w:lang w:val="en-IN" w:eastAsia="en-IN"/>
        </w:rPr>
        <w:drawing>
          <wp:inline distT="0" distB="0" distL="0" distR="0" wp14:anchorId="01D28B93" wp14:editId="22CEC323">
            <wp:extent cx="5733415" cy="3225165"/>
            <wp:effectExtent l="0" t="0" r="635" b="0"/>
            <wp:docPr id="5094948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494858" name=""/>
                    <pic:cNvPicPr/>
                  </pic:nvPicPr>
                  <pic:blipFill>
                    <a:blip r:embed="rId9">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svg="http://schemas.microsoft.com/office/drawing/2016/SVG/main" r:embed="rId10"/>
                        </a:ext>
                      </a:extLst>
                    </a:blip>
                    <a:stretch>
                      <a:fillRect/>
                    </a:stretch>
                  </pic:blipFill>
                  <pic:spPr>
                    <a:xfrm>
                      <a:off x="0" y="0"/>
                      <a:ext cx="5733415" cy="3225165"/>
                    </a:xfrm>
                    <a:prstGeom prst="rect">
                      <a:avLst/>
                    </a:prstGeom>
                  </pic:spPr>
                </pic:pic>
              </a:graphicData>
            </a:graphic>
          </wp:inline>
        </w:drawing>
      </w:r>
    </w:p>
    <w:p w14:paraId="119D4CAC" w14:textId="26212688" w:rsidR="001634F5" w:rsidRDefault="003E5CFA" w:rsidP="001634F5">
      <w:pPr>
        <w:spacing w:before="0" w:after="0"/>
      </w:pPr>
      <w:r>
        <w:rPr>
          <w:b/>
        </w:rPr>
        <w:t>Speaker Note</w:t>
      </w:r>
      <w:r>
        <w:t xml:space="preserve">  </w:t>
      </w:r>
    </w:p>
    <w:p w14:paraId="5711D7CC" w14:textId="4F66CD25" w:rsidR="001634F5" w:rsidRDefault="003E5CFA" w:rsidP="001634F5">
      <w:pPr>
        <w:spacing w:before="0" w:after="0"/>
      </w:pPr>
      <w:r>
        <w:t xml:space="preserve">In the health and social care industry, a proactive response to stress and adversity reflects one's resilience, adaptability and flexibility, which further encourages leadership to overcome any sort of challenges (Abraham </w:t>
      </w:r>
      <w:r>
        <w:rPr>
          <w:i/>
        </w:rPr>
        <w:t>et al</w:t>
      </w:r>
      <w:r>
        <w:t xml:space="preserve">., 2021). That is why across the health and social care industry of the UK, certain employability skills, such as empathy and compassion, teamwork, communication, work ethics and others have proven their significance to justify one's employability and growth at the same time. At the same time, it has also been seen that health and social care employees and students in the UK experience the necessity of advanced knowledge to keep up with industrial technologies.  </w:t>
      </w:r>
    </w:p>
    <w:p w14:paraId="62909795" w14:textId="77777777" w:rsidR="001634F5" w:rsidRDefault="003E5CFA" w:rsidP="001634F5">
      <w:pPr>
        <w:pStyle w:val="Heading1"/>
        <w:spacing w:before="0" w:after="0"/>
      </w:pPr>
      <w:bookmarkStart w:id="3" w:name="_b2cqtjyba9wb" w:colFirst="0" w:colLast="0"/>
      <w:bookmarkStart w:id="4" w:name="_Toc210822676"/>
      <w:bookmarkEnd w:id="3"/>
      <w:r>
        <w:lastRenderedPageBreak/>
        <w:t>Personal SWOT Analysis</w:t>
      </w:r>
      <w:bookmarkEnd w:id="4"/>
      <w:r>
        <w:t xml:space="preserve"> </w:t>
      </w:r>
    </w:p>
    <w:p w14:paraId="7DCCE35B" w14:textId="3024779C" w:rsidR="00FF6DD8" w:rsidRDefault="00FF6DD8" w:rsidP="001634F5">
      <w:pPr>
        <w:spacing w:before="0" w:after="0"/>
        <w:rPr>
          <w:b/>
        </w:rPr>
      </w:pPr>
      <w:r>
        <w:rPr>
          <w:noProof/>
          <w:lang w:val="en-IN" w:eastAsia="en-IN"/>
        </w:rPr>
        <w:drawing>
          <wp:inline distT="0" distB="0" distL="0" distR="0" wp14:anchorId="020D688D" wp14:editId="61C82D67">
            <wp:extent cx="5733415" cy="3225165"/>
            <wp:effectExtent l="0" t="0" r="635" b="0"/>
            <wp:docPr id="17860992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099262" name=""/>
                    <pic:cNvPicPr/>
                  </pic:nvPicPr>
                  <pic:blipFill>
                    <a:blip r:embed="rId11">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svg="http://schemas.microsoft.com/office/drawing/2016/SVG/main" r:embed="rId12"/>
                        </a:ext>
                      </a:extLst>
                    </a:blip>
                    <a:stretch>
                      <a:fillRect/>
                    </a:stretch>
                  </pic:blipFill>
                  <pic:spPr>
                    <a:xfrm>
                      <a:off x="0" y="0"/>
                      <a:ext cx="5733415" cy="3225165"/>
                    </a:xfrm>
                    <a:prstGeom prst="rect">
                      <a:avLst/>
                    </a:prstGeom>
                  </pic:spPr>
                </pic:pic>
              </a:graphicData>
            </a:graphic>
          </wp:inline>
        </w:drawing>
      </w:r>
    </w:p>
    <w:p w14:paraId="32438872" w14:textId="265AA085" w:rsidR="001634F5" w:rsidRDefault="003E5CFA" w:rsidP="001634F5">
      <w:pPr>
        <w:spacing w:before="0" w:after="0"/>
      </w:pPr>
      <w:r>
        <w:rPr>
          <w:b/>
        </w:rPr>
        <w:t>Speaker Note</w:t>
      </w:r>
      <w:r>
        <w:t xml:space="preserve"> </w:t>
      </w:r>
    </w:p>
    <w:p w14:paraId="2FC756D5" w14:textId="364FD901" w:rsidR="001634F5" w:rsidRDefault="003E5CFA" w:rsidP="001634F5">
      <w:pPr>
        <w:widowControl w:val="0"/>
        <w:spacing w:before="0" w:after="0"/>
      </w:pPr>
      <w:r>
        <w:t xml:space="preserve">Considering the standpoint of the UK's health and social care services and organisational demands regarding employment, I have addressed my strengths in certain soft skills. I have acknowledged my efficiency in establishing appropriate verbal and non-verbal communication skills associated with active listening. Throughout the entire academic and now in the beginning of my professional career, I have addressed a major challenge of making critical decisions, especially making decisions while overlooking others' empathy. My strength has been effective for me in establishing meaningful interactions with professionals to gather valuable insight in the past. On the other hand, as I lack the guts to make rational decisions, it threatens my overall efficiency in acting quickly. </w:t>
      </w:r>
    </w:p>
    <w:p w14:paraId="0D5AEC85" w14:textId="77777777" w:rsidR="001634F5" w:rsidRDefault="003E5CFA" w:rsidP="001634F5">
      <w:pPr>
        <w:pStyle w:val="Heading1"/>
        <w:spacing w:before="0" w:after="0"/>
      </w:pPr>
      <w:bookmarkStart w:id="5" w:name="_es8u5ljwzlhw" w:colFirst="0" w:colLast="0"/>
      <w:bookmarkStart w:id="6" w:name="_Toc210822677"/>
      <w:bookmarkEnd w:id="5"/>
      <w:r>
        <w:lastRenderedPageBreak/>
        <w:t>Practical examples (use strength to overcome weakness and minimise threats)</w:t>
      </w:r>
      <w:bookmarkEnd w:id="6"/>
      <w:r>
        <w:t xml:space="preserve"> </w:t>
      </w:r>
    </w:p>
    <w:p w14:paraId="55F6323A" w14:textId="0D70E379" w:rsidR="00FF6DD8" w:rsidRDefault="00FF6DD8" w:rsidP="001634F5">
      <w:pPr>
        <w:spacing w:before="0" w:after="0"/>
        <w:rPr>
          <w:b/>
        </w:rPr>
      </w:pPr>
      <w:r>
        <w:rPr>
          <w:noProof/>
          <w:lang w:val="en-IN" w:eastAsia="en-IN"/>
        </w:rPr>
        <w:drawing>
          <wp:inline distT="0" distB="0" distL="0" distR="0" wp14:anchorId="3ED355E0" wp14:editId="19489F16">
            <wp:extent cx="5733415" cy="3225165"/>
            <wp:effectExtent l="0" t="0" r="635" b="0"/>
            <wp:docPr id="19503968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396865" name=""/>
                    <pic:cNvPicPr/>
                  </pic:nvPicPr>
                  <pic:blipFill>
                    <a:blip r:embed="rId13">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svg="http://schemas.microsoft.com/office/drawing/2016/SVG/main" r:embed="rId14"/>
                        </a:ext>
                      </a:extLst>
                    </a:blip>
                    <a:stretch>
                      <a:fillRect/>
                    </a:stretch>
                  </pic:blipFill>
                  <pic:spPr>
                    <a:xfrm>
                      <a:off x="0" y="0"/>
                      <a:ext cx="5733415" cy="3225165"/>
                    </a:xfrm>
                    <a:prstGeom prst="rect">
                      <a:avLst/>
                    </a:prstGeom>
                  </pic:spPr>
                </pic:pic>
              </a:graphicData>
            </a:graphic>
          </wp:inline>
        </w:drawing>
      </w:r>
    </w:p>
    <w:p w14:paraId="249192DA" w14:textId="1E6CFB6C" w:rsidR="001634F5" w:rsidRDefault="003E5CFA" w:rsidP="001634F5">
      <w:pPr>
        <w:spacing w:before="0" w:after="0"/>
      </w:pPr>
      <w:r>
        <w:rPr>
          <w:b/>
        </w:rPr>
        <w:t>Speaker Note</w:t>
      </w:r>
      <w:r>
        <w:t xml:space="preserve"> </w:t>
      </w:r>
    </w:p>
    <w:p w14:paraId="55660C3D" w14:textId="06705DDB" w:rsidR="001634F5" w:rsidRDefault="003E5CFA" w:rsidP="001634F5">
      <w:pPr>
        <w:spacing w:before="0" w:after="0"/>
      </w:pPr>
      <w:r>
        <w:t xml:space="preserve">An appropriate communication has been centralised within the field of health and social care work to foster an efficient and healthy work relationship (Reith‐Hall and Montgomery, 2023). Therefore, as I have gained years of practice in communicating in multiple languages, such as English, German and French, it has empowered my standpoint in expanding interaction with diverse groups of people. At the same time, the appropriateness of my communication skills has helped me understand a broader group of people's issues to sustain interpersonal and diverse relationships. This has also effectively guided me to mitigate the weakness of making rational decisions, as I have had almost every aspect of the necessary information. </w:t>
      </w:r>
    </w:p>
    <w:p w14:paraId="46F06B15" w14:textId="6A1EB105" w:rsidR="001634F5" w:rsidRDefault="003E5CFA" w:rsidP="001634F5">
      <w:pPr>
        <w:pStyle w:val="Heading1"/>
        <w:spacing w:before="0" w:after="0"/>
      </w:pPr>
      <w:bookmarkStart w:id="7" w:name="_eqwcmsov1n14" w:colFirst="0" w:colLast="0"/>
      <w:bookmarkStart w:id="8" w:name="_Toc210822678"/>
      <w:bookmarkEnd w:id="7"/>
      <w:r>
        <w:lastRenderedPageBreak/>
        <w:t xml:space="preserve">Utilisation </w:t>
      </w:r>
      <w:r w:rsidR="00FF6DD8">
        <w:t>of opportunities</w:t>
      </w:r>
      <w:r>
        <w:t xml:space="preserve"> to associate with strengths</w:t>
      </w:r>
      <w:bookmarkEnd w:id="8"/>
      <w:r>
        <w:t xml:space="preserve"> </w:t>
      </w:r>
    </w:p>
    <w:p w14:paraId="5351ADD8" w14:textId="5A47A156" w:rsidR="00FF6DD8" w:rsidRDefault="00FF6DD8" w:rsidP="001634F5">
      <w:pPr>
        <w:spacing w:before="0" w:after="0"/>
        <w:rPr>
          <w:b/>
        </w:rPr>
      </w:pPr>
      <w:r>
        <w:rPr>
          <w:noProof/>
          <w:lang w:val="en-IN" w:eastAsia="en-IN"/>
        </w:rPr>
        <w:drawing>
          <wp:inline distT="0" distB="0" distL="0" distR="0" wp14:anchorId="0905488C" wp14:editId="0059963E">
            <wp:extent cx="5733415" cy="3225165"/>
            <wp:effectExtent l="0" t="0" r="635" b="0"/>
            <wp:docPr id="19892097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09769" name=""/>
                    <pic:cNvPicPr/>
                  </pic:nvPicPr>
                  <pic:blipFill>
                    <a:blip r:embed="rId15">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svg="http://schemas.microsoft.com/office/drawing/2016/SVG/main" r:embed="rId16"/>
                        </a:ext>
                      </a:extLst>
                    </a:blip>
                    <a:stretch>
                      <a:fillRect/>
                    </a:stretch>
                  </pic:blipFill>
                  <pic:spPr>
                    <a:xfrm>
                      <a:off x="0" y="0"/>
                      <a:ext cx="5733415" cy="3225165"/>
                    </a:xfrm>
                    <a:prstGeom prst="rect">
                      <a:avLst/>
                    </a:prstGeom>
                  </pic:spPr>
                </pic:pic>
              </a:graphicData>
            </a:graphic>
          </wp:inline>
        </w:drawing>
      </w:r>
    </w:p>
    <w:p w14:paraId="330ADDAD" w14:textId="1DC2C023" w:rsidR="001634F5" w:rsidRDefault="003E5CFA" w:rsidP="001634F5">
      <w:pPr>
        <w:spacing w:before="0" w:after="0"/>
      </w:pPr>
      <w:r>
        <w:rPr>
          <w:b/>
        </w:rPr>
        <w:t>Speaker Note</w:t>
      </w:r>
      <w:r>
        <w:t xml:space="preserve"> </w:t>
      </w:r>
    </w:p>
    <w:p w14:paraId="316391E0" w14:textId="6D730836" w:rsidR="001634F5" w:rsidRDefault="003E5CFA" w:rsidP="001634F5">
      <w:pPr>
        <w:spacing w:before="0" w:after="0"/>
      </w:pPr>
      <w:r>
        <w:t xml:space="preserve">From the perspective of health care professionals, shared knowledge enables a long-term support system for individuals to foster the aspects of self-management that eventually embrace exploration to enhance service provision (Brand and Timmons, 2021). Therefore, as I have unveiled the opportunity of meaningful interactions, it has given me the ability to manage myself and my decision-making aspect to eventually benefit patients and their families. At the same time, my opportunity to foster meaningful and informative interactions has empowered my communication skills in establishing a sense of reliability and trust among others. This has been drastically essential in the field of health and social care, as it sustains the nuances of empathy. </w:t>
      </w:r>
    </w:p>
    <w:p w14:paraId="53E00854" w14:textId="77777777" w:rsidR="001634F5" w:rsidRDefault="003E5CFA" w:rsidP="001634F5">
      <w:pPr>
        <w:pStyle w:val="Heading1"/>
        <w:spacing w:before="0" w:after="0"/>
      </w:pPr>
      <w:bookmarkStart w:id="9" w:name="_ibzzmuv2tgx" w:colFirst="0" w:colLast="0"/>
      <w:bookmarkStart w:id="10" w:name="_Toc210822679"/>
      <w:bookmarkEnd w:id="9"/>
      <w:r>
        <w:lastRenderedPageBreak/>
        <w:t>Conclusion</w:t>
      </w:r>
      <w:bookmarkEnd w:id="10"/>
      <w:r>
        <w:t xml:space="preserve"> </w:t>
      </w:r>
    </w:p>
    <w:p w14:paraId="5D896742" w14:textId="02131860" w:rsidR="00FF6DD8" w:rsidRDefault="00FF6DD8" w:rsidP="001634F5">
      <w:pPr>
        <w:spacing w:before="0" w:after="0"/>
        <w:rPr>
          <w:b/>
        </w:rPr>
      </w:pPr>
      <w:r>
        <w:rPr>
          <w:noProof/>
          <w:lang w:val="en-IN" w:eastAsia="en-IN"/>
        </w:rPr>
        <w:drawing>
          <wp:inline distT="0" distB="0" distL="0" distR="0" wp14:anchorId="319AD133" wp14:editId="3AEF1E74">
            <wp:extent cx="5733415" cy="3225165"/>
            <wp:effectExtent l="0" t="0" r="635" b="0"/>
            <wp:docPr id="9944233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423388" name=""/>
                    <pic:cNvPicPr/>
                  </pic:nvPicPr>
                  <pic:blipFill>
                    <a:blip r:embed="rId17">
                      <a:extLst>
                        <a:ext uri="{96DAC541-7B7A-43D3-8B79-37D633B846F1}">
                          <asvg:svgBlip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svg="http://schemas.microsoft.com/office/drawing/2016/SVG/main" r:embed="rId18"/>
                        </a:ext>
                      </a:extLst>
                    </a:blip>
                    <a:stretch>
                      <a:fillRect/>
                    </a:stretch>
                  </pic:blipFill>
                  <pic:spPr>
                    <a:xfrm>
                      <a:off x="0" y="0"/>
                      <a:ext cx="5733415" cy="3225165"/>
                    </a:xfrm>
                    <a:prstGeom prst="rect">
                      <a:avLst/>
                    </a:prstGeom>
                  </pic:spPr>
                </pic:pic>
              </a:graphicData>
            </a:graphic>
          </wp:inline>
        </w:drawing>
      </w:r>
    </w:p>
    <w:p w14:paraId="0D4D5BC3" w14:textId="41C92B28" w:rsidR="001634F5" w:rsidRDefault="003E5CFA" w:rsidP="001634F5">
      <w:pPr>
        <w:spacing w:before="0" w:after="0"/>
      </w:pPr>
      <w:r>
        <w:rPr>
          <w:b/>
        </w:rPr>
        <w:t>Speaker Note</w:t>
      </w:r>
      <w:r>
        <w:t xml:space="preserve"> </w:t>
      </w:r>
    </w:p>
    <w:p w14:paraId="244FEF39" w14:textId="6EF432C5" w:rsidR="001634F5" w:rsidRDefault="003E5CFA" w:rsidP="001634F5">
      <w:pPr>
        <w:spacing w:before="0" w:after="0"/>
      </w:pPr>
      <w:r>
        <w:t xml:space="preserve">Following the overall presentation, it can be concluded that soft skills, such as communication and empathy, have covered quite a few critical aspects in the health and social care industry of the UK. These skills are not just enabling better employability for individuals, but also ensuring accurate relationship management with the patient parties. In the long term, this type of benefit has been identified as effective in health and social care, as it provides an accurate understanding of people's issues, provides comfort and generates rational decisions to foster treatment facilities. </w:t>
      </w:r>
      <w:r>
        <w:br w:type="page"/>
      </w:r>
    </w:p>
    <w:p w14:paraId="299919E0" w14:textId="77777777" w:rsidR="001634F5" w:rsidRDefault="003E5CFA" w:rsidP="001634F5">
      <w:pPr>
        <w:pStyle w:val="Heading1"/>
        <w:spacing w:before="0" w:after="0"/>
      </w:pPr>
      <w:bookmarkStart w:id="11" w:name="_i5rtrvld3s7y" w:colFirst="0" w:colLast="0"/>
      <w:bookmarkStart w:id="12" w:name="_Toc210822680"/>
      <w:bookmarkEnd w:id="11"/>
      <w:r>
        <w:rPr>
          <w:sz w:val="32"/>
        </w:rPr>
        <w:lastRenderedPageBreak/>
        <w:t>References</w:t>
      </w:r>
      <w:bookmarkEnd w:id="12"/>
      <w:r>
        <w:t xml:space="preserve"> </w:t>
      </w:r>
    </w:p>
    <w:p w14:paraId="5D5917C4" w14:textId="77777777" w:rsidR="00487FC7" w:rsidRDefault="00487FC7" w:rsidP="00487FC7">
      <w:pPr>
        <w:spacing w:before="0" w:after="0"/>
      </w:pPr>
      <w:r>
        <w:t xml:space="preserve">Abraham, T.H., Stewart, G.L. and Solimeo, S.L., 2021. The importance of soft skills development in a hard data world: learning from interviews with healthcare leaders. </w:t>
      </w:r>
      <w:r w:rsidRPr="00487FC7">
        <w:rPr>
          <w:i/>
        </w:rPr>
        <w:t>BMC medical education</w:t>
      </w:r>
      <w:r>
        <w:t xml:space="preserve">, </w:t>
      </w:r>
      <w:r w:rsidRPr="00487FC7">
        <w:rPr>
          <w:i/>
        </w:rPr>
        <w:t>21</w:t>
      </w:r>
      <w:r>
        <w:t xml:space="preserve">(1), p.147. </w:t>
      </w:r>
    </w:p>
    <w:p w14:paraId="3DF19D09" w14:textId="77777777" w:rsidR="00487FC7" w:rsidRPr="001634F5" w:rsidRDefault="00487FC7" w:rsidP="00487FC7">
      <w:pPr>
        <w:spacing w:before="0" w:after="0"/>
      </w:pPr>
      <w:r>
        <w:t xml:space="preserve">Brand, S. and Timmons, S., 2021. Knowledge sharing to support long‐term condition self‐management—Patient and health‐care professional perspectives. </w:t>
      </w:r>
      <w:r w:rsidRPr="00487FC7">
        <w:rPr>
          <w:i/>
        </w:rPr>
        <w:t>Health Expectations</w:t>
      </w:r>
      <w:r>
        <w:t xml:space="preserve">, </w:t>
      </w:r>
      <w:r w:rsidRPr="00487FC7">
        <w:rPr>
          <w:i/>
        </w:rPr>
        <w:t>24</w:t>
      </w:r>
      <w:r>
        <w:t xml:space="preserve">(2), pp.628-637. </w:t>
      </w:r>
    </w:p>
    <w:p w14:paraId="13F3A2E0" w14:textId="356B2FA2" w:rsidR="00487FC7" w:rsidRDefault="00487FC7" w:rsidP="00EE3064">
      <w:pPr>
        <w:spacing w:before="0" w:after="0"/>
      </w:pPr>
      <w:r>
        <w:t xml:space="preserve">Reith‐Hall, E. and Montgomery, P., 2023. Communication skills training for improving the communicative abilities of student social workers: A systematic review. </w:t>
      </w:r>
      <w:r w:rsidRPr="00487FC7">
        <w:rPr>
          <w:i/>
        </w:rPr>
        <w:t>Campbell systematic reviews</w:t>
      </w:r>
      <w:r>
        <w:t xml:space="preserve">, </w:t>
      </w:r>
      <w:r w:rsidRPr="00487FC7">
        <w:rPr>
          <w:i/>
        </w:rPr>
        <w:t>19</w:t>
      </w:r>
      <w:r>
        <w:t xml:space="preserve">(1), p.e1309. </w:t>
      </w:r>
    </w:p>
    <w:sectPr w:rsidR="00487FC7">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869379" w14:textId="77777777" w:rsidR="00726775" w:rsidRDefault="00726775">
      <w:pPr>
        <w:spacing w:before="0" w:after="0" w:line="240" w:lineRule="auto"/>
      </w:pPr>
      <w:r>
        <w:separator/>
      </w:r>
    </w:p>
  </w:endnote>
  <w:endnote w:type="continuationSeparator" w:id="0">
    <w:p w14:paraId="3C37EE43" w14:textId="77777777" w:rsidR="00726775" w:rsidRDefault="0072677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319D32" w14:textId="7F1E6ACB" w:rsidR="00A46D13" w:rsidRDefault="003E5CFA">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3756F5">
      <w:rPr>
        <w:noProof/>
        <w:color w:val="000000"/>
      </w:rPr>
      <w:t>8</w:t>
    </w:r>
    <w:r>
      <w:rPr>
        <w:color w:val="000000"/>
      </w:rPr>
      <w:fldChar w:fldCharType="end"/>
    </w:r>
  </w:p>
  <w:p w14:paraId="32685BE9" w14:textId="77777777" w:rsidR="00A46D13" w:rsidRDefault="00A46D13">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4DC81B" w14:textId="77777777" w:rsidR="00726775" w:rsidRDefault="00726775">
      <w:pPr>
        <w:spacing w:before="0" w:after="0" w:line="240" w:lineRule="auto"/>
      </w:pPr>
      <w:r>
        <w:separator/>
      </w:r>
    </w:p>
  </w:footnote>
  <w:footnote w:type="continuationSeparator" w:id="0">
    <w:p w14:paraId="4C5192DD" w14:textId="77777777" w:rsidR="00726775" w:rsidRDefault="0072677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1A0075"/>
    <w:multiLevelType w:val="multilevel"/>
    <w:tmpl w:val="93884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565135"/>
    <w:multiLevelType w:val="multilevel"/>
    <w:tmpl w:val="54FA6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C85380"/>
    <w:multiLevelType w:val="hybridMultilevel"/>
    <w:tmpl w:val="5F3C1628"/>
    <w:lvl w:ilvl="0" w:tplc="0A54A23C">
      <w:start w:val="1"/>
      <w:numFmt w:val="bullet"/>
      <w:lvlText w:val=""/>
      <w:lvlJc w:val="left"/>
      <w:pPr>
        <w:ind w:left="720" w:hanging="360"/>
      </w:pPr>
      <w:rPr>
        <w:rFonts w:ascii="Symbol" w:hAnsi="Symbol" w:hint="default"/>
      </w:rPr>
    </w:lvl>
    <w:lvl w:ilvl="1" w:tplc="48708834" w:tentative="1">
      <w:start w:val="1"/>
      <w:numFmt w:val="bullet"/>
      <w:lvlText w:val="o"/>
      <w:lvlJc w:val="left"/>
      <w:pPr>
        <w:ind w:left="1440" w:hanging="360"/>
      </w:pPr>
      <w:rPr>
        <w:rFonts w:ascii="Courier New" w:hAnsi="Courier New" w:cs="Courier New" w:hint="default"/>
      </w:rPr>
    </w:lvl>
    <w:lvl w:ilvl="2" w:tplc="CBD66CC6" w:tentative="1">
      <w:start w:val="1"/>
      <w:numFmt w:val="bullet"/>
      <w:lvlText w:val=""/>
      <w:lvlJc w:val="left"/>
      <w:pPr>
        <w:ind w:left="2160" w:hanging="360"/>
      </w:pPr>
      <w:rPr>
        <w:rFonts w:ascii="Wingdings" w:hAnsi="Wingdings" w:hint="default"/>
      </w:rPr>
    </w:lvl>
    <w:lvl w:ilvl="3" w:tplc="4678DA8C" w:tentative="1">
      <w:start w:val="1"/>
      <w:numFmt w:val="bullet"/>
      <w:lvlText w:val=""/>
      <w:lvlJc w:val="left"/>
      <w:pPr>
        <w:ind w:left="2880" w:hanging="360"/>
      </w:pPr>
      <w:rPr>
        <w:rFonts w:ascii="Symbol" w:hAnsi="Symbol" w:hint="default"/>
      </w:rPr>
    </w:lvl>
    <w:lvl w:ilvl="4" w:tplc="EC0E7CCE" w:tentative="1">
      <w:start w:val="1"/>
      <w:numFmt w:val="bullet"/>
      <w:lvlText w:val="o"/>
      <w:lvlJc w:val="left"/>
      <w:pPr>
        <w:ind w:left="3600" w:hanging="360"/>
      </w:pPr>
      <w:rPr>
        <w:rFonts w:ascii="Courier New" w:hAnsi="Courier New" w:cs="Courier New" w:hint="default"/>
      </w:rPr>
    </w:lvl>
    <w:lvl w:ilvl="5" w:tplc="8402AF2E" w:tentative="1">
      <w:start w:val="1"/>
      <w:numFmt w:val="bullet"/>
      <w:lvlText w:val=""/>
      <w:lvlJc w:val="left"/>
      <w:pPr>
        <w:ind w:left="4320" w:hanging="360"/>
      </w:pPr>
      <w:rPr>
        <w:rFonts w:ascii="Wingdings" w:hAnsi="Wingdings" w:hint="default"/>
      </w:rPr>
    </w:lvl>
    <w:lvl w:ilvl="6" w:tplc="FA683074" w:tentative="1">
      <w:start w:val="1"/>
      <w:numFmt w:val="bullet"/>
      <w:lvlText w:val=""/>
      <w:lvlJc w:val="left"/>
      <w:pPr>
        <w:ind w:left="5040" w:hanging="360"/>
      </w:pPr>
      <w:rPr>
        <w:rFonts w:ascii="Symbol" w:hAnsi="Symbol" w:hint="default"/>
      </w:rPr>
    </w:lvl>
    <w:lvl w:ilvl="7" w:tplc="27822054" w:tentative="1">
      <w:start w:val="1"/>
      <w:numFmt w:val="bullet"/>
      <w:lvlText w:val="o"/>
      <w:lvlJc w:val="left"/>
      <w:pPr>
        <w:ind w:left="5760" w:hanging="360"/>
      </w:pPr>
      <w:rPr>
        <w:rFonts w:ascii="Courier New" w:hAnsi="Courier New" w:cs="Courier New" w:hint="default"/>
      </w:rPr>
    </w:lvl>
    <w:lvl w:ilvl="8" w:tplc="781C6CE8" w:tentative="1">
      <w:start w:val="1"/>
      <w:numFmt w:val="bullet"/>
      <w:lvlText w:val=""/>
      <w:lvlJc w:val="left"/>
      <w:pPr>
        <w:ind w:left="6480" w:hanging="360"/>
      </w:pPr>
      <w:rPr>
        <w:rFonts w:ascii="Wingdings" w:hAnsi="Wingdings" w:hint="default"/>
      </w:rPr>
    </w:lvl>
  </w:abstractNum>
  <w:abstractNum w:abstractNumId="3" w15:restartNumberingAfterBreak="0">
    <w:nsid w:val="08460B59"/>
    <w:multiLevelType w:val="multilevel"/>
    <w:tmpl w:val="F020A8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99A7E55"/>
    <w:multiLevelType w:val="hybridMultilevel"/>
    <w:tmpl w:val="8D98AC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B7C44A4"/>
    <w:multiLevelType w:val="multilevel"/>
    <w:tmpl w:val="0F8480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FDC2465"/>
    <w:multiLevelType w:val="hybridMultilevel"/>
    <w:tmpl w:val="E6945F56"/>
    <w:lvl w:ilvl="0" w:tplc="EFF2C03A">
      <w:start w:val="1"/>
      <w:numFmt w:val="bullet"/>
      <w:lvlText w:val=""/>
      <w:lvlJc w:val="left"/>
      <w:pPr>
        <w:ind w:left="720" w:hanging="360"/>
      </w:pPr>
      <w:rPr>
        <w:rFonts w:ascii="Wingdings" w:hAnsi="Wingdings" w:hint="default"/>
      </w:rPr>
    </w:lvl>
    <w:lvl w:ilvl="1" w:tplc="F118E7A2" w:tentative="1">
      <w:start w:val="1"/>
      <w:numFmt w:val="bullet"/>
      <w:lvlText w:val="o"/>
      <w:lvlJc w:val="left"/>
      <w:pPr>
        <w:ind w:left="1440" w:hanging="360"/>
      </w:pPr>
      <w:rPr>
        <w:rFonts w:ascii="Courier New" w:hAnsi="Courier New" w:cs="Courier New" w:hint="default"/>
      </w:rPr>
    </w:lvl>
    <w:lvl w:ilvl="2" w:tplc="BC56AC88" w:tentative="1">
      <w:start w:val="1"/>
      <w:numFmt w:val="bullet"/>
      <w:lvlText w:val=""/>
      <w:lvlJc w:val="left"/>
      <w:pPr>
        <w:ind w:left="2160" w:hanging="360"/>
      </w:pPr>
      <w:rPr>
        <w:rFonts w:ascii="Wingdings" w:hAnsi="Wingdings" w:hint="default"/>
      </w:rPr>
    </w:lvl>
    <w:lvl w:ilvl="3" w:tplc="6302A468" w:tentative="1">
      <w:start w:val="1"/>
      <w:numFmt w:val="bullet"/>
      <w:lvlText w:val=""/>
      <w:lvlJc w:val="left"/>
      <w:pPr>
        <w:ind w:left="2880" w:hanging="360"/>
      </w:pPr>
      <w:rPr>
        <w:rFonts w:ascii="Symbol" w:hAnsi="Symbol" w:hint="default"/>
      </w:rPr>
    </w:lvl>
    <w:lvl w:ilvl="4" w:tplc="D6EA52A4" w:tentative="1">
      <w:start w:val="1"/>
      <w:numFmt w:val="bullet"/>
      <w:lvlText w:val="o"/>
      <w:lvlJc w:val="left"/>
      <w:pPr>
        <w:ind w:left="3600" w:hanging="360"/>
      </w:pPr>
      <w:rPr>
        <w:rFonts w:ascii="Courier New" w:hAnsi="Courier New" w:cs="Courier New" w:hint="default"/>
      </w:rPr>
    </w:lvl>
    <w:lvl w:ilvl="5" w:tplc="DEC8530A" w:tentative="1">
      <w:start w:val="1"/>
      <w:numFmt w:val="bullet"/>
      <w:lvlText w:val=""/>
      <w:lvlJc w:val="left"/>
      <w:pPr>
        <w:ind w:left="4320" w:hanging="360"/>
      </w:pPr>
      <w:rPr>
        <w:rFonts w:ascii="Wingdings" w:hAnsi="Wingdings" w:hint="default"/>
      </w:rPr>
    </w:lvl>
    <w:lvl w:ilvl="6" w:tplc="18806214" w:tentative="1">
      <w:start w:val="1"/>
      <w:numFmt w:val="bullet"/>
      <w:lvlText w:val=""/>
      <w:lvlJc w:val="left"/>
      <w:pPr>
        <w:ind w:left="5040" w:hanging="360"/>
      </w:pPr>
      <w:rPr>
        <w:rFonts w:ascii="Symbol" w:hAnsi="Symbol" w:hint="default"/>
      </w:rPr>
    </w:lvl>
    <w:lvl w:ilvl="7" w:tplc="03FAD93E" w:tentative="1">
      <w:start w:val="1"/>
      <w:numFmt w:val="bullet"/>
      <w:lvlText w:val="o"/>
      <w:lvlJc w:val="left"/>
      <w:pPr>
        <w:ind w:left="5760" w:hanging="360"/>
      </w:pPr>
      <w:rPr>
        <w:rFonts w:ascii="Courier New" w:hAnsi="Courier New" w:cs="Courier New" w:hint="default"/>
      </w:rPr>
    </w:lvl>
    <w:lvl w:ilvl="8" w:tplc="CB0C3C98" w:tentative="1">
      <w:start w:val="1"/>
      <w:numFmt w:val="bullet"/>
      <w:lvlText w:val=""/>
      <w:lvlJc w:val="left"/>
      <w:pPr>
        <w:ind w:left="6480" w:hanging="360"/>
      </w:pPr>
      <w:rPr>
        <w:rFonts w:ascii="Wingdings" w:hAnsi="Wingdings" w:hint="default"/>
      </w:rPr>
    </w:lvl>
  </w:abstractNum>
  <w:abstractNum w:abstractNumId="7" w15:restartNumberingAfterBreak="0">
    <w:nsid w:val="182902EC"/>
    <w:multiLevelType w:val="multilevel"/>
    <w:tmpl w:val="7E9EF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B0676D1"/>
    <w:multiLevelType w:val="multilevel"/>
    <w:tmpl w:val="EE64F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E974462"/>
    <w:multiLevelType w:val="multilevel"/>
    <w:tmpl w:val="71FC4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5D80D34"/>
    <w:multiLevelType w:val="multilevel"/>
    <w:tmpl w:val="665EB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8FC05F3"/>
    <w:multiLevelType w:val="multilevel"/>
    <w:tmpl w:val="CF4E6F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07542F"/>
    <w:multiLevelType w:val="multilevel"/>
    <w:tmpl w:val="C61A47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B2A257F"/>
    <w:multiLevelType w:val="multilevel"/>
    <w:tmpl w:val="58CE42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B64611C"/>
    <w:multiLevelType w:val="multilevel"/>
    <w:tmpl w:val="4F444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EA94127"/>
    <w:multiLevelType w:val="multilevel"/>
    <w:tmpl w:val="6CD24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78241D9"/>
    <w:multiLevelType w:val="multilevel"/>
    <w:tmpl w:val="DC46F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A063CE7"/>
    <w:multiLevelType w:val="multilevel"/>
    <w:tmpl w:val="4C468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2FC008E"/>
    <w:multiLevelType w:val="multilevel"/>
    <w:tmpl w:val="EABCE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41050DF"/>
    <w:multiLevelType w:val="multilevel"/>
    <w:tmpl w:val="91282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8622D43"/>
    <w:multiLevelType w:val="multilevel"/>
    <w:tmpl w:val="54965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15579AE"/>
    <w:multiLevelType w:val="multilevel"/>
    <w:tmpl w:val="C19C3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2FC6704"/>
    <w:multiLevelType w:val="multilevel"/>
    <w:tmpl w:val="A1329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5057A0A"/>
    <w:multiLevelType w:val="multilevel"/>
    <w:tmpl w:val="56BA9E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7301C3F"/>
    <w:multiLevelType w:val="multilevel"/>
    <w:tmpl w:val="C9E26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F2857A5"/>
    <w:multiLevelType w:val="multilevel"/>
    <w:tmpl w:val="250C8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F7543F0"/>
    <w:multiLevelType w:val="multilevel"/>
    <w:tmpl w:val="466AB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6993884"/>
    <w:multiLevelType w:val="multilevel"/>
    <w:tmpl w:val="CCDEF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74D4A4B"/>
    <w:multiLevelType w:val="multilevel"/>
    <w:tmpl w:val="E1647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3D57F0D"/>
    <w:multiLevelType w:val="multilevel"/>
    <w:tmpl w:val="B67A19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97716A6"/>
    <w:multiLevelType w:val="hybridMultilevel"/>
    <w:tmpl w:val="3F12FCD4"/>
    <w:lvl w:ilvl="0" w:tplc="9176F674">
      <w:start w:val="1"/>
      <w:numFmt w:val="bullet"/>
      <w:lvlText w:val=""/>
      <w:lvlJc w:val="left"/>
      <w:pPr>
        <w:ind w:left="720" w:hanging="360"/>
      </w:pPr>
      <w:rPr>
        <w:rFonts w:ascii="Wingdings" w:hAnsi="Wingdings" w:hint="default"/>
      </w:rPr>
    </w:lvl>
    <w:lvl w:ilvl="1" w:tplc="67F69F4A" w:tentative="1">
      <w:start w:val="1"/>
      <w:numFmt w:val="bullet"/>
      <w:lvlText w:val="o"/>
      <w:lvlJc w:val="left"/>
      <w:pPr>
        <w:ind w:left="1440" w:hanging="360"/>
      </w:pPr>
      <w:rPr>
        <w:rFonts w:ascii="Courier New" w:hAnsi="Courier New" w:cs="Courier New" w:hint="default"/>
      </w:rPr>
    </w:lvl>
    <w:lvl w:ilvl="2" w:tplc="85E4EF9C" w:tentative="1">
      <w:start w:val="1"/>
      <w:numFmt w:val="bullet"/>
      <w:lvlText w:val=""/>
      <w:lvlJc w:val="left"/>
      <w:pPr>
        <w:ind w:left="2160" w:hanging="360"/>
      </w:pPr>
      <w:rPr>
        <w:rFonts w:ascii="Wingdings" w:hAnsi="Wingdings" w:hint="default"/>
      </w:rPr>
    </w:lvl>
    <w:lvl w:ilvl="3" w:tplc="F9EA135C" w:tentative="1">
      <w:start w:val="1"/>
      <w:numFmt w:val="bullet"/>
      <w:lvlText w:val=""/>
      <w:lvlJc w:val="left"/>
      <w:pPr>
        <w:ind w:left="2880" w:hanging="360"/>
      </w:pPr>
      <w:rPr>
        <w:rFonts w:ascii="Symbol" w:hAnsi="Symbol" w:hint="default"/>
      </w:rPr>
    </w:lvl>
    <w:lvl w:ilvl="4" w:tplc="F2F41D82" w:tentative="1">
      <w:start w:val="1"/>
      <w:numFmt w:val="bullet"/>
      <w:lvlText w:val="o"/>
      <w:lvlJc w:val="left"/>
      <w:pPr>
        <w:ind w:left="3600" w:hanging="360"/>
      </w:pPr>
      <w:rPr>
        <w:rFonts w:ascii="Courier New" w:hAnsi="Courier New" w:cs="Courier New" w:hint="default"/>
      </w:rPr>
    </w:lvl>
    <w:lvl w:ilvl="5" w:tplc="68EE12AE" w:tentative="1">
      <w:start w:val="1"/>
      <w:numFmt w:val="bullet"/>
      <w:lvlText w:val=""/>
      <w:lvlJc w:val="left"/>
      <w:pPr>
        <w:ind w:left="4320" w:hanging="360"/>
      </w:pPr>
      <w:rPr>
        <w:rFonts w:ascii="Wingdings" w:hAnsi="Wingdings" w:hint="default"/>
      </w:rPr>
    </w:lvl>
    <w:lvl w:ilvl="6" w:tplc="06380D5C" w:tentative="1">
      <w:start w:val="1"/>
      <w:numFmt w:val="bullet"/>
      <w:lvlText w:val=""/>
      <w:lvlJc w:val="left"/>
      <w:pPr>
        <w:ind w:left="5040" w:hanging="360"/>
      </w:pPr>
      <w:rPr>
        <w:rFonts w:ascii="Symbol" w:hAnsi="Symbol" w:hint="default"/>
      </w:rPr>
    </w:lvl>
    <w:lvl w:ilvl="7" w:tplc="C9F0AC5E" w:tentative="1">
      <w:start w:val="1"/>
      <w:numFmt w:val="bullet"/>
      <w:lvlText w:val="o"/>
      <w:lvlJc w:val="left"/>
      <w:pPr>
        <w:ind w:left="5760" w:hanging="360"/>
      </w:pPr>
      <w:rPr>
        <w:rFonts w:ascii="Courier New" w:hAnsi="Courier New" w:cs="Courier New" w:hint="default"/>
      </w:rPr>
    </w:lvl>
    <w:lvl w:ilvl="8" w:tplc="254C31A2" w:tentative="1">
      <w:start w:val="1"/>
      <w:numFmt w:val="bullet"/>
      <w:lvlText w:val=""/>
      <w:lvlJc w:val="left"/>
      <w:pPr>
        <w:ind w:left="6480" w:hanging="360"/>
      </w:pPr>
      <w:rPr>
        <w:rFonts w:ascii="Wingdings" w:hAnsi="Wingdings" w:hint="default"/>
      </w:rPr>
    </w:lvl>
  </w:abstractNum>
  <w:num w:numId="1">
    <w:abstractNumId w:val="23"/>
  </w:num>
  <w:num w:numId="2">
    <w:abstractNumId w:val="26"/>
  </w:num>
  <w:num w:numId="3">
    <w:abstractNumId w:val="3"/>
  </w:num>
  <w:num w:numId="4">
    <w:abstractNumId w:val="27"/>
  </w:num>
  <w:num w:numId="5">
    <w:abstractNumId w:val="29"/>
  </w:num>
  <w:num w:numId="6">
    <w:abstractNumId w:val="14"/>
  </w:num>
  <w:num w:numId="7">
    <w:abstractNumId w:val="9"/>
  </w:num>
  <w:num w:numId="8">
    <w:abstractNumId w:val="21"/>
  </w:num>
  <w:num w:numId="9">
    <w:abstractNumId w:val="25"/>
  </w:num>
  <w:num w:numId="10">
    <w:abstractNumId w:val="8"/>
  </w:num>
  <w:num w:numId="11">
    <w:abstractNumId w:val="12"/>
  </w:num>
  <w:num w:numId="12">
    <w:abstractNumId w:val="7"/>
  </w:num>
  <w:num w:numId="13">
    <w:abstractNumId w:val="17"/>
  </w:num>
  <w:num w:numId="14">
    <w:abstractNumId w:val="1"/>
  </w:num>
  <w:num w:numId="15">
    <w:abstractNumId w:val="10"/>
  </w:num>
  <w:num w:numId="16">
    <w:abstractNumId w:val="18"/>
  </w:num>
  <w:num w:numId="17">
    <w:abstractNumId w:val="28"/>
  </w:num>
  <w:num w:numId="18">
    <w:abstractNumId w:val="5"/>
  </w:num>
  <w:num w:numId="19">
    <w:abstractNumId w:val="20"/>
  </w:num>
  <w:num w:numId="20">
    <w:abstractNumId w:val="11"/>
  </w:num>
  <w:num w:numId="21">
    <w:abstractNumId w:val="15"/>
  </w:num>
  <w:num w:numId="22">
    <w:abstractNumId w:val="6"/>
  </w:num>
  <w:num w:numId="23">
    <w:abstractNumId w:val="30"/>
  </w:num>
  <w:num w:numId="24">
    <w:abstractNumId w:val="2"/>
  </w:num>
  <w:num w:numId="25">
    <w:abstractNumId w:val="19"/>
  </w:num>
  <w:num w:numId="26">
    <w:abstractNumId w:val="0"/>
  </w:num>
  <w:num w:numId="27">
    <w:abstractNumId w:val="13"/>
  </w:num>
  <w:num w:numId="28">
    <w:abstractNumId w:val="22"/>
  </w:num>
  <w:num w:numId="29">
    <w:abstractNumId w:val="16"/>
  </w:num>
  <w:num w:numId="30">
    <w:abstractNumId w:val="24"/>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D13"/>
    <w:rsid w:val="000264C7"/>
    <w:rsid w:val="00033537"/>
    <w:rsid w:val="000A0C4E"/>
    <w:rsid w:val="000F11FA"/>
    <w:rsid w:val="00106531"/>
    <w:rsid w:val="001634F5"/>
    <w:rsid w:val="00167D2E"/>
    <w:rsid w:val="00193F0D"/>
    <w:rsid w:val="001C040A"/>
    <w:rsid w:val="001C75BC"/>
    <w:rsid w:val="00284B48"/>
    <w:rsid w:val="003756F5"/>
    <w:rsid w:val="003E5CFA"/>
    <w:rsid w:val="004767A7"/>
    <w:rsid w:val="00487FC7"/>
    <w:rsid w:val="004D4F8A"/>
    <w:rsid w:val="004F755E"/>
    <w:rsid w:val="00523C90"/>
    <w:rsid w:val="00533EBE"/>
    <w:rsid w:val="00547DCE"/>
    <w:rsid w:val="0059207C"/>
    <w:rsid w:val="005C5CFC"/>
    <w:rsid w:val="005F0885"/>
    <w:rsid w:val="006A419C"/>
    <w:rsid w:val="006D2187"/>
    <w:rsid w:val="00726775"/>
    <w:rsid w:val="00784798"/>
    <w:rsid w:val="007C7DF3"/>
    <w:rsid w:val="00820F97"/>
    <w:rsid w:val="00831AF5"/>
    <w:rsid w:val="00856129"/>
    <w:rsid w:val="00876CBB"/>
    <w:rsid w:val="008C3698"/>
    <w:rsid w:val="008E1559"/>
    <w:rsid w:val="008F4CDB"/>
    <w:rsid w:val="00912418"/>
    <w:rsid w:val="009E50D7"/>
    <w:rsid w:val="00A17650"/>
    <w:rsid w:val="00A46D13"/>
    <w:rsid w:val="00A73DCD"/>
    <w:rsid w:val="00A94E4E"/>
    <w:rsid w:val="00B31339"/>
    <w:rsid w:val="00B3752E"/>
    <w:rsid w:val="00B67088"/>
    <w:rsid w:val="00B7736A"/>
    <w:rsid w:val="00BC5963"/>
    <w:rsid w:val="00C23DC7"/>
    <w:rsid w:val="00C9443A"/>
    <w:rsid w:val="00D401BC"/>
    <w:rsid w:val="00D5226B"/>
    <w:rsid w:val="00D75D10"/>
    <w:rsid w:val="00D829BA"/>
    <w:rsid w:val="00E448B0"/>
    <w:rsid w:val="00EE3064"/>
    <w:rsid w:val="00F1063C"/>
    <w:rsid w:val="00F27FB5"/>
    <w:rsid w:val="00F5042D"/>
    <w:rsid w:val="00F52D38"/>
    <w:rsid w:val="00FB7E66"/>
    <w:rsid w:val="00FF6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9B26C"/>
  <w15:docId w15:val="{CA506053-F622-457C-8524-73F4417F9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before="400" w:after="12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autoRedefine/>
    <w:rsid w:val="00856129"/>
    <w:pPr>
      <w:keepNext/>
      <w:keepLines/>
      <w:outlineLvl w:val="0"/>
    </w:pPr>
    <w:rPr>
      <w:b/>
      <w:color w:val="0D0D0D" w:themeColor="text1" w:themeTint="F2"/>
      <w:szCs w:val="32"/>
    </w:rPr>
  </w:style>
  <w:style w:type="paragraph" w:styleId="Heading2">
    <w:name w:val="heading 2"/>
    <w:basedOn w:val="Normal"/>
    <w:next w:val="Normal"/>
    <w:autoRedefine/>
    <w:rsid w:val="00D5226B"/>
    <w:pPr>
      <w:keepNext/>
      <w:keepLines/>
      <w:spacing w:before="0" w:after="0"/>
      <w:outlineLvl w:val="1"/>
    </w:pPr>
    <w:rPr>
      <w:b/>
      <w:color w:val="0D0D0D" w:themeColor="text1" w:themeTint="F2"/>
      <w:szCs w:val="28"/>
    </w:rPr>
  </w:style>
  <w:style w:type="paragraph" w:styleId="Heading3">
    <w:name w:val="heading 3"/>
    <w:basedOn w:val="Normal"/>
    <w:next w:val="Normal"/>
    <w:autoRedefine/>
    <w:rsid w:val="00D5226B"/>
    <w:pPr>
      <w:keepNext/>
      <w:keepLines/>
      <w:spacing w:before="320" w:after="80"/>
      <w:outlineLvl w:val="2"/>
    </w:pPr>
    <w:rPr>
      <w:b/>
      <w:color w:val="0D0D0D" w:themeColor="text1" w:themeTint="F2"/>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before="0" w:after="60"/>
    </w:pPr>
    <w:rPr>
      <w:sz w:val="52"/>
      <w:szCs w:val="52"/>
    </w:rPr>
  </w:style>
  <w:style w:type="table" w:customStyle="1" w:styleId="TableNormal00">
    <w:name w:val="TableNormal_0"/>
    <w:tblPr>
      <w:tblCellMar>
        <w:top w:w="100" w:type="dxa"/>
        <w:left w:w="100" w:type="dxa"/>
        <w:bottom w:w="100" w:type="dxa"/>
        <w:right w:w="100" w:type="dxa"/>
      </w:tblCellMar>
    </w:tblPr>
  </w:style>
  <w:style w:type="table" w:customStyle="1" w:styleId="Table1">
    <w:name w:val="Table1"/>
    <w:basedOn w:val="TableNormal00"/>
    <w:tblPr>
      <w:tblStyleRowBandSize w:val="1"/>
      <w:tblStyleColBandSize w:val="1"/>
    </w:tblPr>
  </w:style>
  <w:style w:type="table" w:customStyle="1" w:styleId="Table2">
    <w:name w:val="Table2"/>
    <w:basedOn w:val="TableNormal00"/>
    <w:tblPr>
      <w:tblStyleRowBandSize w:val="1"/>
      <w:tblStyleColBandSize w:val="1"/>
    </w:tblPr>
  </w:style>
  <w:style w:type="paragraph" w:styleId="Header">
    <w:name w:val="header"/>
    <w:basedOn w:val="Normal"/>
    <w:link w:val="HeaderChar"/>
    <w:uiPriority w:val="99"/>
    <w:unhideWhenUsed/>
    <w:rsid w:val="005815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1505"/>
  </w:style>
  <w:style w:type="paragraph" w:styleId="Footer">
    <w:name w:val="footer"/>
    <w:basedOn w:val="Normal"/>
    <w:link w:val="FooterChar"/>
    <w:uiPriority w:val="99"/>
    <w:unhideWhenUsed/>
    <w:rsid w:val="005815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1505"/>
  </w:style>
  <w:style w:type="paragraph" w:styleId="ListParagraph">
    <w:name w:val="List Paragraph"/>
    <w:basedOn w:val="Normal"/>
    <w:uiPriority w:val="34"/>
    <w:qFormat/>
    <w:rsid w:val="00814FB7"/>
    <w:pPr>
      <w:ind w:left="720"/>
      <w:contextualSpacing/>
    </w:pPr>
  </w:style>
  <w:style w:type="paragraph" w:customStyle="1" w:styleId="Normal1">
    <w:name w:val="Normal1"/>
    <w:rsid w:val="00531B33"/>
    <w:pPr>
      <w:spacing w:before="0" w:after="0"/>
    </w:pPr>
    <w:rPr>
      <w:lang w:val="en-US"/>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Pr>
  </w:style>
  <w:style w:type="table" w:customStyle="1" w:styleId="a0">
    <w:name w:val="a0"/>
    <w:basedOn w:val="TableNormal"/>
    <w:tblPr>
      <w:tblStyleRowBandSize w:val="1"/>
      <w:tblStyleColBandSize w:val="1"/>
    </w:tblPr>
  </w:style>
  <w:style w:type="paragraph" w:styleId="TOC1">
    <w:name w:val="toc 1"/>
    <w:basedOn w:val="Normal"/>
    <w:next w:val="Normal"/>
    <w:autoRedefine/>
    <w:uiPriority w:val="39"/>
    <w:unhideWhenUsed/>
    <w:rsid w:val="004F755E"/>
    <w:pPr>
      <w:spacing w:after="100"/>
    </w:pPr>
  </w:style>
  <w:style w:type="paragraph" w:styleId="TOC2">
    <w:name w:val="toc 2"/>
    <w:basedOn w:val="Normal"/>
    <w:next w:val="Normal"/>
    <w:autoRedefine/>
    <w:uiPriority w:val="39"/>
    <w:unhideWhenUsed/>
    <w:rsid w:val="004F755E"/>
    <w:pPr>
      <w:spacing w:after="100"/>
      <w:ind w:left="240"/>
    </w:pPr>
  </w:style>
  <w:style w:type="paragraph" w:styleId="TOC3">
    <w:name w:val="toc 3"/>
    <w:basedOn w:val="Normal"/>
    <w:next w:val="Normal"/>
    <w:autoRedefine/>
    <w:uiPriority w:val="39"/>
    <w:unhideWhenUsed/>
    <w:rsid w:val="004F755E"/>
    <w:pPr>
      <w:spacing w:after="100"/>
      <w:ind w:left="480"/>
    </w:pPr>
  </w:style>
  <w:style w:type="character" w:styleId="Hyperlink">
    <w:name w:val="Hyperlink"/>
    <w:basedOn w:val="DefaultParagraphFont"/>
    <w:uiPriority w:val="99"/>
    <w:unhideWhenUsed/>
    <w:rsid w:val="004F755E"/>
    <w:rPr>
      <w:color w:val="0000FF" w:themeColor="hyperlink"/>
      <w:u w:val="single"/>
    </w:rPr>
  </w:style>
  <w:style w:type="table" w:styleId="TableGrid">
    <w:name w:val="Table Grid"/>
    <w:basedOn w:val="TableNormal"/>
    <w:uiPriority w:val="39"/>
    <w:rsid w:val="00C9443A"/>
    <w:pPr>
      <w:spacing w:before="0" w:after="0" w:line="240" w:lineRule="auto"/>
      <w:jc w:val="left"/>
    </w:pPr>
    <w:rPr>
      <w:rFonts w:ascii="Calibri" w:eastAsia="SimSun" w:hAnsi="Calibri"/>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uiPriority w:val="10"/>
    <w:rsid w:val="00C9443A"/>
    <w:rPr>
      <w:sz w:val="52"/>
      <w:szCs w:val="52"/>
    </w:rPr>
  </w:style>
  <w:style w:type="paragraph" w:customStyle="1" w:styleId="p1">
    <w:name w:val="p1"/>
    <w:basedOn w:val="Normal"/>
    <w:rsid w:val="00C9443A"/>
    <w:pPr>
      <w:spacing w:before="0" w:after="0" w:line="240" w:lineRule="auto"/>
      <w:jc w:val="left"/>
    </w:pPr>
    <w:rPr>
      <w:color w:val="000000"/>
      <w:sz w:val="20"/>
      <w:szCs w:val="20"/>
    </w:rPr>
  </w:style>
  <w:style w:type="paragraph" w:styleId="TOCHeading">
    <w:name w:val="TOC Heading"/>
    <w:basedOn w:val="Heading1"/>
    <w:next w:val="Normal"/>
    <w:uiPriority w:val="39"/>
    <w:unhideWhenUsed/>
    <w:qFormat/>
    <w:rsid w:val="00C9443A"/>
    <w:pPr>
      <w:spacing w:before="240" w:after="0" w:line="259" w:lineRule="auto"/>
      <w:jc w:val="left"/>
      <w:outlineLvl w:val="9"/>
    </w:pPr>
    <w:rPr>
      <w:rFonts w:asciiTheme="majorHAnsi" w:eastAsiaTheme="majorEastAsia" w:hAnsiTheme="majorHAnsi" w:cstheme="majorBidi"/>
      <w:b w:val="0"/>
      <w:color w:val="365F91" w:themeColor="accent1" w:themeShade="BF"/>
      <w:sz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10.sv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sv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image" Target="media/image2.sv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6AX9IfNe0EP+yWwRnyVRpEC1lg==">CgMxLjAyDmgud2Rtb2FiajJvdXU4Mg5oLmxhb2FkMDRkcm14YjIOaC53OHE1MWJ4NDd1czAyDmgudHg5b3JxZXkxenl2Mg5oLng3bmx2aWF0ZnYxZTIOaC52N3Zjdjlod2x5ZXEyDmgudGo5Mjd2dnVwa3NkMg5oLmdiaHcxOGxiY3MxdzIOaC5yNWxwa2wybTRoemYyDmgubnZ6cHBuaHVhbHEwMg5oLjVvNTJxdDRqMmk0ZDIOaC51OHZzdHJmbHAwdjIyDmguaWNqbXNsdXFjOTI5Mg5oLmp5bXpsdXhhNjdxMjIOaC5tMnp1NnhyenRzdjgyDmguOWxidnNsaWRjZGJvOAByITFQUE9vaVpycDYtTnlZU3JkZDM5SGt2cTJBaVgtaVRtZ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9162667-6640-4128-82FD-931A1B90B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776</Words>
  <Characters>4428</Characters>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2025-10-08T08:18:00Z</dcterms:created>
  <dcterms:modified xsi:type="dcterms:W3CDTF">2025-10-08T09:22:00Z</dcterms:modified>
</cp:coreProperties>
</file>