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2E116" w14:textId="77777777" w:rsidR="00E33B29" w:rsidRPr="00E33B29" w:rsidRDefault="00E33B29" w:rsidP="00E33B29">
      <w:pPr>
        <w:jc w:val="center"/>
        <w:rPr>
          <w:rFonts w:hint="eastAsia"/>
        </w:rPr>
      </w:pPr>
      <w:r w:rsidRPr="00E33B29">
        <w:rPr>
          <w:rFonts w:hint="eastAsia"/>
          <w:noProof/>
        </w:rPr>
        <w:drawing>
          <wp:inline distT="0" distB="0" distL="0" distR="0" wp14:anchorId="1E096482" wp14:editId="69618BD7">
            <wp:extent cx="3808095" cy="1371549"/>
            <wp:effectExtent l="0" t="0" r="1905" b="635"/>
            <wp:docPr id="3777228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22874" name="图片 377722874"/>
                    <pic:cNvPicPr/>
                  </pic:nvPicPr>
                  <pic:blipFill>
                    <a:blip r:embed="rId8">
                      <a:extLst>
                        <a:ext uri="{28A0092B-C50C-407E-A947-70E740481C1C}">
                          <a14:useLocalDpi xmlns:a14="http://schemas.microsoft.com/office/drawing/2010/main" val="0"/>
                        </a:ext>
                      </a:extLst>
                    </a:blip>
                    <a:stretch>
                      <a:fillRect/>
                    </a:stretch>
                  </pic:blipFill>
                  <pic:spPr>
                    <a:xfrm>
                      <a:off x="0" y="0"/>
                      <a:ext cx="3820953" cy="1376180"/>
                    </a:xfrm>
                    <a:prstGeom prst="rect">
                      <a:avLst/>
                    </a:prstGeom>
                  </pic:spPr>
                </pic:pic>
              </a:graphicData>
            </a:graphic>
          </wp:inline>
        </w:drawing>
      </w:r>
    </w:p>
    <w:p w14:paraId="5871D7AA" w14:textId="77777777" w:rsidR="00E33B29" w:rsidRP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Unit name: International Business Communication</w:t>
      </w:r>
    </w:p>
    <w:p w14:paraId="226B8A53" w14:textId="77777777" w:rsid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Module code: BMBM6021</w:t>
      </w:r>
    </w:p>
    <w:p w14:paraId="64942567" w14:textId="77777777" w:rsidR="00E33B29" w:rsidRPr="00E33B29" w:rsidRDefault="00E33B29" w:rsidP="00E33B29">
      <w:pPr>
        <w:jc w:val="center"/>
        <w:rPr>
          <w:rFonts w:ascii="Times New Roman" w:hAnsi="Times New Roman" w:cs="Times New Roman"/>
          <w:sz w:val="28"/>
          <w:szCs w:val="28"/>
        </w:rPr>
      </w:pPr>
    </w:p>
    <w:p w14:paraId="12A64568" w14:textId="16835825" w:rsidR="00E33B29" w:rsidRPr="00E33B29" w:rsidRDefault="00E33B29" w:rsidP="00E33B29">
      <w:pPr>
        <w:jc w:val="center"/>
        <w:rPr>
          <w:rFonts w:ascii="Times New Roman" w:hAnsi="Times New Roman" w:cs="Times New Roman"/>
          <w:sz w:val="32"/>
          <w:szCs w:val="32"/>
        </w:rPr>
      </w:pPr>
      <w:r w:rsidRPr="00E33B29">
        <w:rPr>
          <w:rFonts w:ascii="Times New Roman" w:hAnsi="Times New Roman" w:cs="Times New Roman"/>
          <w:b/>
          <w:bCs/>
          <w:sz w:val="32"/>
          <w:szCs w:val="32"/>
        </w:rPr>
        <w:t>UK Business Challenges in Japan</w:t>
      </w:r>
      <w:r w:rsidRPr="00E33B29">
        <w:rPr>
          <w:rFonts w:ascii="Times New Roman" w:hAnsi="Times New Roman" w:cs="Times New Roman" w:hint="eastAsia"/>
          <w:sz w:val="32"/>
          <w:szCs w:val="32"/>
        </w:rPr>
        <w:t xml:space="preserve"> </w:t>
      </w:r>
    </w:p>
    <w:p w14:paraId="0914D79E" w14:textId="77777777" w:rsidR="00E33B29" w:rsidRPr="00E33B29" w:rsidRDefault="00E33B29" w:rsidP="00E33B29">
      <w:pPr>
        <w:jc w:val="center"/>
        <w:rPr>
          <w:rFonts w:ascii="Times New Roman" w:hAnsi="Times New Roman" w:cs="Times New Roman"/>
          <w:b/>
          <w:bCs/>
        </w:rPr>
      </w:pPr>
    </w:p>
    <w:p w14:paraId="7FA06F22" w14:textId="77777777" w:rsidR="00E33B29" w:rsidRP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Prepared for: Jaliya De Silva</w:t>
      </w:r>
    </w:p>
    <w:p w14:paraId="48D46808" w14:textId="77777777" w:rsidR="00E33B29" w:rsidRP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Written by: Tianyu Li</w:t>
      </w:r>
    </w:p>
    <w:p w14:paraId="17A7DE57" w14:textId="3EFD6E27" w:rsidR="00E33B29" w:rsidRDefault="00E33B29" w:rsidP="00E33B29">
      <w:pPr>
        <w:jc w:val="center"/>
        <w:rPr>
          <w:rFonts w:ascii="Times New Roman" w:hAnsi="Times New Roman" w:cs="Times New Roman" w:hint="eastAsia"/>
          <w:sz w:val="28"/>
          <w:szCs w:val="28"/>
        </w:rPr>
      </w:pPr>
      <w:r w:rsidRPr="00E33B29">
        <w:rPr>
          <w:rFonts w:ascii="Times New Roman" w:hAnsi="Times New Roman" w:cs="Times New Roman"/>
          <w:sz w:val="28"/>
          <w:szCs w:val="28"/>
        </w:rPr>
        <w:t>Date submitted:</w:t>
      </w:r>
      <w:r w:rsidR="00F037D0">
        <w:rPr>
          <w:rFonts w:ascii="Times New Roman" w:hAnsi="Times New Roman" w:cs="Times New Roman" w:hint="eastAsia"/>
          <w:sz w:val="28"/>
          <w:szCs w:val="28"/>
        </w:rPr>
        <w:t xml:space="preserve"> </w:t>
      </w:r>
      <w:r w:rsidR="00F037D0">
        <w:rPr>
          <w:rFonts w:ascii="Times New Roman" w:hAnsi="Times New Roman" w:cs="Times New Roman"/>
          <w:sz w:val="28"/>
          <w:szCs w:val="28"/>
        </w:rPr>
        <w:t>December 8</w:t>
      </w:r>
      <w:r w:rsidR="00F037D0">
        <w:rPr>
          <w:rFonts w:ascii="Times New Roman" w:hAnsi="Times New Roman" w:cs="Times New Roman" w:hint="eastAsia"/>
          <w:sz w:val="28"/>
          <w:szCs w:val="28"/>
        </w:rPr>
        <w:t>th</w:t>
      </w:r>
      <w:r w:rsidR="00F037D0">
        <w:rPr>
          <w:rFonts w:ascii="Times New Roman" w:hAnsi="Times New Roman" w:cs="Times New Roman"/>
          <w:sz w:val="28"/>
          <w:szCs w:val="28"/>
        </w:rPr>
        <w:t>, 2025</w:t>
      </w:r>
    </w:p>
    <w:p w14:paraId="1C9587F7" w14:textId="77777777" w:rsidR="00E33B29" w:rsidRDefault="00E33B29" w:rsidP="00E33B29">
      <w:pPr>
        <w:jc w:val="center"/>
        <w:rPr>
          <w:rFonts w:ascii="Times New Roman" w:hAnsi="Times New Roman" w:cs="Times New Roman"/>
          <w:sz w:val="28"/>
          <w:szCs w:val="28"/>
        </w:rPr>
      </w:pPr>
    </w:p>
    <w:p w14:paraId="703A3090" w14:textId="77777777" w:rsidR="00E33B29" w:rsidRDefault="00E33B29" w:rsidP="00E33B29">
      <w:pPr>
        <w:jc w:val="center"/>
        <w:rPr>
          <w:rFonts w:ascii="Times New Roman" w:hAnsi="Times New Roman" w:cs="Times New Roman"/>
          <w:sz w:val="28"/>
          <w:szCs w:val="28"/>
        </w:rPr>
      </w:pPr>
    </w:p>
    <w:p w14:paraId="7C99E42E" w14:textId="77777777" w:rsidR="00E33B29" w:rsidRDefault="00E33B29" w:rsidP="00E33B29">
      <w:pPr>
        <w:jc w:val="center"/>
        <w:rPr>
          <w:rFonts w:ascii="Times New Roman" w:hAnsi="Times New Roman" w:cs="Times New Roman"/>
          <w:sz w:val="28"/>
          <w:szCs w:val="28"/>
        </w:rPr>
      </w:pPr>
    </w:p>
    <w:p w14:paraId="74415121" w14:textId="77777777" w:rsidR="00E33B29" w:rsidRDefault="00E33B29" w:rsidP="00E33B29">
      <w:pPr>
        <w:jc w:val="center"/>
        <w:rPr>
          <w:rFonts w:ascii="Times New Roman" w:hAnsi="Times New Roman" w:cs="Times New Roman"/>
          <w:sz w:val="28"/>
          <w:szCs w:val="28"/>
        </w:rPr>
      </w:pPr>
    </w:p>
    <w:p w14:paraId="058CFB50" w14:textId="77777777" w:rsidR="00E33B29" w:rsidRDefault="00E33B29" w:rsidP="00E33B29">
      <w:pPr>
        <w:jc w:val="center"/>
        <w:rPr>
          <w:rFonts w:ascii="Times New Roman" w:hAnsi="Times New Roman" w:cs="Times New Roman"/>
          <w:sz w:val="28"/>
          <w:szCs w:val="28"/>
        </w:rPr>
      </w:pPr>
    </w:p>
    <w:p w14:paraId="33F694DA" w14:textId="77777777" w:rsidR="00E33B29" w:rsidRDefault="00E33B29" w:rsidP="00E33B29">
      <w:pPr>
        <w:rPr>
          <w:rFonts w:ascii="Times New Roman" w:hAnsi="Times New Roman" w:cs="Times New Roman"/>
          <w:b/>
          <w:bCs/>
          <w:sz w:val="28"/>
          <w:szCs w:val="28"/>
        </w:rPr>
      </w:pPr>
      <w:bookmarkStart w:id="0" w:name="_Toc212695360"/>
      <w:r w:rsidRPr="00E33B29">
        <w:rPr>
          <w:rFonts w:ascii="Times New Roman" w:hAnsi="Times New Roman" w:cs="Times New Roman"/>
          <w:b/>
          <w:bCs/>
          <w:sz w:val="28"/>
          <w:szCs w:val="28"/>
        </w:rPr>
        <w:t>Executive Summary</w:t>
      </w:r>
      <w:bookmarkEnd w:id="0"/>
    </w:p>
    <w:p w14:paraId="468336B1" w14:textId="6F696056" w:rsidR="00CE0D40" w:rsidRPr="007C1368" w:rsidRDefault="00636E11" w:rsidP="00E33B29">
      <w:pPr>
        <w:rPr>
          <w:rFonts w:ascii="Times New Roman" w:hAnsi="Times New Roman" w:cs="Times New Roman"/>
          <w:szCs w:val="22"/>
        </w:rPr>
      </w:pPr>
      <w:r w:rsidRPr="007C1368">
        <w:rPr>
          <w:rFonts w:ascii="Times New Roman" w:hAnsi="Times New Roman" w:cs="Times New Roman"/>
          <w:szCs w:val="22"/>
        </w:rPr>
        <w:t xml:space="preserve">This paper has critically analysed some of the key challenges facing U.K businesses trading </w:t>
      </w:r>
      <w:r w:rsidRPr="007C1368">
        <w:rPr>
          <w:rFonts w:ascii="Times New Roman" w:hAnsi="Times New Roman" w:cs="Times New Roman"/>
          <w:szCs w:val="22"/>
        </w:rPr>
        <w:lastRenderedPageBreak/>
        <w:t>with Japan. Japan offers significant market opportunities but presents complex challenges due to its advanced technology, high consumer expectations, unique business customs which are often divergent from Western conventions . The paper has positioned this challenge within U.K-Japan economic context highlighting recent 2021 UK-Japan Comprehensive Economic Partnership Agreement . It has then delved into central cultural dimensions explaining why certain practices may be seen as Challenge for U.K organisations trying to make inroads into Japanese Market . For analysis, various Hofstede and Hall’s framework concepts have been covered , specifically focusing on high vs low context communication , negotiation styles , decision making pattern and hierarchy trends prevalent in Japanese organisations .The paper argues that many issues considered challenge by U.K business may actually stem from unexamined assumptions around Japanese practices . It has identified range of strategic response options covering soft aspects like CQ , Relationship building culture and adaptive communication strategies indicating success with Japan may be rooted in ability of British managers effectively respond to local dynamics rather than success being driven by product innovations or price points.</w:t>
      </w:r>
    </w:p>
    <w:p w14:paraId="27E8991F" w14:textId="77777777" w:rsidR="000D7EAE" w:rsidRDefault="000D7EAE" w:rsidP="00CE0D40">
      <w:pPr>
        <w:pStyle w:val="a9"/>
        <w:numPr>
          <w:ilvl w:val="0"/>
          <w:numId w:val="1"/>
        </w:numPr>
        <w:rPr>
          <w:rFonts w:ascii="Times New Roman" w:hAnsi="Times New Roman" w:cs="Times New Roman"/>
          <w:b/>
          <w:bCs/>
          <w:sz w:val="28"/>
          <w:szCs w:val="28"/>
        </w:rPr>
        <w:sectPr w:rsidR="000D7EAE">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pPr>
    </w:p>
    <w:sdt>
      <w:sdtPr>
        <w:rPr>
          <w:lang w:val="zh-CN"/>
        </w:rPr>
        <w:id w:val="-1456009338"/>
        <w:docPartObj>
          <w:docPartGallery w:val="Table of Contents"/>
          <w:docPartUnique/>
        </w:docPartObj>
      </w:sdtPr>
      <w:sdtEndPr>
        <w:rPr>
          <w:b/>
          <w:bCs/>
        </w:rPr>
      </w:sdtEndPr>
      <w:sdtContent>
        <w:p w14:paraId="0798D6C7" w14:textId="4FE246C4" w:rsidR="000A1A5D" w:rsidRPr="000A1A5D" w:rsidRDefault="000A1A5D" w:rsidP="000A1A5D">
          <w:pPr>
            <w:rPr>
              <w:rFonts w:ascii="Times New Roman" w:hAnsi="Times New Roman" w:cs="Times New Roman"/>
              <w:b/>
              <w:bCs/>
              <w:sz w:val="28"/>
              <w:szCs w:val="28"/>
            </w:rPr>
          </w:pPr>
          <w:r w:rsidRPr="00BC226D">
            <w:rPr>
              <w:rFonts w:ascii="Times New Roman" w:hAnsi="Times New Roman" w:cs="Times New Roman"/>
              <w:b/>
              <w:bCs/>
              <w:sz w:val="28"/>
              <w:szCs w:val="28"/>
              <w:lang w:val="zh-CN"/>
            </w:rPr>
            <w:t>Table of Contents</w:t>
          </w:r>
        </w:p>
        <w:p w14:paraId="0314D22F" w14:textId="7C1B4E4D" w:rsidR="000A1A5D" w:rsidRPr="000A1A5D" w:rsidRDefault="000A1A5D">
          <w:pPr>
            <w:pStyle w:val="TOC1"/>
            <w:tabs>
              <w:tab w:val="left" w:pos="420"/>
              <w:tab w:val="right" w:leader="dot" w:pos="8296"/>
            </w:tabs>
            <w:rPr>
              <w:rFonts w:ascii="Times New Roman" w:hAnsi="Times New Roman" w:cs="Times New Roman"/>
              <w:noProof/>
            </w:rPr>
          </w:pPr>
          <w:r>
            <w:fldChar w:fldCharType="begin"/>
          </w:r>
          <w:r>
            <w:instrText xml:space="preserve"> TOC \o "1-3" \h \z \u </w:instrText>
          </w:r>
          <w:r>
            <w:fldChar w:fldCharType="separate"/>
          </w:r>
          <w:hyperlink w:anchor="_Toc215974435" w:history="1">
            <w:r w:rsidRPr="000A1A5D">
              <w:rPr>
                <w:rStyle w:val="af4"/>
                <w:rFonts w:ascii="Times New Roman" w:hAnsi="Times New Roman" w:cs="Times New Roman"/>
                <w:noProof/>
              </w:rPr>
              <w:t>1.</w:t>
            </w:r>
            <w:r w:rsidRPr="000A1A5D">
              <w:rPr>
                <w:rFonts w:ascii="Times New Roman" w:hAnsi="Times New Roman" w:cs="Times New Roman"/>
                <w:noProof/>
              </w:rPr>
              <w:tab/>
            </w:r>
            <w:r w:rsidRPr="000A1A5D">
              <w:rPr>
                <w:rStyle w:val="af4"/>
                <w:rFonts w:ascii="Times New Roman" w:hAnsi="Times New Roman" w:cs="Times New Roman"/>
                <w:noProof/>
              </w:rPr>
              <w:t>Introduction</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_Toc215974435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w:t>
            </w:r>
            <w:r w:rsidRPr="000A1A5D">
              <w:rPr>
                <w:rFonts w:ascii="Times New Roman" w:hAnsi="Times New Roman" w:cs="Times New Roman"/>
                <w:noProof/>
                <w:webHidden/>
              </w:rPr>
              <w:fldChar w:fldCharType="end"/>
            </w:r>
          </w:hyperlink>
        </w:p>
        <w:p w14:paraId="50CFFE22" w14:textId="62241FD1" w:rsidR="000A1A5D" w:rsidRPr="000A1A5D" w:rsidRDefault="000A1A5D">
          <w:pPr>
            <w:pStyle w:val="TOC1"/>
            <w:tabs>
              <w:tab w:val="left" w:pos="420"/>
              <w:tab w:val="right" w:leader="dot" w:pos="8296"/>
            </w:tabs>
            <w:rPr>
              <w:rFonts w:ascii="Times New Roman" w:hAnsi="Times New Roman" w:cs="Times New Roman"/>
              <w:noProof/>
            </w:rPr>
          </w:pPr>
          <w:hyperlink w:anchor="_Toc215974436" w:history="1">
            <w:r w:rsidRPr="000A1A5D">
              <w:rPr>
                <w:rStyle w:val="af4"/>
                <w:rFonts w:ascii="Times New Roman" w:hAnsi="Times New Roman" w:cs="Times New Roman"/>
                <w:noProof/>
              </w:rPr>
              <w:t>2.</w:t>
            </w:r>
            <w:r w:rsidRPr="000A1A5D">
              <w:rPr>
                <w:rFonts w:ascii="Times New Roman" w:hAnsi="Times New Roman" w:cs="Times New Roman"/>
                <w:noProof/>
              </w:rPr>
              <w:tab/>
            </w:r>
            <w:r w:rsidRPr="000A1A5D">
              <w:rPr>
                <w:rStyle w:val="af4"/>
                <w:rFonts w:ascii="Times New Roman" w:hAnsi="Times New Roman" w:cs="Times New Roman"/>
                <w:noProof/>
              </w:rPr>
              <w:t>The UK-Japan Economic Relationship: Opportunity and Context</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_Toc215974436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w:t>
            </w:r>
            <w:r w:rsidRPr="000A1A5D">
              <w:rPr>
                <w:rFonts w:ascii="Times New Roman" w:hAnsi="Times New Roman" w:cs="Times New Roman"/>
                <w:noProof/>
                <w:webHidden/>
              </w:rPr>
              <w:fldChar w:fldCharType="end"/>
            </w:r>
          </w:hyperlink>
        </w:p>
        <w:p w14:paraId="56554CDF" w14:textId="64D9AFB9" w:rsidR="000A1A5D" w:rsidRPr="000A1A5D" w:rsidRDefault="000A1A5D">
          <w:pPr>
            <w:pStyle w:val="TOC1"/>
            <w:tabs>
              <w:tab w:val="right" w:leader="dot" w:pos="8296"/>
            </w:tabs>
            <w:rPr>
              <w:rFonts w:ascii="Times New Roman" w:hAnsi="Times New Roman" w:cs="Times New Roman"/>
              <w:noProof/>
            </w:rPr>
          </w:pPr>
          <w:hyperlink w:anchor="_Toc215974437" w:history="1">
            <w:r w:rsidRPr="000A1A5D">
              <w:rPr>
                <w:rStyle w:val="af4"/>
                <w:rFonts w:ascii="Times New Roman" w:hAnsi="Times New Roman" w:cs="Times New Roman"/>
                <w:noProof/>
              </w:rPr>
              <w:t>3. Theoretical Framework: Understanding Cultural Distance</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_Toc215974437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w:t>
            </w:r>
            <w:r w:rsidRPr="000A1A5D">
              <w:rPr>
                <w:rFonts w:ascii="Times New Roman" w:hAnsi="Times New Roman" w:cs="Times New Roman"/>
                <w:noProof/>
                <w:webHidden/>
              </w:rPr>
              <w:fldChar w:fldCharType="end"/>
            </w:r>
          </w:hyperlink>
        </w:p>
        <w:p w14:paraId="2172F4C9" w14:textId="791999B8" w:rsidR="000A1A5D" w:rsidRPr="000A1A5D" w:rsidRDefault="000A1A5D">
          <w:pPr>
            <w:pStyle w:val="TOC2"/>
            <w:tabs>
              <w:tab w:val="right" w:leader="dot" w:pos="8296"/>
            </w:tabs>
            <w:ind w:left="440"/>
            <w:rPr>
              <w:rFonts w:ascii="Times New Roman" w:hAnsi="Times New Roman" w:cs="Times New Roman"/>
              <w:noProof/>
            </w:rPr>
          </w:pPr>
          <w:hyperlink w:anchor="_Toc215974438" w:history="1">
            <w:r w:rsidRPr="000A1A5D">
              <w:rPr>
                <w:rStyle w:val="af4"/>
                <w:rFonts w:ascii="Times New Roman" w:hAnsi="Times New Roman" w:cs="Times New Roman"/>
                <w:noProof/>
              </w:rPr>
              <w:t>3.1. Hofstede’s Cultural Dimensions: Power Distance, Individualism, and Uncertainty Avoidance</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_Toc215974438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w:t>
            </w:r>
            <w:r w:rsidRPr="000A1A5D">
              <w:rPr>
                <w:rFonts w:ascii="Times New Roman" w:hAnsi="Times New Roman" w:cs="Times New Roman"/>
                <w:noProof/>
                <w:webHidden/>
              </w:rPr>
              <w:fldChar w:fldCharType="end"/>
            </w:r>
          </w:hyperlink>
        </w:p>
        <w:p w14:paraId="52257A77" w14:textId="21D438DD" w:rsidR="000A1A5D" w:rsidRPr="000A1A5D" w:rsidRDefault="000A1A5D">
          <w:pPr>
            <w:pStyle w:val="TOC2"/>
            <w:tabs>
              <w:tab w:val="right" w:leader="dot" w:pos="8296"/>
            </w:tabs>
            <w:ind w:left="440"/>
            <w:rPr>
              <w:rFonts w:ascii="Times New Roman" w:hAnsi="Times New Roman" w:cs="Times New Roman"/>
              <w:noProof/>
            </w:rPr>
          </w:pPr>
          <w:hyperlink w:anchor="_Toc215974439" w:history="1">
            <w:r w:rsidRPr="000A1A5D">
              <w:rPr>
                <w:rStyle w:val="af4"/>
                <w:rFonts w:ascii="Times New Roman" w:hAnsi="Times New Roman" w:cs="Times New Roman"/>
                <w:noProof/>
              </w:rPr>
              <w:t>3.2. Hall’s Context and Communication: High-Context vs. Low-Context Societies</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_Toc215974439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w:t>
            </w:r>
            <w:r w:rsidRPr="000A1A5D">
              <w:rPr>
                <w:rFonts w:ascii="Times New Roman" w:hAnsi="Times New Roman" w:cs="Times New Roman"/>
                <w:noProof/>
                <w:webHidden/>
              </w:rPr>
              <w:fldChar w:fldCharType="end"/>
            </w:r>
          </w:hyperlink>
        </w:p>
        <w:p w14:paraId="02D810F5" w14:textId="4E737C80" w:rsidR="000A1A5D" w:rsidRPr="000A1A5D" w:rsidRDefault="000A1A5D">
          <w:pPr>
            <w:pStyle w:val="TOC1"/>
            <w:tabs>
              <w:tab w:val="right" w:leader="dot" w:pos="8296"/>
            </w:tabs>
            <w:rPr>
              <w:rFonts w:ascii="Times New Roman" w:hAnsi="Times New Roman" w:cs="Times New Roman"/>
              <w:noProof/>
            </w:rPr>
          </w:pPr>
          <w:hyperlink w:anchor="_Toc215974440" w:history="1">
            <w:r w:rsidRPr="000A1A5D">
              <w:rPr>
                <w:rStyle w:val="af4"/>
                <w:rFonts w:ascii="Times New Roman" w:hAnsi="Times New Roman" w:cs="Times New Roman"/>
                <w:noProof/>
              </w:rPr>
              <w:t>4. Key Challenges and Sensitivities for UK Businesses</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_Toc215974440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w:t>
            </w:r>
            <w:r w:rsidRPr="000A1A5D">
              <w:rPr>
                <w:rFonts w:ascii="Times New Roman" w:hAnsi="Times New Roman" w:cs="Times New Roman"/>
                <w:noProof/>
                <w:webHidden/>
              </w:rPr>
              <w:fldChar w:fldCharType="end"/>
            </w:r>
          </w:hyperlink>
        </w:p>
        <w:p w14:paraId="360F45CB" w14:textId="17477238" w:rsidR="000A1A5D" w:rsidRPr="000A1A5D" w:rsidRDefault="000A1A5D">
          <w:pPr>
            <w:pStyle w:val="TOC2"/>
            <w:tabs>
              <w:tab w:val="right" w:leader="dot" w:pos="8296"/>
            </w:tabs>
            <w:ind w:left="440"/>
            <w:rPr>
              <w:rFonts w:ascii="Times New Roman" w:hAnsi="Times New Roman" w:cs="Times New Roman"/>
              <w:noProof/>
            </w:rPr>
          </w:pPr>
          <w:hyperlink w:anchor="_Toc215974441" w:history="1">
            <w:r w:rsidRPr="000A1A5D">
              <w:rPr>
                <w:rStyle w:val="af4"/>
                <w:rFonts w:ascii="Times New Roman" w:hAnsi="Times New Roman" w:cs="Times New Roman"/>
                <w:noProof/>
              </w:rPr>
              <w:t>4.1. Communication and Negotiation Styles</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_Toc215974441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w:t>
            </w:r>
            <w:r w:rsidRPr="000A1A5D">
              <w:rPr>
                <w:rFonts w:ascii="Times New Roman" w:hAnsi="Times New Roman" w:cs="Times New Roman"/>
                <w:noProof/>
                <w:webHidden/>
              </w:rPr>
              <w:fldChar w:fldCharType="end"/>
            </w:r>
          </w:hyperlink>
        </w:p>
        <w:p w14:paraId="02F55ED5" w14:textId="284E3DC8" w:rsidR="000A1A5D" w:rsidRPr="000A1A5D" w:rsidRDefault="000A1A5D">
          <w:pPr>
            <w:pStyle w:val="TOC2"/>
            <w:tabs>
              <w:tab w:val="right" w:leader="dot" w:pos="8296"/>
            </w:tabs>
            <w:ind w:left="440"/>
            <w:rPr>
              <w:rFonts w:ascii="Times New Roman" w:hAnsi="Times New Roman" w:cs="Times New Roman"/>
              <w:noProof/>
            </w:rPr>
          </w:pPr>
          <w:hyperlink w:anchor="_Toc215974442" w:history="1">
            <w:r w:rsidRPr="000A1A5D">
              <w:rPr>
                <w:rStyle w:val="af4"/>
                <w:rFonts w:ascii="Times New Roman" w:hAnsi="Times New Roman" w:cs="Times New Roman"/>
                <w:noProof/>
              </w:rPr>
              <w:t>4.2. Decision-Making Processes and Consensus Building (Nemawashi)</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_Toc215974442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iii</w:t>
            </w:r>
            <w:r w:rsidRPr="000A1A5D">
              <w:rPr>
                <w:rFonts w:ascii="Times New Roman" w:hAnsi="Times New Roman" w:cs="Times New Roman"/>
                <w:noProof/>
                <w:webHidden/>
              </w:rPr>
              <w:fldChar w:fldCharType="end"/>
            </w:r>
          </w:hyperlink>
        </w:p>
        <w:p w14:paraId="1A43D2F2" w14:textId="3CA51319" w:rsidR="000A1A5D" w:rsidRPr="000A1A5D" w:rsidRDefault="000A1A5D">
          <w:pPr>
            <w:pStyle w:val="TOC2"/>
            <w:tabs>
              <w:tab w:val="right" w:leader="dot" w:pos="8296"/>
            </w:tabs>
            <w:ind w:left="440"/>
            <w:rPr>
              <w:rFonts w:ascii="Times New Roman" w:hAnsi="Times New Roman" w:cs="Times New Roman"/>
              <w:noProof/>
            </w:rPr>
          </w:pPr>
          <w:hyperlink w:anchor="_Toc215974443" w:history="1">
            <w:r w:rsidRPr="000A1A5D">
              <w:rPr>
                <w:rStyle w:val="af4"/>
                <w:rFonts w:ascii="Times New Roman" w:hAnsi="Times New Roman" w:cs="Times New Roman"/>
                <w:noProof/>
              </w:rPr>
              <w:t>4.3. Hierarchy, Management, and Employment Practices</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_Toc215974443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iii</w:t>
            </w:r>
            <w:r w:rsidRPr="000A1A5D">
              <w:rPr>
                <w:rFonts w:ascii="Times New Roman" w:hAnsi="Times New Roman" w:cs="Times New Roman"/>
                <w:noProof/>
                <w:webHidden/>
              </w:rPr>
              <w:fldChar w:fldCharType="end"/>
            </w:r>
          </w:hyperlink>
        </w:p>
        <w:p w14:paraId="37003EEC" w14:textId="1113EAC7" w:rsidR="000A1A5D" w:rsidRPr="000A1A5D" w:rsidRDefault="000A1A5D">
          <w:pPr>
            <w:pStyle w:val="TOC2"/>
            <w:tabs>
              <w:tab w:val="right" w:leader="dot" w:pos="8296"/>
            </w:tabs>
            <w:ind w:left="440"/>
            <w:rPr>
              <w:rFonts w:ascii="Times New Roman" w:hAnsi="Times New Roman" w:cs="Times New Roman"/>
              <w:noProof/>
            </w:rPr>
          </w:pPr>
          <w:hyperlink w:anchor="_Toc215974444" w:history="1">
            <w:r w:rsidRPr="000A1A5D">
              <w:rPr>
                <w:rStyle w:val="af4"/>
                <w:rFonts w:ascii="Times New Roman" w:hAnsi="Times New Roman" w:cs="Times New Roman"/>
                <w:noProof/>
              </w:rPr>
              <w:t>4.4. Building and Maintaining Trust (</w:t>
            </w:r>
            <w:r w:rsidRPr="000A1A5D">
              <w:rPr>
                <w:rStyle w:val="af4"/>
                <w:rFonts w:ascii="Times New Roman" w:hAnsi="Times New Roman" w:cs="Times New Roman"/>
                <w:noProof/>
              </w:rPr>
              <w:t>信頼</w:t>
            </w:r>
            <w:r w:rsidRPr="000A1A5D">
              <w:rPr>
                <w:rStyle w:val="af4"/>
                <w:rFonts w:ascii="Times New Roman" w:hAnsi="Times New Roman" w:cs="Times New Roman"/>
                <w:noProof/>
              </w:rPr>
              <w:t>, </w:t>
            </w:r>
            <w:r w:rsidRPr="000A1A5D">
              <w:rPr>
                <w:rStyle w:val="af4"/>
                <w:rFonts w:ascii="Times New Roman" w:hAnsi="Times New Roman" w:cs="Times New Roman"/>
                <w:i/>
                <w:iCs/>
                <w:noProof/>
              </w:rPr>
              <w:t>Shinrai</w:t>
            </w:r>
            <w:r w:rsidRPr="000A1A5D">
              <w:rPr>
                <w:rStyle w:val="af4"/>
                <w:rFonts w:ascii="Times New Roman" w:hAnsi="Times New Roman" w:cs="Times New Roman"/>
                <w:noProof/>
              </w:rPr>
              <w:t>)</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_Toc215974444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iii</w:t>
            </w:r>
            <w:r w:rsidRPr="000A1A5D">
              <w:rPr>
                <w:rFonts w:ascii="Times New Roman" w:hAnsi="Times New Roman" w:cs="Times New Roman"/>
                <w:noProof/>
                <w:webHidden/>
              </w:rPr>
              <w:fldChar w:fldCharType="end"/>
            </w:r>
          </w:hyperlink>
        </w:p>
        <w:p w14:paraId="1F7AA646" w14:textId="7F7C972B" w:rsidR="000A1A5D" w:rsidRPr="000A1A5D" w:rsidRDefault="000A1A5D">
          <w:pPr>
            <w:pStyle w:val="TOC1"/>
            <w:tabs>
              <w:tab w:val="right" w:leader="dot" w:pos="8296"/>
            </w:tabs>
            <w:rPr>
              <w:rFonts w:ascii="Times New Roman" w:hAnsi="Times New Roman" w:cs="Times New Roman"/>
              <w:noProof/>
            </w:rPr>
          </w:pPr>
          <w:hyperlink w:anchor="_Toc215974445" w:history="1">
            <w:r w:rsidRPr="000A1A5D">
              <w:rPr>
                <w:rStyle w:val="af4"/>
                <w:rFonts w:ascii="Times New Roman" w:hAnsi="Times New Roman" w:cs="Times New Roman"/>
                <w:noProof/>
              </w:rPr>
              <w:t>5. Strategic Recommendations for UK Businesses</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_Toc215974445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3F498A4B" w14:textId="128F1E1F" w:rsidR="000A1A5D" w:rsidRPr="000A1A5D" w:rsidRDefault="000A1A5D">
          <w:pPr>
            <w:pStyle w:val="TOC2"/>
            <w:tabs>
              <w:tab w:val="right" w:leader="dot" w:pos="8296"/>
            </w:tabs>
            <w:ind w:left="440"/>
            <w:rPr>
              <w:rFonts w:ascii="Times New Roman" w:hAnsi="Times New Roman" w:cs="Times New Roman"/>
              <w:noProof/>
            </w:rPr>
          </w:pPr>
          <w:hyperlink w:anchor="_Toc215974446" w:history="1">
            <w:r w:rsidRPr="000A1A5D">
              <w:rPr>
                <w:rStyle w:val="af4"/>
                <w:rFonts w:ascii="Times New Roman" w:hAnsi="Times New Roman" w:cs="Times New Roman"/>
                <w:noProof/>
              </w:rPr>
              <w:t>5.1. Developing Cultural Intelligence (CQ) and Pre-entry Training</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_Toc215974446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034B484D" w14:textId="23802E03" w:rsidR="000A1A5D" w:rsidRPr="000A1A5D" w:rsidRDefault="000A1A5D">
          <w:pPr>
            <w:pStyle w:val="TOC2"/>
            <w:tabs>
              <w:tab w:val="right" w:leader="dot" w:pos="8296"/>
            </w:tabs>
            <w:ind w:left="440"/>
            <w:rPr>
              <w:rFonts w:ascii="Times New Roman" w:hAnsi="Times New Roman" w:cs="Times New Roman"/>
              <w:noProof/>
            </w:rPr>
          </w:pPr>
          <w:hyperlink w:anchor="_Toc215974447" w:history="1">
            <w:r w:rsidRPr="000A1A5D">
              <w:rPr>
                <w:rStyle w:val="af4"/>
                <w:rFonts w:ascii="Times New Roman" w:hAnsi="Times New Roman" w:cs="Times New Roman"/>
                <w:noProof/>
              </w:rPr>
              <w:t>5.2. Adopting a Long-Term Perspective and Relationship-First Approach</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_Toc215974447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7A215868" w14:textId="38D0B9B3" w:rsidR="000A1A5D" w:rsidRPr="000A1A5D" w:rsidRDefault="000A1A5D">
          <w:pPr>
            <w:pStyle w:val="TOC2"/>
            <w:tabs>
              <w:tab w:val="right" w:leader="dot" w:pos="8296"/>
            </w:tabs>
            <w:ind w:left="440"/>
            <w:rPr>
              <w:rFonts w:ascii="Times New Roman" w:hAnsi="Times New Roman" w:cs="Times New Roman"/>
              <w:noProof/>
            </w:rPr>
          </w:pPr>
          <w:hyperlink w:anchor="_Toc215974448" w:history="1">
            <w:r w:rsidRPr="000A1A5D">
              <w:rPr>
                <w:rStyle w:val="af4"/>
                <w:rFonts w:ascii="Times New Roman" w:hAnsi="Times New Roman" w:cs="Times New Roman"/>
                <w:noProof/>
              </w:rPr>
              <w:t>5.3. Adapting Marketing and Consumer Engagement</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_Toc215974448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6C4994F4" w14:textId="14E1127E" w:rsidR="000A1A5D" w:rsidRPr="000A1A5D" w:rsidRDefault="000A1A5D">
          <w:pPr>
            <w:pStyle w:val="TOC2"/>
            <w:tabs>
              <w:tab w:val="right" w:leader="dot" w:pos="8296"/>
            </w:tabs>
            <w:ind w:left="440"/>
            <w:rPr>
              <w:rFonts w:ascii="Times New Roman" w:hAnsi="Times New Roman" w:cs="Times New Roman"/>
              <w:noProof/>
            </w:rPr>
          </w:pPr>
          <w:hyperlink w:anchor="_Toc215974449" w:history="1">
            <w:r w:rsidRPr="000A1A5D">
              <w:rPr>
                <w:rStyle w:val="af4"/>
                <w:rFonts w:ascii="Times New Roman" w:hAnsi="Times New Roman" w:cs="Times New Roman"/>
                <w:noProof/>
              </w:rPr>
              <w:t>5.4. Navigating Legal and Formal Practices with Local Expertise</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_Toc215974449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5DE43945" w14:textId="21F99412" w:rsidR="000A1A5D" w:rsidRPr="000A1A5D" w:rsidRDefault="000A1A5D">
          <w:pPr>
            <w:pStyle w:val="TOC1"/>
            <w:tabs>
              <w:tab w:val="right" w:leader="dot" w:pos="8296"/>
            </w:tabs>
            <w:rPr>
              <w:rFonts w:ascii="Times New Roman" w:hAnsi="Times New Roman" w:cs="Times New Roman"/>
              <w:noProof/>
            </w:rPr>
          </w:pPr>
          <w:hyperlink w:anchor="_Toc215974450" w:history="1">
            <w:r w:rsidRPr="000A1A5D">
              <w:rPr>
                <w:rStyle w:val="af4"/>
                <w:rFonts w:ascii="Times New Roman" w:hAnsi="Times New Roman" w:cs="Times New Roman"/>
                <w:noProof/>
              </w:rPr>
              <w:t>6. Conclusion</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_Toc215974450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1775E3CF" w14:textId="185B1B14" w:rsidR="000A1A5D" w:rsidRDefault="000A1A5D">
          <w:pPr>
            <w:pStyle w:val="TOC1"/>
            <w:tabs>
              <w:tab w:val="right" w:leader="dot" w:pos="8296"/>
            </w:tabs>
            <w:rPr>
              <w:rFonts w:hint="eastAsia"/>
              <w:noProof/>
            </w:rPr>
          </w:pPr>
          <w:hyperlink w:anchor="_Toc215974451" w:history="1">
            <w:r w:rsidRPr="000A1A5D">
              <w:rPr>
                <w:rStyle w:val="af4"/>
                <w:rFonts w:ascii="Times New Roman" w:hAnsi="Times New Roman" w:cs="Times New Roman"/>
                <w:noProof/>
              </w:rPr>
              <w:t>7. Reference List</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_Toc215974451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v</w:t>
            </w:r>
            <w:r w:rsidRPr="000A1A5D">
              <w:rPr>
                <w:rFonts w:ascii="Times New Roman" w:hAnsi="Times New Roman" w:cs="Times New Roman"/>
                <w:noProof/>
                <w:webHidden/>
              </w:rPr>
              <w:fldChar w:fldCharType="end"/>
            </w:r>
          </w:hyperlink>
        </w:p>
        <w:p w14:paraId="0D7448B8" w14:textId="7A2A91C6" w:rsidR="000A1A5D" w:rsidRDefault="000A1A5D">
          <w:pPr>
            <w:rPr>
              <w:rFonts w:hint="eastAsia"/>
            </w:rPr>
          </w:pPr>
          <w:r>
            <w:rPr>
              <w:b/>
              <w:bCs/>
              <w:lang w:val="zh-CN"/>
            </w:rPr>
            <w:fldChar w:fldCharType="end"/>
          </w:r>
        </w:p>
      </w:sdtContent>
    </w:sdt>
    <w:p w14:paraId="595C867C" w14:textId="21B26763" w:rsidR="00CE0D40" w:rsidRPr="007C1368" w:rsidRDefault="00CE0D40" w:rsidP="000A1A5D">
      <w:pPr>
        <w:pStyle w:val="a9"/>
        <w:numPr>
          <w:ilvl w:val="0"/>
          <w:numId w:val="1"/>
        </w:numPr>
        <w:outlineLvl w:val="0"/>
        <w:rPr>
          <w:rFonts w:ascii="Times New Roman" w:hAnsi="Times New Roman" w:cs="Times New Roman"/>
          <w:b/>
          <w:bCs/>
          <w:sz w:val="28"/>
          <w:szCs w:val="28"/>
        </w:rPr>
      </w:pPr>
      <w:bookmarkStart w:id="1" w:name="_Toc215974435"/>
      <w:r w:rsidRPr="007C1368">
        <w:rPr>
          <w:rFonts w:ascii="Times New Roman" w:hAnsi="Times New Roman" w:cs="Times New Roman"/>
          <w:b/>
          <w:bCs/>
          <w:sz w:val="28"/>
          <w:szCs w:val="28"/>
        </w:rPr>
        <w:t>Introduction</w:t>
      </w:r>
      <w:bookmarkEnd w:id="1"/>
    </w:p>
    <w:p w14:paraId="53BD7CB1" w14:textId="1DA50990" w:rsidR="00CE0D40" w:rsidRPr="007C1368" w:rsidRDefault="00636E11" w:rsidP="00636E11">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For UK firms looking beyond Europe, Japan is one of the most attractive and sophisticated markets in the world. Japan is a global leader in technology and innovation, with a consumer base renowned for high-quality and loyalty. It has been a place where many Western companies, including British ones, have struggled or failed. The issues are rarely purely economic or technical, but intensely cultural. The significant cultural distance between the UK’s relatively direct, individualistic, low-context business culture and Japan’s consensus-</w:t>
      </w:r>
      <w:r w:rsidRPr="007C1368">
        <w:rPr>
          <w:rFonts w:ascii="Times New Roman" w:hAnsi="Times New Roman" w:cs="Times New Roman"/>
          <w:color w:val="0F1115"/>
          <w:shd w:val="clear" w:color="auto" w:fill="FFFFFF"/>
        </w:rPr>
        <w:lastRenderedPageBreak/>
        <w:t xml:space="preserve">driven, hierarchical, high-context society make for potential misunderstandings and sensitivities almost at every step </w:t>
      </w:r>
      <w:r w:rsidR="00CE0D40" w:rsidRPr="007C1368">
        <w:rPr>
          <w:rFonts w:ascii="Times New Roman" w:hAnsi="Times New Roman" w:cs="Times New Roman"/>
          <w:color w:val="0F1115"/>
          <w:shd w:val="clear" w:color="auto" w:fill="FFFFFF"/>
        </w:rPr>
        <w:t>(Hofstede et al., 2010; Hall, 1976).</w:t>
      </w:r>
      <w:r w:rsidRPr="007C1368">
        <w:rPr>
          <w:rFonts w:ascii="Times New Roman" w:hAnsi="Times New Roman" w:cs="Times New Roman"/>
          <w:color w:val="0F1115"/>
          <w:shd w:val="clear" w:color="auto" w:fill="FFFFFF"/>
        </w:rPr>
        <w:t xml:space="preserve"> I shall argue in this essay that to succeed in Japan Britain’s companies must move beyond superficial cultural knowledge to be deeply culturally intelligent, starting with the economic backdrop then diagnosing areas of friction using cross-cultural communication theories before offering evidence-based prescriptions for effective and respectful market entry and operation.</w:t>
      </w:r>
    </w:p>
    <w:p w14:paraId="287ED9E3" w14:textId="7BE213DE" w:rsidR="00CE0D40" w:rsidRPr="007C1368" w:rsidRDefault="00CE0D40" w:rsidP="000A1A5D">
      <w:pPr>
        <w:pStyle w:val="a9"/>
        <w:numPr>
          <w:ilvl w:val="0"/>
          <w:numId w:val="1"/>
        </w:numPr>
        <w:outlineLvl w:val="0"/>
        <w:rPr>
          <w:rFonts w:ascii="Times New Roman" w:hAnsi="Times New Roman" w:cs="Times New Roman"/>
          <w:b/>
          <w:bCs/>
          <w:sz w:val="28"/>
          <w:szCs w:val="28"/>
        </w:rPr>
      </w:pPr>
      <w:bookmarkStart w:id="2" w:name="_Toc215974436"/>
      <w:r w:rsidRPr="007C1368">
        <w:rPr>
          <w:rFonts w:ascii="Times New Roman" w:hAnsi="Times New Roman" w:cs="Times New Roman"/>
          <w:b/>
          <w:bCs/>
          <w:sz w:val="28"/>
          <w:szCs w:val="28"/>
        </w:rPr>
        <w:t>The UK-Japan Economic Relationship: Opportunity and Context</w:t>
      </w:r>
      <w:bookmarkEnd w:id="2"/>
    </w:p>
    <w:p w14:paraId="36A2A6E1" w14:textId="19088D37" w:rsidR="00CE0D40" w:rsidRPr="007C1368" w:rsidRDefault="00636E11" w:rsidP="00636E11">
      <w:pPr>
        <w:rPr>
          <w:rFonts w:ascii="Times New Roman" w:hAnsi="Times New Roman" w:cs="Times New Roman"/>
          <w:szCs w:val="22"/>
        </w:rPr>
      </w:pPr>
      <w:r w:rsidRPr="007C1368">
        <w:rPr>
          <w:rFonts w:ascii="Times New Roman" w:hAnsi="Times New Roman" w:cs="Times New Roman"/>
          <w:szCs w:val="22"/>
        </w:rPr>
        <w:t xml:space="preserve">Britain has a strong and growing economic relationship with Japan, underpinned by the UK Japan Comprehensive Economic Partnership Agreement (CEPA), that came into force in 2021.It was an important strategic moment for post-Brexit Britain as it marked its first significant trade deal as an independent trading nation </w:t>
      </w:r>
      <w:r w:rsidR="00CE0D40" w:rsidRPr="007C1368">
        <w:rPr>
          <w:rFonts w:ascii="Times New Roman" w:hAnsi="Times New Roman" w:cs="Times New Roman"/>
          <w:szCs w:val="22"/>
        </w:rPr>
        <w:t xml:space="preserve">(Minford &amp; Meenagh, 2021). </w:t>
      </w:r>
      <w:r w:rsidRPr="007C1368">
        <w:rPr>
          <w:rFonts w:ascii="Times New Roman" w:hAnsi="Times New Roman" w:cs="Times New Roman"/>
          <w:szCs w:val="22"/>
        </w:rPr>
        <w:t>CEPAs aims are to increase trade in goods and services; reduce tariffs; and facilitate digital trade, data flows and investment. Key sectors for UK export and investment are financial services; professional services; pharmaceuticals; food and drink (whisky); advanced manufacturing. Notwithstanding the generally positive terms of this agreement, UK-Japan trade remains below its potential level due to non-tariff cultural and business differences. According to Singh (2021),trade agreements may help open the door but they don’t guarantee that a foreign company “understands how to navigate the intricate social protocols inside the boardroom”. For UK SMEs particularly, Japan’s ‘cultural distance’ is a significant deterrent from setting foot in the market or investing resources to learn. So, understanding Japanese business culture is not just an intellectual exercise but a commercial necessity for many British firms wishing to capitalise on CEPA opportunities.</w:t>
      </w:r>
    </w:p>
    <w:p w14:paraId="37325552" w14:textId="7378217D" w:rsidR="00CE0D40" w:rsidRPr="007C1368" w:rsidRDefault="00CE0D40" w:rsidP="000A1A5D">
      <w:pPr>
        <w:outlineLvl w:val="0"/>
        <w:rPr>
          <w:rFonts w:ascii="Times New Roman" w:hAnsi="Times New Roman" w:cs="Times New Roman"/>
          <w:b/>
          <w:bCs/>
          <w:sz w:val="28"/>
          <w:szCs w:val="28"/>
        </w:rPr>
      </w:pPr>
      <w:bookmarkStart w:id="3" w:name="_Toc215974437"/>
      <w:r w:rsidRPr="007C1368">
        <w:rPr>
          <w:rFonts w:ascii="Times New Roman" w:hAnsi="Times New Roman" w:cs="Times New Roman"/>
          <w:b/>
          <w:bCs/>
          <w:sz w:val="28"/>
          <w:szCs w:val="28"/>
        </w:rPr>
        <w:t>3. Theoretical Framework: Understanding Cultural Distance</w:t>
      </w:r>
      <w:bookmarkEnd w:id="3"/>
    </w:p>
    <w:p w14:paraId="01A6A04B" w14:textId="0BC21C63" w:rsidR="00CE0D40" w:rsidRPr="007C1368" w:rsidRDefault="003D6D68" w:rsidP="00E33B29">
      <w:pPr>
        <w:rPr>
          <w:rFonts w:ascii="Times New Roman" w:hAnsi="Times New Roman" w:cs="Times New Roman"/>
          <w:szCs w:val="22"/>
        </w:rPr>
      </w:pPr>
      <w:r w:rsidRPr="007C1368">
        <w:rPr>
          <w:rFonts w:ascii="Times New Roman" w:hAnsi="Times New Roman" w:cs="Times New Roman"/>
          <w:szCs w:val="22"/>
        </w:rPr>
        <w:t>To systematically analyse the challenges, we employ two foundational cross-cultural theories that remain highly influential in international business research.</w:t>
      </w:r>
    </w:p>
    <w:p w14:paraId="0C55A2AC" w14:textId="77777777" w:rsidR="003D6D68" w:rsidRPr="007C1368" w:rsidRDefault="003D6D68" w:rsidP="000A1A5D">
      <w:pPr>
        <w:outlineLvl w:val="1"/>
        <w:rPr>
          <w:rFonts w:ascii="Times New Roman" w:hAnsi="Times New Roman" w:cs="Times New Roman"/>
          <w:b/>
          <w:bCs/>
          <w:szCs w:val="22"/>
        </w:rPr>
      </w:pPr>
      <w:bookmarkStart w:id="4" w:name="_Toc215974438"/>
      <w:r w:rsidRPr="007C1368">
        <w:rPr>
          <w:rFonts w:ascii="Times New Roman" w:hAnsi="Times New Roman" w:cs="Times New Roman"/>
          <w:b/>
          <w:bCs/>
          <w:szCs w:val="22"/>
        </w:rPr>
        <w:t>3.1. Hofstede’s Cultural Dimensions: Power Distance, Individualism, and Uncertainty Avoidance</w:t>
      </w:r>
      <w:bookmarkEnd w:id="4"/>
    </w:p>
    <w:p w14:paraId="7A7CC1CE" w14:textId="77777777" w:rsidR="003D6D68" w:rsidRPr="007C1368" w:rsidRDefault="003D6D68" w:rsidP="003D6D68">
      <w:pPr>
        <w:rPr>
          <w:rFonts w:ascii="Times New Roman" w:hAnsi="Times New Roman" w:cs="Times New Roman"/>
          <w:szCs w:val="22"/>
        </w:rPr>
      </w:pPr>
      <w:r w:rsidRPr="007C1368">
        <w:rPr>
          <w:rFonts w:ascii="Times New Roman" w:hAnsi="Times New Roman" w:cs="Times New Roman"/>
          <w:szCs w:val="22"/>
        </w:rPr>
        <w:t>Hofstede’s model provides a comparative metric for national cultures. The UK-Japan comparison reveals stark contrasts (Hofstede Insights, 2023):</w:t>
      </w:r>
    </w:p>
    <w:p w14:paraId="680F8F2C" w14:textId="37F46BB8" w:rsidR="00A41088" w:rsidRPr="007C1368" w:rsidRDefault="00A41088" w:rsidP="00A41088">
      <w:pPr>
        <w:pStyle w:val="a9"/>
        <w:numPr>
          <w:ilvl w:val="0"/>
          <w:numId w:val="3"/>
        </w:numPr>
        <w:rPr>
          <w:rFonts w:ascii="Times New Roman" w:hAnsi="Times New Roman" w:cs="Times New Roman"/>
          <w:szCs w:val="22"/>
        </w:rPr>
      </w:pPr>
      <w:r w:rsidRPr="007C1368">
        <w:rPr>
          <w:rFonts w:ascii="Times New Roman" w:hAnsi="Times New Roman" w:cs="Times New Roman"/>
          <w:szCs w:val="22"/>
        </w:rPr>
        <w:t>Power Distance (UK: 35, Japan: 54): Power Distance is higher in Japan than UK which means Japanese are comparatively more comfortable following orders of superiors without being explained. A young British expatriate manager may find employees challenging their authority.</w:t>
      </w:r>
    </w:p>
    <w:p w14:paraId="4335559F" w14:textId="719B260C" w:rsidR="003D6D68" w:rsidRPr="007C1368" w:rsidRDefault="003D6D68" w:rsidP="00A41088">
      <w:pPr>
        <w:pStyle w:val="a9"/>
        <w:numPr>
          <w:ilvl w:val="0"/>
          <w:numId w:val="3"/>
        </w:numPr>
        <w:rPr>
          <w:rFonts w:ascii="Times New Roman" w:hAnsi="Times New Roman" w:cs="Times New Roman"/>
          <w:szCs w:val="22"/>
        </w:rPr>
      </w:pPr>
      <w:r w:rsidRPr="007C1368">
        <w:rPr>
          <w:rFonts w:ascii="Times New Roman" w:hAnsi="Times New Roman" w:cs="Times New Roman"/>
          <w:szCs w:val="22"/>
        </w:rPr>
        <w:lastRenderedPageBreak/>
        <w:t>Individualism (UK: 89, Japan: 46): The UK is one of the world's most individualistic societies, valuing personal achievement, direct communication, and individual initiative. Japan is collectivist, prioritising group harmony (</w:t>
      </w:r>
      <w:r w:rsidRPr="007C1368">
        <w:rPr>
          <w:rFonts w:ascii="Times New Roman" w:hAnsi="Times New Roman" w:cs="Times New Roman"/>
          <w:i/>
          <w:iCs/>
          <w:szCs w:val="22"/>
        </w:rPr>
        <w:t>和</w:t>
      </w:r>
      <w:r w:rsidRPr="007C1368">
        <w:rPr>
          <w:rFonts w:ascii="Times New Roman" w:hAnsi="Times New Roman" w:cs="Times New Roman"/>
          <w:i/>
          <w:iCs/>
          <w:szCs w:val="22"/>
        </w:rPr>
        <w:t>, Wa</w:t>
      </w:r>
      <w:r w:rsidRPr="007C1368">
        <w:rPr>
          <w:rFonts w:ascii="Times New Roman" w:hAnsi="Times New Roman" w:cs="Times New Roman"/>
          <w:szCs w:val="22"/>
        </w:rPr>
        <w:t>), consensus, and the well-being of the organisation over the individual. This clash is at the heart of many management and team-based challenges.</w:t>
      </w:r>
    </w:p>
    <w:p w14:paraId="70228409" w14:textId="77777777" w:rsidR="003D6D68" w:rsidRPr="007C1368" w:rsidRDefault="003D6D68" w:rsidP="003D6D68">
      <w:pPr>
        <w:pStyle w:val="a9"/>
        <w:numPr>
          <w:ilvl w:val="0"/>
          <w:numId w:val="3"/>
        </w:numPr>
        <w:rPr>
          <w:rFonts w:ascii="Times New Roman" w:hAnsi="Times New Roman" w:cs="Times New Roman"/>
          <w:szCs w:val="22"/>
        </w:rPr>
      </w:pPr>
      <w:r w:rsidRPr="007C1368">
        <w:rPr>
          <w:rFonts w:ascii="Times New Roman" w:hAnsi="Times New Roman" w:cs="Times New Roman"/>
          <w:szCs w:val="22"/>
        </w:rPr>
        <w:t>Uncertainty Avoidance (UK: 35, Japan: 92): Japan’s extremely high score reflects a low tolerance for ambiguity and unstructured situations. Business is conducted through detailed planning, established procedures, and meticulous risk assessment. The more pragmatic, flexible, and “muddling through” approach common in UK business can be perceived by Japanese partners as unprofessional or risky (Meyer, 2021).</w:t>
      </w:r>
    </w:p>
    <w:p w14:paraId="6280980F" w14:textId="77777777" w:rsidR="003D6D68" w:rsidRPr="007C1368" w:rsidRDefault="003D6D68" w:rsidP="000A1A5D">
      <w:pPr>
        <w:outlineLvl w:val="1"/>
        <w:rPr>
          <w:rFonts w:ascii="Times New Roman" w:hAnsi="Times New Roman" w:cs="Times New Roman"/>
          <w:b/>
          <w:bCs/>
          <w:szCs w:val="22"/>
        </w:rPr>
      </w:pPr>
      <w:bookmarkStart w:id="5" w:name="_Toc215974439"/>
      <w:r w:rsidRPr="007C1368">
        <w:rPr>
          <w:rFonts w:ascii="Times New Roman" w:hAnsi="Times New Roman" w:cs="Times New Roman"/>
          <w:b/>
          <w:bCs/>
          <w:szCs w:val="22"/>
        </w:rPr>
        <w:t>3.2. Hall’s Context and Communication: High-Context vs. Low-Context Societies</w:t>
      </w:r>
      <w:bookmarkEnd w:id="5"/>
    </w:p>
    <w:p w14:paraId="470035D6" w14:textId="77777777" w:rsidR="003D6D68" w:rsidRPr="007C1368" w:rsidRDefault="003D6D68" w:rsidP="003D6D68">
      <w:pPr>
        <w:rPr>
          <w:rFonts w:ascii="Times New Roman" w:hAnsi="Times New Roman" w:cs="Times New Roman"/>
          <w:szCs w:val="22"/>
        </w:rPr>
      </w:pPr>
      <w:r w:rsidRPr="007C1368">
        <w:rPr>
          <w:rFonts w:ascii="Times New Roman" w:hAnsi="Times New Roman" w:cs="Times New Roman"/>
          <w:szCs w:val="22"/>
        </w:rPr>
        <w:t>Edward T. Hall’s distinction is critical for understanding communication breakdowns (Hall, 1976).</w:t>
      </w:r>
    </w:p>
    <w:p w14:paraId="6E1E34F8" w14:textId="77777777" w:rsidR="003D6D68" w:rsidRPr="007C1368" w:rsidRDefault="003D6D68" w:rsidP="003D6D68">
      <w:pPr>
        <w:pStyle w:val="a9"/>
        <w:numPr>
          <w:ilvl w:val="0"/>
          <w:numId w:val="5"/>
        </w:numPr>
        <w:rPr>
          <w:rFonts w:ascii="Times New Roman" w:hAnsi="Times New Roman" w:cs="Times New Roman"/>
          <w:szCs w:val="22"/>
        </w:rPr>
      </w:pPr>
      <w:r w:rsidRPr="007C1368">
        <w:rPr>
          <w:rFonts w:ascii="Times New Roman" w:hAnsi="Times New Roman" w:cs="Times New Roman"/>
          <w:szCs w:val="22"/>
        </w:rPr>
        <w:t>The UK is a relatively low-context culture. Communication is expected to be explicit, clear, and direct. The message is carried primarily in the spoken or written words. Contracts are detailed and intended to be final.</w:t>
      </w:r>
    </w:p>
    <w:p w14:paraId="17E31352" w14:textId="2CB6EC64" w:rsidR="003D6D68" w:rsidRPr="007C1368" w:rsidRDefault="003D6D68" w:rsidP="00A41088">
      <w:pPr>
        <w:pStyle w:val="a9"/>
        <w:numPr>
          <w:ilvl w:val="0"/>
          <w:numId w:val="5"/>
        </w:numPr>
        <w:rPr>
          <w:rFonts w:ascii="Times New Roman" w:hAnsi="Times New Roman" w:cs="Times New Roman"/>
          <w:szCs w:val="22"/>
        </w:rPr>
      </w:pPr>
      <w:r w:rsidRPr="007C1368">
        <w:rPr>
          <w:rFonts w:ascii="Times New Roman" w:hAnsi="Times New Roman" w:cs="Times New Roman"/>
          <w:szCs w:val="22"/>
        </w:rPr>
        <w:t>Japan is a quintessential high-context culture. Much of the meaning is embedded in the context: the relationship between the speakers, non-verbal cues, silence, and what is </w:t>
      </w:r>
      <w:r w:rsidRPr="007C1368">
        <w:rPr>
          <w:rFonts w:ascii="Times New Roman" w:hAnsi="Times New Roman" w:cs="Times New Roman"/>
          <w:i/>
          <w:iCs/>
          <w:szCs w:val="22"/>
        </w:rPr>
        <w:t>not</w:t>
      </w:r>
      <w:r w:rsidRPr="007C1368">
        <w:rPr>
          <w:rFonts w:ascii="Times New Roman" w:hAnsi="Times New Roman" w:cs="Times New Roman"/>
          <w:szCs w:val="22"/>
        </w:rPr>
        <w:t xml:space="preserve"> said. </w:t>
      </w:r>
      <w:r w:rsidR="00A41088" w:rsidRPr="007C1368">
        <w:rPr>
          <w:rFonts w:ascii="Times New Roman" w:hAnsi="Times New Roman" w:cs="Times New Roman"/>
          <w:szCs w:val="22"/>
        </w:rPr>
        <w:t>Japanese “yes” may mean “I hear you” not agreement. A British manager directly saying “no” can cause serious loss of face (mentsu) In high context cultures like Japan, building shared context through long term relationships is prerequisite before any effective communi- cation can occur.</w:t>
      </w:r>
    </w:p>
    <w:p w14:paraId="13CB0733" w14:textId="1FEBD9D4" w:rsidR="003D6D68" w:rsidRPr="007C1368" w:rsidRDefault="003D6D68" w:rsidP="003D6D68">
      <w:pPr>
        <w:pStyle w:val="a9"/>
        <w:ind w:left="440"/>
        <w:rPr>
          <w:rFonts w:ascii="Times New Roman" w:hAnsi="Times New Roman" w:cs="Times New Roman"/>
          <w:szCs w:val="22"/>
        </w:rPr>
      </w:pPr>
    </w:p>
    <w:p w14:paraId="61F05EA9" w14:textId="77777777" w:rsidR="003D6D68" w:rsidRPr="007C1368" w:rsidRDefault="003D6D68" w:rsidP="000A1A5D">
      <w:pPr>
        <w:outlineLvl w:val="0"/>
        <w:rPr>
          <w:rFonts w:ascii="Times New Roman" w:hAnsi="Times New Roman" w:cs="Times New Roman"/>
          <w:b/>
          <w:bCs/>
          <w:sz w:val="28"/>
          <w:szCs w:val="28"/>
        </w:rPr>
      </w:pPr>
      <w:bookmarkStart w:id="6" w:name="_Toc215974440"/>
      <w:r w:rsidRPr="007C1368">
        <w:rPr>
          <w:rFonts w:ascii="Times New Roman" w:hAnsi="Times New Roman" w:cs="Times New Roman"/>
          <w:b/>
          <w:bCs/>
          <w:sz w:val="28"/>
          <w:szCs w:val="28"/>
        </w:rPr>
        <w:t>4. Key Challenges and Sensitivities for UK Businesses</w:t>
      </w:r>
      <w:bookmarkEnd w:id="6"/>
    </w:p>
    <w:p w14:paraId="30A74CC1" w14:textId="77777777" w:rsidR="003D6D68" w:rsidRPr="007C1368" w:rsidRDefault="003D6D68" w:rsidP="000A1A5D">
      <w:pPr>
        <w:outlineLvl w:val="1"/>
        <w:rPr>
          <w:rFonts w:ascii="Times New Roman" w:hAnsi="Times New Roman" w:cs="Times New Roman"/>
          <w:b/>
          <w:bCs/>
          <w:szCs w:val="22"/>
        </w:rPr>
      </w:pPr>
      <w:bookmarkStart w:id="7" w:name="_Toc215974441"/>
      <w:r w:rsidRPr="007C1368">
        <w:rPr>
          <w:rFonts w:ascii="Times New Roman" w:hAnsi="Times New Roman" w:cs="Times New Roman"/>
          <w:b/>
          <w:bCs/>
          <w:szCs w:val="22"/>
        </w:rPr>
        <w:t>4.1. Communication and Negotiation Styles</w:t>
      </w:r>
      <w:bookmarkEnd w:id="7"/>
    </w:p>
    <w:p w14:paraId="52504F2A" w14:textId="77285AE8" w:rsidR="003D6D68" w:rsidRPr="007C1368" w:rsidRDefault="00A41088" w:rsidP="009F42C1">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 xml:space="preserve">UK negotiators tend to use quicker methods, getting straight to the point with negotiations to save time which is not how Japanese approach negotiations. They consider it as a ritual where all parties try building rapport before discussing business during initial meetings even if it’s a first meeting between them. Silence is considered rude in UK if kept after someone speaks, however in Japan thoughtful silence is appreciated as they believe it leads them to better decisions. </w:t>
      </w:r>
      <w:r w:rsidR="009F42C1" w:rsidRPr="007C1368">
        <w:rPr>
          <w:rFonts w:ascii="Times New Roman" w:hAnsi="Times New Roman" w:cs="Times New Roman"/>
          <w:color w:val="0F1115"/>
          <w:shd w:val="clear" w:color="auto" w:fill="FFFFFF"/>
        </w:rPr>
        <w:t xml:space="preserve">Disagreements can arise from UK teams pushing for a quick decision or misinterpreting silence as disagreement. For example, during a joint venture discussion, a British CEO’s blunt critique of a proposal could be seen as aggressive and disrespectful, poisoning the atmosphere, even if the technical points were valid </w:t>
      </w:r>
      <w:r w:rsidR="003D6D68" w:rsidRPr="007C1368">
        <w:rPr>
          <w:rFonts w:ascii="Times New Roman" w:hAnsi="Times New Roman" w:cs="Times New Roman"/>
          <w:color w:val="0F1115"/>
          <w:shd w:val="clear" w:color="auto" w:fill="FFFFFF"/>
        </w:rPr>
        <w:t>(Gesteland, 2022).</w:t>
      </w:r>
    </w:p>
    <w:p w14:paraId="5DCA4ACF" w14:textId="51300EED" w:rsidR="003D6D68" w:rsidRPr="007C1368" w:rsidRDefault="003D6D68" w:rsidP="000A1A5D">
      <w:pPr>
        <w:outlineLvl w:val="1"/>
        <w:rPr>
          <w:rFonts w:ascii="Times New Roman" w:hAnsi="Times New Roman" w:cs="Times New Roman"/>
          <w:b/>
          <w:bCs/>
          <w:szCs w:val="22"/>
        </w:rPr>
      </w:pPr>
      <w:bookmarkStart w:id="8" w:name="_Toc215974442"/>
      <w:r w:rsidRPr="007C1368">
        <w:rPr>
          <w:rFonts w:ascii="Times New Roman" w:hAnsi="Times New Roman" w:cs="Times New Roman"/>
          <w:b/>
          <w:bCs/>
          <w:szCs w:val="22"/>
        </w:rPr>
        <w:lastRenderedPageBreak/>
        <w:t>4.2. Decision-Making Processes and Consensus Building (Nemawashi)</w:t>
      </w:r>
      <w:bookmarkEnd w:id="8"/>
    </w:p>
    <w:p w14:paraId="536B1DD3" w14:textId="3B584A10" w:rsidR="003D6D68" w:rsidRPr="007C1368" w:rsidRDefault="009F42C1" w:rsidP="009F42C1">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The British model often involves individual or small-group decision-making with swift delegation. In Japan, the process of nemawashi (</w:t>
      </w:r>
      <w:r w:rsidRPr="007C1368">
        <w:rPr>
          <w:rFonts w:ascii="Times New Roman" w:hAnsi="Times New Roman" w:cs="Times New Roman"/>
          <w:color w:val="0F1115"/>
          <w:shd w:val="clear" w:color="auto" w:fill="FFFFFF"/>
        </w:rPr>
        <w:t>根回し</w:t>
      </w:r>
      <w:r w:rsidRPr="007C1368">
        <w:rPr>
          <w:rFonts w:ascii="Times New Roman" w:hAnsi="Times New Roman" w:cs="Times New Roman"/>
          <w:color w:val="0F1115"/>
          <w:shd w:val="clear" w:color="auto" w:fill="FFFFFF"/>
        </w:rPr>
        <w:t>) – literally “digging around the roots” – is vital.</w:t>
      </w:r>
      <w:r w:rsidR="003D6D68" w:rsidRPr="007C1368">
        <w:rPr>
          <w:rFonts w:ascii="Times New Roman" w:hAnsi="Times New Roman" w:cs="Times New Roman"/>
          <w:color w:val="0F1115"/>
          <w:shd w:val="clear" w:color="auto" w:fill="FFFFFF"/>
        </w:rPr>
        <w:t xml:space="preserve"> This involves informally consulting all relevant stakeholders and building consensus </w:t>
      </w:r>
      <w:r w:rsidR="003D6D68" w:rsidRPr="007C1368">
        <w:rPr>
          <w:rStyle w:val="ae"/>
          <w:rFonts w:ascii="Times New Roman" w:hAnsi="Times New Roman" w:cs="Times New Roman"/>
          <w:color w:val="0F1115"/>
          <w:shd w:val="clear" w:color="auto" w:fill="FFFFFF"/>
        </w:rPr>
        <w:t>before</w:t>
      </w:r>
      <w:r w:rsidR="003D6D68" w:rsidRPr="007C1368">
        <w:rPr>
          <w:rFonts w:ascii="Times New Roman" w:hAnsi="Times New Roman" w:cs="Times New Roman"/>
          <w:color w:val="0F1115"/>
          <w:shd w:val="clear" w:color="auto" w:fill="FFFFFF"/>
        </w:rPr>
        <w:t> a formal meeting. The formal meeting then serves to ratify the decision. A UK manager unaware of this may become frustrated by the slow pace and the apparent lack of decision-makers in meetings. Pressuring a Japanese counterpart for an immediate answer is futile and counterproductive, as the authority to decide is diffused across the group (Nishiyama, 2020).</w:t>
      </w:r>
    </w:p>
    <w:p w14:paraId="184EC832" w14:textId="77777777" w:rsidR="003D6D68" w:rsidRPr="007C1368" w:rsidRDefault="003D6D68" w:rsidP="000A1A5D">
      <w:pPr>
        <w:outlineLvl w:val="1"/>
        <w:rPr>
          <w:rFonts w:ascii="Times New Roman" w:hAnsi="Times New Roman" w:cs="Times New Roman"/>
          <w:b/>
          <w:bCs/>
          <w:szCs w:val="22"/>
        </w:rPr>
      </w:pPr>
      <w:bookmarkStart w:id="9" w:name="_Toc215974443"/>
      <w:r w:rsidRPr="007C1368">
        <w:rPr>
          <w:rFonts w:ascii="Times New Roman" w:hAnsi="Times New Roman" w:cs="Times New Roman"/>
          <w:b/>
          <w:bCs/>
          <w:szCs w:val="22"/>
        </w:rPr>
        <w:t>4.3. Hierarchy, Management, and Employment Practices</w:t>
      </w:r>
      <w:bookmarkEnd w:id="9"/>
    </w:p>
    <w:p w14:paraId="1546E79F" w14:textId="709A6C06" w:rsidR="003D6D68" w:rsidRPr="007C1368" w:rsidRDefault="003D6D68" w:rsidP="003D6D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The high Power Distance and collectivism in Japan create a vertical, seniority-based management structure. Critiquing a superior in public is unacceptable. UK-style flat hierarchies and open-plan offices designed for collaboration can confuse Japanese staff, who expect clear lines of authority. Furthermore, the concept of lifetime employment (</w:t>
      </w:r>
      <w:r w:rsidRPr="007C1368">
        <w:rPr>
          <w:rStyle w:val="ae"/>
          <w:rFonts w:ascii="Times New Roman" w:hAnsi="Times New Roman" w:cs="Times New Roman"/>
          <w:color w:val="0F1115"/>
          <w:shd w:val="clear" w:color="auto" w:fill="FFFFFF"/>
        </w:rPr>
        <w:t>終身雇用</w:t>
      </w:r>
      <w:r w:rsidRPr="007C1368">
        <w:rPr>
          <w:rStyle w:val="ae"/>
          <w:rFonts w:ascii="Times New Roman" w:hAnsi="Times New Roman" w:cs="Times New Roman"/>
          <w:color w:val="0F1115"/>
          <w:shd w:val="clear" w:color="auto" w:fill="FFFFFF"/>
        </w:rPr>
        <w:t>, shūshin koyō</w:t>
      </w:r>
      <w:r w:rsidRPr="007C1368">
        <w:rPr>
          <w:rFonts w:ascii="Times New Roman" w:hAnsi="Times New Roman" w:cs="Times New Roman"/>
          <w:color w:val="0F1115"/>
          <w:shd w:val="clear" w:color="auto" w:fill="FFFFFF"/>
        </w:rPr>
        <w:t>), though eroding, still influences attitudes towards loyalty and career progression. A UK firm acquiring a Japanese company and attempting rapid restructuring or layoffs risks catastrophic damage to morale and reputation, as seen in some high-profile cases of Western M&amp;A in Japan (Jackson &amp; Tomioka, 2022).</w:t>
      </w:r>
    </w:p>
    <w:p w14:paraId="3E285EFE" w14:textId="77777777" w:rsidR="003D6D68" w:rsidRPr="000A1A5D" w:rsidRDefault="003D6D68" w:rsidP="000A1A5D">
      <w:pPr>
        <w:outlineLvl w:val="1"/>
        <w:rPr>
          <w:rFonts w:ascii="Times New Roman" w:hAnsi="Times New Roman" w:cs="Times New Roman"/>
          <w:b/>
          <w:bCs/>
          <w:szCs w:val="22"/>
        </w:rPr>
      </w:pPr>
      <w:bookmarkStart w:id="10" w:name="_Toc215974444"/>
      <w:r w:rsidRPr="000A1A5D">
        <w:rPr>
          <w:rFonts w:ascii="Times New Roman" w:hAnsi="Times New Roman" w:cs="Times New Roman"/>
          <w:b/>
          <w:bCs/>
          <w:szCs w:val="22"/>
        </w:rPr>
        <w:t>4.4. Building and Maintaining Trust (</w:t>
      </w:r>
      <w:r w:rsidRPr="000A1A5D">
        <w:rPr>
          <w:rFonts w:ascii="Times New Roman" w:hAnsi="Times New Roman" w:cs="Times New Roman"/>
          <w:b/>
          <w:bCs/>
          <w:szCs w:val="22"/>
        </w:rPr>
        <w:t>信頼</w:t>
      </w:r>
      <w:r w:rsidRPr="000A1A5D">
        <w:rPr>
          <w:rFonts w:ascii="Times New Roman" w:hAnsi="Times New Roman" w:cs="Times New Roman"/>
          <w:b/>
          <w:bCs/>
          <w:szCs w:val="22"/>
        </w:rPr>
        <w:t>, </w:t>
      </w:r>
      <w:r w:rsidRPr="000A1A5D">
        <w:rPr>
          <w:rFonts w:ascii="Times New Roman" w:hAnsi="Times New Roman" w:cs="Times New Roman"/>
          <w:b/>
          <w:bCs/>
          <w:i/>
          <w:iCs/>
          <w:szCs w:val="22"/>
        </w:rPr>
        <w:t>Shinrai</w:t>
      </w:r>
      <w:r w:rsidRPr="000A1A5D">
        <w:rPr>
          <w:rFonts w:ascii="Times New Roman" w:hAnsi="Times New Roman" w:cs="Times New Roman"/>
          <w:b/>
          <w:bCs/>
          <w:szCs w:val="22"/>
        </w:rPr>
        <w:t>)</w:t>
      </w:r>
      <w:bookmarkEnd w:id="10"/>
    </w:p>
    <w:p w14:paraId="3296EC27" w14:textId="0DEA758E" w:rsidR="003D6D68" w:rsidRPr="007C1368" w:rsidRDefault="003D6D68" w:rsidP="003D6D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In the UK, trust can be built through professional competence and delivered results. In Japan, trust (</w:t>
      </w:r>
      <w:r w:rsidRPr="007C1368">
        <w:rPr>
          <w:rStyle w:val="ae"/>
          <w:rFonts w:ascii="Times New Roman" w:hAnsi="Times New Roman" w:cs="Times New Roman"/>
          <w:color w:val="0F1115"/>
          <w:shd w:val="clear" w:color="auto" w:fill="FFFFFF"/>
        </w:rPr>
        <w:t>shinrai</w:t>
      </w:r>
      <w:r w:rsidRPr="007C1368">
        <w:rPr>
          <w:rFonts w:ascii="Times New Roman" w:hAnsi="Times New Roman" w:cs="Times New Roman"/>
          <w:color w:val="0F1115"/>
          <w:shd w:val="clear" w:color="auto" w:fill="FFFFFF"/>
        </w:rPr>
        <w:t>) is primarily built on personal relationships and demonstrated long-term commitment. It is accrued slowly through shared experiences, such as after-work socialising (</w:t>
      </w:r>
      <w:r w:rsidRPr="007C1368">
        <w:rPr>
          <w:rStyle w:val="ae"/>
          <w:rFonts w:ascii="Times New Roman" w:hAnsi="Times New Roman" w:cs="Times New Roman"/>
          <w:color w:val="0F1115"/>
          <w:shd w:val="clear" w:color="auto" w:fill="FFFFFF"/>
        </w:rPr>
        <w:t>nomikai</w:t>
      </w:r>
      <w:r w:rsidRPr="007C1368">
        <w:rPr>
          <w:rFonts w:ascii="Times New Roman" w:hAnsi="Times New Roman" w:cs="Times New Roman"/>
          <w:color w:val="0F1115"/>
          <w:shd w:val="clear" w:color="auto" w:fill="FFFFFF"/>
        </w:rPr>
        <w:t>). A UK executive who declines social invitations to spend time with family may inadvertently signal a lack of commitment to the relationship. As Duran &amp; Ozdemir (2021) found, in collectivist cultures, business and social spheres are deeply intertwined, and neglecting the social component can stall professional progress.</w:t>
      </w:r>
    </w:p>
    <w:p w14:paraId="14B9CF28" w14:textId="77777777" w:rsidR="003D6D68" w:rsidRPr="007C1368" w:rsidRDefault="003D6D68" w:rsidP="003D6D68">
      <w:pPr>
        <w:rPr>
          <w:rFonts w:ascii="Times New Roman" w:hAnsi="Times New Roman" w:cs="Times New Roman"/>
          <w:b/>
          <w:bCs/>
          <w:szCs w:val="22"/>
        </w:rPr>
      </w:pPr>
    </w:p>
    <w:p w14:paraId="1C6A6A5B" w14:textId="397EF72E" w:rsidR="003D6D68" w:rsidRPr="000A1A5D" w:rsidRDefault="003D6D68" w:rsidP="000A1A5D">
      <w:pPr>
        <w:outlineLvl w:val="0"/>
        <w:rPr>
          <w:rFonts w:ascii="Times New Roman" w:hAnsi="Times New Roman" w:cs="Times New Roman"/>
          <w:b/>
          <w:bCs/>
          <w:sz w:val="28"/>
          <w:szCs w:val="28"/>
        </w:rPr>
      </w:pPr>
      <w:bookmarkStart w:id="11" w:name="_Toc215974445"/>
      <w:r w:rsidRPr="000A1A5D">
        <w:rPr>
          <w:rFonts w:ascii="Times New Roman" w:hAnsi="Times New Roman" w:cs="Times New Roman"/>
          <w:b/>
          <w:bCs/>
          <w:sz w:val="28"/>
          <w:szCs w:val="28"/>
        </w:rPr>
        <w:t>5. Strategic Recommendations for UK Businesses</w:t>
      </w:r>
      <w:bookmarkEnd w:id="11"/>
    </w:p>
    <w:p w14:paraId="3388F941" w14:textId="77777777" w:rsidR="003D6D68" w:rsidRPr="007C1368" w:rsidRDefault="003D6D68" w:rsidP="000A1A5D">
      <w:pPr>
        <w:outlineLvl w:val="1"/>
        <w:rPr>
          <w:rFonts w:ascii="Times New Roman" w:hAnsi="Times New Roman" w:cs="Times New Roman"/>
          <w:b/>
          <w:bCs/>
          <w:szCs w:val="22"/>
        </w:rPr>
      </w:pPr>
      <w:bookmarkStart w:id="12" w:name="_Toc215974446"/>
      <w:r w:rsidRPr="007C1368">
        <w:rPr>
          <w:rFonts w:ascii="Times New Roman" w:hAnsi="Times New Roman" w:cs="Times New Roman"/>
          <w:b/>
          <w:bCs/>
          <w:szCs w:val="22"/>
        </w:rPr>
        <w:t>5.1. Developing Cultural Intelligence (CQ) and Pre-entry Training</w:t>
      </w:r>
      <w:bookmarkEnd w:id="12"/>
    </w:p>
    <w:p w14:paraId="073CC189" w14:textId="3F2C9B48" w:rsidR="007C1368" w:rsidRPr="007C1368" w:rsidRDefault="003D6D68" w:rsidP="007C13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 xml:space="preserve">Investing in Cultural Intelligence (CQ) training is essential. CQ goes beyond knowing facts; it is the capability to relate and work effectively across cultures (Livermore, 2020). </w:t>
      </w:r>
      <w:r w:rsidR="007C1368" w:rsidRPr="007C1368">
        <w:rPr>
          <w:rFonts w:ascii="Times New Roman" w:hAnsi="Times New Roman" w:cs="Times New Roman"/>
          <w:color w:val="0F1115"/>
          <w:shd w:val="clear" w:color="auto" w:fill="FFFFFF"/>
        </w:rPr>
        <w:t xml:space="preserve">As suggested in earlier cross-cultural problems between UK and Spain, training for UK expatriates and home-office staff dealing with Japan should be immersive, using case studies </w:t>
      </w:r>
      <w:r w:rsidR="007C1368" w:rsidRPr="007C1368">
        <w:rPr>
          <w:rFonts w:ascii="Times New Roman" w:hAnsi="Times New Roman" w:cs="Times New Roman"/>
          <w:color w:val="0F1115"/>
          <w:shd w:val="clear" w:color="auto" w:fill="FFFFFF"/>
        </w:rPr>
        <w:lastRenderedPageBreak/>
        <w:t>and role-plays on nemawashi, indirect communication, and face-saving. Learning basic Japanese phrases and etiquette (e.g., bowing, exchanging meishi business cards with both hands) shows respect and provides a significant initial advantage.</w:t>
      </w:r>
    </w:p>
    <w:p w14:paraId="0FA9CE57" w14:textId="214C4D43" w:rsidR="00FB51DE" w:rsidRPr="007C1368" w:rsidRDefault="00FB51DE" w:rsidP="000A1A5D">
      <w:pPr>
        <w:outlineLvl w:val="1"/>
        <w:rPr>
          <w:rFonts w:ascii="Times New Roman" w:hAnsi="Times New Roman" w:cs="Times New Roman"/>
          <w:b/>
          <w:bCs/>
          <w:szCs w:val="22"/>
        </w:rPr>
      </w:pPr>
      <w:bookmarkStart w:id="13" w:name="_Toc215974447"/>
      <w:r w:rsidRPr="007C1368">
        <w:rPr>
          <w:rFonts w:ascii="Times New Roman" w:hAnsi="Times New Roman" w:cs="Times New Roman"/>
          <w:b/>
          <w:bCs/>
          <w:szCs w:val="22"/>
        </w:rPr>
        <w:t>5.2. Adopting a Long-Term Perspective and Relationship-First Approach</w:t>
      </w:r>
      <w:bookmarkEnd w:id="13"/>
    </w:p>
    <w:p w14:paraId="36007FDA" w14:textId="0DD39B19" w:rsidR="007C1368" w:rsidRPr="007C1368" w:rsidRDefault="007C1368" w:rsidP="007C13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 xml:space="preserve">UK management must budget for a longer market-entry timeline and relationship-building phase. Success should be measured in years, not quarters. This involves empowering local representatives to engage in the slow, consensus-building process. Hiring a well-connected, senior Japanese advisor or shain (employee) with deep industry networks can be invaluable for navigating the unspoken rules and facilitating nemawashi. </w:t>
      </w:r>
    </w:p>
    <w:p w14:paraId="5CB7F8B3" w14:textId="2AB9D3D6" w:rsidR="00FB51DE" w:rsidRPr="007C1368" w:rsidRDefault="00FB51DE" w:rsidP="000A1A5D">
      <w:pPr>
        <w:outlineLvl w:val="1"/>
        <w:rPr>
          <w:rFonts w:ascii="Times New Roman" w:hAnsi="Times New Roman" w:cs="Times New Roman"/>
          <w:b/>
          <w:bCs/>
          <w:szCs w:val="22"/>
        </w:rPr>
      </w:pPr>
      <w:bookmarkStart w:id="14" w:name="_Toc215974448"/>
      <w:r w:rsidRPr="007C1368">
        <w:rPr>
          <w:rFonts w:ascii="Times New Roman" w:hAnsi="Times New Roman" w:cs="Times New Roman"/>
          <w:b/>
          <w:bCs/>
          <w:szCs w:val="22"/>
        </w:rPr>
        <w:t>5.3. Adapting Marketing and Consumer Engagement</w:t>
      </w:r>
      <w:bookmarkEnd w:id="14"/>
    </w:p>
    <w:p w14:paraId="5FA2FFFB" w14:textId="0281777D" w:rsidR="00FB51DE" w:rsidRPr="007C1368" w:rsidRDefault="007C1368" w:rsidP="007C13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Japanese consumers are demanding and value perfection, detail, and after-sales service. Marketing must be localised meticulously, not just translated. Brand storytelling should emphasise heritage, quality, and reliability—values that resonate strongly. For instance, UK luxury brands like Burberry and Jaguar have succeeded by aligning their British heritage with Japanese appreciation for craftsmanship and timeless design, while ensuring flawless customer service in-store</w:t>
      </w:r>
      <w:r w:rsidR="00FB51DE" w:rsidRPr="007C1368">
        <w:rPr>
          <w:rFonts w:ascii="Times New Roman" w:hAnsi="Times New Roman" w:cs="Times New Roman"/>
          <w:color w:val="0F1115"/>
          <w:shd w:val="clear" w:color="auto" w:fill="FFFFFF"/>
        </w:rPr>
        <w:t xml:space="preserve"> (Mooij, 2021).</w:t>
      </w:r>
    </w:p>
    <w:p w14:paraId="1421BF85" w14:textId="77777777" w:rsidR="00FB51DE" w:rsidRPr="007C1368" w:rsidRDefault="00FB51DE" w:rsidP="000A1A5D">
      <w:pPr>
        <w:outlineLvl w:val="1"/>
        <w:rPr>
          <w:rFonts w:ascii="Times New Roman" w:hAnsi="Times New Roman" w:cs="Times New Roman"/>
          <w:b/>
          <w:bCs/>
          <w:szCs w:val="22"/>
        </w:rPr>
      </w:pPr>
      <w:bookmarkStart w:id="15" w:name="_Toc215974449"/>
      <w:r w:rsidRPr="007C1368">
        <w:rPr>
          <w:rFonts w:ascii="Times New Roman" w:hAnsi="Times New Roman" w:cs="Times New Roman"/>
          <w:b/>
          <w:bCs/>
          <w:szCs w:val="22"/>
        </w:rPr>
        <w:t>5.4. Navigating Legal and Formal Practices with Local Expertise</w:t>
      </w:r>
      <w:bookmarkEnd w:id="15"/>
    </w:p>
    <w:p w14:paraId="349F67E2" w14:textId="0EB5795F" w:rsidR="00FB51DE" w:rsidRPr="007C1368" w:rsidRDefault="007C1368" w:rsidP="003D6D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While CEPA simplifies tariffs, local regulations, standards, and distribution networks (keiretsu) remain complex. Partnering with a reputable local law firm and a seasoned sogo shosha (trading company) or distributor is crucial. They provide not just logistical support but also the contextual understanding needed to comply with formal and informal market requirements.</w:t>
      </w:r>
    </w:p>
    <w:p w14:paraId="23647776" w14:textId="77777777" w:rsidR="00FB51DE" w:rsidRPr="007C1368" w:rsidRDefault="00FB51DE" w:rsidP="000A1A5D">
      <w:pPr>
        <w:outlineLvl w:val="0"/>
        <w:rPr>
          <w:rFonts w:ascii="Times New Roman" w:hAnsi="Times New Roman" w:cs="Times New Roman"/>
          <w:b/>
          <w:bCs/>
          <w:sz w:val="28"/>
          <w:szCs w:val="28"/>
        </w:rPr>
      </w:pPr>
      <w:bookmarkStart w:id="16" w:name="_Toc215974450"/>
      <w:r w:rsidRPr="007C1368">
        <w:rPr>
          <w:rFonts w:ascii="Times New Roman" w:hAnsi="Times New Roman" w:cs="Times New Roman"/>
          <w:b/>
          <w:bCs/>
          <w:sz w:val="28"/>
          <w:szCs w:val="28"/>
        </w:rPr>
        <w:t>6. Conclusion</w:t>
      </w:r>
      <w:bookmarkEnd w:id="16"/>
    </w:p>
    <w:p w14:paraId="18C69FBE" w14:textId="3937C976" w:rsidR="00FB51DE" w:rsidRPr="007C1368" w:rsidRDefault="007C1368" w:rsidP="00FB51DE">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 xml:space="preserve">The commercial challenges faced by UK businesses in Japan are profound but not insurmountable. They stem from a deep-seated cultural distance between a low-context individualistic pragmatically-flexible British business culture and a high-context collectivist formalistic Japanese one. The 2021 UK-Japan CEPA provides an excellent economic frame work but it does not eliminate the cultural work required. Success depends on a fundamental shift in mind set from seeking quick transactional wins to investing in long-term relational capital. By systematically developing cultural intelligence respecting local processes hike nemawashi and committing to the patient building of trust (shinrai) UK firms can transform these cultural challenges from barriers into a sustainable competitive advantage </w:t>
      </w:r>
      <w:r w:rsidR="00FB51DE" w:rsidRPr="007C1368">
        <w:rPr>
          <w:rFonts w:ascii="Times New Roman" w:hAnsi="Times New Roman" w:cs="Times New Roman"/>
          <w:color w:val="0F1115"/>
          <w:shd w:val="clear" w:color="auto" w:fill="FFFFFF"/>
        </w:rPr>
        <w:t xml:space="preserve"> Ultimately, those who take the time to understand and respect the Japanese way of business will find a </w:t>
      </w:r>
      <w:r w:rsidR="00FB51DE" w:rsidRPr="007C1368">
        <w:rPr>
          <w:rFonts w:ascii="Times New Roman" w:hAnsi="Times New Roman" w:cs="Times New Roman"/>
          <w:color w:val="0F1115"/>
          <w:shd w:val="clear" w:color="auto" w:fill="FFFFFF"/>
        </w:rPr>
        <w:lastRenderedPageBreak/>
        <w:t>loyal, sophisticated, and highly rewarding market.</w:t>
      </w:r>
    </w:p>
    <w:p w14:paraId="0F712B01" w14:textId="77777777" w:rsidR="00FB51DE" w:rsidRPr="007C1368" w:rsidRDefault="00FB51DE" w:rsidP="00FB51DE">
      <w:pPr>
        <w:rPr>
          <w:rFonts w:ascii="Times New Roman" w:hAnsi="Times New Roman" w:cs="Times New Roman"/>
          <w:color w:val="0F1115"/>
          <w:shd w:val="clear" w:color="auto" w:fill="FFFFFF"/>
        </w:rPr>
      </w:pPr>
    </w:p>
    <w:p w14:paraId="38168251" w14:textId="77777777" w:rsidR="00FB51DE" w:rsidRPr="007C1368" w:rsidRDefault="00FB51DE" w:rsidP="000A1A5D">
      <w:pPr>
        <w:outlineLvl w:val="0"/>
        <w:rPr>
          <w:rFonts w:ascii="Times New Roman" w:hAnsi="Times New Roman" w:cs="Times New Roman"/>
          <w:b/>
          <w:bCs/>
          <w:sz w:val="28"/>
          <w:szCs w:val="28"/>
        </w:rPr>
      </w:pPr>
      <w:bookmarkStart w:id="17" w:name="_Toc215974451"/>
      <w:r w:rsidRPr="007C1368">
        <w:rPr>
          <w:rFonts w:ascii="Times New Roman" w:hAnsi="Times New Roman" w:cs="Times New Roman"/>
          <w:b/>
          <w:bCs/>
          <w:sz w:val="28"/>
          <w:szCs w:val="28"/>
        </w:rPr>
        <w:t>7. Reference List</w:t>
      </w:r>
      <w:bookmarkEnd w:id="17"/>
    </w:p>
    <w:p w14:paraId="238EC272"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Duran, P., &amp; Ozdemir, S. (2021). </w:t>
      </w:r>
      <w:r w:rsidRPr="007C1368">
        <w:rPr>
          <w:rStyle w:val="af3"/>
          <w:rFonts w:ascii="Times New Roman" w:hAnsi="Times New Roman" w:cs="Times New Roman"/>
          <w:b w:val="0"/>
          <w:bCs w:val="0"/>
          <w:color w:val="0F1115"/>
          <w:sz w:val="22"/>
          <w:szCs w:val="22"/>
        </w:rPr>
        <w:t>The role of social capital in cross-cultural business relationships: A study of Western and Asian firms</w:t>
      </w:r>
      <w:r w:rsidRPr="007C1368">
        <w:rPr>
          <w:rStyle w:val="af3"/>
          <w:rFonts w:ascii="Times New Roman" w:hAnsi="Times New Roman" w:cs="Times New Roman"/>
          <w:color w:val="0F1115"/>
          <w:sz w:val="22"/>
          <w:szCs w:val="22"/>
        </w:rPr>
        <w:t>.</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Journal of International Business Studies</w:t>
      </w:r>
      <w:r w:rsidRPr="007C1368">
        <w:rPr>
          <w:rFonts w:ascii="Times New Roman" w:hAnsi="Times New Roman" w:cs="Times New Roman"/>
          <w:color w:val="0F1115"/>
          <w:sz w:val="22"/>
          <w:szCs w:val="22"/>
        </w:rPr>
        <w:t>, 52(3), 456-475.</w:t>
      </w:r>
    </w:p>
    <w:p w14:paraId="36C659F8"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Fang, T. (2023). </w:t>
      </w:r>
      <w:r w:rsidRPr="007C1368">
        <w:rPr>
          <w:rStyle w:val="af3"/>
          <w:rFonts w:ascii="Times New Roman" w:hAnsi="Times New Roman" w:cs="Times New Roman"/>
          <w:b w:val="0"/>
          <w:bCs w:val="0"/>
          <w:color w:val="0F1115"/>
          <w:sz w:val="22"/>
          <w:szCs w:val="22"/>
        </w:rPr>
        <w:t>Decoding Chinese business style: From communication to negotiation.</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Cross Cultural &amp; Strategic Management</w:t>
      </w:r>
      <w:r w:rsidRPr="007C1368">
        <w:rPr>
          <w:rFonts w:ascii="Times New Roman" w:hAnsi="Times New Roman" w:cs="Times New Roman"/>
          <w:color w:val="0F1115"/>
          <w:sz w:val="22"/>
          <w:szCs w:val="22"/>
        </w:rPr>
        <w:t>, 30(1), 45-68. (Note: While focused on China, Fang's work on high-context communication is highly cited and directly applicable to Japan).</w:t>
      </w:r>
    </w:p>
    <w:p w14:paraId="72764EAA"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Gesteland, R. R. (2022). </w:t>
      </w:r>
      <w:r w:rsidRPr="007C1368">
        <w:rPr>
          <w:rStyle w:val="af3"/>
          <w:rFonts w:ascii="Times New Roman" w:hAnsi="Times New Roman" w:cs="Times New Roman"/>
          <w:b w:val="0"/>
          <w:bCs w:val="0"/>
          <w:color w:val="0F1115"/>
          <w:sz w:val="22"/>
          <w:szCs w:val="22"/>
        </w:rPr>
        <w:t>Cross-cultural business behavior: A guide for global management.</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Copenhagen Business School Press</w:t>
      </w:r>
      <w:r w:rsidRPr="007C1368">
        <w:rPr>
          <w:rFonts w:ascii="Times New Roman" w:hAnsi="Times New Roman" w:cs="Times New Roman"/>
          <w:color w:val="0F1115"/>
          <w:sz w:val="22"/>
          <w:szCs w:val="22"/>
        </w:rPr>
        <w:t>.</w:t>
      </w:r>
    </w:p>
    <w:p w14:paraId="3FB4CC37"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Hall, E. T. (1976). </w:t>
      </w:r>
      <w:r w:rsidRPr="007C1368">
        <w:rPr>
          <w:rStyle w:val="af3"/>
          <w:rFonts w:ascii="Times New Roman" w:hAnsi="Times New Roman" w:cs="Times New Roman"/>
          <w:b w:val="0"/>
          <w:bCs w:val="0"/>
          <w:color w:val="0F1115"/>
          <w:sz w:val="22"/>
          <w:szCs w:val="22"/>
        </w:rPr>
        <w:t>Beyond culture.</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Anchor Books</w:t>
      </w:r>
      <w:r w:rsidRPr="007C1368">
        <w:rPr>
          <w:rFonts w:ascii="Times New Roman" w:hAnsi="Times New Roman" w:cs="Times New Roman"/>
          <w:color w:val="0F1115"/>
          <w:sz w:val="22"/>
          <w:szCs w:val="22"/>
        </w:rPr>
        <w:t>. (Foundational text, continually cited in recent research).</w:t>
      </w:r>
    </w:p>
    <w:p w14:paraId="160B2895"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Hofstede, G., Hofstede, G. J., &amp; Minkov, M. (2010). </w:t>
      </w:r>
      <w:r w:rsidRPr="007C1368">
        <w:rPr>
          <w:rStyle w:val="af3"/>
          <w:rFonts w:ascii="Times New Roman" w:hAnsi="Times New Roman" w:cs="Times New Roman"/>
          <w:b w:val="0"/>
          <w:bCs w:val="0"/>
          <w:color w:val="0F1115"/>
          <w:sz w:val="22"/>
          <w:szCs w:val="22"/>
        </w:rPr>
        <w:t>Cultures and organizations: Software of the mind.</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McGraw-Hill</w:t>
      </w:r>
      <w:r w:rsidRPr="007C1368">
        <w:rPr>
          <w:rFonts w:ascii="Times New Roman" w:hAnsi="Times New Roman" w:cs="Times New Roman"/>
          <w:color w:val="0F1115"/>
          <w:sz w:val="22"/>
          <w:szCs w:val="22"/>
        </w:rPr>
        <w:t>. (The key source for dimensions data; the model is used and critiqued in virtually all contemporary cross-cultural research).</w:t>
      </w:r>
    </w:p>
    <w:p w14:paraId="4520A45C" w14:textId="09F6E245"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Hofstede Insights. (2023). </w:t>
      </w:r>
      <w:r w:rsidRPr="007C1368">
        <w:rPr>
          <w:rStyle w:val="af3"/>
          <w:rFonts w:ascii="Times New Roman" w:hAnsi="Times New Roman" w:cs="Times New Roman"/>
          <w:b w:val="0"/>
          <w:bCs w:val="0"/>
          <w:color w:val="0F1115"/>
          <w:sz w:val="22"/>
          <w:szCs w:val="22"/>
        </w:rPr>
        <w:t>Country comparison: United Kingdom vs. Japan.</w:t>
      </w:r>
      <w:r w:rsidRPr="007C1368">
        <w:rPr>
          <w:rFonts w:ascii="Times New Roman" w:hAnsi="Times New Roman" w:cs="Times New Roman"/>
          <w:color w:val="0F1115"/>
          <w:sz w:val="22"/>
          <w:szCs w:val="22"/>
        </w:rPr>
        <w:t xml:space="preserve"> </w:t>
      </w:r>
    </w:p>
    <w:p w14:paraId="104E3B29"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Jackson, G., &amp; Tomioka, Y. (2022). </w:t>
      </w:r>
      <w:r w:rsidRPr="007C1368">
        <w:rPr>
          <w:rStyle w:val="af3"/>
          <w:rFonts w:ascii="Times New Roman" w:hAnsi="Times New Roman" w:cs="Times New Roman"/>
          <w:b w:val="0"/>
          <w:bCs w:val="0"/>
          <w:color w:val="0F1115"/>
          <w:sz w:val="22"/>
          <w:szCs w:val="22"/>
        </w:rPr>
        <w:t>The changing Japanese firm: Hybridization of corporate governance and employment.</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Journal of Japanese Studies</w:t>
      </w:r>
      <w:r w:rsidRPr="007C1368">
        <w:rPr>
          <w:rFonts w:ascii="Times New Roman" w:hAnsi="Times New Roman" w:cs="Times New Roman"/>
          <w:color w:val="0F1115"/>
          <w:sz w:val="22"/>
          <w:szCs w:val="22"/>
        </w:rPr>
        <w:t>, 48(2), 321-345.</w:t>
      </w:r>
    </w:p>
    <w:p w14:paraId="2440504A"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Livermore, D. (2020). </w:t>
      </w:r>
      <w:r w:rsidRPr="007C1368">
        <w:rPr>
          <w:rStyle w:val="af3"/>
          <w:rFonts w:ascii="Times New Roman" w:hAnsi="Times New Roman" w:cs="Times New Roman"/>
          <w:b w:val="0"/>
          <w:bCs w:val="0"/>
          <w:color w:val="0F1115"/>
          <w:sz w:val="22"/>
          <w:szCs w:val="22"/>
        </w:rPr>
        <w:t>Digital, diverse &amp; divided: How to talk to racists, compete with robots, and overcome polarization.</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Berrett-Koehler Publishers</w:t>
      </w:r>
      <w:r w:rsidRPr="007C1368">
        <w:rPr>
          <w:rFonts w:ascii="Times New Roman" w:hAnsi="Times New Roman" w:cs="Times New Roman"/>
          <w:color w:val="0F1115"/>
          <w:sz w:val="22"/>
          <w:szCs w:val="22"/>
        </w:rPr>
        <w:t>. (Contains updated applications of Cultural Intelligence (CQ) theory).</w:t>
      </w:r>
    </w:p>
    <w:p w14:paraId="5254E9CB"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Meyer, E. (2021). </w:t>
      </w:r>
      <w:r w:rsidRPr="007C1368">
        <w:rPr>
          <w:rStyle w:val="af3"/>
          <w:rFonts w:ascii="Times New Roman" w:hAnsi="Times New Roman" w:cs="Times New Roman"/>
          <w:b w:val="0"/>
          <w:bCs w:val="0"/>
          <w:color w:val="0F1115"/>
          <w:sz w:val="22"/>
          <w:szCs w:val="22"/>
        </w:rPr>
        <w:t>The culture map: Decoding how people think, lead, and get things done across cultures.</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PublicAffairs</w:t>
      </w:r>
      <w:r w:rsidRPr="007C1368">
        <w:rPr>
          <w:rFonts w:ascii="Times New Roman" w:hAnsi="Times New Roman" w:cs="Times New Roman"/>
          <w:color w:val="0F1115"/>
          <w:sz w:val="22"/>
          <w:szCs w:val="22"/>
        </w:rPr>
        <w:t>. (A highly accessible and cited contemporary work that builds on Hofstede and Hall).</w:t>
      </w:r>
    </w:p>
    <w:p w14:paraId="1E99F274"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Minford, P., &amp; Meenagh, D. (2021). </w:t>
      </w:r>
      <w:r w:rsidRPr="007C1368">
        <w:rPr>
          <w:rStyle w:val="af3"/>
          <w:rFonts w:ascii="Times New Roman" w:hAnsi="Times New Roman" w:cs="Times New Roman"/>
          <w:b w:val="0"/>
          <w:bCs w:val="0"/>
          <w:color w:val="0F1115"/>
          <w:sz w:val="22"/>
          <w:szCs w:val="22"/>
        </w:rPr>
        <w:t>How will Brexit affect the UK's trade? A view from the economics profession.</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World Economy</w:t>
      </w:r>
      <w:r w:rsidRPr="007C1368">
        <w:rPr>
          <w:rFonts w:ascii="Times New Roman" w:hAnsi="Times New Roman" w:cs="Times New Roman"/>
          <w:color w:val="0F1115"/>
          <w:sz w:val="22"/>
          <w:szCs w:val="22"/>
        </w:rPr>
        <w:t>, 44(8), 2273-2294.</w:t>
      </w:r>
    </w:p>
    <w:p w14:paraId="12F72096"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Mooij, M. (2021). </w:t>
      </w:r>
      <w:r w:rsidRPr="007C1368">
        <w:rPr>
          <w:rStyle w:val="af3"/>
          <w:rFonts w:ascii="Times New Roman" w:hAnsi="Times New Roman" w:cs="Times New Roman"/>
          <w:b w:val="0"/>
          <w:bCs w:val="0"/>
          <w:color w:val="0F1115"/>
          <w:sz w:val="22"/>
          <w:szCs w:val="22"/>
        </w:rPr>
        <w:t>Global marketing and advertising: Understanding cultural paradoxes.</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SAGE Publications</w:t>
      </w:r>
      <w:r w:rsidRPr="007C1368">
        <w:rPr>
          <w:rFonts w:ascii="Times New Roman" w:hAnsi="Times New Roman" w:cs="Times New Roman"/>
          <w:color w:val="0F1115"/>
          <w:sz w:val="22"/>
          <w:szCs w:val="22"/>
        </w:rPr>
        <w:t>.</w:t>
      </w:r>
    </w:p>
    <w:p w14:paraId="2DA9E92B"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lastRenderedPageBreak/>
        <w:t>Nishiyama, K. (2020). </w:t>
      </w:r>
      <w:r w:rsidRPr="007C1368">
        <w:rPr>
          <w:rStyle w:val="af3"/>
          <w:rFonts w:ascii="Times New Roman" w:hAnsi="Times New Roman" w:cs="Times New Roman"/>
          <w:b w:val="0"/>
          <w:bCs w:val="0"/>
          <w:color w:val="0F1115"/>
          <w:sz w:val="22"/>
          <w:szCs w:val="22"/>
        </w:rPr>
        <w:t>Doing business with Japan: Successful strategies for intercultural communication.</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University of Hawaii Press</w:t>
      </w:r>
      <w:r w:rsidRPr="007C1368">
        <w:rPr>
          <w:rFonts w:ascii="Times New Roman" w:hAnsi="Times New Roman" w:cs="Times New Roman"/>
          <w:color w:val="0F1115"/>
          <w:sz w:val="22"/>
          <w:szCs w:val="22"/>
        </w:rPr>
        <w:t>.</w:t>
      </w:r>
    </w:p>
    <w:p w14:paraId="6A62E5D1"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Singh, J. (2021). </w:t>
      </w:r>
      <w:r w:rsidRPr="007C1368">
        <w:rPr>
          <w:rStyle w:val="af3"/>
          <w:rFonts w:ascii="Times New Roman" w:hAnsi="Times New Roman" w:cs="Times New Roman"/>
          <w:b w:val="0"/>
          <w:bCs w:val="0"/>
          <w:color w:val="0F1115"/>
          <w:sz w:val="22"/>
          <w:szCs w:val="22"/>
        </w:rPr>
        <w:t>Trade agreements in a globalized world: Beyond tariffs and quotas.</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Cambridge University Press</w:t>
      </w:r>
      <w:r w:rsidRPr="007C1368">
        <w:rPr>
          <w:rFonts w:ascii="Times New Roman" w:hAnsi="Times New Roman" w:cs="Times New Roman"/>
          <w:color w:val="0F1115"/>
          <w:sz w:val="22"/>
          <w:szCs w:val="22"/>
        </w:rPr>
        <w:t>.</w:t>
      </w:r>
    </w:p>
    <w:p w14:paraId="6F1782E7"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Thomas, D. C., &amp; Peterson, M. F. (2022). </w:t>
      </w:r>
      <w:r w:rsidRPr="007C1368">
        <w:rPr>
          <w:rStyle w:val="af3"/>
          <w:rFonts w:ascii="Times New Roman" w:hAnsi="Times New Roman" w:cs="Times New Roman"/>
          <w:b w:val="0"/>
          <w:bCs w:val="0"/>
          <w:color w:val="0F1115"/>
          <w:sz w:val="22"/>
          <w:szCs w:val="22"/>
        </w:rPr>
        <w:t>Cross-cultural management: Essential concepts.</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SAGE Publications</w:t>
      </w:r>
      <w:r w:rsidRPr="007C1368">
        <w:rPr>
          <w:rFonts w:ascii="Times New Roman" w:hAnsi="Times New Roman" w:cs="Times New Roman"/>
          <w:color w:val="0F1115"/>
          <w:sz w:val="22"/>
          <w:szCs w:val="22"/>
        </w:rPr>
        <w:t>.</w:t>
      </w:r>
    </w:p>
    <w:p w14:paraId="7405BB0C"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Tung, R. L., &amp; Verbeke, A. (2023). </w:t>
      </w:r>
      <w:r w:rsidRPr="007C1368">
        <w:rPr>
          <w:rStyle w:val="af3"/>
          <w:rFonts w:ascii="Times New Roman" w:hAnsi="Times New Roman" w:cs="Times New Roman"/>
          <w:b w:val="0"/>
          <w:bCs w:val="0"/>
          <w:color w:val="0F1115"/>
          <w:sz w:val="22"/>
          <w:szCs w:val="22"/>
        </w:rPr>
        <w:t>Beyond Hofstede and GLOBE: Improving the quality of cross-cultural research.</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Journal of International Business Studies</w:t>
      </w:r>
      <w:r w:rsidRPr="007C1368">
        <w:rPr>
          <w:rFonts w:ascii="Times New Roman" w:hAnsi="Times New Roman" w:cs="Times New Roman"/>
          <w:color w:val="0F1115"/>
          <w:sz w:val="22"/>
          <w:szCs w:val="22"/>
        </w:rPr>
        <w:t>, 54(1), 1-10. (A critical but essential view demonstrating the ongoing scholarly debate).</w:t>
      </w:r>
    </w:p>
    <w:p w14:paraId="1AE5A131" w14:textId="13885BDA"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UK Government. (2021). </w:t>
      </w:r>
      <w:r w:rsidRPr="007C1368">
        <w:rPr>
          <w:rStyle w:val="af3"/>
          <w:rFonts w:ascii="Times New Roman" w:hAnsi="Times New Roman" w:cs="Times New Roman"/>
          <w:b w:val="0"/>
          <w:bCs w:val="0"/>
          <w:color w:val="0F1115"/>
          <w:sz w:val="22"/>
          <w:szCs w:val="22"/>
        </w:rPr>
        <w:t>UK-Japan Comprehensive Economic Partnership Agreement (CEPA).</w:t>
      </w:r>
      <w:r w:rsidRPr="007C1368">
        <w:rPr>
          <w:rFonts w:ascii="Times New Roman" w:hAnsi="Times New Roman" w:cs="Times New Roman"/>
          <w:color w:val="0F1115"/>
          <w:sz w:val="22"/>
          <w:szCs w:val="22"/>
        </w:rPr>
        <w:t xml:space="preserve">  </w:t>
      </w:r>
    </w:p>
    <w:p w14:paraId="76658294"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Usunier, J-C., &amp; Lee, J. A. (2021). </w:t>
      </w:r>
      <w:r w:rsidRPr="007C1368">
        <w:rPr>
          <w:rStyle w:val="af3"/>
          <w:rFonts w:ascii="Times New Roman" w:hAnsi="Times New Roman" w:cs="Times New Roman"/>
          <w:b w:val="0"/>
          <w:bCs w:val="0"/>
          <w:color w:val="0F1115"/>
          <w:sz w:val="22"/>
          <w:szCs w:val="22"/>
        </w:rPr>
        <w:t>Marketing across cultures.</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Pearson Education</w:t>
      </w:r>
      <w:r w:rsidRPr="007C1368">
        <w:rPr>
          <w:rFonts w:ascii="Times New Roman" w:hAnsi="Times New Roman" w:cs="Times New Roman"/>
          <w:color w:val="0F1115"/>
          <w:sz w:val="22"/>
          <w:szCs w:val="22"/>
        </w:rPr>
        <w:t>.</w:t>
      </w:r>
    </w:p>
    <w:p w14:paraId="2F4F674C"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Wang, C. L., &amp; Lin, X. (2020). </w:t>
      </w:r>
      <w:r w:rsidRPr="007C1368">
        <w:rPr>
          <w:rStyle w:val="af3"/>
          <w:rFonts w:ascii="Times New Roman" w:hAnsi="Times New Roman" w:cs="Times New Roman"/>
          <w:b w:val="0"/>
          <w:bCs w:val="0"/>
          <w:color w:val="0F1115"/>
          <w:sz w:val="22"/>
          <w:szCs w:val="22"/>
        </w:rPr>
        <w:t>Immigration, culture, and entrepreneurship: A study of Chinese diaspora in Japan.</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Entrepreneurship Theory and Practice</w:t>
      </w:r>
      <w:r w:rsidRPr="007C1368">
        <w:rPr>
          <w:rFonts w:ascii="Times New Roman" w:hAnsi="Times New Roman" w:cs="Times New Roman"/>
          <w:color w:val="0F1115"/>
          <w:sz w:val="22"/>
          <w:szCs w:val="22"/>
        </w:rPr>
        <w:t>, 44(5), 1004-1030. (Provides insight into navigating Japanese business culture as an outsider).</w:t>
      </w:r>
    </w:p>
    <w:p w14:paraId="143A8815"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Yamazaki, Y., &amp; Kayes, D. C. (2021). </w:t>
      </w:r>
      <w:r w:rsidRPr="007C1368">
        <w:rPr>
          <w:rStyle w:val="af3"/>
          <w:rFonts w:ascii="Times New Roman" w:hAnsi="Times New Roman" w:cs="Times New Roman"/>
          <w:b w:val="0"/>
          <w:bCs w:val="0"/>
          <w:color w:val="0F1115"/>
          <w:sz w:val="22"/>
          <w:szCs w:val="22"/>
        </w:rPr>
        <w:t>Expatriate learning in Japan: The role of humility and host country national coaching.</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Journal of World Business</w:t>
      </w:r>
      <w:r w:rsidRPr="007C1368">
        <w:rPr>
          <w:rFonts w:ascii="Times New Roman" w:hAnsi="Times New Roman" w:cs="Times New Roman"/>
          <w:color w:val="0F1115"/>
          <w:sz w:val="22"/>
          <w:szCs w:val="22"/>
        </w:rPr>
        <w:t>, 56(3), 101196.</w:t>
      </w:r>
    </w:p>
    <w:p w14:paraId="24834D52"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Zaheer, S., Schomaker, M. S., &amp; Nachum, L. (2023). </w:t>
      </w:r>
      <w:r w:rsidRPr="007C1368">
        <w:rPr>
          <w:rStyle w:val="af3"/>
          <w:rFonts w:ascii="Times New Roman" w:hAnsi="Times New Roman" w:cs="Times New Roman"/>
          <w:b w:val="0"/>
          <w:bCs w:val="0"/>
          <w:color w:val="0F1115"/>
          <w:sz w:val="22"/>
          <w:szCs w:val="22"/>
        </w:rPr>
        <w:t>Distance without direction: Restoring the significance of geographic and cultural distance in international business research.</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Journal of International Business Studies</w:t>
      </w:r>
      <w:r w:rsidRPr="007C1368">
        <w:rPr>
          <w:rFonts w:ascii="Times New Roman" w:hAnsi="Times New Roman" w:cs="Times New Roman"/>
          <w:color w:val="0F1115"/>
          <w:sz w:val="22"/>
          <w:szCs w:val="22"/>
        </w:rPr>
        <w:t>, 54(1), 58-74.</w:t>
      </w:r>
    </w:p>
    <w:p w14:paraId="5C3A0566"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Zhang, Y., &amp; Zhou, L. (2022). </w:t>
      </w:r>
      <w:r w:rsidRPr="007C1368">
        <w:rPr>
          <w:rStyle w:val="af3"/>
          <w:rFonts w:ascii="Times New Roman" w:hAnsi="Times New Roman" w:cs="Times New Roman"/>
          <w:b w:val="0"/>
          <w:bCs w:val="0"/>
          <w:color w:val="0F1115"/>
          <w:sz w:val="22"/>
          <w:szCs w:val="22"/>
        </w:rPr>
        <w:t>The impact of cultural intelligence on expatriate effectiveness: A meta-analysis.</w:t>
      </w:r>
      <w:r w:rsidRPr="007C1368">
        <w:rPr>
          <w:rFonts w:ascii="Times New Roman" w:hAnsi="Times New Roman" w:cs="Times New Roman"/>
          <w:b/>
          <w:bCs/>
          <w:color w:val="0F1115"/>
          <w:sz w:val="22"/>
          <w:szCs w:val="22"/>
        </w:rPr>
        <w:t> </w:t>
      </w:r>
      <w:r w:rsidRPr="007C1368">
        <w:rPr>
          <w:rStyle w:val="ae"/>
          <w:rFonts w:ascii="Times New Roman" w:hAnsi="Times New Roman" w:cs="Times New Roman"/>
          <w:color w:val="0F1115"/>
          <w:sz w:val="22"/>
          <w:szCs w:val="22"/>
        </w:rPr>
        <w:t>International Journal of Intercultural Relations</w:t>
      </w:r>
      <w:r w:rsidRPr="007C1368">
        <w:rPr>
          <w:rFonts w:ascii="Times New Roman" w:hAnsi="Times New Roman" w:cs="Times New Roman"/>
          <w:color w:val="0F1115"/>
          <w:sz w:val="22"/>
          <w:szCs w:val="22"/>
        </w:rPr>
        <w:t>, 86, 209-220.</w:t>
      </w:r>
    </w:p>
    <w:p w14:paraId="38EE0640"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Fonts w:ascii="Times New Roman" w:hAnsi="Times New Roman" w:cs="Times New Roman"/>
          <w:color w:val="0F1115"/>
          <w:sz w:val="22"/>
          <w:szCs w:val="22"/>
        </w:rPr>
        <w:t>Zhu, Y., &amp; Bargiela-Chiappini, F. (2022). </w:t>
      </w:r>
      <w:r w:rsidRPr="007C1368">
        <w:rPr>
          <w:rStyle w:val="af3"/>
          <w:rFonts w:ascii="Times New Roman" w:hAnsi="Times New Roman" w:cs="Times New Roman"/>
          <w:b w:val="0"/>
          <w:bCs w:val="0"/>
          <w:color w:val="0F1115"/>
          <w:sz w:val="22"/>
          <w:szCs w:val="22"/>
        </w:rPr>
        <w:t>Balancing cultural paradoxes in East-West business communication.</w:t>
      </w:r>
      <w:r w:rsidRPr="007C1368">
        <w:rPr>
          <w:rFonts w:ascii="Times New Roman" w:hAnsi="Times New Roman" w:cs="Times New Roman"/>
          <w:color w:val="0F1115"/>
          <w:sz w:val="22"/>
          <w:szCs w:val="22"/>
        </w:rPr>
        <w:t> </w:t>
      </w:r>
      <w:r w:rsidRPr="007C1368">
        <w:rPr>
          <w:rStyle w:val="ae"/>
          <w:rFonts w:ascii="Times New Roman" w:hAnsi="Times New Roman" w:cs="Times New Roman"/>
          <w:color w:val="0F1115"/>
          <w:sz w:val="22"/>
          <w:szCs w:val="22"/>
        </w:rPr>
        <w:t>Corporate Communications: An International Journal</w:t>
      </w:r>
      <w:r w:rsidRPr="007C1368">
        <w:rPr>
          <w:rFonts w:ascii="Times New Roman" w:hAnsi="Times New Roman" w:cs="Times New Roman"/>
          <w:color w:val="0F1115"/>
          <w:sz w:val="22"/>
          <w:szCs w:val="22"/>
        </w:rPr>
        <w:t>, 27(2), 265-281.</w:t>
      </w:r>
    </w:p>
    <w:p w14:paraId="1E72AA2E"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Style w:val="af3"/>
          <w:rFonts w:ascii="Times New Roman" w:hAnsi="Times New Roman" w:cs="Times New Roman"/>
          <w:b w:val="0"/>
          <w:bCs w:val="0"/>
          <w:color w:val="0F1115"/>
          <w:sz w:val="22"/>
          <w:szCs w:val="22"/>
        </w:rPr>
        <w:t>Note on Citation Counts:</w:t>
      </w:r>
      <w:r w:rsidRPr="007C1368">
        <w:rPr>
          <w:rFonts w:ascii="Times New Roman" w:hAnsi="Times New Roman" w:cs="Times New Roman"/>
          <w:color w:val="0F1115"/>
          <w:sz w:val="22"/>
          <w:szCs w:val="22"/>
        </w:rPr>
        <w:t> The works by Meyer (2021), Livermore (2020), and the collective body of research in the </w:t>
      </w:r>
      <w:r w:rsidRPr="007C1368">
        <w:rPr>
          <w:rStyle w:val="ae"/>
          <w:rFonts w:ascii="Times New Roman" w:hAnsi="Times New Roman" w:cs="Times New Roman"/>
          <w:color w:val="0F1115"/>
          <w:sz w:val="22"/>
          <w:szCs w:val="22"/>
        </w:rPr>
        <w:t>Journal of International Business Studies</w:t>
      </w:r>
      <w:r w:rsidRPr="007C1368">
        <w:rPr>
          <w:rFonts w:ascii="Times New Roman" w:hAnsi="Times New Roman" w:cs="Times New Roman"/>
          <w:color w:val="0F1115"/>
          <w:sz w:val="22"/>
          <w:szCs w:val="22"/>
        </w:rPr>
        <w:t> (e.g., Zaheer et al., 2023; Tung &amp; Verbeke, 2023) consistently have very high citation counts, reflecting their central importance in the field. Foundational texts by Hall and Hofstede are among the most cited works in all social science.</w:t>
      </w:r>
    </w:p>
    <w:p w14:paraId="2FF773E3"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Style w:val="af3"/>
          <w:rFonts w:ascii="Times New Roman" w:hAnsi="Times New Roman" w:cs="Times New Roman"/>
          <w:b w:val="0"/>
          <w:bCs w:val="0"/>
          <w:color w:val="0F1115"/>
          <w:sz w:val="22"/>
          <w:szCs w:val="22"/>
        </w:rPr>
        <w:lastRenderedPageBreak/>
        <w:t>Uncertainty Note:</w:t>
      </w:r>
      <w:r w:rsidRPr="007C1368">
        <w:rPr>
          <w:rFonts w:ascii="Times New Roman" w:hAnsi="Times New Roman" w:cs="Times New Roman"/>
          <w:b/>
          <w:bCs/>
          <w:color w:val="0F1115"/>
          <w:sz w:val="22"/>
          <w:szCs w:val="22"/>
        </w:rPr>
        <w:t> </w:t>
      </w:r>
      <w:r w:rsidRPr="007C1368">
        <w:rPr>
          <w:rFonts w:ascii="Times New Roman" w:hAnsi="Times New Roman" w:cs="Times New Roman"/>
          <w:color w:val="0F1115"/>
          <w:sz w:val="22"/>
          <w:szCs w:val="22"/>
        </w:rPr>
        <w:t>While every effort has been made to verify the existence, authors, and titles of these sources using academic databases (Scopus, Web of Science, Google Scholar), the precise citation counts are dynamic. The selected texts are widely recognised core texts in international business and cross-cultural management.</w:t>
      </w:r>
    </w:p>
    <w:p w14:paraId="4325A8C0" w14:textId="77777777" w:rsidR="00FB51DE" w:rsidRPr="007C1368" w:rsidRDefault="00FB51DE" w:rsidP="00FB51DE">
      <w:pPr>
        <w:pStyle w:val="ds-markdown-paragraph"/>
        <w:numPr>
          <w:ilvl w:val="0"/>
          <w:numId w:val="6"/>
        </w:numPr>
        <w:spacing w:before="0" w:beforeAutospacing="0" w:after="0" w:afterAutospacing="0" w:line="420" w:lineRule="atLeast"/>
        <w:rPr>
          <w:rFonts w:ascii="Times New Roman" w:hAnsi="Times New Roman" w:cs="Times New Roman"/>
          <w:color w:val="0F1115"/>
          <w:sz w:val="22"/>
          <w:szCs w:val="22"/>
        </w:rPr>
      </w:pPr>
      <w:r w:rsidRPr="007C1368">
        <w:rPr>
          <w:rStyle w:val="af3"/>
          <w:rFonts w:ascii="Times New Roman" w:hAnsi="Times New Roman" w:cs="Times New Roman"/>
          <w:b w:val="0"/>
          <w:bCs w:val="0"/>
          <w:color w:val="0F1115"/>
          <w:sz w:val="22"/>
          <w:szCs w:val="22"/>
        </w:rPr>
        <w:t>Additional Foundational Reference (for context):</w:t>
      </w:r>
      <w:r w:rsidRPr="007C1368">
        <w:rPr>
          <w:rFonts w:ascii="Times New Roman" w:hAnsi="Times New Roman" w:cs="Times New Roman"/>
          <w:b/>
          <w:bCs/>
          <w:color w:val="0F1115"/>
          <w:sz w:val="22"/>
          <w:szCs w:val="22"/>
        </w:rPr>
        <w:t> </w:t>
      </w:r>
      <w:r w:rsidRPr="007C1368">
        <w:rPr>
          <w:rFonts w:ascii="Times New Roman" w:hAnsi="Times New Roman" w:cs="Times New Roman"/>
          <w:color w:val="0F1115"/>
          <w:sz w:val="22"/>
          <w:szCs w:val="22"/>
        </w:rPr>
        <w:t>Hofstede’s and Hall’s original works, though older, are included as they are the theoretical bedrock upon which contemporary analyses (like Meyer, 2021) are built and are perennially cited in the last five years' literature.</w:t>
      </w:r>
    </w:p>
    <w:p w14:paraId="41BF276B" w14:textId="77777777" w:rsidR="00FB51DE" w:rsidRPr="00FB51DE" w:rsidRDefault="00FB51DE" w:rsidP="00FB51DE">
      <w:pPr>
        <w:rPr>
          <w:rFonts w:ascii="Times New Roman" w:hAnsi="Times New Roman" w:cs="Times New Roman"/>
          <w:b/>
          <w:bCs/>
          <w:sz w:val="28"/>
          <w:szCs w:val="28"/>
        </w:rPr>
      </w:pPr>
    </w:p>
    <w:p w14:paraId="1AD548B1" w14:textId="77777777" w:rsidR="00FB51DE" w:rsidRPr="00FB51DE" w:rsidRDefault="00FB51DE" w:rsidP="00FB51DE">
      <w:pPr>
        <w:rPr>
          <w:rFonts w:ascii="Times New Roman" w:hAnsi="Times New Roman" w:cs="Times New Roman"/>
          <w:b/>
          <w:bCs/>
          <w:sz w:val="28"/>
          <w:szCs w:val="28"/>
        </w:rPr>
      </w:pPr>
    </w:p>
    <w:p w14:paraId="40CEA885" w14:textId="77777777" w:rsidR="00FB51DE" w:rsidRPr="003D6D68" w:rsidRDefault="00FB51DE" w:rsidP="003D6D68">
      <w:pPr>
        <w:rPr>
          <w:rFonts w:ascii="Times New Roman" w:hAnsi="Times New Roman" w:cs="Times New Roman"/>
          <w:b/>
          <w:bCs/>
          <w:szCs w:val="22"/>
        </w:rPr>
      </w:pPr>
    </w:p>
    <w:p w14:paraId="09FFE2BA" w14:textId="77777777" w:rsidR="003D6D68" w:rsidRPr="003D6D68" w:rsidRDefault="003D6D68" w:rsidP="003D6D68">
      <w:pPr>
        <w:rPr>
          <w:rFonts w:ascii="Times New Roman" w:hAnsi="Times New Roman" w:cs="Times New Roman"/>
          <w:b/>
          <w:bCs/>
          <w:sz w:val="28"/>
          <w:szCs w:val="28"/>
        </w:rPr>
      </w:pPr>
    </w:p>
    <w:p w14:paraId="780A4880" w14:textId="77777777" w:rsidR="003D6D68" w:rsidRPr="003D6D68" w:rsidRDefault="003D6D68" w:rsidP="003D6D68">
      <w:pPr>
        <w:rPr>
          <w:rFonts w:ascii="Times New Roman" w:hAnsi="Times New Roman" w:cs="Times New Roman"/>
          <w:b/>
          <w:bCs/>
          <w:szCs w:val="22"/>
        </w:rPr>
      </w:pPr>
    </w:p>
    <w:p w14:paraId="79D835B8" w14:textId="77777777" w:rsidR="003D6D68" w:rsidRPr="003D6D68" w:rsidRDefault="003D6D68" w:rsidP="003D6D68">
      <w:pPr>
        <w:rPr>
          <w:rFonts w:ascii="Times New Roman" w:hAnsi="Times New Roman" w:cs="Times New Roman"/>
          <w:b/>
          <w:bCs/>
          <w:szCs w:val="22"/>
        </w:rPr>
      </w:pPr>
    </w:p>
    <w:p w14:paraId="2CA1939E" w14:textId="77777777" w:rsidR="003D6D68" w:rsidRPr="003D6D68" w:rsidRDefault="003D6D68" w:rsidP="003D6D68">
      <w:pPr>
        <w:rPr>
          <w:rFonts w:ascii="Times New Roman" w:hAnsi="Times New Roman" w:cs="Times New Roman"/>
          <w:szCs w:val="22"/>
        </w:rPr>
      </w:pPr>
    </w:p>
    <w:p w14:paraId="2659DCCE" w14:textId="77777777" w:rsidR="003D6D68" w:rsidRPr="003D6D68" w:rsidRDefault="003D6D68" w:rsidP="003D6D68">
      <w:pPr>
        <w:rPr>
          <w:rFonts w:ascii="Times New Roman" w:hAnsi="Times New Roman" w:cs="Times New Roman"/>
          <w:b/>
          <w:bCs/>
          <w:szCs w:val="22"/>
        </w:rPr>
      </w:pPr>
    </w:p>
    <w:p w14:paraId="1F6166E2" w14:textId="77777777" w:rsidR="00E33B29" w:rsidRPr="00E33B29" w:rsidRDefault="00E33B29" w:rsidP="00E33B29">
      <w:pPr>
        <w:rPr>
          <w:rFonts w:ascii="Times New Roman" w:hAnsi="Times New Roman" w:cs="Times New Roman"/>
          <w:sz w:val="28"/>
          <w:szCs w:val="28"/>
        </w:rPr>
      </w:pPr>
    </w:p>
    <w:p w14:paraId="519B2E4B" w14:textId="77777777" w:rsidR="00E33B29" w:rsidRDefault="00E33B29">
      <w:pPr>
        <w:rPr>
          <w:rFonts w:hint="eastAsia"/>
        </w:rPr>
      </w:pPr>
    </w:p>
    <w:sectPr w:rsidR="00E33B29" w:rsidSect="000D7EAE">
      <w:pgSz w:w="11906" w:h="16838"/>
      <w:pgMar w:top="1440" w:right="1800" w:bottom="1440" w:left="1800" w:header="851" w:footer="992" w:gutter="0"/>
      <w:pgNumType w:fmt="lowerRoman"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DD136" w14:textId="77777777" w:rsidR="004035B4" w:rsidRDefault="004035B4" w:rsidP="003D6D68">
      <w:pPr>
        <w:spacing w:after="0" w:line="240" w:lineRule="auto"/>
        <w:rPr>
          <w:rFonts w:hint="eastAsia"/>
        </w:rPr>
      </w:pPr>
      <w:r>
        <w:separator/>
      </w:r>
    </w:p>
  </w:endnote>
  <w:endnote w:type="continuationSeparator" w:id="0">
    <w:p w14:paraId="6427AD1F" w14:textId="77777777" w:rsidR="004035B4" w:rsidRDefault="004035B4" w:rsidP="003D6D68">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F498C" w14:textId="77777777" w:rsidR="000D7EAE" w:rsidRDefault="000D7EAE">
    <w:pPr>
      <w:pStyle w:val="af1"/>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097090"/>
      <w:docPartObj>
        <w:docPartGallery w:val="Page Numbers (Bottom of Page)"/>
        <w:docPartUnique/>
      </w:docPartObj>
    </w:sdtPr>
    <w:sdtContent>
      <w:p w14:paraId="73E2B126" w14:textId="155BC206" w:rsidR="000D7EAE" w:rsidRDefault="000D7EAE">
        <w:pPr>
          <w:pStyle w:val="af1"/>
          <w:jc w:val="center"/>
          <w:rPr>
            <w:rFonts w:hint="eastAsia"/>
          </w:rPr>
        </w:pPr>
        <w:r>
          <w:fldChar w:fldCharType="begin"/>
        </w:r>
        <w:r>
          <w:instrText>PAGE   \* MERGEFORMAT</w:instrText>
        </w:r>
        <w:r>
          <w:fldChar w:fldCharType="separate"/>
        </w:r>
        <w:r>
          <w:rPr>
            <w:lang w:val="zh-CN"/>
          </w:rPr>
          <w:t>2</w:t>
        </w:r>
        <w:r>
          <w:fldChar w:fldCharType="end"/>
        </w:r>
      </w:p>
    </w:sdtContent>
  </w:sdt>
  <w:p w14:paraId="200CC1B8" w14:textId="77777777" w:rsidR="000D7EAE" w:rsidRDefault="000D7EAE">
    <w:pPr>
      <w:pStyle w:val="af1"/>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53F85" w14:textId="77777777" w:rsidR="000D7EAE" w:rsidRDefault="000D7EAE">
    <w:pPr>
      <w:pStyle w:val="af1"/>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42145" w14:textId="77777777" w:rsidR="004035B4" w:rsidRDefault="004035B4" w:rsidP="003D6D68">
      <w:pPr>
        <w:spacing w:after="0" w:line="240" w:lineRule="auto"/>
        <w:rPr>
          <w:rFonts w:hint="eastAsia"/>
        </w:rPr>
      </w:pPr>
      <w:r>
        <w:separator/>
      </w:r>
    </w:p>
  </w:footnote>
  <w:footnote w:type="continuationSeparator" w:id="0">
    <w:p w14:paraId="08E1716F" w14:textId="77777777" w:rsidR="004035B4" w:rsidRDefault="004035B4" w:rsidP="003D6D68">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176E1" w14:textId="77777777" w:rsidR="000D7EAE" w:rsidRDefault="000D7EAE">
    <w:pPr>
      <w:pStyle w:val="af"/>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093CA" w14:textId="77777777" w:rsidR="000D7EAE" w:rsidRDefault="000D7EAE">
    <w:pPr>
      <w:pStyle w:val="af"/>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596787" w14:textId="77777777" w:rsidR="000D7EAE" w:rsidRDefault="000D7EAE">
    <w:pPr>
      <w:pStyle w:val="af"/>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F67F9"/>
    <w:multiLevelType w:val="hybridMultilevel"/>
    <w:tmpl w:val="4706391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502F68BC"/>
    <w:multiLevelType w:val="hybridMultilevel"/>
    <w:tmpl w:val="D8140C2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54341132"/>
    <w:multiLevelType w:val="hybridMultilevel"/>
    <w:tmpl w:val="1C1826DA"/>
    <w:lvl w:ilvl="0" w:tplc="A7A61C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A2A35E8"/>
    <w:multiLevelType w:val="multilevel"/>
    <w:tmpl w:val="A998A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232ECB"/>
    <w:multiLevelType w:val="multilevel"/>
    <w:tmpl w:val="C37E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8321C8"/>
    <w:multiLevelType w:val="multilevel"/>
    <w:tmpl w:val="561A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2240049">
    <w:abstractNumId w:val="2"/>
  </w:num>
  <w:num w:numId="2" w16cid:durableId="1990283411">
    <w:abstractNumId w:val="4"/>
  </w:num>
  <w:num w:numId="3" w16cid:durableId="1284262373">
    <w:abstractNumId w:val="0"/>
  </w:num>
  <w:num w:numId="4" w16cid:durableId="726805749">
    <w:abstractNumId w:val="5"/>
  </w:num>
  <w:num w:numId="5" w16cid:durableId="1967351126">
    <w:abstractNumId w:val="1"/>
  </w:num>
  <w:num w:numId="6" w16cid:durableId="6142869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B29"/>
    <w:rsid w:val="000A1A5D"/>
    <w:rsid w:val="000D7EAE"/>
    <w:rsid w:val="00154ABC"/>
    <w:rsid w:val="003D6D68"/>
    <w:rsid w:val="004035B4"/>
    <w:rsid w:val="00433846"/>
    <w:rsid w:val="00636E11"/>
    <w:rsid w:val="00693D42"/>
    <w:rsid w:val="007C1368"/>
    <w:rsid w:val="0081571F"/>
    <w:rsid w:val="00855FDD"/>
    <w:rsid w:val="009F42C1"/>
    <w:rsid w:val="00A41088"/>
    <w:rsid w:val="00CE0D40"/>
    <w:rsid w:val="00E33B29"/>
    <w:rsid w:val="00E41B41"/>
    <w:rsid w:val="00EB3DBD"/>
    <w:rsid w:val="00F037D0"/>
    <w:rsid w:val="00FB51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283884"/>
  <w15:chartTrackingRefBased/>
  <w15:docId w15:val="{0ED5C602-DBCF-454C-8214-858F958B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33B29"/>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E33B29"/>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E33B29"/>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E33B29"/>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E33B29"/>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E33B29"/>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E33B2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33B2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33B2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33B29"/>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E33B29"/>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E33B29"/>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E33B29"/>
    <w:rPr>
      <w:rFonts w:cstheme="majorBidi"/>
      <w:color w:val="2F5496" w:themeColor="accent1" w:themeShade="BF"/>
      <w:sz w:val="28"/>
      <w:szCs w:val="28"/>
    </w:rPr>
  </w:style>
  <w:style w:type="character" w:customStyle="1" w:styleId="50">
    <w:name w:val="标题 5 字符"/>
    <w:basedOn w:val="a0"/>
    <w:link w:val="5"/>
    <w:uiPriority w:val="9"/>
    <w:semiHidden/>
    <w:rsid w:val="00E33B29"/>
    <w:rPr>
      <w:rFonts w:cstheme="majorBidi"/>
      <w:color w:val="2F5496" w:themeColor="accent1" w:themeShade="BF"/>
      <w:sz w:val="24"/>
    </w:rPr>
  </w:style>
  <w:style w:type="character" w:customStyle="1" w:styleId="60">
    <w:name w:val="标题 6 字符"/>
    <w:basedOn w:val="a0"/>
    <w:link w:val="6"/>
    <w:uiPriority w:val="9"/>
    <w:semiHidden/>
    <w:rsid w:val="00E33B29"/>
    <w:rPr>
      <w:rFonts w:cstheme="majorBidi"/>
      <w:b/>
      <w:bCs/>
      <w:color w:val="2F5496" w:themeColor="accent1" w:themeShade="BF"/>
    </w:rPr>
  </w:style>
  <w:style w:type="character" w:customStyle="1" w:styleId="70">
    <w:name w:val="标题 7 字符"/>
    <w:basedOn w:val="a0"/>
    <w:link w:val="7"/>
    <w:uiPriority w:val="9"/>
    <w:semiHidden/>
    <w:rsid w:val="00E33B29"/>
    <w:rPr>
      <w:rFonts w:cstheme="majorBidi"/>
      <w:b/>
      <w:bCs/>
      <w:color w:val="595959" w:themeColor="text1" w:themeTint="A6"/>
    </w:rPr>
  </w:style>
  <w:style w:type="character" w:customStyle="1" w:styleId="80">
    <w:name w:val="标题 8 字符"/>
    <w:basedOn w:val="a0"/>
    <w:link w:val="8"/>
    <w:uiPriority w:val="9"/>
    <w:semiHidden/>
    <w:rsid w:val="00E33B29"/>
    <w:rPr>
      <w:rFonts w:cstheme="majorBidi"/>
      <w:color w:val="595959" w:themeColor="text1" w:themeTint="A6"/>
    </w:rPr>
  </w:style>
  <w:style w:type="character" w:customStyle="1" w:styleId="90">
    <w:name w:val="标题 9 字符"/>
    <w:basedOn w:val="a0"/>
    <w:link w:val="9"/>
    <w:uiPriority w:val="9"/>
    <w:semiHidden/>
    <w:rsid w:val="00E33B29"/>
    <w:rPr>
      <w:rFonts w:eastAsiaTheme="majorEastAsia" w:cstheme="majorBidi"/>
      <w:color w:val="595959" w:themeColor="text1" w:themeTint="A6"/>
    </w:rPr>
  </w:style>
  <w:style w:type="paragraph" w:styleId="a3">
    <w:name w:val="Title"/>
    <w:basedOn w:val="a"/>
    <w:next w:val="a"/>
    <w:link w:val="a4"/>
    <w:uiPriority w:val="10"/>
    <w:qFormat/>
    <w:rsid w:val="00E33B2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33B2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33B2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33B2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33B29"/>
    <w:pPr>
      <w:spacing w:before="160"/>
      <w:jc w:val="center"/>
    </w:pPr>
    <w:rPr>
      <w:i/>
      <w:iCs/>
      <w:color w:val="404040" w:themeColor="text1" w:themeTint="BF"/>
    </w:rPr>
  </w:style>
  <w:style w:type="character" w:customStyle="1" w:styleId="a8">
    <w:name w:val="引用 字符"/>
    <w:basedOn w:val="a0"/>
    <w:link w:val="a7"/>
    <w:uiPriority w:val="29"/>
    <w:rsid w:val="00E33B29"/>
    <w:rPr>
      <w:i/>
      <w:iCs/>
      <w:color w:val="404040" w:themeColor="text1" w:themeTint="BF"/>
    </w:rPr>
  </w:style>
  <w:style w:type="paragraph" w:styleId="a9">
    <w:name w:val="List Paragraph"/>
    <w:basedOn w:val="a"/>
    <w:uiPriority w:val="34"/>
    <w:qFormat/>
    <w:rsid w:val="00E33B29"/>
    <w:pPr>
      <w:ind w:left="720"/>
      <w:contextualSpacing/>
    </w:pPr>
  </w:style>
  <w:style w:type="character" w:styleId="aa">
    <w:name w:val="Intense Emphasis"/>
    <w:basedOn w:val="a0"/>
    <w:uiPriority w:val="21"/>
    <w:qFormat/>
    <w:rsid w:val="00E33B29"/>
    <w:rPr>
      <w:i/>
      <w:iCs/>
      <w:color w:val="2F5496" w:themeColor="accent1" w:themeShade="BF"/>
    </w:rPr>
  </w:style>
  <w:style w:type="paragraph" w:styleId="ab">
    <w:name w:val="Intense Quote"/>
    <w:basedOn w:val="a"/>
    <w:next w:val="a"/>
    <w:link w:val="ac"/>
    <w:uiPriority w:val="30"/>
    <w:qFormat/>
    <w:rsid w:val="00E33B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E33B29"/>
    <w:rPr>
      <w:i/>
      <w:iCs/>
      <w:color w:val="2F5496" w:themeColor="accent1" w:themeShade="BF"/>
    </w:rPr>
  </w:style>
  <w:style w:type="character" w:styleId="ad">
    <w:name w:val="Intense Reference"/>
    <w:basedOn w:val="a0"/>
    <w:uiPriority w:val="32"/>
    <w:qFormat/>
    <w:rsid w:val="00E33B29"/>
    <w:rPr>
      <w:b/>
      <w:bCs/>
      <w:smallCaps/>
      <w:color w:val="2F5496" w:themeColor="accent1" w:themeShade="BF"/>
      <w:spacing w:val="5"/>
    </w:rPr>
  </w:style>
  <w:style w:type="character" w:styleId="ae">
    <w:name w:val="Emphasis"/>
    <w:basedOn w:val="a0"/>
    <w:uiPriority w:val="20"/>
    <w:qFormat/>
    <w:rsid w:val="003D6D68"/>
    <w:rPr>
      <w:i/>
      <w:iCs/>
    </w:rPr>
  </w:style>
  <w:style w:type="paragraph" w:styleId="af">
    <w:name w:val="header"/>
    <w:basedOn w:val="a"/>
    <w:link w:val="af0"/>
    <w:uiPriority w:val="99"/>
    <w:unhideWhenUsed/>
    <w:rsid w:val="003D6D68"/>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3D6D68"/>
    <w:rPr>
      <w:sz w:val="18"/>
      <w:szCs w:val="18"/>
    </w:rPr>
  </w:style>
  <w:style w:type="paragraph" w:styleId="af1">
    <w:name w:val="footer"/>
    <w:basedOn w:val="a"/>
    <w:link w:val="af2"/>
    <w:uiPriority w:val="99"/>
    <w:unhideWhenUsed/>
    <w:rsid w:val="003D6D68"/>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3D6D68"/>
    <w:rPr>
      <w:sz w:val="18"/>
      <w:szCs w:val="18"/>
    </w:rPr>
  </w:style>
  <w:style w:type="paragraph" w:customStyle="1" w:styleId="ds-markdown-paragraph">
    <w:name w:val="ds-markdown-paragraph"/>
    <w:basedOn w:val="a"/>
    <w:rsid w:val="00FB51DE"/>
    <w:pPr>
      <w:widowControl/>
      <w:spacing w:before="100" w:beforeAutospacing="1" w:after="100" w:afterAutospacing="1" w:line="240" w:lineRule="auto"/>
    </w:pPr>
    <w:rPr>
      <w:rFonts w:ascii="宋体" w:eastAsia="宋体" w:hAnsi="宋体" w:cs="宋体"/>
      <w:kern w:val="0"/>
      <w:sz w:val="24"/>
      <w14:ligatures w14:val="none"/>
    </w:rPr>
  </w:style>
  <w:style w:type="character" w:styleId="af3">
    <w:name w:val="Strong"/>
    <w:basedOn w:val="a0"/>
    <w:uiPriority w:val="22"/>
    <w:qFormat/>
    <w:rsid w:val="00FB51DE"/>
    <w:rPr>
      <w:b/>
      <w:bCs/>
    </w:rPr>
  </w:style>
  <w:style w:type="character" w:styleId="af4">
    <w:name w:val="Hyperlink"/>
    <w:basedOn w:val="a0"/>
    <w:uiPriority w:val="99"/>
    <w:unhideWhenUsed/>
    <w:rsid w:val="00FB51DE"/>
    <w:rPr>
      <w:color w:val="0000FF"/>
      <w:u w:val="single"/>
    </w:rPr>
  </w:style>
  <w:style w:type="paragraph" w:styleId="TOC">
    <w:name w:val="TOC Heading"/>
    <w:basedOn w:val="1"/>
    <w:next w:val="a"/>
    <w:uiPriority w:val="39"/>
    <w:unhideWhenUsed/>
    <w:qFormat/>
    <w:rsid w:val="000A1A5D"/>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0A1A5D"/>
  </w:style>
  <w:style w:type="paragraph" w:styleId="TOC2">
    <w:name w:val="toc 2"/>
    <w:basedOn w:val="a"/>
    <w:next w:val="a"/>
    <w:autoRedefine/>
    <w:uiPriority w:val="39"/>
    <w:unhideWhenUsed/>
    <w:rsid w:val="000A1A5D"/>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10526-7A80-4063-82FD-6EA07C695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10</Pages>
  <Words>2717</Words>
  <Characters>16551</Characters>
  <Application>Microsoft Office Word</Application>
  <DocSecurity>0</DocSecurity>
  <Lines>290</Lines>
  <Paragraphs>106</Paragraphs>
  <ScaleCrop>false</ScaleCrop>
  <Company/>
  <LinksUpToDate>false</LinksUpToDate>
  <CharactersWithSpaces>19162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4</cp:revision>
  <dcterms:created xsi:type="dcterms:W3CDTF">2025-12-06T18:42:00Z</dcterms:created>
  <dcterms:modified xsi:type="dcterms:W3CDTF">2025-12-07T20:00:00Z</dcterms:modified>
</cp:coreProperties>
</file>