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C2CA3" w14:textId="2A03B949" w:rsidR="00121EC4" w:rsidRPr="00885972" w:rsidRDefault="00121EC4">
      <w:pPr>
        <w:rPr>
          <w:rFonts w:ascii="Arial" w:hAnsi="Arial" w:cs="Arial"/>
          <w:sz w:val="24"/>
          <w:szCs w:val="24"/>
        </w:rPr>
      </w:pPr>
      <w:r w:rsidRPr="00885972">
        <w:rPr>
          <w:rFonts w:ascii="Arial" w:hAnsi="Arial" w:cs="Arial"/>
          <w:sz w:val="24"/>
          <w:szCs w:val="24"/>
        </w:rPr>
        <w:t>Question 1:</w:t>
      </w:r>
    </w:p>
    <w:p w14:paraId="69CD70B6" w14:textId="28DEC50C" w:rsidR="00F25AA7" w:rsidRPr="00885972" w:rsidRDefault="009609C6">
      <w:pPr>
        <w:rPr>
          <w:rFonts w:ascii="Arial" w:hAnsi="Arial" w:cs="Arial"/>
          <w:sz w:val="24"/>
          <w:szCs w:val="24"/>
        </w:rPr>
      </w:pPr>
      <w:r w:rsidRPr="00885972">
        <w:rPr>
          <w:rFonts w:ascii="Arial" w:hAnsi="Arial" w:cs="Arial"/>
          <w:sz w:val="24"/>
          <w:szCs w:val="24"/>
        </w:rPr>
        <w:t xml:space="preserve">The United Kingdom have no official legal definition of what an easement is and there is also not an exhaustive list of types of </w:t>
      </w:r>
      <w:r w:rsidR="003F6BEA" w:rsidRPr="00885972">
        <w:rPr>
          <w:rFonts w:ascii="Arial" w:hAnsi="Arial" w:cs="Arial"/>
          <w:sz w:val="24"/>
          <w:szCs w:val="24"/>
        </w:rPr>
        <w:t>easements</w:t>
      </w:r>
      <w:r w:rsidRPr="00885972">
        <w:rPr>
          <w:rFonts w:ascii="Arial" w:hAnsi="Arial" w:cs="Arial"/>
          <w:sz w:val="24"/>
          <w:szCs w:val="24"/>
        </w:rPr>
        <w:t>.</w:t>
      </w:r>
      <w:r w:rsidR="00F34B7D" w:rsidRPr="00885972">
        <w:rPr>
          <w:rFonts w:ascii="Arial" w:hAnsi="Arial" w:cs="Arial"/>
          <w:sz w:val="24"/>
          <w:szCs w:val="24"/>
        </w:rPr>
        <w:t xml:space="preserve"> </w:t>
      </w:r>
      <w:r w:rsidR="00F25AA7" w:rsidRPr="00885972">
        <w:rPr>
          <w:rFonts w:ascii="Arial" w:hAnsi="Arial" w:cs="Arial"/>
          <w:sz w:val="24"/>
          <w:szCs w:val="24"/>
        </w:rPr>
        <w:t xml:space="preserve">An easement is however in the definition of Land in S205 of the Law and Property Act 1925. </w:t>
      </w:r>
      <w:r w:rsidR="00F34B7D" w:rsidRPr="00885972">
        <w:rPr>
          <w:rFonts w:ascii="Arial" w:hAnsi="Arial" w:cs="Arial"/>
          <w:sz w:val="24"/>
          <w:szCs w:val="24"/>
        </w:rPr>
        <w:t>As presented by</w:t>
      </w:r>
      <w:r w:rsidR="00102CDA">
        <w:rPr>
          <w:rFonts w:ascii="Arial" w:hAnsi="Arial" w:cs="Arial"/>
          <w:sz w:val="24"/>
          <w:szCs w:val="24"/>
        </w:rPr>
        <w:t xml:space="preserve">, </w:t>
      </w:r>
      <w:r w:rsidR="00CE0A5F">
        <w:rPr>
          <w:rFonts w:ascii="Arial" w:hAnsi="Arial" w:cs="Arial"/>
          <w:sz w:val="24"/>
          <w:szCs w:val="24"/>
        </w:rPr>
        <w:t xml:space="preserve">the </w:t>
      </w:r>
      <w:r w:rsidR="00102CDA" w:rsidRPr="00102CDA">
        <w:rPr>
          <w:rFonts w:ascii="Arial" w:hAnsi="Arial" w:cs="Arial"/>
          <w:sz w:val="24"/>
          <w:szCs w:val="24"/>
        </w:rPr>
        <w:t>House of Lords</w:t>
      </w:r>
      <w:r w:rsidR="00CE0A5F">
        <w:rPr>
          <w:rFonts w:ascii="Arial" w:hAnsi="Arial" w:cs="Arial"/>
          <w:sz w:val="24"/>
          <w:szCs w:val="24"/>
        </w:rPr>
        <w:t xml:space="preserve"> (</w:t>
      </w:r>
      <w:r w:rsidR="00102CDA" w:rsidRPr="00102CDA">
        <w:rPr>
          <w:rFonts w:ascii="Arial" w:hAnsi="Arial" w:cs="Arial"/>
          <w:sz w:val="24"/>
          <w:szCs w:val="24"/>
        </w:rPr>
        <w:t>2006)</w:t>
      </w:r>
      <w:r w:rsidR="00CE0A5F">
        <w:rPr>
          <w:rFonts w:ascii="Arial" w:hAnsi="Arial" w:cs="Arial"/>
          <w:sz w:val="24"/>
          <w:szCs w:val="24"/>
        </w:rPr>
        <w:t xml:space="preserve">, </w:t>
      </w:r>
      <w:r w:rsidR="00F34B7D" w:rsidRPr="00885972">
        <w:rPr>
          <w:rFonts w:ascii="Arial" w:hAnsi="Arial" w:cs="Arial"/>
          <w:sz w:val="24"/>
          <w:szCs w:val="24"/>
        </w:rPr>
        <w:t xml:space="preserve">the case Dyce V Lady James Hay (1852) 1 Macq 305, New types of easements can be recognised </w:t>
      </w:r>
      <w:r w:rsidR="003F6BEA" w:rsidRPr="00885972">
        <w:rPr>
          <w:rFonts w:ascii="Arial" w:hAnsi="Arial" w:cs="Arial"/>
          <w:sz w:val="24"/>
          <w:szCs w:val="24"/>
        </w:rPr>
        <w:t>by the understanding that, mankind's circumstances change, servitude and easements must change and expand with them. New forms of easements are recognised through being analogous to pre-existing easements, an example of this can be the right to erect a satellite dish</w:t>
      </w:r>
      <w:r w:rsidR="00F32E0D" w:rsidRPr="00885972">
        <w:rPr>
          <w:rFonts w:ascii="Arial" w:hAnsi="Arial" w:cs="Arial"/>
          <w:sz w:val="24"/>
          <w:szCs w:val="24"/>
        </w:rPr>
        <w:t xml:space="preserve"> can be equivalent to the right to erect a sign, along with the right to park as being analogous to an easement for storage. In order for an easement to be legal there must be a dominant and servient tenement, however an easement can only exist if it is attached to the dominant land</w:t>
      </w:r>
      <w:r w:rsidR="00361BA2">
        <w:rPr>
          <w:rFonts w:ascii="Arial" w:hAnsi="Arial" w:cs="Arial"/>
          <w:sz w:val="24"/>
          <w:szCs w:val="24"/>
        </w:rPr>
        <w:t>,</w:t>
      </w:r>
      <w:r w:rsidR="00361BA2" w:rsidRPr="00361BA2">
        <w:t xml:space="preserve"> </w:t>
      </w:r>
      <w:r w:rsidR="00361BA2" w:rsidRPr="00361BA2">
        <w:rPr>
          <w:rFonts w:ascii="Arial" w:hAnsi="Arial" w:cs="Arial"/>
          <w:sz w:val="24"/>
          <w:szCs w:val="24"/>
        </w:rPr>
        <w:t xml:space="preserve">(Davies and </w:t>
      </w:r>
      <w:proofErr w:type="spellStart"/>
      <w:r w:rsidR="00361BA2" w:rsidRPr="00361BA2">
        <w:rPr>
          <w:rFonts w:ascii="Arial" w:hAnsi="Arial" w:cs="Arial"/>
          <w:sz w:val="24"/>
          <w:szCs w:val="24"/>
        </w:rPr>
        <w:t>Tagartt</w:t>
      </w:r>
      <w:proofErr w:type="spellEnd"/>
      <w:r w:rsidR="00361BA2" w:rsidRPr="00361BA2">
        <w:rPr>
          <w:rFonts w:ascii="Arial" w:hAnsi="Arial" w:cs="Arial"/>
          <w:sz w:val="24"/>
          <w:szCs w:val="24"/>
        </w:rPr>
        <w:t>, 2021</w:t>
      </w:r>
      <w:proofErr w:type="gramStart"/>
      <w:r w:rsidR="00361BA2" w:rsidRPr="00361BA2">
        <w:rPr>
          <w:rFonts w:ascii="Arial" w:hAnsi="Arial" w:cs="Arial"/>
          <w:sz w:val="24"/>
          <w:szCs w:val="24"/>
        </w:rPr>
        <w:t>)</w:t>
      </w:r>
      <w:r w:rsidR="00361BA2">
        <w:rPr>
          <w:rFonts w:ascii="Arial" w:hAnsi="Arial" w:cs="Arial"/>
          <w:sz w:val="24"/>
          <w:szCs w:val="24"/>
        </w:rPr>
        <w:t xml:space="preserve"> </w:t>
      </w:r>
      <w:r w:rsidR="00F32E0D" w:rsidRPr="00885972">
        <w:rPr>
          <w:rFonts w:ascii="Arial" w:hAnsi="Arial" w:cs="Arial"/>
          <w:sz w:val="24"/>
          <w:szCs w:val="24"/>
        </w:rPr>
        <w:t>.</w:t>
      </w:r>
      <w:proofErr w:type="gramEnd"/>
      <w:r w:rsidR="00F32E0D" w:rsidRPr="00885972">
        <w:rPr>
          <w:rFonts w:ascii="Arial" w:hAnsi="Arial" w:cs="Arial"/>
          <w:sz w:val="24"/>
          <w:szCs w:val="24"/>
        </w:rPr>
        <w:t xml:space="preserve"> Therefore</w:t>
      </w:r>
      <w:r w:rsidR="009F1779" w:rsidRPr="00885972">
        <w:rPr>
          <w:rFonts w:ascii="Arial" w:hAnsi="Arial" w:cs="Arial"/>
          <w:sz w:val="24"/>
          <w:szCs w:val="24"/>
        </w:rPr>
        <w:t>, it is essential that there is identifiably a dominant and servient tenement in existence at the time of said grant</w:t>
      </w:r>
      <w:r w:rsidR="00F25AA7" w:rsidRPr="00885972">
        <w:rPr>
          <w:rFonts w:ascii="Arial" w:hAnsi="Arial" w:cs="Arial"/>
          <w:sz w:val="24"/>
          <w:szCs w:val="24"/>
        </w:rPr>
        <w:t xml:space="preserve">, (An easement is essentially a benefit of any owner, or future owner of the dominant tenement). An easement however cannot exist ‘in gross’ as this is where only a servient tenement is identified, without any dominant land. There is, however, a rational rule for </w:t>
      </w:r>
      <w:proofErr w:type="gramStart"/>
      <w:r w:rsidR="00F25AA7" w:rsidRPr="00885972">
        <w:rPr>
          <w:rFonts w:ascii="Arial" w:hAnsi="Arial" w:cs="Arial"/>
          <w:sz w:val="24"/>
          <w:szCs w:val="24"/>
        </w:rPr>
        <w:t>this which states</w:t>
      </w:r>
      <w:proofErr w:type="gramEnd"/>
      <w:r w:rsidR="00F25AA7" w:rsidRPr="00885972">
        <w:rPr>
          <w:rFonts w:ascii="Arial" w:hAnsi="Arial" w:cs="Arial"/>
          <w:sz w:val="24"/>
          <w:szCs w:val="24"/>
        </w:rPr>
        <w:t>, when an easement is created, it becomes part of the land</w:t>
      </w:r>
      <w:r w:rsidR="00967005">
        <w:rPr>
          <w:rFonts w:ascii="Arial" w:hAnsi="Arial" w:cs="Arial"/>
          <w:sz w:val="24"/>
          <w:szCs w:val="24"/>
        </w:rPr>
        <w:t xml:space="preserve">, </w:t>
      </w:r>
      <w:r w:rsidR="00967005" w:rsidRPr="00967005">
        <w:rPr>
          <w:rFonts w:ascii="Arial" w:hAnsi="Arial" w:cs="Arial"/>
          <w:sz w:val="24"/>
          <w:szCs w:val="24"/>
        </w:rPr>
        <w:t>(HM Land Registry, 2016)</w:t>
      </w:r>
      <w:r w:rsidR="00967005">
        <w:rPr>
          <w:rFonts w:ascii="Arial" w:hAnsi="Arial" w:cs="Arial"/>
          <w:sz w:val="24"/>
          <w:szCs w:val="24"/>
        </w:rPr>
        <w:t xml:space="preserve">. </w:t>
      </w:r>
      <w:r w:rsidR="00F25AA7" w:rsidRPr="00885972">
        <w:rPr>
          <w:rFonts w:ascii="Arial" w:hAnsi="Arial" w:cs="Arial"/>
          <w:sz w:val="24"/>
          <w:szCs w:val="24"/>
        </w:rPr>
        <w:t xml:space="preserve">  </w:t>
      </w:r>
    </w:p>
    <w:p w14:paraId="32860FB7" w14:textId="70FD44B4" w:rsidR="00F32E0D" w:rsidRPr="00885972" w:rsidRDefault="00025F34">
      <w:pPr>
        <w:rPr>
          <w:rFonts w:ascii="Arial" w:hAnsi="Arial" w:cs="Arial"/>
          <w:sz w:val="24"/>
          <w:szCs w:val="24"/>
        </w:rPr>
      </w:pPr>
      <w:r w:rsidRPr="00025F34">
        <w:rPr>
          <w:rFonts w:ascii="Arial" w:hAnsi="Arial" w:cs="Arial"/>
          <w:sz w:val="24"/>
          <w:szCs w:val="24"/>
        </w:rPr>
        <w:t xml:space="preserve">Heart, Clarke and </w:t>
      </w:r>
      <w:proofErr w:type="spellStart"/>
      <w:r w:rsidRPr="00025F34">
        <w:rPr>
          <w:rFonts w:ascii="Arial" w:hAnsi="Arial" w:cs="Arial"/>
          <w:sz w:val="24"/>
          <w:szCs w:val="24"/>
        </w:rPr>
        <w:t>Fazzani</w:t>
      </w:r>
      <w:proofErr w:type="spellEnd"/>
      <w:r w:rsidRPr="00025F34">
        <w:rPr>
          <w:rFonts w:ascii="Arial" w:hAnsi="Arial" w:cs="Arial"/>
          <w:sz w:val="24"/>
          <w:szCs w:val="24"/>
        </w:rPr>
        <w:t xml:space="preserve">, </w:t>
      </w:r>
      <w:r>
        <w:rPr>
          <w:rFonts w:ascii="Arial" w:hAnsi="Arial" w:cs="Arial"/>
          <w:sz w:val="24"/>
          <w:szCs w:val="24"/>
        </w:rPr>
        <w:t>(</w:t>
      </w:r>
      <w:r w:rsidRPr="00025F34">
        <w:rPr>
          <w:rFonts w:ascii="Arial" w:hAnsi="Arial" w:cs="Arial"/>
          <w:sz w:val="24"/>
          <w:szCs w:val="24"/>
        </w:rPr>
        <w:t>2013)</w:t>
      </w:r>
      <w:r>
        <w:rPr>
          <w:rFonts w:ascii="Arial" w:hAnsi="Arial" w:cs="Arial"/>
          <w:sz w:val="24"/>
          <w:szCs w:val="24"/>
        </w:rPr>
        <w:t>, present that i</w:t>
      </w:r>
      <w:r w:rsidR="00F25AA7" w:rsidRPr="00885972">
        <w:rPr>
          <w:rFonts w:ascii="Arial" w:hAnsi="Arial" w:cs="Arial"/>
          <w:sz w:val="24"/>
          <w:szCs w:val="24"/>
        </w:rPr>
        <w:t>n terms of permitting an easement to be created in gross</w:t>
      </w:r>
      <w:r w:rsidR="002346C4" w:rsidRPr="00885972">
        <w:rPr>
          <w:rFonts w:ascii="Arial" w:hAnsi="Arial" w:cs="Arial"/>
          <w:sz w:val="24"/>
          <w:szCs w:val="24"/>
        </w:rPr>
        <w:t xml:space="preserve">, it </w:t>
      </w:r>
      <w:r w:rsidR="00F25AA7" w:rsidRPr="00885972">
        <w:rPr>
          <w:rFonts w:ascii="Arial" w:hAnsi="Arial" w:cs="Arial"/>
          <w:sz w:val="24"/>
          <w:szCs w:val="24"/>
        </w:rPr>
        <w:t xml:space="preserve">would </w:t>
      </w:r>
      <w:r w:rsidR="002346C4" w:rsidRPr="00885972">
        <w:rPr>
          <w:rFonts w:ascii="Arial" w:hAnsi="Arial" w:cs="Arial"/>
          <w:sz w:val="24"/>
          <w:szCs w:val="24"/>
        </w:rPr>
        <w:t xml:space="preserve">require </w:t>
      </w:r>
      <w:r w:rsidR="00F25AA7" w:rsidRPr="00885972">
        <w:rPr>
          <w:rFonts w:ascii="Arial" w:hAnsi="Arial" w:cs="Arial"/>
          <w:sz w:val="24"/>
          <w:szCs w:val="24"/>
        </w:rPr>
        <w:t>creat</w:t>
      </w:r>
      <w:r w:rsidR="002346C4" w:rsidRPr="00885972">
        <w:rPr>
          <w:rFonts w:ascii="Arial" w:hAnsi="Arial" w:cs="Arial"/>
          <w:sz w:val="24"/>
          <w:szCs w:val="24"/>
        </w:rPr>
        <w:t>ing</w:t>
      </w:r>
      <w:r w:rsidR="00F25AA7" w:rsidRPr="00885972">
        <w:rPr>
          <w:rFonts w:ascii="Arial" w:hAnsi="Arial" w:cs="Arial"/>
          <w:sz w:val="24"/>
          <w:szCs w:val="24"/>
        </w:rPr>
        <w:t xml:space="preserve"> burdens of uncertain extent which may make land unattractive to the buyer.  </w:t>
      </w:r>
      <w:r w:rsidR="002346C4" w:rsidRPr="00885972">
        <w:rPr>
          <w:rFonts w:ascii="Arial" w:hAnsi="Arial" w:cs="Arial"/>
          <w:sz w:val="24"/>
          <w:szCs w:val="24"/>
        </w:rPr>
        <w:t xml:space="preserve">Therefore, ensuring </w:t>
      </w:r>
      <w:proofErr w:type="gramStart"/>
      <w:r w:rsidR="002346C4" w:rsidRPr="00885972">
        <w:rPr>
          <w:rFonts w:ascii="Arial" w:hAnsi="Arial" w:cs="Arial"/>
          <w:sz w:val="24"/>
          <w:szCs w:val="24"/>
        </w:rPr>
        <w:t>a</w:t>
      </w:r>
      <w:proofErr w:type="gramEnd"/>
      <w:r w:rsidR="002346C4" w:rsidRPr="00885972">
        <w:rPr>
          <w:rFonts w:ascii="Arial" w:hAnsi="Arial" w:cs="Arial"/>
          <w:sz w:val="24"/>
          <w:szCs w:val="24"/>
        </w:rPr>
        <w:t xml:space="preserve"> identifiable dominant tenement creates greater certainty, any attempt to create an easement without an identifiable dominant tenement will create a license only. Although, a profit can exist in gross and only a servient tenement needs to be identified when creating a profit. </w:t>
      </w:r>
    </w:p>
    <w:p w14:paraId="01DFD193" w14:textId="1354DA6E" w:rsidR="00FF019E" w:rsidRPr="00885972" w:rsidRDefault="00FF019E">
      <w:pPr>
        <w:rPr>
          <w:rFonts w:ascii="Arial" w:hAnsi="Arial" w:cs="Arial"/>
          <w:sz w:val="24"/>
          <w:szCs w:val="24"/>
        </w:rPr>
      </w:pPr>
      <w:r w:rsidRPr="00885972">
        <w:rPr>
          <w:rFonts w:ascii="Arial" w:hAnsi="Arial" w:cs="Arial"/>
          <w:sz w:val="24"/>
          <w:szCs w:val="24"/>
        </w:rPr>
        <w:t>When discussing how easements must accommodate</w:t>
      </w:r>
      <w:r w:rsidR="0006260D" w:rsidRPr="00885972">
        <w:rPr>
          <w:rFonts w:ascii="Arial" w:hAnsi="Arial" w:cs="Arial"/>
          <w:sz w:val="24"/>
          <w:szCs w:val="24"/>
        </w:rPr>
        <w:t xml:space="preserve"> the dominant tenement, the right must be connected with the normal enjoyment of the dominant tenement, in order to identify the </w:t>
      </w:r>
      <w:proofErr w:type="gramStart"/>
      <w:r w:rsidR="0006260D" w:rsidRPr="00885972">
        <w:rPr>
          <w:rFonts w:ascii="Arial" w:hAnsi="Arial" w:cs="Arial"/>
          <w:sz w:val="24"/>
          <w:szCs w:val="24"/>
        </w:rPr>
        <w:t>connection</w:t>
      </w:r>
      <w:proofErr w:type="gramEnd"/>
      <w:r w:rsidR="0006260D" w:rsidRPr="00885972">
        <w:rPr>
          <w:rFonts w:ascii="Arial" w:hAnsi="Arial" w:cs="Arial"/>
          <w:sz w:val="24"/>
          <w:szCs w:val="24"/>
        </w:rPr>
        <w:t xml:space="preserve"> it is down to a question of fact, similar to the case of Bailey V Stephens (1862) 12 CB (NS) 91. Although the dominant and servient tenement are not needed to join each other, however, they should be in close enough proximity to establish the connection between the two</w:t>
      </w:r>
      <w:r w:rsidR="00A66364">
        <w:rPr>
          <w:rFonts w:ascii="Arial" w:hAnsi="Arial" w:cs="Arial"/>
          <w:sz w:val="24"/>
          <w:szCs w:val="24"/>
        </w:rPr>
        <w:t xml:space="preserve">, </w:t>
      </w:r>
      <w:r w:rsidR="00A66364" w:rsidRPr="00A66364">
        <w:rPr>
          <w:rFonts w:ascii="Arial" w:hAnsi="Arial" w:cs="Arial"/>
          <w:sz w:val="24"/>
          <w:szCs w:val="24"/>
        </w:rPr>
        <w:t>(</w:t>
      </w:r>
      <w:proofErr w:type="gramStart"/>
      <w:r w:rsidR="00A66364" w:rsidRPr="00A66364">
        <w:rPr>
          <w:rFonts w:ascii="Arial" w:hAnsi="Arial" w:cs="Arial"/>
          <w:sz w:val="24"/>
          <w:szCs w:val="24"/>
        </w:rPr>
        <w:t>Thomas ,</w:t>
      </w:r>
      <w:proofErr w:type="gramEnd"/>
      <w:r w:rsidR="00A66364" w:rsidRPr="00A66364">
        <w:rPr>
          <w:rFonts w:ascii="Arial" w:hAnsi="Arial" w:cs="Arial"/>
          <w:sz w:val="24"/>
          <w:szCs w:val="24"/>
        </w:rPr>
        <w:t xml:space="preserve"> 2020)</w:t>
      </w:r>
      <w:r w:rsidR="00A66364">
        <w:rPr>
          <w:rFonts w:ascii="Arial" w:hAnsi="Arial" w:cs="Arial"/>
          <w:sz w:val="24"/>
          <w:szCs w:val="24"/>
        </w:rPr>
        <w:t xml:space="preserve">. </w:t>
      </w:r>
    </w:p>
    <w:p w14:paraId="154CBA31" w14:textId="3B7E6662" w:rsidR="009609C6" w:rsidRPr="00885972" w:rsidRDefault="0006260D">
      <w:pPr>
        <w:rPr>
          <w:rFonts w:ascii="Arial" w:hAnsi="Arial" w:cs="Arial"/>
          <w:sz w:val="24"/>
          <w:szCs w:val="24"/>
        </w:rPr>
      </w:pPr>
      <w:r w:rsidRPr="00885972">
        <w:rPr>
          <w:rFonts w:ascii="Arial" w:hAnsi="Arial" w:cs="Arial"/>
          <w:sz w:val="24"/>
          <w:szCs w:val="24"/>
        </w:rPr>
        <w:t xml:space="preserve">In terms of critically assessing to which extent it is possible for an easement to park a vehicle on land to exist </w:t>
      </w:r>
      <w:r w:rsidR="003A5D14" w:rsidRPr="00885972">
        <w:rPr>
          <w:rFonts w:ascii="Arial" w:hAnsi="Arial" w:cs="Arial"/>
          <w:sz w:val="24"/>
          <w:szCs w:val="24"/>
        </w:rPr>
        <w:t xml:space="preserve">it is vital to acknowledge the case of London and Blenheim Estates v Ladbroke Retail Parks [1992] 1 WLR 1278. </w:t>
      </w:r>
      <w:proofErr w:type="gramStart"/>
      <w:r w:rsidR="00372C88" w:rsidRPr="00372C88">
        <w:rPr>
          <w:rFonts w:ascii="Arial" w:hAnsi="Arial" w:cs="Arial"/>
          <w:sz w:val="24"/>
          <w:szCs w:val="24"/>
        </w:rPr>
        <w:t>Morgan</w:t>
      </w:r>
      <w:r w:rsidR="00372C88">
        <w:rPr>
          <w:rFonts w:ascii="Arial" w:hAnsi="Arial" w:cs="Arial"/>
          <w:sz w:val="24"/>
          <w:szCs w:val="24"/>
        </w:rPr>
        <w:t xml:space="preserve"> (</w:t>
      </w:r>
      <w:r w:rsidR="00372C88" w:rsidRPr="00372C88">
        <w:rPr>
          <w:rFonts w:ascii="Arial" w:hAnsi="Arial" w:cs="Arial"/>
          <w:sz w:val="24"/>
          <w:szCs w:val="24"/>
        </w:rPr>
        <w:t>1999)</w:t>
      </w:r>
      <w:r w:rsidR="00372C88">
        <w:rPr>
          <w:rFonts w:ascii="Arial" w:hAnsi="Arial" w:cs="Arial"/>
          <w:sz w:val="24"/>
          <w:szCs w:val="24"/>
        </w:rPr>
        <w:t>,</w:t>
      </w:r>
      <w:proofErr w:type="gramEnd"/>
      <w:r w:rsidR="00372C88">
        <w:rPr>
          <w:rFonts w:ascii="Arial" w:hAnsi="Arial" w:cs="Arial"/>
          <w:sz w:val="24"/>
          <w:szCs w:val="24"/>
        </w:rPr>
        <w:t xml:space="preserve"> provides that</w:t>
      </w:r>
      <w:r w:rsidR="003A5D14" w:rsidRPr="00885972">
        <w:rPr>
          <w:rFonts w:ascii="Arial" w:hAnsi="Arial" w:cs="Arial"/>
          <w:sz w:val="24"/>
          <w:szCs w:val="24"/>
        </w:rPr>
        <w:t xml:space="preserve"> </w:t>
      </w:r>
      <w:r w:rsidR="00372C88">
        <w:rPr>
          <w:rFonts w:ascii="Arial" w:hAnsi="Arial" w:cs="Arial"/>
          <w:sz w:val="24"/>
          <w:szCs w:val="24"/>
        </w:rPr>
        <w:t>w</w:t>
      </w:r>
      <w:r w:rsidR="003A5D14" w:rsidRPr="00885972">
        <w:rPr>
          <w:rFonts w:ascii="Arial" w:hAnsi="Arial" w:cs="Arial"/>
          <w:sz w:val="24"/>
          <w:szCs w:val="24"/>
        </w:rPr>
        <w:t xml:space="preserve">ithin this case the claimant owned part of a shopping centre and claimed that the right of the customers to park on a central car park was an easement. </w:t>
      </w:r>
      <w:r w:rsidR="00427167" w:rsidRPr="00885972">
        <w:rPr>
          <w:rFonts w:ascii="Arial" w:hAnsi="Arial" w:cs="Arial"/>
          <w:sz w:val="24"/>
          <w:szCs w:val="24"/>
        </w:rPr>
        <w:t>The judge, obiter dicta, accepted that there could in fact be an easement to park vehicles on a piece of servient land provided that the servient land was sufficiently large. However, there was a question of degree stating the right would not be an easement if the effect of it was to leave the servient owner without any reasona</w:t>
      </w:r>
      <w:r w:rsidR="008D4CB2" w:rsidRPr="00885972">
        <w:rPr>
          <w:rFonts w:ascii="Arial" w:hAnsi="Arial" w:cs="Arial"/>
          <w:sz w:val="24"/>
          <w:szCs w:val="24"/>
        </w:rPr>
        <w:t>ble</w:t>
      </w:r>
      <w:r w:rsidR="00427167" w:rsidRPr="00885972">
        <w:rPr>
          <w:rFonts w:ascii="Arial" w:hAnsi="Arial" w:cs="Arial"/>
          <w:sz w:val="24"/>
          <w:szCs w:val="24"/>
        </w:rPr>
        <w:t xml:space="preserve"> use of their land.</w:t>
      </w:r>
      <w:r w:rsidR="008D4CB2" w:rsidRPr="00885972">
        <w:rPr>
          <w:rFonts w:ascii="Arial" w:hAnsi="Arial" w:cs="Arial"/>
          <w:sz w:val="24"/>
          <w:szCs w:val="24"/>
        </w:rPr>
        <w:t xml:space="preserve"> </w:t>
      </w:r>
    </w:p>
    <w:p w14:paraId="074BC868" w14:textId="4F580B25" w:rsidR="008D4CB2" w:rsidRPr="00885972" w:rsidRDefault="008D4CB2">
      <w:pPr>
        <w:rPr>
          <w:rFonts w:ascii="Arial" w:hAnsi="Arial" w:cs="Arial"/>
          <w:sz w:val="24"/>
          <w:szCs w:val="24"/>
        </w:rPr>
      </w:pPr>
      <w:r w:rsidRPr="00885972">
        <w:rPr>
          <w:rFonts w:ascii="Arial" w:hAnsi="Arial" w:cs="Arial"/>
          <w:sz w:val="24"/>
          <w:szCs w:val="24"/>
        </w:rPr>
        <w:t>Another case which can provide reason for whether it is possible for an easement to park a vehicle on land to exist is the case of Batchelor v Marlow [2003] 1 WRL</w:t>
      </w:r>
      <w:r w:rsidR="00774A83" w:rsidRPr="00885972">
        <w:rPr>
          <w:rFonts w:ascii="Arial" w:hAnsi="Arial" w:cs="Arial"/>
          <w:sz w:val="24"/>
          <w:szCs w:val="24"/>
        </w:rPr>
        <w:t xml:space="preserve">. Within this case the respondents, who were owners of a garage business, had claimed the right to park up to six cars on land belonging to the appellant between </w:t>
      </w:r>
      <w:r w:rsidR="00774A83" w:rsidRPr="00885972">
        <w:rPr>
          <w:rFonts w:ascii="Arial" w:hAnsi="Arial" w:cs="Arial"/>
          <w:sz w:val="24"/>
          <w:szCs w:val="24"/>
        </w:rPr>
        <w:lastRenderedPageBreak/>
        <w:t xml:space="preserve">8.30am and 6pm, Monday to Friday. In this case six cars would cover the s whole of the servient land. It was </w:t>
      </w:r>
      <w:r w:rsidR="00B8455F" w:rsidRPr="00885972">
        <w:rPr>
          <w:rFonts w:ascii="Arial" w:hAnsi="Arial" w:cs="Arial"/>
          <w:sz w:val="24"/>
          <w:szCs w:val="24"/>
        </w:rPr>
        <w:t xml:space="preserve">concluded </w:t>
      </w:r>
      <w:r w:rsidR="00774A83" w:rsidRPr="00885972">
        <w:rPr>
          <w:rFonts w:ascii="Arial" w:hAnsi="Arial" w:cs="Arial"/>
          <w:sz w:val="24"/>
          <w:szCs w:val="24"/>
        </w:rPr>
        <w:t xml:space="preserve">by the court of appeal that this left the appellant with ‘no reasonable use of the land’. This rendered the appellant’s ownership of the land illusory contrary to the underlaying principles regarding easements. </w:t>
      </w:r>
      <w:r w:rsidR="00B8455F" w:rsidRPr="00885972">
        <w:rPr>
          <w:rFonts w:ascii="Arial" w:hAnsi="Arial" w:cs="Arial"/>
          <w:sz w:val="24"/>
          <w:szCs w:val="24"/>
        </w:rPr>
        <w:t>In this case the right which was claimed was not capable of being an easement</w:t>
      </w:r>
      <w:r w:rsidR="00973FAD">
        <w:rPr>
          <w:rFonts w:ascii="Arial" w:hAnsi="Arial" w:cs="Arial"/>
          <w:sz w:val="24"/>
          <w:szCs w:val="24"/>
        </w:rPr>
        <w:t xml:space="preserve">, </w:t>
      </w:r>
      <w:r w:rsidR="00973FAD" w:rsidRPr="00973FAD">
        <w:rPr>
          <w:rFonts w:ascii="Arial" w:hAnsi="Arial" w:cs="Arial"/>
          <w:sz w:val="24"/>
          <w:szCs w:val="24"/>
        </w:rPr>
        <w:t>(Martinet et al., 2022)</w:t>
      </w:r>
      <w:r w:rsidR="00973FAD">
        <w:rPr>
          <w:rFonts w:ascii="Arial" w:hAnsi="Arial" w:cs="Arial"/>
          <w:sz w:val="24"/>
          <w:szCs w:val="24"/>
        </w:rPr>
        <w:t xml:space="preserve">. </w:t>
      </w:r>
    </w:p>
    <w:p w14:paraId="0ABDF639" w14:textId="216C583F" w:rsidR="00C75FB3" w:rsidRPr="00885972" w:rsidRDefault="00C75FB3">
      <w:pPr>
        <w:rPr>
          <w:rFonts w:ascii="Arial" w:hAnsi="Arial" w:cs="Arial"/>
          <w:sz w:val="24"/>
          <w:szCs w:val="24"/>
        </w:rPr>
      </w:pPr>
      <w:r w:rsidRPr="00885972">
        <w:rPr>
          <w:rFonts w:ascii="Arial" w:hAnsi="Arial" w:cs="Arial"/>
          <w:sz w:val="24"/>
          <w:szCs w:val="24"/>
        </w:rPr>
        <w:t>Finally in the case of Moncrieff v Jamieson [2007] 1 WLR 260</w:t>
      </w:r>
      <w:r w:rsidR="00FB2BAC" w:rsidRPr="00885972">
        <w:rPr>
          <w:rFonts w:ascii="Arial" w:hAnsi="Arial" w:cs="Arial"/>
          <w:sz w:val="24"/>
          <w:szCs w:val="24"/>
        </w:rPr>
        <w:t>, the Privy Council deci</w:t>
      </w:r>
      <w:r w:rsidR="00603C15" w:rsidRPr="00885972">
        <w:rPr>
          <w:rFonts w:ascii="Arial" w:hAnsi="Arial" w:cs="Arial"/>
          <w:sz w:val="24"/>
          <w:szCs w:val="24"/>
        </w:rPr>
        <w:t>ded</w:t>
      </w:r>
      <w:r w:rsidR="00FB2BAC" w:rsidRPr="00885972">
        <w:rPr>
          <w:rFonts w:ascii="Arial" w:hAnsi="Arial" w:cs="Arial"/>
          <w:sz w:val="24"/>
          <w:szCs w:val="24"/>
        </w:rPr>
        <w:t xml:space="preserve"> the test established in Batchelor v Marlow was criticised. </w:t>
      </w:r>
      <w:r w:rsidR="00E6311F" w:rsidRPr="00885972">
        <w:rPr>
          <w:rFonts w:ascii="Arial" w:hAnsi="Arial" w:cs="Arial"/>
          <w:sz w:val="24"/>
          <w:szCs w:val="24"/>
        </w:rPr>
        <w:t>It was expressed by Lord Scott that the test needed some qualification</w:t>
      </w:r>
      <w:r w:rsidR="00EB2913" w:rsidRPr="00885972">
        <w:rPr>
          <w:rFonts w:ascii="Arial" w:hAnsi="Arial" w:cs="Arial"/>
          <w:sz w:val="24"/>
          <w:szCs w:val="24"/>
        </w:rPr>
        <w:t>. The obiter comments were that the test (is not) whether the servien</w:t>
      </w:r>
      <w:r w:rsidR="00FC54D4" w:rsidRPr="00885972">
        <w:rPr>
          <w:rFonts w:ascii="Arial" w:hAnsi="Arial" w:cs="Arial"/>
          <w:sz w:val="24"/>
          <w:szCs w:val="24"/>
        </w:rPr>
        <w:t>t owner is left without reasonable use of his land (but) whether he retains possession an</w:t>
      </w:r>
      <w:r w:rsidR="00A24AE3" w:rsidRPr="00885972">
        <w:rPr>
          <w:rFonts w:ascii="Arial" w:hAnsi="Arial" w:cs="Arial"/>
          <w:sz w:val="24"/>
          <w:szCs w:val="24"/>
        </w:rPr>
        <w:t>d control of the servient land. It was further noted by Lord Scott that where rights to park</w:t>
      </w:r>
      <w:r w:rsidR="00827050" w:rsidRPr="00885972">
        <w:rPr>
          <w:rFonts w:ascii="Arial" w:hAnsi="Arial" w:cs="Arial"/>
          <w:sz w:val="24"/>
          <w:szCs w:val="24"/>
        </w:rPr>
        <w:t xml:space="preserve"> were granted, the servient owner still retained the ability to build above or under the parking area, or to place advertising hoardings on the walls.</w:t>
      </w:r>
      <w:r w:rsidR="00E9220F" w:rsidRPr="00885972">
        <w:rPr>
          <w:rFonts w:ascii="Arial" w:hAnsi="Arial" w:cs="Arial"/>
          <w:sz w:val="24"/>
          <w:szCs w:val="24"/>
        </w:rPr>
        <w:t xml:space="preserve"> It was concurred between Lord Neuberger and Lord Scott</w:t>
      </w:r>
      <w:r w:rsidR="000558D5" w:rsidRPr="00885972">
        <w:rPr>
          <w:rFonts w:ascii="Arial" w:hAnsi="Arial" w:cs="Arial"/>
          <w:sz w:val="24"/>
          <w:szCs w:val="24"/>
        </w:rPr>
        <w:t xml:space="preserve"> that ‘a right can be an easement </w:t>
      </w:r>
      <w:r w:rsidR="00024E4F" w:rsidRPr="00885972">
        <w:rPr>
          <w:rFonts w:ascii="Arial" w:hAnsi="Arial" w:cs="Arial"/>
          <w:sz w:val="24"/>
          <w:szCs w:val="24"/>
        </w:rPr>
        <w:t>notwithstanding</w:t>
      </w:r>
      <w:r w:rsidR="007E527E">
        <w:rPr>
          <w:rFonts w:ascii="Arial" w:hAnsi="Arial" w:cs="Arial"/>
          <w:sz w:val="24"/>
          <w:szCs w:val="24"/>
        </w:rPr>
        <w:t xml:space="preserve">, </w:t>
      </w:r>
      <w:r w:rsidR="007E527E" w:rsidRPr="007E527E">
        <w:rPr>
          <w:rFonts w:ascii="Arial" w:hAnsi="Arial" w:cs="Arial"/>
          <w:sz w:val="24"/>
          <w:szCs w:val="24"/>
        </w:rPr>
        <w:t>(</w:t>
      </w:r>
      <w:proofErr w:type="spellStart"/>
      <w:r w:rsidR="007E527E" w:rsidRPr="007E527E">
        <w:rPr>
          <w:rFonts w:ascii="Arial" w:hAnsi="Arial" w:cs="Arial"/>
          <w:sz w:val="24"/>
          <w:szCs w:val="24"/>
        </w:rPr>
        <w:t>Goymour</w:t>
      </w:r>
      <w:proofErr w:type="spellEnd"/>
      <w:r w:rsidR="007E527E" w:rsidRPr="007E527E">
        <w:rPr>
          <w:rFonts w:ascii="Arial" w:hAnsi="Arial" w:cs="Arial"/>
          <w:sz w:val="24"/>
          <w:szCs w:val="24"/>
        </w:rPr>
        <w:t>, 2008)</w:t>
      </w:r>
      <w:r w:rsidR="007E527E">
        <w:rPr>
          <w:rFonts w:ascii="Arial" w:hAnsi="Arial" w:cs="Arial"/>
          <w:sz w:val="24"/>
          <w:szCs w:val="24"/>
        </w:rPr>
        <w:t xml:space="preserve">. </w:t>
      </w:r>
    </w:p>
    <w:p w14:paraId="5E5025EA" w14:textId="6179554D" w:rsidR="008469F5" w:rsidRPr="00885972" w:rsidRDefault="00611249">
      <w:pPr>
        <w:rPr>
          <w:rFonts w:ascii="Arial" w:hAnsi="Arial" w:cs="Arial"/>
          <w:sz w:val="24"/>
          <w:szCs w:val="24"/>
        </w:rPr>
      </w:pPr>
      <w:r w:rsidRPr="00885972">
        <w:rPr>
          <w:rFonts w:ascii="Arial" w:hAnsi="Arial" w:cs="Arial"/>
          <w:sz w:val="24"/>
          <w:szCs w:val="24"/>
        </w:rPr>
        <w:t>Although t</w:t>
      </w:r>
      <w:r w:rsidR="008469F5" w:rsidRPr="00885972">
        <w:rPr>
          <w:rFonts w:ascii="Arial" w:hAnsi="Arial" w:cs="Arial"/>
          <w:sz w:val="24"/>
          <w:szCs w:val="24"/>
        </w:rPr>
        <w:t xml:space="preserve">hese cases provide </w:t>
      </w:r>
      <w:r w:rsidR="00033F2E" w:rsidRPr="00885972">
        <w:rPr>
          <w:rFonts w:ascii="Arial" w:hAnsi="Arial" w:cs="Arial"/>
          <w:sz w:val="24"/>
          <w:szCs w:val="24"/>
        </w:rPr>
        <w:t>possibilities for an easement to park a vehicle on land to exist</w:t>
      </w:r>
      <w:r w:rsidR="00121EC4" w:rsidRPr="00885972">
        <w:rPr>
          <w:rFonts w:ascii="Arial" w:hAnsi="Arial" w:cs="Arial"/>
          <w:sz w:val="24"/>
          <w:szCs w:val="24"/>
        </w:rPr>
        <w:t xml:space="preserve"> and against it, it is recognisable </w:t>
      </w:r>
      <w:r w:rsidR="008469F5" w:rsidRPr="00885972">
        <w:rPr>
          <w:rFonts w:ascii="Arial" w:hAnsi="Arial" w:cs="Arial"/>
          <w:sz w:val="24"/>
          <w:szCs w:val="24"/>
        </w:rPr>
        <w:t xml:space="preserve">that </w:t>
      </w:r>
      <w:r w:rsidR="0075458B" w:rsidRPr="00885972">
        <w:rPr>
          <w:rFonts w:ascii="Arial" w:hAnsi="Arial" w:cs="Arial"/>
          <w:sz w:val="24"/>
          <w:szCs w:val="24"/>
        </w:rPr>
        <w:t xml:space="preserve">it is </w:t>
      </w:r>
      <w:proofErr w:type="gramStart"/>
      <w:r w:rsidR="0075458B" w:rsidRPr="00885972">
        <w:rPr>
          <w:rFonts w:ascii="Arial" w:hAnsi="Arial" w:cs="Arial"/>
          <w:sz w:val="24"/>
          <w:szCs w:val="24"/>
        </w:rPr>
        <w:t>more often than not</w:t>
      </w:r>
      <w:proofErr w:type="gramEnd"/>
      <w:r w:rsidR="0075458B" w:rsidRPr="00885972">
        <w:rPr>
          <w:rFonts w:ascii="Arial" w:hAnsi="Arial" w:cs="Arial"/>
          <w:sz w:val="24"/>
          <w:szCs w:val="24"/>
        </w:rPr>
        <w:t xml:space="preserve"> possible for an easement to </w:t>
      </w:r>
      <w:r w:rsidRPr="00885972">
        <w:rPr>
          <w:rFonts w:ascii="Arial" w:hAnsi="Arial" w:cs="Arial"/>
          <w:sz w:val="24"/>
          <w:szCs w:val="24"/>
        </w:rPr>
        <w:t>park</w:t>
      </w:r>
      <w:r w:rsidR="0075458B" w:rsidRPr="00885972">
        <w:rPr>
          <w:rFonts w:ascii="Arial" w:hAnsi="Arial" w:cs="Arial"/>
          <w:sz w:val="24"/>
          <w:szCs w:val="24"/>
        </w:rPr>
        <w:t xml:space="preserve"> a </w:t>
      </w:r>
      <w:r w:rsidRPr="00885972">
        <w:rPr>
          <w:rFonts w:ascii="Arial" w:hAnsi="Arial" w:cs="Arial"/>
          <w:sz w:val="24"/>
          <w:szCs w:val="24"/>
        </w:rPr>
        <w:t>vehicle</w:t>
      </w:r>
      <w:r w:rsidR="0075458B" w:rsidRPr="00885972">
        <w:rPr>
          <w:rFonts w:ascii="Arial" w:hAnsi="Arial" w:cs="Arial"/>
          <w:sz w:val="24"/>
          <w:szCs w:val="24"/>
        </w:rPr>
        <w:t xml:space="preserve"> on land</w:t>
      </w:r>
      <w:r w:rsidRPr="00885972">
        <w:rPr>
          <w:rFonts w:ascii="Arial" w:hAnsi="Arial" w:cs="Arial"/>
          <w:sz w:val="24"/>
          <w:szCs w:val="24"/>
        </w:rPr>
        <w:t xml:space="preserve"> to exist. </w:t>
      </w:r>
    </w:p>
    <w:p w14:paraId="3ACCA5AB" w14:textId="77777777" w:rsidR="00121EC4" w:rsidRPr="00885972" w:rsidRDefault="00121EC4">
      <w:pPr>
        <w:rPr>
          <w:rFonts w:ascii="Arial" w:hAnsi="Arial" w:cs="Arial"/>
          <w:sz w:val="24"/>
          <w:szCs w:val="24"/>
        </w:rPr>
      </w:pPr>
    </w:p>
    <w:p w14:paraId="08D13A5B" w14:textId="2F194279" w:rsidR="00121EC4" w:rsidRPr="00885972" w:rsidRDefault="00121EC4">
      <w:pPr>
        <w:rPr>
          <w:rFonts w:ascii="Arial" w:hAnsi="Arial" w:cs="Arial"/>
          <w:sz w:val="24"/>
          <w:szCs w:val="24"/>
        </w:rPr>
      </w:pPr>
      <w:r w:rsidRPr="00885972">
        <w:rPr>
          <w:rFonts w:ascii="Arial" w:hAnsi="Arial" w:cs="Arial"/>
          <w:sz w:val="24"/>
          <w:szCs w:val="24"/>
        </w:rPr>
        <w:t>Question 2:</w:t>
      </w:r>
    </w:p>
    <w:p w14:paraId="6A4966CB" w14:textId="7E8A97A0" w:rsidR="00121EC4" w:rsidRPr="00885972" w:rsidRDefault="00F11C2A">
      <w:pPr>
        <w:rPr>
          <w:rFonts w:ascii="Arial" w:hAnsi="Arial" w:cs="Arial"/>
          <w:sz w:val="24"/>
          <w:szCs w:val="24"/>
        </w:rPr>
      </w:pPr>
      <w:proofErr w:type="gramStart"/>
      <w:r w:rsidRPr="00885972">
        <w:rPr>
          <w:rFonts w:ascii="Arial" w:hAnsi="Arial" w:cs="Arial"/>
          <w:sz w:val="24"/>
          <w:szCs w:val="24"/>
        </w:rPr>
        <w:t>In order to</w:t>
      </w:r>
      <w:proofErr w:type="gramEnd"/>
      <w:r w:rsidRPr="00885972">
        <w:rPr>
          <w:rFonts w:ascii="Arial" w:hAnsi="Arial" w:cs="Arial"/>
          <w:sz w:val="24"/>
          <w:szCs w:val="24"/>
        </w:rPr>
        <w:t xml:space="preserve"> </w:t>
      </w:r>
      <w:r w:rsidR="00D40CA8" w:rsidRPr="00885972">
        <w:rPr>
          <w:rFonts w:ascii="Arial" w:hAnsi="Arial" w:cs="Arial"/>
          <w:sz w:val="24"/>
          <w:szCs w:val="24"/>
        </w:rPr>
        <w:t>provide Olivia with advice and clarity on what Harrison is permitted to remove or not</w:t>
      </w:r>
      <w:r w:rsidR="005078F8" w:rsidRPr="00885972">
        <w:rPr>
          <w:rFonts w:ascii="Arial" w:hAnsi="Arial" w:cs="Arial"/>
          <w:sz w:val="24"/>
          <w:szCs w:val="24"/>
        </w:rPr>
        <w:t xml:space="preserve">, it is essential that Olivia has a full understanding of </w:t>
      </w:r>
      <w:r w:rsidR="005244A9" w:rsidRPr="00885972">
        <w:rPr>
          <w:rFonts w:ascii="Arial" w:hAnsi="Arial" w:cs="Arial"/>
          <w:sz w:val="24"/>
          <w:szCs w:val="24"/>
        </w:rPr>
        <w:t xml:space="preserve">what Harrison can or can not move and why. </w:t>
      </w:r>
    </w:p>
    <w:p w14:paraId="04D3D6D4" w14:textId="442A6A42" w:rsidR="00BA05D1" w:rsidRPr="00885972" w:rsidRDefault="00605A31">
      <w:pPr>
        <w:rPr>
          <w:rFonts w:ascii="Arial" w:hAnsi="Arial" w:cs="Arial"/>
          <w:sz w:val="24"/>
          <w:szCs w:val="24"/>
        </w:rPr>
      </w:pPr>
      <w:proofErr w:type="gramStart"/>
      <w:r w:rsidRPr="00885972">
        <w:rPr>
          <w:rFonts w:ascii="Arial" w:hAnsi="Arial" w:cs="Arial"/>
          <w:sz w:val="24"/>
          <w:szCs w:val="24"/>
        </w:rPr>
        <w:t>In order to</w:t>
      </w:r>
      <w:proofErr w:type="gramEnd"/>
      <w:r w:rsidRPr="00885972">
        <w:rPr>
          <w:rFonts w:ascii="Arial" w:hAnsi="Arial" w:cs="Arial"/>
          <w:sz w:val="24"/>
          <w:szCs w:val="24"/>
        </w:rPr>
        <w:t xml:space="preserve"> distinguish whether something can be removed from the property or not, it is vital to interpret whether it is </w:t>
      </w:r>
      <w:r w:rsidR="004B55B7" w:rsidRPr="00885972">
        <w:rPr>
          <w:rFonts w:ascii="Arial" w:hAnsi="Arial" w:cs="Arial"/>
          <w:sz w:val="24"/>
          <w:szCs w:val="24"/>
        </w:rPr>
        <w:t xml:space="preserve">a fixture or a chattel. </w:t>
      </w:r>
      <w:r w:rsidR="00BA05D1" w:rsidRPr="00885972">
        <w:rPr>
          <w:rFonts w:ascii="Arial" w:hAnsi="Arial" w:cs="Arial"/>
          <w:sz w:val="24"/>
          <w:szCs w:val="24"/>
        </w:rPr>
        <w:t xml:space="preserve">In 1977 a new law was developed </w:t>
      </w:r>
      <w:proofErr w:type="gramStart"/>
      <w:r w:rsidR="00BA05D1" w:rsidRPr="00885972">
        <w:rPr>
          <w:rFonts w:ascii="Arial" w:hAnsi="Arial" w:cs="Arial"/>
          <w:sz w:val="24"/>
          <w:szCs w:val="24"/>
        </w:rPr>
        <w:t>in order to</w:t>
      </w:r>
      <w:proofErr w:type="gramEnd"/>
      <w:r w:rsidR="00BA05D1" w:rsidRPr="00885972">
        <w:rPr>
          <w:rFonts w:ascii="Arial" w:hAnsi="Arial" w:cs="Arial"/>
          <w:sz w:val="24"/>
          <w:szCs w:val="24"/>
        </w:rPr>
        <w:t xml:space="preserve"> provide a two-stage</w:t>
      </w:r>
      <w:r w:rsidR="00F43641" w:rsidRPr="00885972">
        <w:rPr>
          <w:rFonts w:ascii="Arial" w:hAnsi="Arial" w:cs="Arial"/>
          <w:sz w:val="24"/>
          <w:szCs w:val="24"/>
        </w:rPr>
        <w:t xml:space="preserve"> test to determine whether an object is a fixture or chattel</w:t>
      </w:r>
      <w:r w:rsidR="00062986" w:rsidRPr="00885972">
        <w:rPr>
          <w:rFonts w:ascii="Arial" w:hAnsi="Arial" w:cs="Arial"/>
          <w:sz w:val="24"/>
          <w:szCs w:val="24"/>
        </w:rPr>
        <w:t xml:space="preserve"> due to the case of </w:t>
      </w:r>
      <w:r w:rsidR="00062986" w:rsidRPr="00885972">
        <w:rPr>
          <w:rFonts w:ascii="Arial" w:hAnsi="Arial" w:cs="Arial"/>
          <w:sz w:val="24"/>
          <w:szCs w:val="24"/>
        </w:rPr>
        <w:t>Berkley v Poulett [1977]</w:t>
      </w:r>
      <w:r w:rsidR="004665D2" w:rsidRPr="00885972">
        <w:rPr>
          <w:rFonts w:ascii="Arial" w:hAnsi="Arial" w:cs="Arial"/>
          <w:sz w:val="24"/>
          <w:szCs w:val="24"/>
        </w:rPr>
        <w:t xml:space="preserve">. Within this case Lord Poulett </w:t>
      </w:r>
      <w:r w:rsidR="00415D99" w:rsidRPr="00885972">
        <w:rPr>
          <w:rFonts w:ascii="Arial" w:hAnsi="Arial" w:cs="Arial"/>
          <w:sz w:val="24"/>
          <w:szCs w:val="24"/>
        </w:rPr>
        <w:t>decided to sell his estate</w:t>
      </w:r>
      <w:r w:rsidR="00A05BC8" w:rsidRPr="00885972">
        <w:rPr>
          <w:rFonts w:ascii="Arial" w:hAnsi="Arial" w:cs="Arial"/>
          <w:sz w:val="24"/>
          <w:szCs w:val="24"/>
        </w:rPr>
        <w:t xml:space="preserve">, the estate included Hilton House, which had been in the Poulett family for 500 years. </w:t>
      </w:r>
      <w:r w:rsidR="0049160A" w:rsidRPr="00885972">
        <w:rPr>
          <w:rFonts w:ascii="Arial" w:hAnsi="Arial" w:cs="Arial"/>
          <w:sz w:val="24"/>
          <w:szCs w:val="24"/>
        </w:rPr>
        <w:t>Mr Berkley had purchased the property with the intention</w:t>
      </w:r>
      <w:r w:rsidR="00276D8E" w:rsidRPr="00885972">
        <w:rPr>
          <w:rFonts w:ascii="Arial" w:hAnsi="Arial" w:cs="Arial"/>
          <w:sz w:val="24"/>
          <w:szCs w:val="24"/>
        </w:rPr>
        <w:t xml:space="preserve"> to develop the estate into a tourist attraction.</w:t>
      </w:r>
      <w:r w:rsidR="006A0D4C" w:rsidRPr="00885972">
        <w:rPr>
          <w:rFonts w:ascii="Arial" w:hAnsi="Arial" w:cs="Arial"/>
          <w:sz w:val="24"/>
          <w:szCs w:val="24"/>
        </w:rPr>
        <w:t xml:space="preserve"> Mr Berkley, the plaintiff claimed that certain fixtures, including six pictures in the Queen’s dining room </w:t>
      </w:r>
      <w:r w:rsidR="00765767" w:rsidRPr="00885972">
        <w:rPr>
          <w:rFonts w:ascii="Arial" w:hAnsi="Arial" w:cs="Arial"/>
          <w:sz w:val="24"/>
          <w:szCs w:val="24"/>
        </w:rPr>
        <w:t>should be passed with the estate on sale. The defendant, Mr Poulett</w:t>
      </w:r>
      <w:r w:rsidR="005F6D86" w:rsidRPr="00885972">
        <w:rPr>
          <w:rFonts w:ascii="Arial" w:hAnsi="Arial" w:cs="Arial"/>
          <w:sz w:val="24"/>
          <w:szCs w:val="24"/>
        </w:rPr>
        <w:t xml:space="preserve">, strongly contested the claim. </w:t>
      </w:r>
      <w:r w:rsidR="00753DCE" w:rsidRPr="00885972">
        <w:rPr>
          <w:rFonts w:ascii="Arial" w:hAnsi="Arial" w:cs="Arial"/>
          <w:sz w:val="24"/>
          <w:szCs w:val="24"/>
        </w:rPr>
        <w:t xml:space="preserve"> </w:t>
      </w:r>
      <w:r w:rsidR="00F34BFA" w:rsidRPr="00885972">
        <w:rPr>
          <w:rFonts w:ascii="Arial" w:hAnsi="Arial" w:cs="Arial"/>
          <w:sz w:val="24"/>
          <w:szCs w:val="24"/>
        </w:rPr>
        <w:t xml:space="preserve">The rule which was applied was that of </w:t>
      </w:r>
      <w:r w:rsidR="00FA25AF" w:rsidRPr="00885972">
        <w:rPr>
          <w:rFonts w:ascii="Arial" w:hAnsi="Arial" w:cs="Arial"/>
          <w:sz w:val="24"/>
          <w:szCs w:val="24"/>
        </w:rPr>
        <w:t>the fact that t</w:t>
      </w:r>
      <w:r w:rsidR="00FA25AF" w:rsidRPr="00885972">
        <w:rPr>
          <w:rFonts w:ascii="Arial" w:hAnsi="Arial" w:cs="Arial"/>
          <w:sz w:val="24"/>
          <w:szCs w:val="24"/>
        </w:rPr>
        <w:t>here is no fixture if there is no physical annexation. On completion of a land sale contract, the vendor is bound to convey the land he agreed to sell. Sub purchasers can have specific performance only if they perform the purchaser's part of the head contract.</w:t>
      </w:r>
      <w:r w:rsidR="00794660" w:rsidRPr="00885972">
        <w:rPr>
          <w:rFonts w:ascii="Arial" w:hAnsi="Arial" w:cs="Arial"/>
          <w:sz w:val="24"/>
          <w:szCs w:val="24"/>
        </w:rPr>
        <w:t xml:space="preserve"> Finally, the court ruled that</w:t>
      </w:r>
      <w:r w:rsidR="0049369D" w:rsidRPr="00885972">
        <w:rPr>
          <w:rFonts w:ascii="Arial" w:hAnsi="Arial" w:cs="Arial"/>
          <w:sz w:val="24"/>
          <w:szCs w:val="24"/>
        </w:rPr>
        <w:t xml:space="preserve"> despite the items </w:t>
      </w:r>
      <w:r w:rsidR="001C665C" w:rsidRPr="00885972">
        <w:rPr>
          <w:rFonts w:ascii="Arial" w:hAnsi="Arial" w:cs="Arial"/>
          <w:sz w:val="24"/>
          <w:szCs w:val="24"/>
        </w:rPr>
        <w:t xml:space="preserve">which were </w:t>
      </w:r>
      <w:r w:rsidR="0049369D" w:rsidRPr="00885972">
        <w:rPr>
          <w:rFonts w:ascii="Arial" w:hAnsi="Arial" w:cs="Arial"/>
          <w:sz w:val="24"/>
          <w:szCs w:val="24"/>
        </w:rPr>
        <w:t xml:space="preserve">desired by the </w:t>
      </w:r>
      <w:r w:rsidR="00C16188" w:rsidRPr="00885972">
        <w:rPr>
          <w:rFonts w:ascii="Arial" w:hAnsi="Arial" w:cs="Arial"/>
          <w:sz w:val="24"/>
          <w:szCs w:val="24"/>
        </w:rPr>
        <w:t>plaintiff</w:t>
      </w:r>
      <w:r w:rsidR="001C665C" w:rsidRPr="00885972">
        <w:rPr>
          <w:rFonts w:ascii="Arial" w:hAnsi="Arial" w:cs="Arial"/>
          <w:sz w:val="24"/>
          <w:szCs w:val="24"/>
        </w:rPr>
        <w:t xml:space="preserve">, they were not fixtures that passed with the house on sale to Mr Berkley. </w:t>
      </w:r>
      <w:r w:rsidR="00586712" w:rsidRPr="00885972">
        <w:rPr>
          <w:rFonts w:ascii="Arial" w:hAnsi="Arial" w:cs="Arial"/>
          <w:sz w:val="24"/>
          <w:szCs w:val="24"/>
        </w:rPr>
        <w:t xml:space="preserve"> The court dismissed the appeal due to the plaintiff not offering to perform the estate contract </w:t>
      </w:r>
      <w:r w:rsidR="00FA706C" w:rsidRPr="00885972">
        <w:rPr>
          <w:rFonts w:ascii="Arial" w:hAnsi="Arial" w:cs="Arial"/>
          <w:sz w:val="24"/>
          <w:szCs w:val="24"/>
        </w:rPr>
        <w:t xml:space="preserve">and completed the contract without pursuing his claim against Lord Poulett. </w:t>
      </w:r>
    </w:p>
    <w:p w14:paraId="67FABE17" w14:textId="11F1C509" w:rsidR="00154C62" w:rsidRPr="00885972" w:rsidRDefault="00280346">
      <w:pPr>
        <w:rPr>
          <w:rFonts w:ascii="Arial" w:hAnsi="Arial" w:cs="Arial"/>
          <w:sz w:val="24"/>
          <w:szCs w:val="24"/>
        </w:rPr>
      </w:pPr>
      <w:r w:rsidRPr="00885972">
        <w:rPr>
          <w:rFonts w:ascii="Arial" w:hAnsi="Arial" w:cs="Arial"/>
          <w:sz w:val="24"/>
          <w:szCs w:val="24"/>
        </w:rPr>
        <w:t xml:space="preserve"> </w:t>
      </w:r>
      <w:r w:rsidR="00CC2046" w:rsidRPr="00885972">
        <w:rPr>
          <w:rFonts w:ascii="Arial" w:hAnsi="Arial" w:cs="Arial"/>
          <w:sz w:val="24"/>
          <w:szCs w:val="24"/>
        </w:rPr>
        <w:t xml:space="preserve">The degree of annexation determines whether an item is a fixture or a chattel. Essentially, it determines whether an item has been attached to or annexed to a property. The test is inconclusive and merely measures the strength of an item's </w:t>
      </w:r>
      <w:r w:rsidR="00CC2046" w:rsidRPr="00885972">
        <w:rPr>
          <w:rFonts w:ascii="Arial" w:hAnsi="Arial" w:cs="Arial"/>
          <w:sz w:val="24"/>
          <w:szCs w:val="24"/>
        </w:rPr>
        <w:lastRenderedPageBreak/>
        <w:t xml:space="preserve">attachment to the ground or building. The purpose of annexation, the relationship between the parties interested in the land, the nature of the property, and the object of the annexation may also be taken into </w:t>
      </w:r>
      <w:r w:rsidR="00A01B1F">
        <w:rPr>
          <w:rFonts w:ascii="Arial" w:hAnsi="Arial" w:cs="Arial"/>
          <w:sz w:val="24"/>
          <w:szCs w:val="24"/>
        </w:rPr>
        <w:t xml:space="preserve">consideration, </w:t>
      </w:r>
      <w:r w:rsidR="00A01B1F" w:rsidRPr="00A01B1F">
        <w:rPr>
          <w:rFonts w:ascii="Arial" w:hAnsi="Arial" w:cs="Arial"/>
          <w:sz w:val="24"/>
          <w:szCs w:val="24"/>
        </w:rPr>
        <w:t>(Schoonmaker, 1933)</w:t>
      </w:r>
      <w:r w:rsidR="00A01B1F">
        <w:rPr>
          <w:rFonts w:ascii="Arial" w:hAnsi="Arial" w:cs="Arial"/>
          <w:sz w:val="24"/>
          <w:szCs w:val="24"/>
        </w:rPr>
        <w:t xml:space="preserve">. </w:t>
      </w:r>
    </w:p>
    <w:p w14:paraId="7770D95C" w14:textId="3D7A2532" w:rsidR="005F5CA2" w:rsidRPr="00885972" w:rsidRDefault="005F5CA2">
      <w:pPr>
        <w:rPr>
          <w:rFonts w:ascii="Arial" w:hAnsi="Arial" w:cs="Arial"/>
          <w:sz w:val="24"/>
          <w:szCs w:val="24"/>
        </w:rPr>
      </w:pPr>
      <w:r w:rsidRPr="00885972">
        <w:rPr>
          <w:rFonts w:ascii="Arial" w:hAnsi="Arial" w:cs="Arial"/>
          <w:sz w:val="24"/>
          <w:szCs w:val="24"/>
        </w:rPr>
        <w:t xml:space="preserve">There </w:t>
      </w:r>
      <w:r w:rsidR="001968A3" w:rsidRPr="00885972">
        <w:rPr>
          <w:rFonts w:ascii="Arial" w:hAnsi="Arial" w:cs="Arial"/>
          <w:sz w:val="24"/>
          <w:szCs w:val="24"/>
        </w:rPr>
        <w:t>is,</w:t>
      </w:r>
      <w:r w:rsidRPr="00885972">
        <w:rPr>
          <w:rFonts w:ascii="Arial" w:hAnsi="Arial" w:cs="Arial"/>
          <w:sz w:val="24"/>
          <w:szCs w:val="24"/>
        </w:rPr>
        <w:t xml:space="preserve"> however, also the purpose of annexation</w:t>
      </w:r>
      <w:r w:rsidR="00680D18" w:rsidRPr="00885972">
        <w:rPr>
          <w:rFonts w:ascii="Arial" w:hAnsi="Arial" w:cs="Arial"/>
          <w:sz w:val="24"/>
          <w:szCs w:val="24"/>
        </w:rPr>
        <w:t xml:space="preserve">. The purpose of annexation is to </w:t>
      </w:r>
      <w:r w:rsidR="002E0C5B" w:rsidRPr="00885972">
        <w:rPr>
          <w:rFonts w:ascii="Arial" w:hAnsi="Arial" w:cs="Arial"/>
          <w:sz w:val="24"/>
          <w:szCs w:val="24"/>
        </w:rPr>
        <w:t>essentially</w:t>
      </w:r>
      <w:r w:rsidR="00680D18" w:rsidRPr="00885972">
        <w:rPr>
          <w:rFonts w:ascii="Arial" w:hAnsi="Arial" w:cs="Arial"/>
          <w:sz w:val="24"/>
          <w:szCs w:val="24"/>
        </w:rPr>
        <w:t xml:space="preserve"> understand why the object has been attached to the land. This is the key test and takes priority over the degree of annexation. </w:t>
      </w:r>
      <w:r w:rsidR="002E0C5B" w:rsidRPr="00885972">
        <w:rPr>
          <w:rFonts w:ascii="Arial" w:hAnsi="Arial" w:cs="Arial"/>
          <w:sz w:val="24"/>
          <w:szCs w:val="24"/>
        </w:rPr>
        <w:t xml:space="preserve">The purpose of annexation defines a fixture as, if the object was attached to the land to enhance the land or to </w:t>
      </w:r>
      <w:r w:rsidR="008D01F9" w:rsidRPr="00885972">
        <w:rPr>
          <w:rFonts w:ascii="Arial" w:hAnsi="Arial" w:cs="Arial"/>
          <w:sz w:val="24"/>
          <w:szCs w:val="24"/>
        </w:rPr>
        <w:t xml:space="preserve">create a permanent improvement then it is determined as a fixture. </w:t>
      </w:r>
      <w:r w:rsidR="007166D7" w:rsidRPr="00885972">
        <w:rPr>
          <w:rFonts w:ascii="Arial" w:hAnsi="Arial" w:cs="Arial"/>
          <w:sz w:val="24"/>
          <w:szCs w:val="24"/>
        </w:rPr>
        <w:t xml:space="preserve">Although, if the object was attached to the land for the better enjoyment of the </w:t>
      </w:r>
      <w:r w:rsidR="004D7376" w:rsidRPr="00885972">
        <w:rPr>
          <w:rFonts w:ascii="Arial" w:hAnsi="Arial" w:cs="Arial"/>
          <w:sz w:val="24"/>
          <w:szCs w:val="24"/>
        </w:rPr>
        <w:t>object,</w:t>
      </w:r>
      <w:r w:rsidR="007166D7" w:rsidRPr="00885972">
        <w:rPr>
          <w:rFonts w:ascii="Arial" w:hAnsi="Arial" w:cs="Arial"/>
          <w:sz w:val="24"/>
          <w:szCs w:val="24"/>
        </w:rPr>
        <w:t xml:space="preserve"> then it retains </w:t>
      </w:r>
      <w:r w:rsidR="001968A3" w:rsidRPr="00885972">
        <w:rPr>
          <w:rFonts w:ascii="Arial" w:hAnsi="Arial" w:cs="Arial"/>
          <w:sz w:val="24"/>
          <w:szCs w:val="24"/>
        </w:rPr>
        <w:t>its</w:t>
      </w:r>
      <w:r w:rsidR="007166D7" w:rsidRPr="00885972">
        <w:rPr>
          <w:rFonts w:ascii="Arial" w:hAnsi="Arial" w:cs="Arial"/>
          <w:sz w:val="24"/>
          <w:szCs w:val="24"/>
        </w:rPr>
        <w:t xml:space="preserve"> characteristics as a chattel. </w:t>
      </w:r>
      <w:r w:rsidR="004D7376" w:rsidRPr="00885972">
        <w:rPr>
          <w:rFonts w:ascii="Arial" w:hAnsi="Arial" w:cs="Arial"/>
          <w:sz w:val="24"/>
          <w:szCs w:val="24"/>
        </w:rPr>
        <w:t>This question is dependent on the circumstances of each case with the onus of proof being the person claiming that the object has ceased to be a chattel</w:t>
      </w:r>
      <w:r w:rsidR="006F5C26">
        <w:rPr>
          <w:rFonts w:ascii="Arial" w:hAnsi="Arial" w:cs="Arial"/>
          <w:sz w:val="24"/>
          <w:szCs w:val="24"/>
        </w:rPr>
        <w:t xml:space="preserve">, </w:t>
      </w:r>
      <w:r w:rsidR="006F5C26" w:rsidRPr="006F5C26">
        <w:rPr>
          <w:rFonts w:ascii="Arial" w:hAnsi="Arial" w:cs="Arial"/>
          <w:sz w:val="24"/>
          <w:szCs w:val="24"/>
        </w:rPr>
        <w:t>(Wheeler, 1965)</w:t>
      </w:r>
      <w:r w:rsidR="006F5C26">
        <w:rPr>
          <w:rFonts w:ascii="Arial" w:hAnsi="Arial" w:cs="Arial"/>
          <w:sz w:val="24"/>
          <w:szCs w:val="24"/>
        </w:rPr>
        <w:t xml:space="preserve">. </w:t>
      </w:r>
    </w:p>
    <w:p w14:paraId="38B5558D" w14:textId="355D311E" w:rsidR="001968A3" w:rsidRPr="00885972" w:rsidRDefault="00A66983">
      <w:pPr>
        <w:rPr>
          <w:rFonts w:ascii="Arial" w:hAnsi="Arial" w:cs="Arial"/>
          <w:sz w:val="24"/>
          <w:szCs w:val="24"/>
        </w:rPr>
      </w:pPr>
      <w:r w:rsidRPr="00885972">
        <w:rPr>
          <w:rFonts w:ascii="Arial" w:hAnsi="Arial" w:cs="Arial"/>
          <w:sz w:val="24"/>
          <w:szCs w:val="24"/>
        </w:rPr>
        <w:t>In terms of providing Olivia with confirmation on what Harrison is and is not permitted to remove</w:t>
      </w:r>
      <w:r w:rsidR="0013631F" w:rsidRPr="00885972">
        <w:rPr>
          <w:rFonts w:ascii="Arial" w:hAnsi="Arial" w:cs="Arial"/>
          <w:sz w:val="24"/>
          <w:szCs w:val="24"/>
        </w:rPr>
        <w:t xml:space="preserve">, preexisting case law will provide a clear understanding </w:t>
      </w:r>
      <w:r w:rsidR="006D715B" w:rsidRPr="00885972">
        <w:rPr>
          <w:rFonts w:ascii="Arial" w:hAnsi="Arial" w:cs="Arial"/>
          <w:sz w:val="24"/>
          <w:szCs w:val="24"/>
        </w:rPr>
        <w:t>to Olivia</w:t>
      </w:r>
      <w:r w:rsidR="00BE5ED5" w:rsidRPr="00885972">
        <w:rPr>
          <w:rFonts w:ascii="Arial" w:hAnsi="Arial" w:cs="Arial"/>
          <w:sz w:val="24"/>
          <w:szCs w:val="24"/>
        </w:rPr>
        <w:t>. Aswell as implying the purpose of annexation along with the degree or annexation</w:t>
      </w:r>
      <w:r w:rsidR="006D715B" w:rsidRPr="00885972">
        <w:rPr>
          <w:rFonts w:ascii="Arial" w:hAnsi="Arial" w:cs="Arial"/>
          <w:sz w:val="24"/>
          <w:szCs w:val="24"/>
        </w:rPr>
        <w:t xml:space="preserve">. To begin, the statue. The statue has been stated to have </w:t>
      </w:r>
      <w:r w:rsidR="0012397F" w:rsidRPr="00885972">
        <w:rPr>
          <w:rFonts w:ascii="Arial" w:hAnsi="Arial" w:cs="Arial"/>
          <w:sz w:val="24"/>
          <w:szCs w:val="24"/>
        </w:rPr>
        <w:t xml:space="preserve">been cemented by its base to the ground, due to Harrison </w:t>
      </w:r>
      <w:r w:rsidR="00696BD5" w:rsidRPr="00885972">
        <w:rPr>
          <w:rFonts w:ascii="Arial" w:hAnsi="Arial" w:cs="Arial"/>
          <w:sz w:val="24"/>
          <w:szCs w:val="24"/>
        </w:rPr>
        <w:t>fearing that it could attracted unwanted attention and be stolen despite the</w:t>
      </w:r>
      <w:r w:rsidR="00CB460D" w:rsidRPr="00885972">
        <w:rPr>
          <w:rFonts w:ascii="Arial" w:hAnsi="Arial" w:cs="Arial"/>
          <w:sz w:val="24"/>
          <w:szCs w:val="24"/>
        </w:rPr>
        <w:t xml:space="preserve"> fact it is quite heavy. </w:t>
      </w:r>
      <w:r w:rsidR="004A1D34" w:rsidRPr="00885972">
        <w:rPr>
          <w:rFonts w:ascii="Arial" w:hAnsi="Arial" w:cs="Arial"/>
          <w:sz w:val="24"/>
          <w:szCs w:val="24"/>
        </w:rPr>
        <w:t>When determining the degree of annexation for the statue</w:t>
      </w:r>
      <w:r w:rsidR="00A84827" w:rsidRPr="00885972">
        <w:rPr>
          <w:rFonts w:ascii="Arial" w:hAnsi="Arial" w:cs="Arial"/>
          <w:sz w:val="24"/>
          <w:szCs w:val="24"/>
        </w:rPr>
        <w:t xml:space="preserve"> it is </w:t>
      </w:r>
      <w:r w:rsidR="00791691" w:rsidRPr="00885972">
        <w:rPr>
          <w:rFonts w:ascii="Arial" w:hAnsi="Arial" w:cs="Arial"/>
          <w:sz w:val="24"/>
          <w:szCs w:val="24"/>
        </w:rPr>
        <w:t>easily understood that if the statue was removed if woul</w:t>
      </w:r>
      <w:r w:rsidR="002130BA" w:rsidRPr="00885972">
        <w:rPr>
          <w:rFonts w:ascii="Arial" w:hAnsi="Arial" w:cs="Arial"/>
          <w:sz w:val="24"/>
          <w:szCs w:val="24"/>
        </w:rPr>
        <w:t xml:space="preserve">d more likely that </w:t>
      </w:r>
      <w:r w:rsidR="00BE5ED5" w:rsidRPr="00885972">
        <w:rPr>
          <w:rFonts w:ascii="Arial" w:hAnsi="Arial" w:cs="Arial"/>
          <w:sz w:val="24"/>
          <w:szCs w:val="24"/>
        </w:rPr>
        <w:t>do not cause</w:t>
      </w:r>
      <w:r w:rsidR="002130BA" w:rsidRPr="00885972">
        <w:rPr>
          <w:rFonts w:ascii="Arial" w:hAnsi="Arial" w:cs="Arial"/>
          <w:sz w:val="24"/>
          <w:szCs w:val="24"/>
        </w:rPr>
        <w:t xml:space="preserve"> significant damage to the patio, implying that the statue is </w:t>
      </w:r>
      <w:r w:rsidR="00AB282C" w:rsidRPr="00885972">
        <w:rPr>
          <w:rFonts w:ascii="Arial" w:hAnsi="Arial" w:cs="Arial"/>
          <w:sz w:val="24"/>
          <w:szCs w:val="24"/>
        </w:rPr>
        <w:t xml:space="preserve">a fixture. However, </w:t>
      </w:r>
      <w:proofErr w:type="gramStart"/>
      <w:r w:rsidR="00AB282C" w:rsidRPr="00885972">
        <w:rPr>
          <w:rFonts w:ascii="Arial" w:hAnsi="Arial" w:cs="Arial"/>
          <w:sz w:val="24"/>
          <w:szCs w:val="24"/>
        </w:rPr>
        <w:t>In</w:t>
      </w:r>
      <w:proofErr w:type="gramEnd"/>
      <w:r w:rsidR="00AB282C" w:rsidRPr="00885972">
        <w:rPr>
          <w:rFonts w:ascii="Arial" w:hAnsi="Arial" w:cs="Arial"/>
          <w:sz w:val="24"/>
          <w:szCs w:val="24"/>
        </w:rPr>
        <w:t xml:space="preserve"> terms of the purpose of annexation</w:t>
      </w:r>
      <w:r w:rsidR="00426F3B" w:rsidRPr="00885972">
        <w:rPr>
          <w:rFonts w:ascii="Arial" w:hAnsi="Arial" w:cs="Arial"/>
          <w:sz w:val="24"/>
          <w:szCs w:val="24"/>
        </w:rPr>
        <w:t xml:space="preserve">, which holds priority over the degree of annexation, </w:t>
      </w:r>
      <w:r w:rsidR="007E6863" w:rsidRPr="00885972">
        <w:rPr>
          <w:rFonts w:ascii="Arial" w:hAnsi="Arial" w:cs="Arial"/>
          <w:sz w:val="24"/>
          <w:szCs w:val="24"/>
        </w:rPr>
        <w:t xml:space="preserve">the decision of whether the statue is a chattel or a fixture is quite complex. </w:t>
      </w:r>
      <w:r w:rsidR="00BF730E" w:rsidRPr="00885972">
        <w:rPr>
          <w:rFonts w:ascii="Arial" w:hAnsi="Arial" w:cs="Arial"/>
          <w:sz w:val="24"/>
          <w:szCs w:val="24"/>
        </w:rPr>
        <w:t>On one hand, the sta</w:t>
      </w:r>
      <w:r w:rsidR="008D7A23" w:rsidRPr="00885972">
        <w:rPr>
          <w:rFonts w:ascii="Arial" w:hAnsi="Arial" w:cs="Arial"/>
          <w:sz w:val="24"/>
          <w:szCs w:val="24"/>
        </w:rPr>
        <w:t xml:space="preserve">tue </w:t>
      </w:r>
      <w:r w:rsidR="00BF730E" w:rsidRPr="00885972">
        <w:rPr>
          <w:rFonts w:ascii="Arial" w:hAnsi="Arial" w:cs="Arial"/>
          <w:sz w:val="24"/>
          <w:szCs w:val="24"/>
        </w:rPr>
        <w:t xml:space="preserve">can be understood to have been attached to the land </w:t>
      </w:r>
      <w:r w:rsidR="00FE33E2" w:rsidRPr="00885972">
        <w:rPr>
          <w:rFonts w:ascii="Arial" w:hAnsi="Arial" w:cs="Arial"/>
          <w:sz w:val="24"/>
          <w:szCs w:val="24"/>
        </w:rPr>
        <w:t>to enhance the land and to make permanent improvement</w:t>
      </w:r>
      <w:r w:rsidR="001E51C5" w:rsidRPr="00885972">
        <w:rPr>
          <w:rFonts w:ascii="Arial" w:hAnsi="Arial" w:cs="Arial"/>
          <w:sz w:val="24"/>
          <w:szCs w:val="24"/>
        </w:rPr>
        <w:t xml:space="preserve">, a </w:t>
      </w:r>
      <w:r w:rsidR="00BE5ED5" w:rsidRPr="00885972">
        <w:rPr>
          <w:rFonts w:ascii="Arial" w:hAnsi="Arial" w:cs="Arial"/>
          <w:sz w:val="24"/>
          <w:szCs w:val="24"/>
        </w:rPr>
        <w:t>fixture,</w:t>
      </w:r>
      <w:r w:rsidR="00FE33E2" w:rsidRPr="00885972">
        <w:rPr>
          <w:rFonts w:ascii="Arial" w:hAnsi="Arial" w:cs="Arial"/>
          <w:sz w:val="24"/>
          <w:szCs w:val="24"/>
        </w:rPr>
        <w:t xml:space="preserve"> yet it can also be understood that the </w:t>
      </w:r>
      <w:r w:rsidR="001E51C5" w:rsidRPr="00885972">
        <w:rPr>
          <w:rFonts w:ascii="Arial" w:hAnsi="Arial" w:cs="Arial"/>
          <w:sz w:val="24"/>
          <w:szCs w:val="24"/>
        </w:rPr>
        <w:t>statue is a chattel due to the object being attached t</w:t>
      </w:r>
      <w:r w:rsidR="00BE5ED5" w:rsidRPr="00885972">
        <w:rPr>
          <w:rFonts w:ascii="Arial" w:hAnsi="Arial" w:cs="Arial"/>
          <w:sz w:val="24"/>
          <w:szCs w:val="24"/>
        </w:rPr>
        <w:t xml:space="preserve">o the land for Harrison’s enjoyment. </w:t>
      </w:r>
    </w:p>
    <w:p w14:paraId="5AF04407" w14:textId="3C6C26D7" w:rsidR="0079643B" w:rsidRPr="00885972" w:rsidRDefault="0079643B">
      <w:pPr>
        <w:rPr>
          <w:rFonts w:ascii="Arial" w:hAnsi="Arial" w:cs="Arial"/>
          <w:sz w:val="24"/>
          <w:szCs w:val="24"/>
        </w:rPr>
      </w:pPr>
      <w:r w:rsidRPr="00885972">
        <w:rPr>
          <w:rFonts w:ascii="Arial" w:hAnsi="Arial" w:cs="Arial"/>
          <w:sz w:val="24"/>
          <w:szCs w:val="24"/>
        </w:rPr>
        <w:t xml:space="preserve">Within similarity to the statue is the determination of whether the terracotta pots </w:t>
      </w:r>
      <w:r w:rsidR="00CC3805" w:rsidRPr="00885972">
        <w:rPr>
          <w:rFonts w:ascii="Arial" w:hAnsi="Arial" w:cs="Arial"/>
          <w:sz w:val="24"/>
          <w:szCs w:val="24"/>
        </w:rPr>
        <w:t xml:space="preserve">are a fixture or chattel. </w:t>
      </w:r>
      <w:r w:rsidR="00FC5CB1" w:rsidRPr="00885972">
        <w:rPr>
          <w:rFonts w:ascii="Arial" w:hAnsi="Arial" w:cs="Arial"/>
          <w:sz w:val="24"/>
          <w:szCs w:val="24"/>
        </w:rPr>
        <w:t xml:space="preserve">It is stated that the terracotta </w:t>
      </w:r>
      <w:r w:rsidR="005F242A" w:rsidRPr="00885972">
        <w:rPr>
          <w:rFonts w:ascii="Arial" w:hAnsi="Arial" w:cs="Arial"/>
          <w:sz w:val="24"/>
          <w:szCs w:val="24"/>
        </w:rPr>
        <w:t xml:space="preserve">pots are filled with plants and that one contains ivy which has grown </w:t>
      </w:r>
      <w:r w:rsidR="002D453D" w:rsidRPr="00885972">
        <w:rPr>
          <w:rFonts w:ascii="Arial" w:hAnsi="Arial" w:cs="Arial"/>
          <w:sz w:val="24"/>
          <w:szCs w:val="24"/>
        </w:rPr>
        <w:t>attractively</w:t>
      </w:r>
      <w:r w:rsidR="00DB16DB" w:rsidRPr="00885972">
        <w:rPr>
          <w:rFonts w:ascii="Arial" w:hAnsi="Arial" w:cs="Arial"/>
          <w:sz w:val="24"/>
          <w:szCs w:val="24"/>
        </w:rPr>
        <w:t xml:space="preserve"> up from the ground and around </w:t>
      </w:r>
      <w:r w:rsidR="002D453D" w:rsidRPr="00885972">
        <w:rPr>
          <w:rFonts w:ascii="Arial" w:hAnsi="Arial" w:cs="Arial"/>
          <w:sz w:val="24"/>
          <w:szCs w:val="24"/>
        </w:rPr>
        <w:t>the</w:t>
      </w:r>
      <w:r w:rsidR="00DB16DB" w:rsidRPr="00885972">
        <w:rPr>
          <w:rFonts w:ascii="Arial" w:hAnsi="Arial" w:cs="Arial"/>
          <w:sz w:val="24"/>
          <w:szCs w:val="24"/>
        </w:rPr>
        <w:t xml:space="preserve"> bi-fold door which leads out to the patio. </w:t>
      </w:r>
      <w:r w:rsidR="00DF6E27" w:rsidRPr="00885972">
        <w:rPr>
          <w:rFonts w:ascii="Arial" w:hAnsi="Arial" w:cs="Arial"/>
          <w:sz w:val="24"/>
          <w:szCs w:val="24"/>
        </w:rPr>
        <w:t xml:space="preserve">The degree of annexation </w:t>
      </w:r>
      <w:r w:rsidR="00E6482B" w:rsidRPr="00885972">
        <w:rPr>
          <w:rFonts w:ascii="Arial" w:hAnsi="Arial" w:cs="Arial"/>
          <w:sz w:val="24"/>
          <w:szCs w:val="24"/>
        </w:rPr>
        <w:t xml:space="preserve">for the terracotta pots would interpret that </w:t>
      </w:r>
      <w:r w:rsidR="006F3477" w:rsidRPr="00885972">
        <w:rPr>
          <w:rFonts w:ascii="Arial" w:hAnsi="Arial" w:cs="Arial"/>
          <w:sz w:val="24"/>
          <w:szCs w:val="24"/>
        </w:rPr>
        <w:t xml:space="preserve">terracotta pot which holds the ivy </w:t>
      </w:r>
      <w:r w:rsidR="00FF5BD0" w:rsidRPr="00885972">
        <w:rPr>
          <w:rFonts w:ascii="Arial" w:hAnsi="Arial" w:cs="Arial"/>
          <w:sz w:val="24"/>
          <w:szCs w:val="24"/>
        </w:rPr>
        <w:t xml:space="preserve">would be a fixture and the </w:t>
      </w:r>
      <w:r w:rsidR="00CA3A4E" w:rsidRPr="00885972">
        <w:rPr>
          <w:rFonts w:ascii="Arial" w:hAnsi="Arial" w:cs="Arial"/>
          <w:sz w:val="24"/>
          <w:szCs w:val="24"/>
        </w:rPr>
        <w:t>other</w:t>
      </w:r>
      <w:r w:rsidR="00FF5BD0" w:rsidRPr="00885972">
        <w:rPr>
          <w:rFonts w:ascii="Arial" w:hAnsi="Arial" w:cs="Arial"/>
          <w:sz w:val="24"/>
          <w:szCs w:val="24"/>
        </w:rPr>
        <w:t xml:space="preserve"> chattels. In terms of the purpose of annexation </w:t>
      </w:r>
      <w:r w:rsidR="004A6B87" w:rsidRPr="00885972">
        <w:rPr>
          <w:rFonts w:ascii="Arial" w:hAnsi="Arial" w:cs="Arial"/>
          <w:sz w:val="24"/>
          <w:szCs w:val="24"/>
        </w:rPr>
        <w:t xml:space="preserve">the terracotta pot which holds the ivy was attached to the land </w:t>
      </w:r>
      <w:r w:rsidR="00CA3A4E" w:rsidRPr="00885972">
        <w:rPr>
          <w:rFonts w:ascii="Arial" w:hAnsi="Arial" w:cs="Arial"/>
          <w:sz w:val="24"/>
          <w:szCs w:val="24"/>
        </w:rPr>
        <w:t>to</w:t>
      </w:r>
      <w:r w:rsidR="004A6B87" w:rsidRPr="00885972">
        <w:rPr>
          <w:rFonts w:ascii="Arial" w:hAnsi="Arial" w:cs="Arial"/>
          <w:sz w:val="24"/>
          <w:szCs w:val="24"/>
        </w:rPr>
        <w:t xml:space="preserve"> enhance or improve the land, therefore making it a fixture. Once </w:t>
      </w:r>
      <w:r w:rsidR="00CA3A4E" w:rsidRPr="00885972">
        <w:rPr>
          <w:rFonts w:ascii="Arial" w:hAnsi="Arial" w:cs="Arial"/>
          <w:sz w:val="24"/>
          <w:szCs w:val="24"/>
        </w:rPr>
        <w:t>again,</w:t>
      </w:r>
      <w:r w:rsidR="004A6B87" w:rsidRPr="00885972">
        <w:rPr>
          <w:rFonts w:ascii="Arial" w:hAnsi="Arial" w:cs="Arial"/>
          <w:sz w:val="24"/>
          <w:szCs w:val="24"/>
        </w:rPr>
        <w:t xml:space="preserve"> the terracotta pots which do not hold ivy </w:t>
      </w:r>
      <w:r w:rsidR="00CA3A4E" w:rsidRPr="00885972">
        <w:rPr>
          <w:rFonts w:ascii="Arial" w:hAnsi="Arial" w:cs="Arial"/>
          <w:sz w:val="24"/>
          <w:szCs w:val="24"/>
        </w:rPr>
        <w:t xml:space="preserve">was attached to the property for better enjoyment therefore clarifying they are chattels. </w:t>
      </w:r>
    </w:p>
    <w:p w14:paraId="2CCD9D1F" w14:textId="0A6095BF" w:rsidR="000B4418" w:rsidRPr="00885972" w:rsidRDefault="000B4418">
      <w:pPr>
        <w:rPr>
          <w:rFonts w:ascii="Arial" w:hAnsi="Arial" w:cs="Arial"/>
          <w:sz w:val="24"/>
          <w:szCs w:val="24"/>
        </w:rPr>
      </w:pPr>
      <w:r w:rsidRPr="00885972">
        <w:rPr>
          <w:rFonts w:ascii="Arial" w:hAnsi="Arial" w:cs="Arial"/>
          <w:sz w:val="24"/>
          <w:szCs w:val="24"/>
        </w:rPr>
        <w:t xml:space="preserve">In terms of the summer house and </w:t>
      </w:r>
      <w:r w:rsidR="0020343E" w:rsidRPr="00885972">
        <w:rPr>
          <w:rFonts w:ascii="Arial" w:hAnsi="Arial" w:cs="Arial"/>
          <w:sz w:val="24"/>
          <w:szCs w:val="24"/>
        </w:rPr>
        <w:t xml:space="preserve">hot </w:t>
      </w:r>
      <w:r w:rsidR="00E56DF8" w:rsidRPr="00885972">
        <w:rPr>
          <w:rFonts w:ascii="Arial" w:hAnsi="Arial" w:cs="Arial"/>
          <w:sz w:val="24"/>
          <w:szCs w:val="24"/>
        </w:rPr>
        <w:t xml:space="preserve">tub, it has been stated that the </w:t>
      </w:r>
      <w:r w:rsidR="009D7974" w:rsidRPr="00885972">
        <w:rPr>
          <w:rFonts w:ascii="Arial" w:hAnsi="Arial" w:cs="Arial"/>
          <w:sz w:val="24"/>
          <w:szCs w:val="24"/>
        </w:rPr>
        <w:t>summerhouse has been anchored by bolts to a concrete base</w:t>
      </w:r>
      <w:r w:rsidR="00467A4B" w:rsidRPr="00885972">
        <w:rPr>
          <w:rFonts w:ascii="Arial" w:hAnsi="Arial" w:cs="Arial"/>
          <w:sz w:val="24"/>
          <w:szCs w:val="24"/>
        </w:rPr>
        <w:t xml:space="preserve">, and the hot tub is stated to be inflatable. </w:t>
      </w:r>
      <w:r w:rsidR="004D7239" w:rsidRPr="00885972">
        <w:rPr>
          <w:rFonts w:ascii="Arial" w:hAnsi="Arial" w:cs="Arial"/>
          <w:sz w:val="24"/>
          <w:szCs w:val="24"/>
        </w:rPr>
        <w:t xml:space="preserve">The degree of annexation would </w:t>
      </w:r>
      <w:r w:rsidR="003B27E7" w:rsidRPr="00885972">
        <w:rPr>
          <w:rFonts w:ascii="Arial" w:hAnsi="Arial" w:cs="Arial"/>
          <w:sz w:val="24"/>
          <w:szCs w:val="24"/>
        </w:rPr>
        <w:t>prove</w:t>
      </w:r>
      <w:r w:rsidR="004D7239" w:rsidRPr="00885972">
        <w:rPr>
          <w:rFonts w:ascii="Arial" w:hAnsi="Arial" w:cs="Arial"/>
          <w:sz w:val="24"/>
          <w:szCs w:val="24"/>
        </w:rPr>
        <w:t xml:space="preserve"> the</w:t>
      </w:r>
      <w:r w:rsidR="006E0649" w:rsidRPr="00885972">
        <w:rPr>
          <w:rFonts w:ascii="Arial" w:hAnsi="Arial" w:cs="Arial"/>
          <w:sz w:val="24"/>
          <w:szCs w:val="24"/>
        </w:rPr>
        <w:t xml:space="preserve"> summer house as a fixture, as removing it would cause dam</w:t>
      </w:r>
      <w:r w:rsidR="004118E1" w:rsidRPr="00885972">
        <w:rPr>
          <w:rFonts w:ascii="Arial" w:hAnsi="Arial" w:cs="Arial"/>
          <w:sz w:val="24"/>
          <w:szCs w:val="24"/>
        </w:rPr>
        <w:t>age to the property</w:t>
      </w:r>
      <w:r w:rsidR="007B4D5C" w:rsidRPr="00885972">
        <w:rPr>
          <w:rFonts w:ascii="Arial" w:hAnsi="Arial" w:cs="Arial"/>
          <w:sz w:val="24"/>
          <w:szCs w:val="24"/>
        </w:rPr>
        <w:t>, and the hot tub as a chattel as it can simply be deflated and taken away</w:t>
      </w:r>
      <w:r w:rsidR="007E4390" w:rsidRPr="00885972">
        <w:rPr>
          <w:rFonts w:ascii="Arial" w:hAnsi="Arial" w:cs="Arial"/>
          <w:sz w:val="24"/>
          <w:szCs w:val="24"/>
        </w:rPr>
        <w:t xml:space="preserve"> without causing any significant damage to the land. </w:t>
      </w:r>
      <w:r w:rsidR="00AC3BF7" w:rsidRPr="00885972">
        <w:rPr>
          <w:rFonts w:ascii="Arial" w:hAnsi="Arial" w:cs="Arial"/>
          <w:sz w:val="24"/>
          <w:szCs w:val="24"/>
        </w:rPr>
        <w:t xml:space="preserve">The purpose of annexation for the summer house would recognise the summer house as being </w:t>
      </w:r>
      <w:r w:rsidR="003716C6" w:rsidRPr="00885972">
        <w:rPr>
          <w:rFonts w:ascii="Arial" w:hAnsi="Arial" w:cs="Arial"/>
          <w:sz w:val="24"/>
          <w:szCs w:val="24"/>
        </w:rPr>
        <w:t>attached</w:t>
      </w:r>
      <w:r w:rsidR="00AC3BF7" w:rsidRPr="00885972">
        <w:rPr>
          <w:rFonts w:ascii="Arial" w:hAnsi="Arial" w:cs="Arial"/>
          <w:sz w:val="24"/>
          <w:szCs w:val="24"/>
        </w:rPr>
        <w:t xml:space="preserve"> </w:t>
      </w:r>
      <w:r w:rsidR="00E418B9" w:rsidRPr="00885972">
        <w:rPr>
          <w:rFonts w:ascii="Arial" w:hAnsi="Arial" w:cs="Arial"/>
          <w:sz w:val="24"/>
          <w:szCs w:val="24"/>
        </w:rPr>
        <w:t xml:space="preserve">to the land </w:t>
      </w:r>
      <w:proofErr w:type="spellStart"/>
      <w:r w:rsidR="00E418B9" w:rsidRPr="00885972">
        <w:rPr>
          <w:rFonts w:ascii="Arial" w:hAnsi="Arial" w:cs="Arial"/>
          <w:sz w:val="24"/>
          <w:szCs w:val="24"/>
        </w:rPr>
        <w:t>ti</w:t>
      </w:r>
      <w:proofErr w:type="spellEnd"/>
      <w:r w:rsidR="00E418B9" w:rsidRPr="00885972">
        <w:rPr>
          <w:rFonts w:ascii="Arial" w:hAnsi="Arial" w:cs="Arial"/>
          <w:sz w:val="24"/>
          <w:szCs w:val="24"/>
        </w:rPr>
        <w:t xml:space="preserve"> create a permanent improvement</w:t>
      </w:r>
      <w:r w:rsidR="003716C6" w:rsidRPr="00885972">
        <w:rPr>
          <w:rFonts w:ascii="Arial" w:hAnsi="Arial" w:cs="Arial"/>
          <w:sz w:val="24"/>
          <w:szCs w:val="24"/>
        </w:rPr>
        <w:t xml:space="preserve">, therefore being a fixture. The purpose of annexation for the hot tub ultimately </w:t>
      </w:r>
      <w:r w:rsidR="003716C6" w:rsidRPr="00885972">
        <w:rPr>
          <w:rFonts w:ascii="Arial" w:hAnsi="Arial" w:cs="Arial"/>
          <w:sz w:val="24"/>
          <w:szCs w:val="24"/>
        </w:rPr>
        <w:lastRenderedPageBreak/>
        <w:t xml:space="preserve">provides that the hot tub is an object which was attached </w:t>
      </w:r>
      <w:r w:rsidR="003B27E7" w:rsidRPr="00885972">
        <w:rPr>
          <w:rFonts w:ascii="Arial" w:hAnsi="Arial" w:cs="Arial"/>
          <w:sz w:val="24"/>
          <w:szCs w:val="24"/>
        </w:rPr>
        <w:t xml:space="preserve">to the land for the better enjoyment of the object and will remain as a chattel. </w:t>
      </w:r>
    </w:p>
    <w:p w14:paraId="45571C51" w14:textId="0BA96B89" w:rsidR="00862579" w:rsidRPr="00885972" w:rsidRDefault="00E42172">
      <w:pPr>
        <w:rPr>
          <w:rFonts w:ascii="Arial" w:hAnsi="Arial" w:cs="Arial"/>
          <w:sz w:val="24"/>
          <w:szCs w:val="24"/>
        </w:rPr>
      </w:pPr>
      <w:proofErr w:type="gramStart"/>
      <w:r w:rsidRPr="00885972">
        <w:rPr>
          <w:rFonts w:ascii="Arial" w:hAnsi="Arial" w:cs="Arial"/>
          <w:sz w:val="24"/>
          <w:szCs w:val="24"/>
        </w:rPr>
        <w:t>In order to</w:t>
      </w:r>
      <w:proofErr w:type="gramEnd"/>
      <w:r w:rsidRPr="00885972">
        <w:rPr>
          <w:rFonts w:ascii="Arial" w:hAnsi="Arial" w:cs="Arial"/>
          <w:sz w:val="24"/>
          <w:szCs w:val="24"/>
        </w:rPr>
        <w:t xml:space="preserve"> interpret the tapestries from primrose cottage as </w:t>
      </w:r>
      <w:r w:rsidR="00946AEA" w:rsidRPr="00885972">
        <w:rPr>
          <w:rFonts w:ascii="Arial" w:hAnsi="Arial" w:cs="Arial"/>
          <w:sz w:val="24"/>
          <w:szCs w:val="24"/>
        </w:rPr>
        <w:t>either chattel or fixture it is vital to have the understanding of the case of Leigh V Taylor [</w:t>
      </w:r>
      <w:r w:rsidR="00E06056" w:rsidRPr="00885972">
        <w:rPr>
          <w:rFonts w:ascii="Arial" w:hAnsi="Arial" w:cs="Arial"/>
          <w:sz w:val="24"/>
          <w:szCs w:val="24"/>
        </w:rPr>
        <w:t xml:space="preserve">1902]. </w:t>
      </w:r>
      <w:r w:rsidR="009220B5" w:rsidRPr="009220B5">
        <w:rPr>
          <w:rFonts w:ascii="Arial" w:hAnsi="Arial" w:cs="Arial"/>
          <w:sz w:val="24"/>
          <w:szCs w:val="24"/>
        </w:rPr>
        <w:t xml:space="preserve">A. L. G., </w:t>
      </w:r>
      <w:r w:rsidR="009220B5">
        <w:rPr>
          <w:rFonts w:ascii="Arial" w:hAnsi="Arial" w:cs="Arial"/>
          <w:sz w:val="24"/>
          <w:szCs w:val="24"/>
        </w:rPr>
        <w:t>(</w:t>
      </w:r>
      <w:r w:rsidR="009220B5" w:rsidRPr="009220B5">
        <w:rPr>
          <w:rFonts w:ascii="Arial" w:hAnsi="Arial" w:cs="Arial"/>
          <w:sz w:val="24"/>
          <w:szCs w:val="24"/>
        </w:rPr>
        <w:t>1932)</w:t>
      </w:r>
      <w:r w:rsidR="009220B5">
        <w:rPr>
          <w:rFonts w:ascii="Arial" w:hAnsi="Arial" w:cs="Arial"/>
          <w:sz w:val="24"/>
          <w:szCs w:val="24"/>
        </w:rPr>
        <w:t xml:space="preserve"> holds that t</w:t>
      </w:r>
      <w:r w:rsidR="00E06056" w:rsidRPr="00885972">
        <w:rPr>
          <w:rFonts w:ascii="Arial" w:hAnsi="Arial" w:cs="Arial"/>
          <w:sz w:val="24"/>
          <w:szCs w:val="24"/>
        </w:rPr>
        <w:t>he case of Leigh V Taylor [1902] finds that tapestries were he</w:t>
      </w:r>
      <w:r w:rsidR="00B131F6" w:rsidRPr="00885972">
        <w:rPr>
          <w:rFonts w:ascii="Arial" w:hAnsi="Arial" w:cs="Arial"/>
          <w:sz w:val="24"/>
          <w:szCs w:val="24"/>
        </w:rPr>
        <w:t>ld to not be fixtures where they were tacked to a wooden frame</w:t>
      </w:r>
      <w:r w:rsidR="009D6E5C" w:rsidRPr="00885972">
        <w:rPr>
          <w:rFonts w:ascii="Arial" w:hAnsi="Arial" w:cs="Arial"/>
          <w:sz w:val="24"/>
          <w:szCs w:val="24"/>
        </w:rPr>
        <w:t xml:space="preserve">, which was itself nailed to the wall. This was because the purpose of the annexation </w:t>
      </w:r>
      <w:r w:rsidR="006C61F6" w:rsidRPr="00885972">
        <w:rPr>
          <w:rFonts w:ascii="Arial" w:hAnsi="Arial" w:cs="Arial"/>
          <w:sz w:val="24"/>
          <w:szCs w:val="24"/>
        </w:rPr>
        <w:t xml:space="preserve">was so that the tapestries could be enjoyed. </w:t>
      </w:r>
      <w:r w:rsidR="00C7010C" w:rsidRPr="00885972">
        <w:rPr>
          <w:rFonts w:ascii="Arial" w:hAnsi="Arial" w:cs="Arial"/>
          <w:sz w:val="24"/>
          <w:szCs w:val="24"/>
        </w:rPr>
        <w:t>Although in Re Whaley [1908] the purpose of annexation was to create</w:t>
      </w:r>
      <w:r w:rsidR="008764EA" w:rsidRPr="00885972">
        <w:rPr>
          <w:rFonts w:ascii="Arial" w:hAnsi="Arial" w:cs="Arial"/>
          <w:sz w:val="24"/>
          <w:szCs w:val="24"/>
        </w:rPr>
        <w:t xml:space="preserve"> beautiful Elizabethan house, tapestries were held to be fixtures. </w:t>
      </w:r>
      <w:r w:rsidR="00335052" w:rsidRPr="00885972">
        <w:rPr>
          <w:rFonts w:ascii="Arial" w:hAnsi="Arial" w:cs="Arial"/>
          <w:sz w:val="24"/>
          <w:szCs w:val="24"/>
        </w:rPr>
        <w:t>In terms of the tapestries in Primrose Cottage</w:t>
      </w:r>
      <w:r w:rsidR="00FE4C05" w:rsidRPr="00885972">
        <w:rPr>
          <w:rFonts w:ascii="Arial" w:hAnsi="Arial" w:cs="Arial"/>
          <w:sz w:val="24"/>
          <w:szCs w:val="24"/>
        </w:rPr>
        <w:t xml:space="preserve"> the tapestries have been protected from the ‘element’ and have been encased in </w:t>
      </w:r>
      <w:r w:rsidR="005528FF" w:rsidRPr="00885972">
        <w:rPr>
          <w:rFonts w:ascii="Arial" w:hAnsi="Arial" w:cs="Arial"/>
          <w:sz w:val="24"/>
          <w:szCs w:val="24"/>
        </w:rPr>
        <w:t>frames,</w:t>
      </w:r>
      <w:r w:rsidR="00FE4C05" w:rsidRPr="00885972">
        <w:rPr>
          <w:rFonts w:ascii="Arial" w:hAnsi="Arial" w:cs="Arial"/>
          <w:sz w:val="24"/>
          <w:szCs w:val="24"/>
        </w:rPr>
        <w:t xml:space="preserve"> so they are easily moved and clean. </w:t>
      </w:r>
      <w:r w:rsidR="00A760A8" w:rsidRPr="00885972">
        <w:rPr>
          <w:rFonts w:ascii="Arial" w:hAnsi="Arial" w:cs="Arial"/>
          <w:sz w:val="24"/>
          <w:szCs w:val="24"/>
        </w:rPr>
        <w:t>Within this object it is clear to understand that due to the</w:t>
      </w:r>
      <w:r w:rsidR="00235869" w:rsidRPr="00885972">
        <w:rPr>
          <w:rFonts w:ascii="Arial" w:hAnsi="Arial" w:cs="Arial"/>
          <w:sz w:val="24"/>
          <w:szCs w:val="24"/>
        </w:rPr>
        <w:t xml:space="preserve"> tapestries being nailed to the wall that removing them would make no significant damage to the house, making the tapestries a chattel</w:t>
      </w:r>
      <w:r w:rsidR="00201E3C" w:rsidRPr="00885972">
        <w:rPr>
          <w:rFonts w:ascii="Arial" w:hAnsi="Arial" w:cs="Arial"/>
          <w:sz w:val="24"/>
          <w:szCs w:val="24"/>
        </w:rPr>
        <w:t xml:space="preserve">, the degree of annexation. </w:t>
      </w:r>
      <w:r w:rsidR="005528FF" w:rsidRPr="00885972">
        <w:rPr>
          <w:rFonts w:ascii="Arial" w:hAnsi="Arial" w:cs="Arial"/>
          <w:sz w:val="24"/>
          <w:szCs w:val="24"/>
        </w:rPr>
        <w:t>Finally,</w:t>
      </w:r>
      <w:r w:rsidR="00201E3C" w:rsidRPr="00885972">
        <w:rPr>
          <w:rFonts w:ascii="Arial" w:hAnsi="Arial" w:cs="Arial"/>
          <w:sz w:val="24"/>
          <w:szCs w:val="24"/>
        </w:rPr>
        <w:t xml:space="preserve"> the purpose of annexation </w:t>
      </w:r>
      <w:r w:rsidR="005528FF" w:rsidRPr="00885972">
        <w:rPr>
          <w:rFonts w:ascii="Arial" w:hAnsi="Arial" w:cs="Arial"/>
          <w:sz w:val="24"/>
          <w:szCs w:val="24"/>
        </w:rPr>
        <w:t xml:space="preserve">presents that the tapestries </w:t>
      </w:r>
      <w:r w:rsidR="008F3CBF" w:rsidRPr="00885972">
        <w:rPr>
          <w:rFonts w:ascii="Arial" w:hAnsi="Arial" w:cs="Arial"/>
          <w:sz w:val="24"/>
          <w:szCs w:val="24"/>
        </w:rPr>
        <w:t>were</w:t>
      </w:r>
      <w:r w:rsidR="005528FF" w:rsidRPr="00885972">
        <w:rPr>
          <w:rFonts w:ascii="Arial" w:hAnsi="Arial" w:cs="Arial"/>
          <w:sz w:val="24"/>
          <w:szCs w:val="24"/>
        </w:rPr>
        <w:t xml:space="preserve"> attached to the property for the enjoyment of the object, clarifying again the tapestries are in fact chattels. </w:t>
      </w:r>
    </w:p>
    <w:p w14:paraId="048AF3B0" w14:textId="30FC51A5" w:rsidR="00DF6570" w:rsidRDefault="008F3CBF">
      <w:pPr>
        <w:rPr>
          <w:rFonts w:ascii="Arial" w:hAnsi="Arial" w:cs="Arial"/>
          <w:sz w:val="24"/>
          <w:szCs w:val="24"/>
        </w:rPr>
      </w:pPr>
      <w:r w:rsidRPr="00885972">
        <w:rPr>
          <w:rFonts w:ascii="Arial" w:hAnsi="Arial" w:cs="Arial"/>
          <w:sz w:val="24"/>
          <w:szCs w:val="24"/>
        </w:rPr>
        <w:t>Therefore,</w:t>
      </w:r>
      <w:r w:rsidR="003A2854" w:rsidRPr="00885972">
        <w:rPr>
          <w:rFonts w:ascii="Arial" w:hAnsi="Arial" w:cs="Arial"/>
          <w:sz w:val="24"/>
          <w:szCs w:val="24"/>
        </w:rPr>
        <w:t xml:space="preserve"> after careful consideration </w:t>
      </w:r>
      <w:r w:rsidR="00447D00" w:rsidRPr="00885972">
        <w:rPr>
          <w:rFonts w:ascii="Arial" w:hAnsi="Arial" w:cs="Arial"/>
          <w:sz w:val="24"/>
          <w:szCs w:val="24"/>
        </w:rPr>
        <w:t xml:space="preserve">it is clear to suggest to Olivia the </w:t>
      </w:r>
      <w:proofErr w:type="gramStart"/>
      <w:r w:rsidR="00447D00" w:rsidRPr="00885972">
        <w:rPr>
          <w:rFonts w:ascii="Arial" w:hAnsi="Arial" w:cs="Arial"/>
          <w:sz w:val="24"/>
          <w:szCs w:val="24"/>
        </w:rPr>
        <w:t>following;</w:t>
      </w:r>
      <w:proofErr w:type="gramEnd"/>
      <w:r w:rsidR="00447D00" w:rsidRPr="00885972">
        <w:rPr>
          <w:rFonts w:ascii="Arial" w:hAnsi="Arial" w:cs="Arial"/>
          <w:sz w:val="24"/>
          <w:szCs w:val="24"/>
        </w:rPr>
        <w:t xml:space="preserve"> the </w:t>
      </w:r>
      <w:r w:rsidR="00BF3DF8" w:rsidRPr="00885972">
        <w:rPr>
          <w:rFonts w:ascii="Arial" w:hAnsi="Arial" w:cs="Arial"/>
          <w:sz w:val="24"/>
          <w:szCs w:val="24"/>
        </w:rPr>
        <w:t xml:space="preserve">terracotta pot filled with ivy and the summer house are fixtures. The </w:t>
      </w:r>
      <w:r w:rsidRPr="00885972">
        <w:rPr>
          <w:rFonts w:ascii="Arial" w:hAnsi="Arial" w:cs="Arial"/>
          <w:sz w:val="24"/>
          <w:szCs w:val="24"/>
        </w:rPr>
        <w:t>remaining terracotta pots, the hot tubs and the tapestries can be seen as chattels, and the statue can be seen as both fixture and chattel</w:t>
      </w:r>
      <w:r w:rsidR="00885972" w:rsidRPr="00885972">
        <w:rPr>
          <w:rFonts w:ascii="Arial" w:hAnsi="Arial" w:cs="Arial"/>
          <w:sz w:val="24"/>
          <w:szCs w:val="24"/>
        </w:rPr>
        <w:t>.</w:t>
      </w:r>
    </w:p>
    <w:p w14:paraId="02D1D3F2" w14:textId="77777777" w:rsidR="00DB2302" w:rsidRDefault="00DB2302">
      <w:pPr>
        <w:rPr>
          <w:rFonts w:ascii="Arial" w:hAnsi="Arial" w:cs="Arial"/>
          <w:sz w:val="24"/>
          <w:szCs w:val="24"/>
        </w:rPr>
      </w:pPr>
    </w:p>
    <w:p w14:paraId="4A469455" w14:textId="77777777" w:rsidR="00DB2302" w:rsidRDefault="00DB2302">
      <w:pPr>
        <w:rPr>
          <w:rFonts w:ascii="Arial" w:hAnsi="Arial" w:cs="Arial"/>
          <w:sz w:val="24"/>
          <w:szCs w:val="24"/>
        </w:rPr>
      </w:pPr>
    </w:p>
    <w:p w14:paraId="1AF29929" w14:textId="77777777" w:rsidR="00DB2302" w:rsidRDefault="00DB2302">
      <w:pPr>
        <w:rPr>
          <w:rFonts w:ascii="Arial" w:hAnsi="Arial" w:cs="Arial"/>
          <w:sz w:val="24"/>
          <w:szCs w:val="24"/>
        </w:rPr>
      </w:pPr>
    </w:p>
    <w:p w14:paraId="2AEADF39" w14:textId="77777777" w:rsidR="00DB2302" w:rsidRDefault="00DB2302">
      <w:pPr>
        <w:rPr>
          <w:rFonts w:ascii="Arial" w:hAnsi="Arial" w:cs="Arial"/>
          <w:sz w:val="24"/>
          <w:szCs w:val="24"/>
        </w:rPr>
      </w:pPr>
    </w:p>
    <w:p w14:paraId="179D651D" w14:textId="77777777" w:rsidR="00DB2302" w:rsidRDefault="00DB2302">
      <w:pPr>
        <w:rPr>
          <w:rFonts w:ascii="Arial" w:hAnsi="Arial" w:cs="Arial"/>
          <w:sz w:val="24"/>
          <w:szCs w:val="24"/>
        </w:rPr>
      </w:pPr>
    </w:p>
    <w:p w14:paraId="12B5BC0C" w14:textId="77777777" w:rsidR="00DB2302" w:rsidRDefault="00DB2302">
      <w:pPr>
        <w:rPr>
          <w:rFonts w:ascii="Arial" w:hAnsi="Arial" w:cs="Arial"/>
          <w:sz w:val="24"/>
          <w:szCs w:val="24"/>
        </w:rPr>
      </w:pPr>
    </w:p>
    <w:p w14:paraId="38573070" w14:textId="77777777" w:rsidR="00DB2302" w:rsidRDefault="00DB2302">
      <w:pPr>
        <w:rPr>
          <w:rFonts w:ascii="Arial" w:hAnsi="Arial" w:cs="Arial"/>
          <w:sz w:val="24"/>
          <w:szCs w:val="24"/>
        </w:rPr>
      </w:pPr>
    </w:p>
    <w:p w14:paraId="4628F2F7" w14:textId="77777777" w:rsidR="00DB2302" w:rsidRDefault="00DB2302">
      <w:pPr>
        <w:rPr>
          <w:rFonts w:ascii="Arial" w:hAnsi="Arial" w:cs="Arial"/>
          <w:sz w:val="24"/>
          <w:szCs w:val="24"/>
        </w:rPr>
      </w:pPr>
    </w:p>
    <w:p w14:paraId="4123261E" w14:textId="77777777" w:rsidR="00DB2302" w:rsidRDefault="00DB2302">
      <w:pPr>
        <w:rPr>
          <w:rFonts w:ascii="Arial" w:hAnsi="Arial" w:cs="Arial"/>
          <w:sz w:val="24"/>
          <w:szCs w:val="24"/>
        </w:rPr>
      </w:pPr>
    </w:p>
    <w:p w14:paraId="7501D445" w14:textId="77777777" w:rsidR="00DB2302" w:rsidRDefault="00DB2302">
      <w:pPr>
        <w:rPr>
          <w:rFonts w:ascii="Arial" w:hAnsi="Arial" w:cs="Arial"/>
          <w:sz w:val="24"/>
          <w:szCs w:val="24"/>
        </w:rPr>
      </w:pPr>
    </w:p>
    <w:p w14:paraId="4B24D232" w14:textId="77777777" w:rsidR="00DB2302" w:rsidRDefault="00DB2302">
      <w:pPr>
        <w:rPr>
          <w:rFonts w:ascii="Arial" w:hAnsi="Arial" w:cs="Arial"/>
          <w:sz w:val="24"/>
          <w:szCs w:val="24"/>
        </w:rPr>
      </w:pPr>
    </w:p>
    <w:p w14:paraId="53EF6C79" w14:textId="77777777" w:rsidR="00DB2302" w:rsidRDefault="00DB2302">
      <w:pPr>
        <w:rPr>
          <w:rFonts w:ascii="Arial" w:hAnsi="Arial" w:cs="Arial"/>
          <w:sz w:val="24"/>
          <w:szCs w:val="24"/>
        </w:rPr>
      </w:pPr>
    </w:p>
    <w:p w14:paraId="4E85A657" w14:textId="77777777" w:rsidR="00DB2302" w:rsidRDefault="00DB2302">
      <w:pPr>
        <w:rPr>
          <w:rFonts w:ascii="Arial" w:hAnsi="Arial" w:cs="Arial"/>
          <w:sz w:val="24"/>
          <w:szCs w:val="24"/>
        </w:rPr>
      </w:pPr>
    </w:p>
    <w:p w14:paraId="75E5E8E8" w14:textId="77777777" w:rsidR="00DB2302" w:rsidRDefault="00DB2302">
      <w:pPr>
        <w:rPr>
          <w:rFonts w:ascii="Arial" w:hAnsi="Arial" w:cs="Arial"/>
          <w:sz w:val="24"/>
          <w:szCs w:val="24"/>
        </w:rPr>
      </w:pPr>
    </w:p>
    <w:p w14:paraId="7440B220" w14:textId="77777777" w:rsidR="00DB2302" w:rsidRDefault="00DB2302">
      <w:pPr>
        <w:rPr>
          <w:rFonts w:ascii="Arial" w:hAnsi="Arial" w:cs="Arial"/>
          <w:sz w:val="24"/>
          <w:szCs w:val="24"/>
        </w:rPr>
      </w:pPr>
    </w:p>
    <w:p w14:paraId="069FD624" w14:textId="77777777" w:rsidR="00DB2302" w:rsidRDefault="00DB2302">
      <w:pPr>
        <w:rPr>
          <w:rFonts w:ascii="Arial" w:hAnsi="Arial" w:cs="Arial"/>
          <w:sz w:val="24"/>
          <w:szCs w:val="24"/>
        </w:rPr>
      </w:pPr>
    </w:p>
    <w:p w14:paraId="361D7A23" w14:textId="77777777" w:rsidR="00DB2302" w:rsidRDefault="00DB2302">
      <w:pPr>
        <w:rPr>
          <w:rFonts w:ascii="Arial" w:hAnsi="Arial" w:cs="Arial"/>
          <w:sz w:val="24"/>
          <w:szCs w:val="24"/>
        </w:rPr>
      </w:pPr>
    </w:p>
    <w:p w14:paraId="79DDB091"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A. L. G. (1932). Real Property—Fixtures. </w:t>
      </w:r>
      <w:r w:rsidRPr="00DB2302">
        <w:rPr>
          <w:rFonts w:ascii="Arial" w:hAnsi="Arial" w:cs="Arial"/>
          <w:i/>
          <w:iCs/>
          <w:sz w:val="24"/>
          <w:szCs w:val="24"/>
        </w:rPr>
        <w:t>The Cambridge Law Journal</w:t>
      </w:r>
      <w:r w:rsidRPr="00DB2302">
        <w:rPr>
          <w:rFonts w:ascii="Arial" w:hAnsi="Arial" w:cs="Arial"/>
          <w:sz w:val="24"/>
          <w:szCs w:val="24"/>
        </w:rPr>
        <w:t xml:space="preserve">, 4(3), pp.380–380. </w:t>
      </w:r>
      <w:proofErr w:type="spellStart"/>
      <w:proofErr w:type="gramStart"/>
      <w:r w:rsidRPr="00DB2302">
        <w:rPr>
          <w:rFonts w:ascii="Arial" w:hAnsi="Arial" w:cs="Arial"/>
          <w:sz w:val="24"/>
          <w:szCs w:val="24"/>
        </w:rPr>
        <w:t>doi:https</w:t>
      </w:r>
      <w:proofErr w:type="spellEnd"/>
      <w:r w:rsidRPr="00DB2302">
        <w:rPr>
          <w:rFonts w:ascii="Arial" w:hAnsi="Arial" w:cs="Arial"/>
          <w:sz w:val="24"/>
          <w:szCs w:val="24"/>
        </w:rPr>
        <w:t>://doi.org/10.1017/s0008197300132088</w:t>
      </w:r>
      <w:proofErr w:type="gramEnd"/>
      <w:r w:rsidRPr="00DB2302">
        <w:rPr>
          <w:rFonts w:ascii="Arial" w:hAnsi="Arial" w:cs="Arial"/>
          <w:sz w:val="24"/>
          <w:szCs w:val="24"/>
        </w:rPr>
        <w:t>.</w:t>
      </w:r>
    </w:p>
    <w:p w14:paraId="48CB9BD1"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Davies, N. and </w:t>
      </w:r>
      <w:proofErr w:type="spellStart"/>
      <w:r w:rsidRPr="00DB2302">
        <w:rPr>
          <w:rFonts w:ascii="Arial" w:hAnsi="Arial" w:cs="Arial"/>
          <w:sz w:val="24"/>
          <w:szCs w:val="24"/>
        </w:rPr>
        <w:t>Tagartt</w:t>
      </w:r>
      <w:proofErr w:type="spellEnd"/>
      <w:r w:rsidRPr="00DB2302">
        <w:rPr>
          <w:rFonts w:ascii="Arial" w:hAnsi="Arial" w:cs="Arial"/>
          <w:sz w:val="24"/>
          <w:szCs w:val="24"/>
        </w:rPr>
        <w:t xml:space="preserve">, L. (2021). </w:t>
      </w:r>
      <w:r w:rsidRPr="00DB2302">
        <w:rPr>
          <w:rFonts w:ascii="Arial" w:hAnsi="Arial" w:cs="Arial"/>
          <w:i/>
          <w:iCs/>
          <w:sz w:val="24"/>
          <w:szCs w:val="24"/>
        </w:rPr>
        <w:t>What is an easement? | The basics explained | Hampshire</w:t>
      </w:r>
      <w:r w:rsidRPr="00DB2302">
        <w:rPr>
          <w:rFonts w:ascii="Arial" w:hAnsi="Arial" w:cs="Arial"/>
          <w:sz w:val="24"/>
          <w:szCs w:val="24"/>
        </w:rPr>
        <w:t>. [online] Paris Smith. Available at: https://parissmith.co.uk/blog/easement-the-basics-explained/.</w:t>
      </w:r>
    </w:p>
    <w:p w14:paraId="4625858E" w14:textId="77777777" w:rsidR="00DB2302" w:rsidRPr="00DB2302" w:rsidRDefault="00DB2302" w:rsidP="00DB2302">
      <w:pPr>
        <w:rPr>
          <w:rFonts w:ascii="Arial" w:hAnsi="Arial" w:cs="Arial"/>
          <w:sz w:val="24"/>
          <w:szCs w:val="24"/>
        </w:rPr>
      </w:pPr>
      <w:proofErr w:type="spellStart"/>
      <w:r w:rsidRPr="00DB2302">
        <w:rPr>
          <w:rFonts w:ascii="Arial" w:hAnsi="Arial" w:cs="Arial"/>
          <w:sz w:val="24"/>
          <w:szCs w:val="24"/>
        </w:rPr>
        <w:t>Goymour</w:t>
      </w:r>
      <w:proofErr w:type="spellEnd"/>
      <w:r w:rsidRPr="00DB2302">
        <w:rPr>
          <w:rFonts w:ascii="Arial" w:hAnsi="Arial" w:cs="Arial"/>
          <w:sz w:val="24"/>
          <w:szCs w:val="24"/>
        </w:rPr>
        <w:t xml:space="preserve">, A. (2008). EASEMENTS, SERVITUDES AND THE RIGHT TO PARK. </w:t>
      </w:r>
      <w:r w:rsidRPr="00DB2302">
        <w:rPr>
          <w:rFonts w:ascii="Arial" w:hAnsi="Arial" w:cs="Arial"/>
          <w:i/>
          <w:iCs/>
          <w:sz w:val="24"/>
          <w:szCs w:val="24"/>
        </w:rPr>
        <w:t>The Cambridge Law Journal</w:t>
      </w:r>
      <w:r w:rsidRPr="00DB2302">
        <w:rPr>
          <w:rFonts w:ascii="Arial" w:hAnsi="Arial" w:cs="Arial"/>
          <w:sz w:val="24"/>
          <w:szCs w:val="24"/>
        </w:rPr>
        <w:t xml:space="preserve">, 67(1), pp.20–23. </w:t>
      </w:r>
      <w:proofErr w:type="spellStart"/>
      <w:proofErr w:type="gramStart"/>
      <w:r w:rsidRPr="00DB2302">
        <w:rPr>
          <w:rFonts w:ascii="Arial" w:hAnsi="Arial" w:cs="Arial"/>
          <w:sz w:val="24"/>
          <w:szCs w:val="24"/>
        </w:rPr>
        <w:t>doi:https</w:t>
      </w:r>
      <w:proofErr w:type="spellEnd"/>
      <w:r w:rsidRPr="00DB2302">
        <w:rPr>
          <w:rFonts w:ascii="Arial" w:hAnsi="Arial" w:cs="Arial"/>
          <w:sz w:val="24"/>
          <w:szCs w:val="24"/>
        </w:rPr>
        <w:t>://doi.org/10.1017/s0008197308000238</w:t>
      </w:r>
      <w:proofErr w:type="gramEnd"/>
      <w:r w:rsidRPr="00DB2302">
        <w:rPr>
          <w:rFonts w:ascii="Arial" w:hAnsi="Arial" w:cs="Arial"/>
          <w:sz w:val="24"/>
          <w:szCs w:val="24"/>
        </w:rPr>
        <w:t>.</w:t>
      </w:r>
    </w:p>
    <w:p w14:paraId="28817041"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Heart, T., Clarke, S. and </w:t>
      </w:r>
      <w:proofErr w:type="spellStart"/>
      <w:r w:rsidRPr="00DB2302">
        <w:rPr>
          <w:rFonts w:ascii="Arial" w:hAnsi="Arial" w:cs="Arial"/>
          <w:sz w:val="24"/>
          <w:szCs w:val="24"/>
        </w:rPr>
        <w:t>Fazzani</w:t>
      </w:r>
      <w:proofErr w:type="spellEnd"/>
      <w:r w:rsidRPr="00DB2302">
        <w:rPr>
          <w:rFonts w:ascii="Arial" w:hAnsi="Arial" w:cs="Arial"/>
          <w:sz w:val="24"/>
          <w:szCs w:val="24"/>
        </w:rPr>
        <w:t xml:space="preserve">, L. (2013). </w:t>
      </w:r>
      <w:r w:rsidRPr="00DB2302">
        <w:rPr>
          <w:rFonts w:ascii="Arial" w:hAnsi="Arial" w:cs="Arial"/>
          <w:i/>
          <w:iCs/>
          <w:sz w:val="24"/>
          <w:szCs w:val="24"/>
        </w:rPr>
        <w:t xml:space="preserve">Intellectual Property </w:t>
      </w:r>
      <w:proofErr w:type="gramStart"/>
      <w:r w:rsidRPr="00DB2302">
        <w:rPr>
          <w:rFonts w:ascii="Arial" w:hAnsi="Arial" w:cs="Arial"/>
          <w:i/>
          <w:iCs/>
          <w:sz w:val="24"/>
          <w:szCs w:val="24"/>
        </w:rPr>
        <w:t xml:space="preserve">Law </w:t>
      </w:r>
      <w:r w:rsidRPr="00DB2302">
        <w:rPr>
          <w:rFonts w:ascii="Arial" w:hAnsi="Arial" w:cs="Arial"/>
          <w:sz w:val="24"/>
          <w:szCs w:val="24"/>
        </w:rPr>
        <w:t>.</w:t>
      </w:r>
      <w:proofErr w:type="gramEnd"/>
      <w:r w:rsidRPr="00DB2302">
        <w:rPr>
          <w:rFonts w:ascii="Arial" w:hAnsi="Arial" w:cs="Arial"/>
          <w:sz w:val="24"/>
          <w:szCs w:val="24"/>
        </w:rPr>
        <w:t xml:space="preserve"> Palgrave Macmillan.</w:t>
      </w:r>
    </w:p>
    <w:p w14:paraId="08BC3506"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HM Land Registry (2016). </w:t>
      </w:r>
      <w:r w:rsidRPr="00DB2302">
        <w:rPr>
          <w:rFonts w:ascii="Arial" w:hAnsi="Arial" w:cs="Arial"/>
          <w:i/>
          <w:iCs/>
          <w:sz w:val="24"/>
          <w:szCs w:val="24"/>
        </w:rPr>
        <w:t>Practice guide 62: easements</w:t>
      </w:r>
      <w:r w:rsidRPr="00DB2302">
        <w:rPr>
          <w:rFonts w:ascii="Arial" w:hAnsi="Arial" w:cs="Arial"/>
          <w:sz w:val="24"/>
          <w:szCs w:val="24"/>
        </w:rPr>
        <w:t>. [online] GOV.UK. Available at: https://www.gov.uk/government/publications/easements/practice-guide-62-easements.</w:t>
      </w:r>
    </w:p>
    <w:p w14:paraId="374ADEA1"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House of Lords (2006). Opinions of the Lords of Appeal for judgement in the </w:t>
      </w:r>
      <w:proofErr w:type="gramStart"/>
      <w:r w:rsidRPr="00DB2302">
        <w:rPr>
          <w:rFonts w:ascii="Arial" w:hAnsi="Arial" w:cs="Arial"/>
          <w:sz w:val="24"/>
          <w:szCs w:val="24"/>
        </w:rPr>
        <w:t>cause .</w:t>
      </w:r>
      <w:proofErr w:type="gramEnd"/>
      <w:r w:rsidRPr="00DB2302">
        <w:rPr>
          <w:rFonts w:ascii="Arial" w:hAnsi="Arial" w:cs="Arial"/>
          <w:sz w:val="24"/>
          <w:szCs w:val="24"/>
        </w:rPr>
        <w:t xml:space="preserve"> [online] Available at: https://publications.parliament.uk/pa/ld200506/ldjudgmt/jd060524/oxf.pdf.</w:t>
      </w:r>
    </w:p>
    <w:p w14:paraId="4E4B89D9"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Martinet, S., </w:t>
      </w:r>
      <w:proofErr w:type="spellStart"/>
      <w:r w:rsidRPr="00DB2302">
        <w:rPr>
          <w:rFonts w:ascii="Arial" w:hAnsi="Arial" w:cs="Arial"/>
          <w:sz w:val="24"/>
          <w:szCs w:val="24"/>
        </w:rPr>
        <w:t>Meynet</w:t>
      </w:r>
      <w:proofErr w:type="spellEnd"/>
      <w:r w:rsidRPr="00DB2302">
        <w:rPr>
          <w:rFonts w:ascii="Arial" w:hAnsi="Arial" w:cs="Arial"/>
          <w:sz w:val="24"/>
          <w:szCs w:val="24"/>
        </w:rPr>
        <w:t xml:space="preserve">, G., Nandal, D., Ekström, S., Georgy, C., </w:t>
      </w:r>
      <w:proofErr w:type="spellStart"/>
      <w:r w:rsidRPr="00DB2302">
        <w:rPr>
          <w:rFonts w:ascii="Arial" w:hAnsi="Arial" w:cs="Arial"/>
          <w:sz w:val="24"/>
          <w:szCs w:val="24"/>
        </w:rPr>
        <w:t>Haemmerlé</w:t>
      </w:r>
      <w:proofErr w:type="spellEnd"/>
      <w:r w:rsidRPr="00DB2302">
        <w:rPr>
          <w:rFonts w:ascii="Arial" w:hAnsi="Arial" w:cs="Arial"/>
          <w:sz w:val="24"/>
          <w:szCs w:val="24"/>
        </w:rPr>
        <w:t xml:space="preserve">, L., Hirschi, R., Yusof, N., </w:t>
      </w:r>
      <w:proofErr w:type="spellStart"/>
      <w:r w:rsidRPr="00DB2302">
        <w:rPr>
          <w:rFonts w:ascii="Arial" w:hAnsi="Arial" w:cs="Arial"/>
          <w:sz w:val="24"/>
          <w:szCs w:val="24"/>
        </w:rPr>
        <w:t>Gounelle</w:t>
      </w:r>
      <w:proofErr w:type="spellEnd"/>
      <w:r w:rsidRPr="00DB2302">
        <w:rPr>
          <w:rFonts w:ascii="Arial" w:hAnsi="Arial" w:cs="Arial"/>
          <w:sz w:val="24"/>
          <w:szCs w:val="24"/>
        </w:rPr>
        <w:t xml:space="preserve">, M. and Dwarkadas, V. (2022). Very massive star winds as sources of the short-lived radioactive isotope 26Al. </w:t>
      </w:r>
      <w:r w:rsidRPr="00DB2302">
        <w:rPr>
          <w:rFonts w:ascii="Arial" w:hAnsi="Arial" w:cs="Arial"/>
          <w:i/>
          <w:iCs/>
          <w:sz w:val="24"/>
          <w:szCs w:val="24"/>
        </w:rPr>
        <w:t>Astronomy &amp; Astrophysics</w:t>
      </w:r>
      <w:r w:rsidRPr="00DB2302">
        <w:rPr>
          <w:rFonts w:ascii="Arial" w:hAnsi="Arial" w:cs="Arial"/>
          <w:sz w:val="24"/>
          <w:szCs w:val="24"/>
        </w:rPr>
        <w:t xml:space="preserve">, [online] 664. </w:t>
      </w:r>
      <w:proofErr w:type="spellStart"/>
      <w:proofErr w:type="gramStart"/>
      <w:r w:rsidRPr="00DB2302">
        <w:rPr>
          <w:rFonts w:ascii="Arial" w:hAnsi="Arial" w:cs="Arial"/>
          <w:sz w:val="24"/>
          <w:szCs w:val="24"/>
        </w:rPr>
        <w:t>doi:https</w:t>
      </w:r>
      <w:proofErr w:type="spellEnd"/>
      <w:r w:rsidRPr="00DB2302">
        <w:rPr>
          <w:rFonts w:ascii="Arial" w:hAnsi="Arial" w:cs="Arial"/>
          <w:sz w:val="24"/>
          <w:szCs w:val="24"/>
        </w:rPr>
        <w:t>://doi.org/10.1051/0004-6361/202243474</w:t>
      </w:r>
      <w:proofErr w:type="gramEnd"/>
      <w:r w:rsidRPr="00DB2302">
        <w:rPr>
          <w:rFonts w:ascii="Arial" w:hAnsi="Arial" w:cs="Arial"/>
          <w:sz w:val="24"/>
          <w:szCs w:val="24"/>
        </w:rPr>
        <w:t>.</w:t>
      </w:r>
    </w:p>
    <w:p w14:paraId="42F42EFC"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Morgan, G. (1999). Easements in Gross Revisited. </w:t>
      </w:r>
      <w:r w:rsidRPr="00DB2302">
        <w:rPr>
          <w:rFonts w:ascii="Arial" w:hAnsi="Arial" w:cs="Arial"/>
          <w:i/>
          <w:iCs/>
          <w:sz w:val="24"/>
          <w:szCs w:val="24"/>
        </w:rPr>
        <w:t>Anglo-American Law Review</w:t>
      </w:r>
      <w:r w:rsidRPr="00DB2302">
        <w:rPr>
          <w:rFonts w:ascii="Arial" w:hAnsi="Arial" w:cs="Arial"/>
          <w:sz w:val="24"/>
          <w:szCs w:val="24"/>
        </w:rPr>
        <w:t>, [online] 28, p.220. Available at: https://heinonline.org/HOL/LandingPage?handle=hein.journals/comlwr28&amp;div=17&amp;id=&amp;page= [Accessed 15 Dec. 2023].</w:t>
      </w:r>
    </w:p>
    <w:p w14:paraId="2CBB5BA1"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Schoonmaker, N.W. (1933). Property - Fixtures - Annexation. </w:t>
      </w:r>
      <w:r w:rsidRPr="00DB2302">
        <w:rPr>
          <w:rFonts w:ascii="Arial" w:hAnsi="Arial" w:cs="Arial"/>
          <w:i/>
          <w:iCs/>
          <w:sz w:val="24"/>
          <w:szCs w:val="24"/>
        </w:rPr>
        <w:t>Boston University Law Review</w:t>
      </w:r>
      <w:r w:rsidRPr="00DB2302">
        <w:rPr>
          <w:rFonts w:ascii="Arial" w:hAnsi="Arial" w:cs="Arial"/>
          <w:sz w:val="24"/>
          <w:szCs w:val="24"/>
        </w:rPr>
        <w:t>, [online] 13, p.759. Available at: https://heinonline.org/HOL/LandingPage?handle=hein.journals/bulr13&amp;div=99&amp;id=&amp;page= [Accessed 15 Dec. 2023].</w:t>
      </w:r>
    </w:p>
    <w:p w14:paraId="2AB7006A" w14:textId="77777777" w:rsidR="00DB2302" w:rsidRPr="00DB2302" w:rsidRDefault="00DB2302" w:rsidP="00DB2302">
      <w:pPr>
        <w:rPr>
          <w:rFonts w:ascii="Arial" w:hAnsi="Arial" w:cs="Arial"/>
          <w:sz w:val="24"/>
          <w:szCs w:val="24"/>
        </w:rPr>
      </w:pPr>
      <w:proofErr w:type="gramStart"/>
      <w:r w:rsidRPr="00DB2302">
        <w:rPr>
          <w:rFonts w:ascii="Arial" w:hAnsi="Arial" w:cs="Arial"/>
          <w:sz w:val="24"/>
          <w:szCs w:val="24"/>
        </w:rPr>
        <w:t>Thomas ,</w:t>
      </w:r>
      <w:proofErr w:type="gramEnd"/>
      <w:r w:rsidRPr="00DB2302">
        <w:rPr>
          <w:rFonts w:ascii="Arial" w:hAnsi="Arial" w:cs="Arial"/>
          <w:sz w:val="24"/>
          <w:szCs w:val="24"/>
        </w:rPr>
        <w:t xml:space="preserve"> M. (2020). </w:t>
      </w:r>
      <w:r w:rsidRPr="00DB2302">
        <w:rPr>
          <w:rFonts w:ascii="Arial" w:hAnsi="Arial" w:cs="Arial"/>
          <w:i/>
          <w:iCs/>
          <w:sz w:val="24"/>
          <w:szCs w:val="24"/>
        </w:rPr>
        <w:t>Blackstone’s Statutes on Property Law 2020-2021</w:t>
      </w:r>
      <w:r w:rsidRPr="00DB2302">
        <w:rPr>
          <w:rFonts w:ascii="Arial" w:hAnsi="Arial" w:cs="Arial"/>
          <w:sz w:val="24"/>
          <w:szCs w:val="24"/>
        </w:rPr>
        <w:t>. twenty eighth ed. Oxford University Press.</w:t>
      </w:r>
    </w:p>
    <w:p w14:paraId="49979C94" w14:textId="77777777" w:rsidR="00DB2302" w:rsidRPr="00DB2302" w:rsidRDefault="00DB2302" w:rsidP="00DB2302">
      <w:pPr>
        <w:rPr>
          <w:rFonts w:ascii="Arial" w:hAnsi="Arial" w:cs="Arial"/>
          <w:sz w:val="24"/>
          <w:szCs w:val="24"/>
        </w:rPr>
      </w:pPr>
      <w:r w:rsidRPr="00DB2302">
        <w:rPr>
          <w:rFonts w:ascii="Arial" w:hAnsi="Arial" w:cs="Arial"/>
          <w:sz w:val="24"/>
          <w:szCs w:val="24"/>
        </w:rPr>
        <w:t xml:space="preserve">Wheeler, R.H. (1965). Annexation Law and Annexation Success. </w:t>
      </w:r>
      <w:r w:rsidRPr="00DB2302">
        <w:rPr>
          <w:rFonts w:ascii="Arial" w:hAnsi="Arial" w:cs="Arial"/>
          <w:i/>
          <w:iCs/>
          <w:sz w:val="24"/>
          <w:szCs w:val="24"/>
        </w:rPr>
        <w:t>Land Economics</w:t>
      </w:r>
      <w:r w:rsidRPr="00DB2302">
        <w:rPr>
          <w:rFonts w:ascii="Arial" w:hAnsi="Arial" w:cs="Arial"/>
          <w:sz w:val="24"/>
          <w:szCs w:val="24"/>
        </w:rPr>
        <w:t xml:space="preserve">, 41(4), p.354. </w:t>
      </w:r>
      <w:proofErr w:type="spellStart"/>
      <w:proofErr w:type="gramStart"/>
      <w:r w:rsidRPr="00DB2302">
        <w:rPr>
          <w:rFonts w:ascii="Arial" w:hAnsi="Arial" w:cs="Arial"/>
          <w:sz w:val="24"/>
          <w:szCs w:val="24"/>
        </w:rPr>
        <w:t>doi:https</w:t>
      </w:r>
      <w:proofErr w:type="spellEnd"/>
      <w:r w:rsidRPr="00DB2302">
        <w:rPr>
          <w:rFonts w:ascii="Arial" w:hAnsi="Arial" w:cs="Arial"/>
          <w:sz w:val="24"/>
          <w:szCs w:val="24"/>
        </w:rPr>
        <w:t>://doi.org/10.2307/3144668</w:t>
      </w:r>
      <w:proofErr w:type="gramEnd"/>
      <w:r w:rsidRPr="00DB2302">
        <w:rPr>
          <w:rFonts w:ascii="Arial" w:hAnsi="Arial" w:cs="Arial"/>
          <w:sz w:val="24"/>
          <w:szCs w:val="24"/>
        </w:rPr>
        <w:t>.</w:t>
      </w:r>
    </w:p>
    <w:p w14:paraId="6789CF19" w14:textId="77777777" w:rsidR="00DB2302" w:rsidRPr="00885972" w:rsidRDefault="00DB2302">
      <w:pPr>
        <w:rPr>
          <w:rFonts w:ascii="Arial" w:hAnsi="Arial" w:cs="Arial"/>
          <w:sz w:val="24"/>
          <w:szCs w:val="24"/>
        </w:rPr>
      </w:pPr>
    </w:p>
    <w:sectPr w:rsidR="00DB2302" w:rsidRPr="008859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9C6"/>
    <w:rsid w:val="00024E4F"/>
    <w:rsid w:val="00025F34"/>
    <w:rsid w:val="00033F2E"/>
    <w:rsid w:val="000558D5"/>
    <w:rsid w:val="0006260D"/>
    <w:rsid w:val="00062986"/>
    <w:rsid w:val="000B4418"/>
    <w:rsid w:val="000D2164"/>
    <w:rsid w:val="00102CDA"/>
    <w:rsid w:val="00121EC4"/>
    <w:rsid w:val="0012397F"/>
    <w:rsid w:val="0013631F"/>
    <w:rsid w:val="00154C62"/>
    <w:rsid w:val="001707BF"/>
    <w:rsid w:val="001968A3"/>
    <w:rsid w:val="001C665C"/>
    <w:rsid w:val="001E51C5"/>
    <w:rsid w:val="00201E3C"/>
    <w:rsid w:val="0020343E"/>
    <w:rsid w:val="002130BA"/>
    <w:rsid w:val="002346C4"/>
    <w:rsid w:val="00235869"/>
    <w:rsid w:val="00276D8E"/>
    <w:rsid w:val="00280346"/>
    <w:rsid w:val="002B24E5"/>
    <w:rsid w:val="002D453D"/>
    <w:rsid w:val="002E0C5B"/>
    <w:rsid w:val="00335052"/>
    <w:rsid w:val="00355807"/>
    <w:rsid w:val="00361BA2"/>
    <w:rsid w:val="003716C6"/>
    <w:rsid w:val="00372C88"/>
    <w:rsid w:val="003A17E8"/>
    <w:rsid w:val="003A2854"/>
    <w:rsid w:val="003A5D14"/>
    <w:rsid w:val="003B27E7"/>
    <w:rsid w:val="003F6BEA"/>
    <w:rsid w:val="004118E1"/>
    <w:rsid w:val="00415D99"/>
    <w:rsid w:val="00426F3B"/>
    <w:rsid w:val="00427167"/>
    <w:rsid w:val="00447D00"/>
    <w:rsid w:val="004665D2"/>
    <w:rsid w:val="00467A4B"/>
    <w:rsid w:val="0049160A"/>
    <w:rsid w:val="0049369D"/>
    <w:rsid w:val="004A1D34"/>
    <w:rsid w:val="004A6B87"/>
    <w:rsid w:val="004B55B7"/>
    <w:rsid w:val="004D7239"/>
    <w:rsid w:val="004D7376"/>
    <w:rsid w:val="005078F8"/>
    <w:rsid w:val="005244A9"/>
    <w:rsid w:val="005528FF"/>
    <w:rsid w:val="0056532B"/>
    <w:rsid w:val="00586712"/>
    <w:rsid w:val="005F242A"/>
    <w:rsid w:val="005F5CA2"/>
    <w:rsid w:val="005F6D86"/>
    <w:rsid w:val="00603C15"/>
    <w:rsid w:val="00605A31"/>
    <w:rsid w:val="00611249"/>
    <w:rsid w:val="006241A4"/>
    <w:rsid w:val="0062521E"/>
    <w:rsid w:val="00680D18"/>
    <w:rsid w:val="00696BD5"/>
    <w:rsid w:val="006A0D4C"/>
    <w:rsid w:val="006C61F6"/>
    <w:rsid w:val="006D715B"/>
    <w:rsid w:val="006E0649"/>
    <w:rsid w:val="006F3477"/>
    <w:rsid w:val="006F5C26"/>
    <w:rsid w:val="007166D7"/>
    <w:rsid w:val="00753DCE"/>
    <w:rsid w:val="0075458B"/>
    <w:rsid w:val="00765767"/>
    <w:rsid w:val="00774A83"/>
    <w:rsid w:val="00791691"/>
    <w:rsid w:val="00794660"/>
    <w:rsid w:val="0079643B"/>
    <w:rsid w:val="007B4D5C"/>
    <w:rsid w:val="007E4390"/>
    <w:rsid w:val="007E527E"/>
    <w:rsid w:val="007E6863"/>
    <w:rsid w:val="00827050"/>
    <w:rsid w:val="008469F5"/>
    <w:rsid w:val="00862579"/>
    <w:rsid w:val="008764EA"/>
    <w:rsid w:val="00885972"/>
    <w:rsid w:val="008D01F9"/>
    <w:rsid w:val="008D4CB2"/>
    <w:rsid w:val="008D7A23"/>
    <w:rsid w:val="008F3CBF"/>
    <w:rsid w:val="009220B5"/>
    <w:rsid w:val="00946AEA"/>
    <w:rsid w:val="009609C6"/>
    <w:rsid w:val="00967005"/>
    <w:rsid w:val="00973FAD"/>
    <w:rsid w:val="009D6E5C"/>
    <w:rsid w:val="009D7974"/>
    <w:rsid w:val="009F1779"/>
    <w:rsid w:val="00A01B1F"/>
    <w:rsid w:val="00A05BC8"/>
    <w:rsid w:val="00A24AE3"/>
    <w:rsid w:val="00A52D72"/>
    <w:rsid w:val="00A66364"/>
    <w:rsid w:val="00A66983"/>
    <w:rsid w:val="00A760A8"/>
    <w:rsid w:val="00A84827"/>
    <w:rsid w:val="00AB282C"/>
    <w:rsid w:val="00AC3BF7"/>
    <w:rsid w:val="00B131F6"/>
    <w:rsid w:val="00B8455F"/>
    <w:rsid w:val="00BA05D1"/>
    <w:rsid w:val="00BE5ED5"/>
    <w:rsid w:val="00BF3DF8"/>
    <w:rsid w:val="00BF730E"/>
    <w:rsid w:val="00C16188"/>
    <w:rsid w:val="00C7010C"/>
    <w:rsid w:val="00C75FB3"/>
    <w:rsid w:val="00CA3A4E"/>
    <w:rsid w:val="00CB460D"/>
    <w:rsid w:val="00CC2046"/>
    <w:rsid w:val="00CC3805"/>
    <w:rsid w:val="00CE0A5F"/>
    <w:rsid w:val="00D171FA"/>
    <w:rsid w:val="00D40CA8"/>
    <w:rsid w:val="00DB16DB"/>
    <w:rsid w:val="00DB2302"/>
    <w:rsid w:val="00DF6570"/>
    <w:rsid w:val="00DF6E27"/>
    <w:rsid w:val="00E06056"/>
    <w:rsid w:val="00E418B9"/>
    <w:rsid w:val="00E42172"/>
    <w:rsid w:val="00E555C3"/>
    <w:rsid w:val="00E56DF8"/>
    <w:rsid w:val="00E6311F"/>
    <w:rsid w:val="00E6482B"/>
    <w:rsid w:val="00E8430C"/>
    <w:rsid w:val="00E9220F"/>
    <w:rsid w:val="00E92FEB"/>
    <w:rsid w:val="00EA2EE6"/>
    <w:rsid w:val="00EB233D"/>
    <w:rsid w:val="00EB2913"/>
    <w:rsid w:val="00F11C2A"/>
    <w:rsid w:val="00F25AA7"/>
    <w:rsid w:val="00F32E0D"/>
    <w:rsid w:val="00F34B7D"/>
    <w:rsid w:val="00F34BFA"/>
    <w:rsid w:val="00F43641"/>
    <w:rsid w:val="00FA25AF"/>
    <w:rsid w:val="00FA706C"/>
    <w:rsid w:val="00FB2BAC"/>
    <w:rsid w:val="00FC54D4"/>
    <w:rsid w:val="00FC5CB1"/>
    <w:rsid w:val="00FE33E2"/>
    <w:rsid w:val="00FE4C05"/>
    <w:rsid w:val="00FF019E"/>
    <w:rsid w:val="00FF5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398B3"/>
  <w15:chartTrackingRefBased/>
  <w15:docId w15:val="{CC085D91-8A52-4C41-8677-F20A74C21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1691771">
      <w:bodyDiv w:val="1"/>
      <w:marLeft w:val="0"/>
      <w:marRight w:val="0"/>
      <w:marTop w:val="0"/>
      <w:marBottom w:val="0"/>
      <w:divBdr>
        <w:top w:val="none" w:sz="0" w:space="0" w:color="auto"/>
        <w:left w:val="none" w:sz="0" w:space="0" w:color="auto"/>
        <w:bottom w:val="none" w:sz="0" w:space="0" w:color="auto"/>
        <w:right w:val="none" w:sz="0" w:space="0" w:color="auto"/>
      </w:divBdr>
      <w:divsChild>
        <w:div w:id="2020810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1641</TotalTime>
  <Pages>5</Pages>
  <Words>2064</Words>
  <Characters>11771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 Peters</dc:creator>
  <cp:keywords/>
  <dc:description/>
  <cp:lastModifiedBy>Meigon Peters</cp:lastModifiedBy>
  <cp:revision>146</cp:revision>
  <dcterms:created xsi:type="dcterms:W3CDTF">2023-12-12T17:01:00Z</dcterms:created>
  <dcterms:modified xsi:type="dcterms:W3CDTF">2023-12-15T20:02:00Z</dcterms:modified>
</cp:coreProperties>
</file>