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EBA99" w14:textId="77777777" w:rsidR="00BF1CB9" w:rsidRDefault="00BF1CB9" w:rsidP="00BF1CB9">
      <w:pPr>
        <w:pStyle w:val="Heading1"/>
        <w:spacing w:before="0"/>
      </w:pPr>
      <w:r>
        <w:t xml:space="preserve">Materialising the Sacred: A Critical Review of Marianna </w:t>
      </w:r>
    </w:p>
    <w:p w14:paraId="7FD965EE" w14:textId="77777777" w:rsidR="00BF1CB9" w:rsidRDefault="00BF1CB9" w:rsidP="00BF1CB9">
      <w:pPr>
        <w:pStyle w:val="Heading1"/>
        <w:spacing w:before="0"/>
      </w:pPr>
      <w:r>
        <w:t xml:space="preserve">Nikolaidou’s “Materialised Myth and Ritualised Realities: </w:t>
      </w:r>
    </w:p>
    <w:p w14:paraId="6E9C1F4C" w14:textId="7209523A" w:rsidR="003832E0" w:rsidRDefault="00BF1CB9" w:rsidP="00BF1CB9">
      <w:pPr>
        <w:pStyle w:val="Heading1"/>
        <w:spacing w:before="0"/>
      </w:pPr>
      <w:r>
        <w:t>Religious Symbolism on Minoan Pottery”</w:t>
      </w:r>
    </w:p>
    <w:p w14:paraId="201206F8" w14:textId="27ACF6C7" w:rsidR="00BF1CB9" w:rsidRDefault="00BF1CB9" w:rsidP="00B30A43">
      <w:pPr>
        <w:ind w:firstLine="720"/>
      </w:pPr>
      <w:r>
        <w:t xml:space="preserve">Marianna Nikolaidou’s chapter ‘Materialised Myth and Ritualised Realities: Religious Symbolism on Minoan Pottery’ appears in the </w:t>
      </w:r>
      <w:proofErr w:type="spellStart"/>
      <w:r>
        <w:t>Aegaeum</w:t>
      </w:r>
      <w:proofErr w:type="spellEnd"/>
      <w:r>
        <w:t xml:space="preserve"> volume Metaphysis: Ritual, Myth and Symbolism in the Aegean Bronze Age (2016). The study examines pre- and </w:t>
      </w:r>
      <w:proofErr w:type="spellStart"/>
      <w:r>
        <w:t>protopalatial</w:t>
      </w:r>
      <w:proofErr w:type="spellEnd"/>
      <w:r>
        <w:t xml:space="preserve"> Cretan pottery (EM </w:t>
      </w:r>
      <w:proofErr w:type="spellStart"/>
      <w:r>
        <w:t>IIa</w:t>
      </w:r>
      <w:proofErr w:type="spellEnd"/>
      <w:r>
        <w:t>–MM IIb) bearing depictions or renderings of the double axe, double horns of consecration, bucranium and jug, and argues that these motifs form a “formulaic code” that materialises myth and ritual in Minoan life.</w:t>
      </w:r>
      <w:r>
        <w:rPr>
          <w:rStyle w:val="FootnoteReference"/>
        </w:rPr>
        <w:footnoteReference w:id="1"/>
      </w:r>
      <w:r>
        <w:t xml:space="preserve"> This review summarises her arguments and evidence, evaluates the theoretical and methodological framework, and assesses the usefulness for the study of ancient religion.</w:t>
      </w:r>
    </w:p>
    <w:p w14:paraId="4E2E61C8" w14:textId="5503BBC2" w:rsidR="00BF1CB9" w:rsidRDefault="00BF1CB9" w:rsidP="00BF1CB9">
      <w:r>
        <w:t>A</w:t>
      </w:r>
      <w:r w:rsidR="00786FEA">
        <w:t>s a</w:t>
      </w:r>
      <w:r>
        <w:t xml:space="preserve"> senior researcher at the </w:t>
      </w:r>
      <w:proofErr w:type="spellStart"/>
      <w:r>
        <w:t>Cotsen</w:t>
      </w:r>
      <w:proofErr w:type="spellEnd"/>
      <w:r>
        <w:t xml:space="preserve"> Institute of Archaeology, UCLA, Nikolaidou has written on symbolism and identity in Aegean prehistory.</w:t>
      </w:r>
      <w:r w:rsidR="00B30A43">
        <w:rPr>
          <w:rStyle w:val="FootnoteReference"/>
        </w:rPr>
        <w:footnoteReference w:id="2"/>
      </w:r>
      <w:r>
        <w:t xml:space="preserve"> </w:t>
      </w:r>
      <w:r w:rsidR="00CF0F52">
        <w:t>D</w:t>
      </w:r>
      <w:r>
        <w:t xml:space="preserve">ating from Evans’ The Palace of Minos (1921–35) through </w:t>
      </w:r>
      <w:proofErr w:type="spellStart"/>
      <w:r w:rsidRPr="003B2E40">
        <w:t>Marinatos</w:t>
      </w:r>
      <w:proofErr w:type="spellEnd"/>
      <w:r w:rsidRPr="003B2E40">
        <w:t>’ Minoan Religion (1993</w:t>
      </w:r>
      <w:r>
        <w:t>)</w:t>
      </w:r>
      <w:r w:rsidR="00CF0F52">
        <w:t>, the</w:t>
      </w:r>
      <w:r w:rsidR="00CF0F52">
        <w:t xml:space="preserve"> article belongs to a broader academia </w:t>
      </w:r>
      <w:r>
        <w:t>to read Minoan iconography as a coherent system of religious communication</w:t>
      </w:r>
      <w:r w:rsidR="00B30A43">
        <w:t>.</w:t>
      </w:r>
    </w:p>
    <w:p w14:paraId="24CB2D26" w14:textId="467602E1" w:rsidR="00B30A43" w:rsidRDefault="00CF0F52" w:rsidP="00B30A43">
      <w:pPr>
        <w:ind w:firstLine="720"/>
      </w:pPr>
      <w:r>
        <w:t xml:space="preserve">In </w:t>
      </w:r>
      <w:r w:rsidR="00B30A43" w:rsidRPr="00B30A43">
        <w:t>the opening theoretical section</w:t>
      </w:r>
      <w:r w:rsidR="00B30A43">
        <w:t xml:space="preserve"> </w:t>
      </w:r>
      <w:r w:rsidR="00B30A43" w:rsidRPr="00B30A43">
        <w:t>Nikolaidou establishes the conceptual triad of religion–myth–materiality</w:t>
      </w:r>
      <w:r w:rsidR="00B30A43">
        <w:rPr>
          <w:rStyle w:val="FootnoteReference"/>
        </w:rPr>
        <w:footnoteReference w:id="3"/>
      </w:r>
      <w:r w:rsidR="00B30A43" w:rsidRPr="00B30A43">
        <w:t>, drawing on Turner’s idea of condensed symbolism, Eliade’s “dialectic of the sacred”, and Bell’s ritualisation as a mode of social differentiation.</w:t>
      </w:r>
      <w:r w:rsidR="00B30A43">
        <w:rPr>
          <w:rStyle w:val="FootnoteReference"/>
        </w:rPr>
        <w:footnoteReference w:id="4"/>
      </w:r>
      <w:r w:rsidR="00B30A43" w:rsidRPr="00B30A43">
        <w:t xml:space="preserve"> Symbols such as the double axe and horns are, “multi-valent and powerful cultural icons” whose meaning expanded “through time and across contexts”</w:t>
      </w:r>
      <w:r w:rsidR="00B30A43">
        <w:t>.</w:t>
      </w:r>
      <w:r w:rsidR="00B30A43">
        <w:rPr>
          <w:rStyle w:val="FootnoteReference"/>
        </w:rPr>
        <w:footnoteReference w:id="5"/>
      </w:r>
      <w:r w:rsidR="00B30A43">
        <w:t xml:space="preserve"> </w:t>
      </w:r>
      <w:r w:rsidR="00B30A43" w:rsidRPr="00B30A43">
        <w:t>Their presence on pottery</w:t>
      </w:r>
      <w:r w:rsidR="00B30A43">
        <w:t>-</w:t>
      </w:r>
      <w:r w:rsidR="00B30A43" w:rsidRPr="00B30A43">
        <w:t>objects that traversed domestic, funerary</w:t>
      </w:r>
      <w:r w:rsidR="00B30A43">
        <w:t>,</w:t>
      </w:r>
      <w:r w:rsidR="00B30A43" w:rsidRPr="00B30A43">
        <w:t xml:space="preserve"> and cultic settings</w:t>
      </w:r>
      <w:r w:rsidR="00B30A43">
        <w:t xml:space="preserve"> </w:t>
      </w:r>
      <w:r w:rsidR="00B30A43" w:rsidRPr="00B30A43">
        <w:t>blurred boundaries between the sacred and the mundane.</w:t>
      </w:r>
    </w:p>
    <w:p w14:paraId="600D04A8" w14:textId="48DEE6A2" w:rsidR="00A06C24" w:rsidRDefault="00B30A43">
      <w:r w:rsidRPr="00B30A43">
        <w:t xml:space="preserve">The empirical half surveys archaeological examples from EM II to MM II contexts: relief bucrania at Phaistos, horn-adorned vessels from </w:t>
      </w:r>
      <w:proofErr w:type="spellStart"/>
      <w:r w:rsidRPr="00B30A43">
        <w:t>Archanes-Phourni</w:t>
      </w:r>
      <w:proofErr w:type="spellEnd"/>
      <w:r w:rsidRPr="00B30A43">
        <w:t>, and pots from Malia bearing the pictographic bucranium sign.</w:t>
      </w:r>
      <w:r w:rsidR="00821438">
        <w:rPr>
          <w:rStyle w:val="FootnoteReference"/>
        </w:rPr>
        <w:footnoteReference w:id="6"/>
      </w:r>
      <w:r w:rsidRPr="00B30A43">
        <w:t xml:space="preserve"> These case studies demonstrate how imagery and vessel form intertwined to create “vessels of meaning”.</w:t>
      </w:r>
      <w:r>
        <w:rPr>
          <w:rStyle w:val="FootnoteReference"/>
        </w:rPr>
        <w:footnoteReference w:id="7"/>
      </w:r>
      <w:r w:rsidRPr="00B30A43">
        <w:t xml:space="preserve"> </w:t>
      </w:r>
      <w:r w:rsidR="00CF0F52">
        <w:t>Concluding</w:t>
      </w:r>
      <w:r w:rsidRPr="00B30A43">
        <w:t xml:space="preserve"> that such artefacts “lend material substance to an archetypal, mythical order”</w:t>
      </w:r>
      <w:r>
        <w:rPr>
          <w:rStyle w:val="FootnoteReference"/>
        </w:rPr>
        <w:footnoteReference w:id="8"/>
      </w:r>
      <w:r w:rsidRPr="00B30A43">
        <w:t xml:space="preserve">, thereby participating in the re-enactment of Minoan cosmology. </w:t>
      </w:r>
    </w:p>
    <w:p w14:paraId="10B52812" w14:textId="5F34617E" w:rsidR="00A06C24" w:rsidRDefault="00A06C24" w:rsidP="00A06C24">
      <w:pPr>
        <w:ind w:firstLine="720"/>
      </w:pPr>
      <w:r w:rsidRPr="00A06C24">
        <w:t>Nikolaidou’s methodology synthesises art-historical typology, contextual archaeology and symbolic anthropology. Her theoretical framework is explicitly intertextual</w:t>
      </w:r>
      <w:r w:rsidR="00F775B6">
        <w:t xml:space="preserve"> through the conceptual triad mentioned </w:t>
      </w:r>
      <w:r w:rsidR="00CF0F52">
        <w:t>earlier</w:t>
      </w:r>
      <w:r w:rsidRPr="00A06C24">
        <w:t>. This stance echoes the “symbolic turn” in Aegean studies which views material culture as active in social and religious performance.</w:t>
      </w:r>
      <w:r w:rsidR="005D4596">
        <w:rPr>
          <w:rStyle w:val="FootnoteReference"/>
        </w:rPr>
        <w:footnoteReference w:id="9"/>
      </w:r>
      <w:r w:rsidRPr="00A06C24">
        <w:t xml:space="preserve"> Her strength lies in recognising ambiguity as intrinsic to symbolic efficacy. Abstract motifs such as the “butterfly” form of the double axe invite multiple readings, a point she links to </w:t>
      </w:r>
      <w:r w:rsidRPr="003B2E40">
        <w:t xml:space="preserve">Arnheim’s Art and Visual </w:t>
      </w:r>
      <w:r w:rsidRPr="003B2E40">
        <w:lastRenderedPageBreak/>
        <w:t xml:space="preserve">Perception (1974) and </w:t>
      </w:r>
      <w:proofErr w:type="spellStart"/>
      <w:r w:rsidRPr="003B2E40">
        <w:t>Gombrich’s</w:t>
      </w:r>
      <w:proofErr w:type="spellEnd"/>
      <w:r w:rsidRPr="003B2E40">
        <w:t xml:space="preserve"> Art and Illusion (1988).</w:t>
      </w:r>
      <w:r w:rsidR="005D4596" w:rsidRPr="003B2E40">
        <w:rPr>
          <w:rStyle w:val="FootnoteReference"/>
        </w:rPr>
        <w:footnoteReference w:id="10"/>
      </w:r>
      <w:r w:rsidRPr="00A06C24">
        <w:t xml:space="preserve"> </w:t>
      </w:r>
      <w:r w:rsidR="00CF0F52">
        <w:t>E</w:t>
      </w:r>
      <w:r w:rsidRPr="00A06C24">
        <w:t xml:space="preserve">mphasis on </w:t>
      </w:r>
      <w:r w:rsidR="005D4596" w:rsidRPr="00A06C24">
        <w:t>multivalence</w:t>
      </w:r>
      <w:r w:rsidRPr="00A06C24">
        <w:t xml:space="preserve"> counters earlier positivist attempts to assign a single meaning to every motif</w:t>
      </w:r>
      <w:r w:rsidRPr="003B2E40">
        <w:t>.</w:t>
      </w:r>
      <w:r w:rsidR="003B2E40" w:rsidRPr="003B2E40">
        <w:rPr>
          <w:rStyle w:val="FootnoteReference"/>
        </w:rPr>
        <w:footnoteReference w:id="11"/>
      </w:r>
      <w:r w:rsidRPr="00A06C24">
        <w:t xml:space="preserve"> Methodologically, she advocates a “cross-referential” approach connecting iconography, scripts and ritual contexts, aligning with contemporary semiotic analyses</w:t>
      </w:r>
      <w:r w:rsidRPr="003B2E40">
        <w:t>.</w:t>
      </w:r>
      <w:r w:rsidR="003B2E40">
        <w:rPr>
          <w:rStyle w:val="FootnoteReference"/>
        </w:rPr>
        <w:footnoteReference w:id="12"/>
      </w:r>
      <w:r w:rsidRPr="00A06C24">
        <w:t xml:space="preserve"> A potential drawback is that the theoretical density sometimes overwhelms the empirical grounding. The frequent </w:t>
      </w:r>
      <w:r w:rsidR="00CF0F52" w:rsidRPr="00A06C24">
        <w:t>appeal</w:t>
      </w:r>
      <w:r w:rsidRPr="00A06C24">
        <w:t xml:space="preserve"> of universalist theory risks </w:t>
      </w:r>
      <w:r w:rsidR="00CF0F52">
        <w:t>separating</w:t>
      </w:r>
      <w:r w:rsidRPr="00A06C24">
        <w:t xml:space="preserve"> the Minoan evidence from its archaeological texture. Nonetheless, her method successfully demonstrates how theory can illuminate artefactual meaning without </w:t>
      </w:r>
      <w:r w:rsidR="00CF0F52">
        <w:t>leaning on</w:t>
      </w:r>
      <w:r w:rsidRPr="00A06C24">
        <w:t xml:space="preserve"> speculation.</w:t>
      </w:r>
    </w:p>
    <w:p w14:paraId="6113CEA9" w14:textId="73CA2C35" w:rsidR="00A06C24" w:rsidRDefault="00A06C24" w:rsidP="00A06C24">
      <w:pPr>
        <w:ind w:firstLine="720"/>
      </w:pPr>
      <w:r w:rsidRPr="00A06C24">
        <w:t>Nikolaidou’s thesis</w:t>
      </w:r>
      <w:r w:rsidR="00EC0509">
        <w:t xml:space="preserve">, </w:t>
      </w:r>
      <w:r w:rsidRPr="00A06C24">
        <w:t>that Minoan pottery operated as a medium for religious expression</w:t>
      </w:r>
      <w:r w:rsidR="00EC0509">
        <w:t xml:space="preserve">, </w:t>
      </w:r>
      <w:r w:rsidRPr="00A06C24">
        <w:t>is persuasive.</w:t>
      </w:r>
      <w:r w:rsidR="00EC0509">
        <w:t xml:space="preserve"> D</w:t>
      </w:r>
      <w:r w:rsidRPr="00A06C24">
        <w:t xml:space="preserve">emonstrating the continuity of motifs across ceramic types and contexts, she portrays a visual language of cult. </w:t>
      </w:r>
      <w:r w:rsidR="00EC0509">
        <w:t>A</w:t>
      </w:r>
      <w:r w:rsidRPr="00A06C24">
        <w:t xml:space="preserve">nalysis of the “butterfly” double-axe motif, recurring from EM </w:t>
      </w:r>
      <w:proofErr w:type="spellStart"/>
      <w:r w:rsidRPr="00A06C24">
        <w:t>IIa</w:t>
      </w:r>
      <w:proofErr w:type="spellEnd"/>
      <w:r w:rsidRPr="00A06C24">
        <w:t xml:space="preserve"> to MM II</w:t>
      </w:r>
      <w:r w:rsidR="00D42A27">
        <w:rPr>
          <w:rStyle w:val="FootnoteReference"/>
        </w:rPr>
        <w:footnoteReference w:id="13"/>
      </w:r>
      <w:r w:rsidRPr="00A06C24">
        <w:t xml:space="preserve">, exemplifies her argument that abstract design could embody sacred dualities of life and death, male and female, power and fertility. </w:t>
      </w:r>
      <w:r w:rsidR="00EC0509">
        <w:t>The</w:t>
      </w:r>
      <w:r w:rsidRPr="00A06C24">
        <w:t xml:space="preserve"> reading resonates with later gender-focused interpretations of Minoan iconography</w:t>
      </w:r>
      <w:r w:rsidRPr="003B2E40">
        <w:t>.</w:t>
      </w:r>
      <w:r w:rsidR="003B2E40">
        <w:rPr>
          <w:rStyle w:val="FootnoteReference"/>
        </w:rPr>
        <w:footnoteReference w:id="14"/>
      </w:r>
    </w:p>
    <w:p w14:paraId="42413348" w14:textId="0DF1F0AB" w:rsidR="00A06C24" w:rsidRDefault="00A06C24" w:rsidP="00A06C24">
      <w:r w:rsidRPr="00A06C24">
        <w:t>Equally valuable is her discussion of the bucranium mark on vessels from Malia</w:t>
      </w:r>
      <w:r w:rsidRPr="003B2E40">
        <w:t>.</w:t>
      </w:r>
      <w:r w:rsidR="003B2E40">
        <w:rPr>
          <w:rStyle w:val="FootnoteReference"/>
        </w:rPr>
        <w:footnoteReference w:id="15"/>
      </w:r>
      <w:r w:rsidRPr="00A06C24">
        <w:t xml:space="preserve"> She links administrative and ritual functions, suggesting that potters, scribes and lapidaries participated in a shared symbolic system. This perspective complements the “entangled” view of Aegean craft and ideology advanced by </w:t>
      </w:r>
      <w:proofErr w:type="spellStart"/>
      <w:r w:rsidRPr="003B2E40">
        <w:t>Hamilakis</w:t>
      </w:r>
      <w:proofErr w:type="spellEnd"/>
      <w:r w:rsidRPr="003B2E40">
        <w:t xml:space="preserve"> (1999) and </w:t>
      </w:r>
      <w:proofErr w:type="spellStart"/>
      <w:r w:rsidRPr="003B2E40">
        <w:t>Relaki</w:t>
      </w:r>
      <w:proofErr w:type="spellEnd"/>
      <w:r w:rsidRPr="003B2E40">
        <w:t xml:space="preserve"> (2012).</w:t>
      </w:r>
    </w:p>
    <w:p w14:paraId="4C0CC551" w14:textId="267B5985" w:rsidR="00A06C24" w:rsidRDefault="00EC0509" w:rsidP="00A06C24">
      <w:r>
        <w:t>A</w:t>
      </w:r>
      <w:r w:rsidR="00A06C24" w:rsidRPr="00A06C24">
        <w:t>spects of her reasoning invite challenge. The assumption that each recurrence of a symbol implies religious significance risks circularity. Functional or decorative motives may explain the data equally well. Furthermore, her focus on Crete gives limited attention to Near-Eastern or Anatolian parallels</w:t>
      </w:r>
      <w:r w:rsidR="003B2E40">
        <w:rPr>
          <w:rStyle w:val="FootnoteReference"/>
        </w:rPr>
        <w:footnoteReference w:id="16"/>
      </w:r>
      <w:r w:rsidR="00A06C24" w:rsidRPr="003B2E40">
        <w:t>,</w:t>
      </w:r>
      <w:r w:rsidR="00A06C24" w:rsidRPr="00A06C24">
        <w:t xml:space="preserve"> which could contextualise her “formulaic code” within broader Eastern Mediterranean symbolic exchange. A comparative glance might have strengthened her claim that Minoan iconography reflects a shared Bronze Age koine</w:t>
      </w:r>
      <w:r w:rsidR="00A06C24" w:rsidRPr="00820FBA">
        <w:t>.</w:t>
      </w:r>
      <w:r w:rsidR="00820FBA">
        <w:rPr>
          <w:rStyle w:val="FootnoteReference"/>
        </w:rPr>
        <w:footnoteReference w:id="17"/>
      </w:r>
      <w:r w:rsidR="00A06C24" w:rsidRPr="00A06C24">
        <w:t xml:space="preserve"> </w:t>
      </w:r>
    </w:p>
    <w:p w14:paraId="28F87E7E" w14:textId="3AAD1349" w:rsidR="00A06C24" w:rsidRDefault="007B14C8" w:rsidP="00A06C24">
      <w:r>
        <w:t>U</w:t>
      </w:r>
      <w:r w:rsidR="00A06C24" w:rsidRPr="00A06C24">
        <w:t>se of evidence is wide-ranging but uneven</w:t>
      </w:r>
      <w:r>
        <w:t>.</w:t>
      </w:r>
      <w:r w:rsidR="00A06C24" w:rsidRPr="00A06C24">
        <w:t xml:space="preserve"> </w:t>
      </w:r>
      <w:r>
        <w:t>C</w:t>
      </w:r>
      <w:r w:rsidR="00A06C24" w:rsidRPr="00A06C24">
        <w:t>atalogues are invoked rather than analysed statistically, and contextual details (find-spots, deposition) are sometimes compressed. Nonetheless, her interpretative imagination animates otherwise familiar artefacts, showing how even humble pots could serve as conduits of metaphysical thought.</w:t>
      </w:r>
    </w:p>
    <w:p w14:paraId="506AAB98" w14:textId="0969EA25" w:rsidR="00A06C24" w:rsidRDefault="00A06C24" w:rsidP="00A06C24">
      <w:pPr>
        <w:ind w:firstLine="720"/>
      </w:pPr>
      <w:r w:rsidRPr="00A06C24">
        <w:t>Nikolaidou</w:t>
      </w:r>
      <w:r w:rsidR="00F44B6A">
        <w:t xml:space="preserve"> </w:t>
      </w:r>
      <w:r w:rsidRPr="00A06C24">
        <w:t>makes a distinctive contribution by centring pottery</w:t>
      </w:r>
      <w:r w:rsidR="00F44B6A">
        <w:t xml:space="preserve">, </w:t>
      </w:r>
      <w:r w:rsidRPr="00A06C24">
        <w:t>often treated as an economic or chronological indicator</w:t>
      </w:r>
      <w:r w:rsidR="00F44B6A">
        <w:t xml:space="preserve">, </w:t>
      </w:r>
      <w:r w:rsidRPr="00A06C24">
        <w:t>as a primary medium of religious meaning. In doing so, she expands earlier discussions on cult equipment</w:t>
      </w:r>
      <w:r w:rsidR="00F44B6A">
        <w:rPr>
          <w:rStyle w:val="FootnoteReference"/>
        </w:rPr>
        <w:footnoteReference w:id="18"/>
      </w:r>
      <w:r w:rsidRPr="00A06C24">
        <w:t xml:space="preserve">, demonstrating that symbolic communication extended beyond formal sanctuaries into domestic and funerary spheres. </w:t>
      </w:r>
      <w:r w:rsidR="00820FBA">
        <w:t>The</w:t>
      </w:r>
      <w:r w:rsidRPr="00A06C24">
        <w:t xml:space="preserve"> notion of “symbolic repetition” complements </w:t>
      </w:r>
      <w:r w:rsidRPr="00820FBA">
        <w:t>Whittaker’s (2016)</w:t>
      </w:r>
      <w:r w:rsidRPr="00A06C24">
        <w:t xml:space="preserve"> analysis of “Horns and Axes” in the same volume, together suggesting a coherent Minoan symbolic grammar.</w:t>
      </w:r>
      <w:r w:rsidR="00820FBA">
        <w:rPr>
          <w:rStyle w:val="FootnoteReference"/>
        </w:rPr>
        <w:footnoteReference w:id="19"/>
      </w:r>
    </w:p>
    <w:p w14:paraId="409A32CD" w14:textId="28F1AEA8" w:rsidR="00A06C24" w:rsidRDefault="00A06C24" w:rsidP="00A06C24">
      <w:pPr>
        <w:ind w:firstLine="720"/>
      </w:pPr>
      <w:r w:rsidRPr="00A06C24">
        <w:lastRenderedPageBreak/>
        <w:t>For research on the materiality and spatiality of religion in the Bronze Age East Mediterranean, Nikolaidou’s approach is invaluable. She shows that spatial context</w:t>
      </w:r>
      <w:r w:rsidR="00F44B6A">
        <w:t xml:space="preserve">, </w:t>
      </w:r>
      <w:r w:rsidRPr="00A06C24">
        <w:t>the find-place of a pot, the architectural setting of horns or bucrania</w:t>
      </w:r>
      <w:r w:rsidR="00F44B6A">
        <w:t xml:space="preserve">, </w:t>
      </w:r>
      <w:r w:rsidRPr="00A06C24">
        <w:t>affects symbolic resonance. Her attention to how imagery operates simultaneously at domestic and communal scales aligns with current landscape-based interpretations</w:t>
      </w:r>
      <w:r w:rsidRPr="00820FBA">
        <w:t>.</w:t>
      </w:r>
      <w:r w:rsidR="00820FBA">
        <w:rPr>
          <w:rStyle w:val="FootnoteReference"/>
        </w:rPr>
        <w:footnoteReference w:id="20"/>
      </w:r>
      <w:r w:rsidRPr="00A06C24">
        <w:t xml:space="preserve"> Thus, her article provides an effective theoretical and empirical springboard for examining how sacred meaning was produced through spatial practice. </w:t>
      </w:r>
    </w:p>
    <w:p w14:paraId="7D9E3C3F" w14:textId="68B9E455" w:rsidR="00A06C24" w:rsidRDefault="00A06C24" w:rsidP="00A06C24">
      <w:pPr>
        <w:ind w:firstLine="720"/>
      </w:pPr>
      <w:r w:rsidRPr="00A06C24">
        <w:t>Nikolaidou writes in a</w:t>
      </w:r>
      <w:r w:rsidR="00F44B6A">
        <w:t>n</w:t>
      </w:r>
      <w:r w:rsidRPr="00A06C24">
        <w:t xml:space="preserve"> allusive and metaphorical style. Opening with Baudelaire’s “Forests of symbols”</w:t>
      </w:r>
      <w:r w:rsidR="00820FBA">
        <w:rPr>
          <w:rStyle w:val="FootnoteReference"/>
        </w:rPr>
        <w:footnoteReference w:id="21"/>
      </w:r>
      <w:r w:rsidRPr="00820FBA">
        <w:t>,</w:t>
      </w:r>
      <w:r w:rsidRPr="00A06C24">
        <w:t xml:space="preserve"> she invites the reader into a poetic landscape where artefacts “remark our passage with accustomed eyes.” Her prose</w:t>
      </w:r>
      <w:r w:rsidR="00F44B6A">
        <w:t xml:space="preserve"> </w:t>
      </w:r>
      <w:r w:rsidRPr="00A06C24">
        <w:t>demands close attention</w:t>
      </w:r>
      <w:r w:rsidR="00F44B6A">
        <w:t>,</w:t>
      </w:r>
      <w:r w:rsidRPr="00A06C24">
        <w:t xml:space="preserve"> sentences often unfurl in multiple subordinate clauses. The language occasionally borders on the arcane</w:t>
      </w:r>
      <w:r w:rsidR="00F44B6A">
        <w:t xml:space="preserve">, </w:t>
      </w:r>
      <w:r w:rsidRPr="00A06C24">
        <w:t>an unavoidable side-effect of her theoretical ambition</w:t>
      </w:r>
      <w:r w:rsidR="00F44B6A">
        <w:t xml:space="preserve">, </w:t>
      </w:r>
      <w:r w:rsidRPr="00A06C24">
        <w:t>but the reward is a text that communicates intellectual excitement.</w:t>
      </w:r>
    </w:p>
    <w:p w14:paraId="62D9E8CD" w14:textId="6DF05FE7" w:rsidR="00A06C24" w:rsidRDefault="00A06C24" w:rsidP="00A06C24">
      <w:r w:rsidRPr="00A06C24">
        <w:t xml:space="preserve">Compared with the more descriptive tone of </w:t>
      </w:r>
      <w:r w:rsidRPr="00820FBA">
        <w:t>Betancourt (1985)</w:t>
      </w:r>
      <w:r w:rsidRPr="00A06C24">
        <w:t xml:space="preserve"> or the em</w:t>
      </w:r>
      <w:r w:rsidRPr="00820FBA">
        <w:t>pirical clarity of Branigan (1993),</w:t>
      </w:r>
      <w:r w:rsidRPr="00A06C24">
        <w:t xml:space="preserve"> Nikolaidou’s essay reads as a manifesto for a semiotic archaeology of religion. </w:t>
      </w:r>
      <w:r w:rsidR="003623C8">
        <w:t xml:space="preserve">The argument cuts straight to the point </w:t>
      </w:r>
      <w:r w:rsidRPr="00A06C24">
        <w:t>of how symbols work, even if the reader must hack through a thicket of references to get there.</w:t>
      </w:r>
    </w:p>
    <w:p w14:paraId="6B099A8F" w14:textId="7A65F3AA" w:rsidR="00A06C24" w:rsidRDefault="00A06C24" w:rsidP="00A06C24">
      <w:pPr>
        <w:ind w:firstLine="720"/>
      </w:pPr>
      <w:r w:rsidRPr="00A06C24">
        <w:t xml:space="preserve">The article has notable strengths. The corpus is clearly defined and manageable, which allows an unusually focused discussion </w:t>
      </w:r>
      <w:r>
        <w:t xml:space="preserve">on the ambitious </w:t>
      </w:r>
      <w:r w:rsidR="00821438">
        <w:t>theoretical</w:t>
      </w:r>
      <w:r w:rsidRPr="00A06C24">
        <w:t xml:space="preserve"> piece. The argument that symbol-bearing pots form nodal points at which materiality and spirituality interweave is persuasive and anchored in specific examples</w:t>
      </w:r>
      <w:r w:rsidRPr="00820FBA">
        <w:t>.</w:t>
      </w:r>
      <w:r w:rsidR="00820FBA">
        <w:rPr>
          <w:rStyle w:val="FootnoteReference"/>
        </w:rPr>
        <w:footnoteReference w:id="22"/>
      </w:r>
      <w:r w:rsidRPr="00A06C24">
        <w:t xml:space="preserve"> The integration of theory and data is </w:t>
      </w:r>
      <w:r w:rsidR="00821438" w:rsidRPr="00A06C24">
        <w:t>nimble</w:t>
      </w:r>
      <w:r w:rsidRPr="00A06C24">
        <w:t>: concepts such as ritualisation and communitas are introduced where they illuminate the material, rather than being appended as theoretical ornament. Rather than being a problem to be solved, the non-narrative, repetitive depiction of symbols is framed as central to their function as vehicles of myth and identity, an insight with clear relevance for the analysis of other prehistoric religious systems where textual exegesis is unavailable</w:t>
      </w:r>
      <w:r w:rsidRPr="00820FBA">
        <w:t>.</w:t>
      </w:r>
      <w:r w:rsidR="00820FBA">
        <w:rPr>
          <w:rStyle w:val="FootnoteReference"/>
        </w:rPr>
        <w:footnoteReference w:id="23"/>
      </w:r>
    </w:p>
    <w:p w14:paraId="19369043" w14:textId="6884F499" w:rsidR="00821438" w:rsidRDefault="00F44B6A" w:rsidP="00821438">
      <w:r>
        <w:t>N</w:t>
      </w:r>
      <w:r w:rsidR="00A06C24" w:rsidRPr="00A06C24">
        <w:t>onetheless, some weaknesses and gaps. The reliance on Eliade and related mid</w:t>
      </w:r>
      <w:r w:rsidR="00A06C24">
        <w:t>-</w:t>
      </w:r>
      <w:r w:rsidR="00A06C24" w:rsidRPr="00A06C24">
        <w:t xml:space="preserve">twentieth-century models of myth and the sacred, while understandable, imports a universalising tendency that later scholarship has often questioned, and </w:t>
      </w:r>
      <w:r>
        <w:t>it</w:t>
      </w:r>
      <w:r w:rsidR="00A06C24" w:rsidRPr="00A06C24">
        <w:t xml:space="preserve"> does not explicitly engage with such critiques. Alternative interpretations of the symbols, including more cautious readings of their religious significance, are acknowledged but not pursued at length; at times the argument risks assuming what it sets out to prove. Spatial analysis, as noted, is largely confined to site-level contexts, and the wider landscape functions more as backdrop than as active agent, in contrast to the more animistic perspectives advanced by some of Nikolaidou’s contemporaries. </w:t>
      </w:r>
      <w:r w:rsidR="00A06C24">
        <w:t>The article is heavily footnoted, and</w:t>
      </w:r>
      <w:r w:rsidR="00A06C24" w:rsidRPr="00A06C24">
        <w:t xml:space="preserve"> the reader </w:t>
      </w:r>
      <w:r w:rsidR="00821438" w:rsidRPr="00A06C24">
        <w:t>must</w:t>
      </w:r>
      <w:r w:rsidR="00A06C24" w:rsidRPr="00A06C24">
        <w:t xml:space="preserve"> navigate </w:t>
      </w:r>
      <w:r w:rsidR="00821438">
        <w:t>winding</w:t>
      </w:r>
      <w:r w:rsidR="00A06C24" w:rsidRPr="00A06C24">
        <w:t xml:space="preserve"> </w:t>
      </w:r>
      <w:r w:rsidR="00821438" w:rsidRPr="00A06C24">
        <w:t>sequences</w:t>
      </w:r>
      <w:r w:rsidR="00A06C24" w:rsidRPr="00A06C24">
        <w:t xml:space="preserve"> of references</w:t>
      </w:r>
      <w:r>
        <w:t>,</w:t>
      </w:r>
      <w:r w:rsidR="00A06C24">
        <w:t xml:space="preserve"> which for myself going through each footnote became </w:t>
      </w:r>
      <w:r>
        <w:t>a distraction</w:t>
      </w:r>
      <w:r w:rsidR="00A06C24">
        <w:t xml:space="preserve"> from the points and arguments made.</w:t>
      </w:r>
      <w:r w:rsidR="00A06C24" w:rsidRPr="00A06C24">
        <w:t xml:space="preserve"> </w:t>
      </w:r>
      <w:r w:rsidR="00A06C24">
        <w:t>N</w:t>
      </w:r>
      <w:r w:rsidR="00A06C24" w:rsidRPr="00A06C24">
        <w:t>evertheless, the chapter is organised in a clear sequence</w:t>
      </w:r>
      <w:r w:rsidR="000802B4">
        <w:t xml:space="preserve">, </w:t>
      </w:r>
      <w:r w:rsidR="00A06C24" w:rsidRPr="00A06C24">
        <w:t>from key concepts through “vessels of meaning” and emblematic horns and axes to jugs and ritual contexts</w:t>
      </w:r>
      <w:r w:rsidR="000802B4">
        <w:t xml:space="preserve">, </w:t>
      </w:r>
      <w:r w:rsidR="00A06C24" w:rsidRPr="00A06C24">
        <w:t>and the illustrations are well chosen to support the discussion</w:t>
      </w:r>
      <w:r w:rsidR="00A06C24" w:rsidRPr="00820FBA">
        <w:t>.</w:t>
      </w:r>
      <w:r w:rsidR="00820FBA">
        <w:rPr>
          <w:rStyle w:val="FootnoteReference"/>
        </w:rPr>
        <w:footnoteReference w:id="24"/>
      </w:r>
    </w:p>
    <w:p w14:paraId="5A4732B2" w14:textId="5E8719DF" w:rsidR="00821438" w:rsidRDefault="00821438" w:rsidP="00821438">
      <w:pPr>
        <w:ind w:firstLine="720"/>
      </w:pPr>
      <w:r w:rsidRPr="00821438">
        <w:t xml:space="preserve">In practical terms, her work models how a researcher might combine typological precision with theoretical depth. At the same time, Nikolaidou’s text is a reminder to keep one’s </w:t>
      </w:r>
      <w:r w:rsidRPr="00821438">
        <w:lastRenderedPageBreak/>
        <w:t xml:space="preserve">interpretative feet firmly on the archaeological ground. </w:t>
      </w:r>
      <w:r>
        <w:t>I</w:t>
      </w:r>
      <w:r w:rsidRPr="00821438">
        <w:t xml:space="preserve">t is easy to get carried away </w:t>
      </w:r>
      <w:r>
        <w:t>with</w:t>
      </w:r>
      <w:r w:rsidRPr="00821438">
        <w:t xml:space="preserve"> symbolism</w:t>
      </w:r>
      <w:r>
        <w:t xml:space="preserve"> and lose evidentiary support from not </w:t>
      </w:r>
      <w:proofErr w:type="gramStart"/>
      <w:r>
        <w:t>taking into account</w:t>
      </w:r>
      <w:proofErr w:type="gramEnd"/>
      <w:r>
        <w:t xml:space="preserve"> other interpretations of selected evidence</w:t>
      </w:r>
      <w:r w:rsidRPr="00821438">
        <w:t xml:space="preserve">. A balanced methodology would integrate her semiotic insights with more context-driven analyses such as those </w:t>
      </w:r>
      <w:r w:rsidRPr="00820FBA">
        <w:t xml:space="preserve">by </w:t>
      </w:r>
      <w:proofErr w:type="spellStart"/>
      <w:r w:rsidRPr="00820FBA">
        <w:t>Hamilakis</w:t>
      </w:r>
      <w:proofErr w:type="spellEnd"/>
      <w:r w:rsidRPr="00820FBA">
        <w:t xml:space="preserve"> (1999) or </w:t>
      </w:r>
      <w:proofErr w:type="spellStart"/>
      <w:r w:rsidRPr="00820FBA">
        <w:t>Relaki</w:t>
      </w:r>
      <w:proofErr w:type="spellEnd"/>
      <w:r w:rsidRPr="00820FBA">
        <w:t xml:space="preserve"> (2012</w:t>
      </w:r>
      <w:r w:rsidRPr="00821438">
        <w:t>), ensuring that theory illuminates rather than eclipses the material record.</w:t>
      </w:r>
    </w:p>
    <w:p w14:paraId="569A46FA" w14:textId="56D55902" w:rsidR="00BF1CB9" w:rsidRDefault="00821438" w:rsidP="00D42A27">
      <w:pPr>
        <w:ind w:firstLine="720"/>
      </w:pPr>
      <w:r w:rsidRPr="00821438">
        <w:t>Overall, a substantial and thought-provoking contribution to the study of ancient religion</w:t>
      </w:r>
      <w:r>
        <w:t xml:space="preserve"> is given by Nikolaidou</w:t>
      </w:r>
      <w:r w:rsidRPr="00821438">
        <w:t xml:space="preserve">. It provides a sophisticated model of how religious ideas and mythic structures can be reconstructed from material and visual codes, particularly in preliterate societies. Its emphasis on formulaic symbolic combinations, ritualisation and ambiguity is especially useful for understanding how religion permeates everyday objects and practices. The </w:t>
      </w:r>
      <w:r w:rsidR="00533EB7">
        <w:t>article</w:t>
      </w:r>
      <w:r w:rsidRPr="00821438">
        <w:t xml:space="preserve"> is less comprehensive in its treatment of sacred landscapes and does not pursue questions of later reception or continuity, but these limitations do not undermine its value. As a case study in material religion in the Bronze Age Aegean, it stands as a compelling example of how the careful reading of pottery can illuminate the complex entanglement of myth, ritual and material life</w:t>
      </w:r>
      <w:r w:rsidRPr="00820FBA">
        <w:t>.</w:t>
      </w:r>
      <w:r w:rsidR="00820FBA">
        <w:rPr>
          <w:rStyle w:val="FootnoteReference"/>
        </w:rPr>
        <w:footnoteReference w:id="25"/>
      </w:r>
      <w:r w:rsidR="00BF1CB9">
        <w:br w:type="page"/>
      </w:r>
    </w:p>
    <w:p w14:paraId="63B96B0E" w14:textId="5A99BD2A" w:rsidR="00BF1CB9" w:rsidRDefault="00BF1CB9" w:rsidP="00BF1CB9">
      <w:pPr>
        <w:pStyle w:val="Heading1"/>
      </w:pPr>
      <w:r>
        <w:lastRenderedPageBreak/>
        <w:t>Bibliography</w:t>
      </w:r>
    </w:p>
    <w:p w14:paraId="3F0DB92C" w14:textId="5E9B7411" w:rsidR="005D4596" w:rsidRDefault="005D4596" w:rsidP="00BF1CB9">
      <w:r w:rsidRPr="005D4596">
        <w:t>Arnheim R. (1974) Art and Visual Perception. Berkeley: University of California Press.</w:t>
      </w:r>
    </w:p>
    <w:p w14:paraId="54749190" w14:textId="39352D87" w:rsidR="00281DF2" w:rsidRDefault="00281DF2" w:rsidP="00BF1CB9">
      <w:r w:rsidRPr="00281DF2">
        <w:t>Bell C. (1992) Ritual Theory, Ritual Practice. Oxford: Oxford University Press.</w:t>
      </w:r>
    </w:p>
    <w:p w14:paraId="5E68ECE2" w14:textId="14FCD387" w:rsidR="001F7F8B" w:rsidRDefault="001F7F8B" w:rsidP="00BF1CB9">
      <w:r w:rsidRPr="001F7F8B">
        <w:t>Betancourt P. P. (1985) The History of Minoan Pottery. Princeton: Princeton University Press.</w:t>
      </w:r>
    </w:p>
    <w:p w14:paraId="4329C601" w14:textId="3BB14654" w:rsidR="001F7F8B" w:rsidRDefault="001F7F8B" w:rsidP="00BF1CB9">
      <w:r w:rsidRPr="001F7F8B">
        <w:t xml:space="preserve">Branigan K. (1993) </w:t>
      </w:r>
      <w:proofErr w:type="spellStart"/>
      <w:r w:rsidRPr="001F7F8B">
        <w:t>Prepalatial</w:t>
      </w:r>
      <w:proofErr w:type="spellEnd"/>
      <w:r w:rsidRPr="001F7F8B">
        <w:t>: The Foundations of Palatial Crete. Sheffield: Sheffield Academic Press.</w:t>
      </w:r>
    </w:p>
    <w:p w14:paraId="0D7D0B3E" w14:textId="70F1826C" w:rsidR="001F7F8B" w:rsidRDefault="001F7F8B" w:rsidP="00BF1CB9">
      <w:r w:rsidRPr="001F7F8B">
        <w:t>Crooks S., Tully C. J. and Hitchcock L. A. (2016) ‘Numinous Tree and Stone: Re-animating the Minoan Landscape’, in E. Alram-Stern et al. (eds) Metaphysis. Leuven: Peeters, pp. 157–165.</w:t>
      </w:r>
    </w:p>
    <w:p w14:paraId="3CB2CF2C" w14:textId="389B8D14" w:rsidR="001F7F8B" w:rsidRDefault="001F7F8B" w:rsidP="00BF1CB9">
      <w:r w:rsidRPr="001F7F8B">
        <w:t xml:space="preserve">Crowley, J.L. (1989) </w:t>
      </w:r>
      <w:r w:rsidRPr="001F7F8B">
        <w:rPr>
          <w:i/>
          <w:iCs/>
        </w:rPr>
        <w:t>The Aegean and the East: An Investigation into the Transference of Artistic Motifs.</w:t>
      </w:r>
      <w:r w:rsidRPr="001F7F8B">
        <w:t xml:space="preserve"> Göteborg: Åström.</w:t>
      </w:r>
    </w:p>
    <w:p w14:paraId="7E33913E" w14:textId="4418ACCE" w:rsidR="00281DF2" w:rsidRDefault="00281DF2" w:rsidP="00BF1CB9">
      <w:r w:rsidRPr="00281DF2">
        <w:t>Eliade M. (1963) Myth and Reality. New York: Harper &amp; Row.</w:t>
      </w:r>
    </w:p>
    <w:p w14:paraId="75E11940" w14:textId="63371545" w:rsidR="003B2E40" w:rsidRDefault="003B2E40" w:rsidP="00BF1CB9">
      <w:r w:rsidRPr="003B2E40">
        <w:t xml:space="preserve">Evans, A. (1921–1935) </w:t>
      </w:r>
      <w:r w:rsidRPr="003B2E40">
        <w:rPr>
          <w:i/>
          <w:iCs/>
        </w:rPr>
        <w:t>The Palace of Minos at Knossos.</w:t>
      </w:r>
      <w:r w:rsidRPr="003B2E40">
        <w:t xml:space="preserve"> 4 vols. London: Macmillan.</w:t>
      </w:r>
    </w:p>
    <w:p w14:paraId="23122FF6" w14:textId="6FB6529A" w:rsidR="001F7F8B" w:rsidRDefault="001F7F8B" w:rsidP="00BF1CB9">
      <w:r w:rsidRPr="001F7F8B">
        <w:t>Gesell G. C. (1985) Town, Palace and House Cult in Minoan Crete. Göteborg: Åström.</w:t>
      </w:r>
    </w:p>
    <w:p w14:paraId="65B3171E" w14:textId="1582BBEA" w:rsidR="001B6FEA" w:rsidRDefault="001B6FEA" w:rsidP="00BF1CB9">
      <w:proofErr w:type="spellStart"/>
      <w:r w:rsidRPr="001B6FEA">
        <w:t>Gombrich</w:t>
      </w:r>
      <w:proofErr w:type="spellEnd"/>
      <w:r w:rsidRPr="001B6FEA">
        <w:t xml:space="preserve">, E.H. (1988) </w:t>
      </w:r>
      <w:r w:rsidRPr="001B6FEA">
        <w:rPr>
          <w:i/>
          <w:iCs/>
        </w:rPr>
        <w:t>Art and Illusion: A Study in the Psychology of Pictorial Representation.</w:t>
      </w:r>
      <w:r w:rsidRPr="001B6FEA">
        <w:t xml:space="preserve"> 6th </w:t>
      </w:r>
      <w:proofErr w:type="spellStart"/>
      <w:r w:rsidRPr="001B6FEA">
        <w:t>edn</w:t>
      </w:r>
      <w:proofErr w:type="spellEnd"/>
      <w:r w:rsidRPr="001B6FEA">
        <w:t>. London: Phaidon.</w:t>
      </w:r>
    </w:p>
    <w:p w14:paraId="0B1B96ED" w14:textId="2E4A6023" w:rsidR="005D4596" w:rsidRDefault="005D4596" w:rsidP="00BF1CB9">
      <w:r w:rsidRPr="005D4596">
        <w:t>Goodison L. (1989) Death, Women and the Sun. London: Routledge</w:t>
      </w:r>
      <w:r w:rsidR="00D42A27">
        <w:t>.</w:t>
      </w:r>
    </w:p>
    <w:p w14:paraId="7D5161E2" w14:textId="09158D39" w:rsidR="00D42A27" w:rsidRDefault="00D42A27" w:rsidP="00BF1CB9">
      <w:r w:rsidRPr="00D42A27">
        <w:t>Goodison L. (2009) ‘Gender, Body and the Minoans’, in K. Kopaka (ed.) FYLO. Athens: University of Crete, pp. 233–242.</w:t>
      </w:r>
    </w:p>
    <w:p w14:paraId="63A786C6" w14:textId="2E80E534" w:rsidR="00D42A27" w:rsidRDefault="00D42A27" w:rsidP="00BF1CB9">
      <w:proofErr w:type="spellStart"/>
      <w:r w:rsidRPr="00D42A27">
        <w:t>Hamilakis</w:t>
      </w:r>
      <w:proofErr w:type="spellEnd"/>
      <w:r w:rsidRPr="00D42A27">
        <w:t xml:space="preserve"> Y. (1999) ‘Food Technologies/Technologies of the Body’, World Archaeology 31 (1), 38–54.</w:t>
      </w:r>
    </w:p>
    <w:p w14:paraId="034DD30F" w14:textId="2346D090" w:rsidR="00D42A27" w:rsidRDefault="00D42A27" w:rsidP="00BF1CB9">
      <w:r w:rsidRPr="00D42A27">
        <w:t>Haysom M. (2010) ‘The Double Axe: A Contextual Approach’, Oxford Journal of Archaeology 29 (1), 35–55.</w:t>
      </w:r>
    </w:p>
    <w:p w14:paraId="4C1C35CD" w14:textId="13F05DF1" w:rsidR="001B6FEA" w:rsidRDefault="001B6FEA" w:rsidP="00BF1CB9">
      <w:r w:rsidRPr="00281DF2">
        <w:t>Hitchcock L. and Nikolaidou M. (2013) ‘Gender in Greek and Aegean Prehistory’, in D. Bolger (ed.) A Companion to Gender Prehistory. Oxford: Wiley-Blackwell, pp. 500–517.</w:t>
      </w:r>
    </w:p>
    <w:p w14:paraId="04C1302D" w14:textId="185724EB" w:rsidR="001F7F8B" w:rsidRDefault="001F7F8B" w:rsidP="00BF1CB9">
      <w:r w:rsidRPr="001F7F8B">
        <w:t>Kyriakidis E. (2005) Ritual in the Bronze Age Aegean. London: Duckworth.</w:t>
      </w:r>
    </w:p>
    <w:p w14:paraId="44A0FCA0" w14:textId="0F69644B" w:rsidR="00D42A27" w:rsidRDefault="00D42A27" w:rsidP="00BF1CB9">
      <w:proofErr w:type="spellStart"/>
      <w:r w:rsidRPr="00D42A27">
        <w:t>Marinatos</w:t>
      </w:r>
      <w:proofErr w:type="spellEnd"/>
      <w:r w:rsidRPr="00D42A27">
        <w:t xml:space="preserve"> N. (1993) Minoan Religion: Ritual, Image and Symbol. London: Routledge</w:t>
      </w:r>
      <w:r>
        <w:t>.</w:t>
      </w:r>
    </w:p>
    <w:p w14:paraId="66058ECB" w14:textId="07D78019" w:rsidR="00D42A27" w:rsidRDefault="00D42A27" w:rsidP="00BF1CB9">
      <w:proofErr w:type="spellStart"/>
      <w:r w:rsidRPr="00D42A27">
        <w:t>Marinatos</w:t>
      </w:r>
      <w:proofErr w:type="spellEnd"/>
      <w:r w:rsidRPr="00D42A27">
        <w:t xml:space="preserve"> N. (2010) Minoan Kingship and the Solar Goddess. Urbana: University of Illinois Press</w:t>
      </w:r>
      <w:r>
        <w:t>.</w:t>
      </w:r>
    </w:p>
    <w:p w14:paraId="3C5E1D31" w14:textId="75E3ADAD" w:rsidR="005D4596" w:rsidRDefault="005D4596" w:rsidP="00BF1CB9">
      <w:r w:rsidRPr="00281DF2">
        <w:t xml:space="preserve">Nikolaidou M. (2002) ‘Palaces with Faces in </w:t>
      </w:r>
      <w:proofErr w:type="spellStart"/>
      <w:r w:rsidRPr="00281DF2">
        <w:t>Protopalatial</w:t>
      </w:r>
      <w:proofErr w:type="spellEnd"/>
      <w:r w:rsidRPr="00281DF2">
        <w:t xml:space="preserve"> Crete’, in Y. </w:t>
      </w:r>
      <w:proofErr w:type="spellStart"/>
      <w:r w:rsidRPr="00281DF2">
        <w:t>Hamilakis</w:t>
      </w:r>
      <w:proofErr w:type="spellEnd"/>
      <w:r w:rsidRPr="00281DF2">
        <w:t xml:space="preserve"> (ed.) Labyrinth Revisited. Oxford: Oxbow, pp. 87–108.</w:t>
      </w:r>
    </w:p>
    <w:p w14:paraId="1C199484" w14:textId="3D28B537" w:rsidR="00281DF2" w:rsidRDefault="00281DF2" w:rsidP="00281DF2">
      <w:r>
        <w:t>Nikolaidou, M., (2016). “</w:t>
      </w:r>
      <w:r w:rsidRPr="00BF1CB9">
        <w:rPr>
          <w:i/>
          <w:iCs/>
        </w:rPr>
        <w:t>Materialised myth and ritualised realities: religious symbolism on Minoan pottery</w:t>
      </w:r>
      <w:r>
        <w:t xml:space="preserve">.” In: E. Alram-Stern et al., eds. Metaphysis: Ritual, Myth and Symbolism in the Aegean Bronze Age. </w:t>
      </w:r>
      <w:proofErr w:type="spellStart"/>
      <w:r>
        <w:t>Aegaeum</w:t>
      </w:r>
      <w:proofErr w:type="spellEnd"/>
      <w:r>
        <w:t xml:space="preserve"> 39. Leuven and Liège: Peeters, 97–108.</w:t>
      </w:r>
    </w:p>
    <w:p w14:paraId="01C343D3" w14:textId="5D6122B0" w:rsidR="003B2E40" w:rsidRDefault="003B2E40" w:rsidP="00281DF2">
      <w:r w:rsidRPr="003B2E40">
        <w:t xml:space="preserve">Nilsson, M.P. (1950) </w:t>
      </w:r>
      <w:r w:rsidRPr="003B2E40">
        <w:rPr>
          <w:i/>
          <w:iCs/>
        </w:rPr>
        <w:t>The Minoan-Mycenaean Religion and Its Survival in Greek Religion.</w:t>
      </w:r>
      <w:r w:rsidRPr="003B2E40">
        <w:t xml:space="preserve"> 2nd </w:t>
      </w:r>
      <w:proofErr w:type="spellStart"/>
      <w:r w:rsidRPr="003B2E40">
        <w:t>edn</w:t>
      </w:r>
      <w:proofErr w:type="spellEnd"/>
      <w:r w:rsidRPr="003B2E40">
        <w:t>. Lund: C.W.K. Gleerup</w:t>
      </w:r>
      <w:r>
        <w:t>.</w:t>
      </w:r>
    </w:p>
    <w:p w14:paraId="79163B6B" w14:textId="193B06D2" w:rsidR="005D4596" w:rsidRDefault="005D4596" w:rsidP="00281DF2">
      <w:proofErr w:type="spellStart"/>
      <w:r w:rsidRPr="005D4596">
        <w:lastRenderedPageBreak/>
        <w:t>Peatfield</w:t>
      </w:r>
      <w:proofErr w:type="spellEnd"/>
      <w:r w:rsidRPr="005D4596">
        <w:t xml:space="preserve"> A. A. D. (1983) ‘The Topography of Minoan Peak Sanctuaries’, Annual of the British School at Athens 78, 273–279.</w:t>
      </w:r>
    </w:p>
    <w:p w14:paraId="56E6EED5" w14:textId="2109302C" w:rsidR="001F7F8B" w:rsidRDefault="001F7F8B" w:rsidP="00281DF2">
      <w:proofErr w:type="spellStart"/>
      <w:r w:rsidRPr="001F7F8B">
        <w:t>Relaki</w:t>
      </w:r>
      <w:proofErr w:type="spellEnd"/>
      <w:r w:rsidRPr="001F7F8B">
        <w:t xml:space="preserve"> M. (2012) ‘The Social Arenas of Tradition’, in I. Schoep et al. (eds) Back to the Beginning. Oxford: Oxbow, pp. 290–324.</w:t>
      </w:r>
    </w:p>
    <w:p w14:paraId="31639BA0" w14:textId="253DE707" w:rsidR="00281DF2" w:rsidRDefault="00281DF2" w:rsidP="00281DF2">
      <w:r w:rsidRPr="00281DF2">
        <w:t>Turner V. (1977) ‘Symbols in African Ritual’, in D. Kapferer (ed.) Symbolic Anthropology. New York: Academic Press, pp. 183–194.</w:t>
      </w:r>
    </w:p>
    <w:p w14:paraId="1472A097" w14:textId="271B0462" w:rsidR="001F7F8B" w:rsidRDefault="001F7F8B" w:rsidP="00281DF2">
      <w:r w:rsidRPr="001F7F8B">
        <w:t xml:space="preserve">Weingarten, J. (1989) ‘Formulaic Implications of Some Late Bronze Age Three-Sided Prisms’, </w:t>
      </w:r>
      <w:r w:rsidRPr="001F7F8B">
        <w:rPr>
          <w:i/>
          <w:iCs/>
        </w:rPr>
        <w:t xml:space="preserve">CMS </w:t>
      </w:r>
      <w:proofErr w:type="spellStart"/>
      <w:r w:rsidRPr="001F7F8B">
        <w:rPr>
          <w:i/>
          <w:iCs/>
        </w:rPr>
        <w:t>Beiheft</w:t>
      </w:r>
      <w:proofErr w:type="spellEnd"/>
      <w:r w:rsidRPr="001F7F8B">
        <w:t>, 3, pp. 301–322.</w:t>
      </w:r>
    </w:p>
    <w:p w14:paraId="3CF46A64" w14:textId="0C708A61" w:rsidR="001F7F8B" w:rsidRDefault="001F7F8B" w:rsidP="00281DF2">
      <w:r w:rsidRPr="001F7F8B">
        <w:t xml:space="preserve">Whittaker H. (2016) ‘Horns and Axes’, in E. Alram-Stern et al. (eds) </w:t>
      </w:r>
      <w:r w:rsidRPr="001F7F8B">
        <w:rPr>
          <w:i/>
          <w:iCs/>
        </w:rPr>
        <w:t>Metaphysis.</w:t>
      </w:r>
      <w:r w:rsidRPr="001F7F8B">
        <w:t xml:space="preserve"> Leuven: Peeters, pp. 109–115.</w:t>
      </w:r>
    </w:p>
    <w:p w14:paraId="72CF8209" w14:textId="35F6672A" w:rsidR="00D42A27" w:rsidRDefault="00D42A27" w:rsidP="00281DF2">
      <w:r w:rsidRPr="00D42A27">
        <w:t>Yasur-Landau A. (2010) The Philistines and Aegean Migration at the End of the Late Bronze Age. Cambridge: Cambridge University Press</w:t>
      </w:r>
      <w:r>
        <w:t>.</w:t>
      </w:r>
    </w:p>
    <w:p w14:paraId="4237450A" w14:textId="77777777" w:rsidR="00281DF2" w:rsidRDefault="00281DF2" w:rsidP="00281DF2"/>
    <w:p w14:paraId="1682AD61" w14:textId="77777777" w:rsidR="00B30A43" w:rsidRPr="00281DF2" w:rsidRDefault="00B30A43" w:rsidP="00BF1CB9"/>
    <w:sectPr w:rsidR="00B30A43" w:rsidRPr="00281DF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2CA20" w14:textId="77777777" w:rsidR="00CC74E1" w:rsidRDefault="00CC74E1" w:rsidP="00BF1CB9">
      <w:pPr>
        <w:spacing w:after="0" w:line="240" w:lineRule="auto"/>
      </w:pPr>
      <w:r>
        <w:separator/>
      </w:r>
    </w:p>
  </w:endnote>
  <w:endnote w:type="continuationSeparator" w:id="0">
    <w:p w14:paraId="11807C66" w14:textId="77777777" w:rsidR="00CC74E1" w:rsidRDefault="00CC74E1" w:rsidP="00BF1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4145C" w14:textId="77777777" w:rsidR="00CC74E1" w:rsidRDefault="00CC74E1" w:rsidP="00BF1CB9">
      <w:pPr>
        <w:spacing w:after="0" w:line="240" w:lineRule="auto"/>
      </w:pPr>
      <w:r>
        <w:separator/>
      </w:r>
    </w:p>
  </w:footnote>
  <w:footnote w:type="continuationSeparator" w:id="0">
    <w:p w14:paraId="1CBA4FCF" w14:textId="77777777" w:rsidR="00CC74E1" w:rsidRDefault="00CC74E1" w:rsidP="00BF1CB9">
      <w:pPr>
        <w:spacing w:after="0" w:line="240" w:lineRule="auto"/>
      </w:pPr>
      <w:r>
        <w:continuationSeparator/>
      </w:r>
    </w:p>
  </w:footnote>
  <w:footnote w:id="1">
    <w:p w14:paraId="6C9163F0" w14:textId="4F7BDB6D" w:rsidR="00BF1CB9" w:rsidRDefault="00BF1CB9">
      <w:pPr>
        <w:pStyle w:val="FootnoteText"/>
      </w:pPr>
      <w:r>
        <w:rPr>
          <w:rStyle w:val="FootnoteReference"/>
        </w:rPr>
        <w:footnoteRef/>
      </w:r>
      <w:r>
        <w:t xml:space="preserve"> Nikolaidou 2016, pp</w:t>
      </w:r>
      <w:r w:rsidR="00B30A43">
        <w:t>.</w:t>
      </w:r>
      <w:r>
        <w:t>97</w:t>
      </w:r>
      <w:r w:rsidR="00820FBA">
        <w:t>-</w:t>
      </w:r>
      <w:r>
        <w:t>99.</w:t>
      </w:r>
    </w:p>
  </w:footnote>
  <w:footnote w:id="2">
    <w:p w14:paraId="65EF3DC1" w14:textId="35889F21" w:rsidR="00B30A43" w:rsidRDefault="00B30A43">
      <w:pPr>
        <w:pStyle w:val="FootnoteText"/>
      </w:pPr>
      <w:r>
        <w:rPr>
          <w:rStyle w:val="FootnoteReference"/>
        </w:rPr>
        <w:footnoteRef/>
      </w:r>
      <w:r>
        <w:t xml:space="preserve"> E.g. Nikolaidou 2002; Hitchcock and Nikolaidou 2013.</w:t>
      </w:r>
    </w:p>
  </w:footnote>
  <w:footnote w:id="3">
    <w:p w14:paraId="59AE5B18" w14:textId="3F4D1A14" w:rsidR="00B30A43" w:rsidRDefault="00B30A43">
      <w:pPr>
        <w:pStyle w:val="FootnoteText"/>
      </w:pPr>
      <w:r>
        <w:rPr>
          <w:rStyle w:val="FootnoteReference"/>
        </w:rPr>
        <w:footnoteRef/>
      </w:r>
      <w:r>
        <w:t xml:space="preserve"> Nikolaidou 2016, pp.97-101.</w:t>
      </w:r>
    </w:p>
  </w:footnote>
  <w:footnote w:id="4">
    <w:p w14:paraId="27D285EE" w14:textId="38A41692" w:rsidR="00B30A43" w:rsidRDefault="00B30A43">
      <w:pPr>
        <w:pStyle w:val="FootnoteText"/>
      </w:pPr>
      <w:r>
        <w:rPr>
          <w:rStyle w:val="FootnoteReference"/>
        </w:rPr>
        <w:footnoteRef/>
      </w:r>
      <w:r>
        <w:t xml:space="preserve"> Turner 1977; Eliade 1963; Bell 1992.</w:t>
      </w:r>
    </w:p>
  </w:footnote>
  <w:footnote w:id="5">
    <w:p w14:paraId="5CF63315" w14:textId="0C0BA369" w:rsidR="00B30A43" w:rsidRDefault="00B30A43">
      <w:pPr>
        <w:pStyle w:val="FootnoteText"/>
      </w:pPr>
      <w:r>
        <w:rPr>
          <w:rStyle w:val="FootnoteReference"/>
        </w:rPr>
        <w:footnoteRef/>
      </w:r>
      <w:r>
        <w:t xml:space="preserve"> Nikolaidou 2016, pp.98.</w:t>
      </w:r>
    </w:p>
  </w:footnote>
  <w:footnote w:id="6">
    <w:p w14:paraId="4B08F8DC" w14:textId="0AB9BF35" w:rsidR="00821438" w:rsidRDefault="00821438">
      <w:pPr>
        <w:pStyle w:val="FootnoteText"/>
      </w:pPr>
      <w:r>
        <w:rPr>
          <w:rStyle w:val="FootnoteReference"/>
        </w:rPr>
        <w:footnoteRef/>
      </w:r>
      <w:r>
        <w:t xml:space="preserve"> Nikolaidou 2016, pp.101-108</w:t>
      </w:r>
      <w:r w:rsidR="005D4596">
        <w:t>.</w:t>
      </w:r>
    </w:p>
  </w:footnote>
  <w:footnote w:id="7">
    <w:p w14:paraId="0B7EF366" w14:textId="7FC38D2B" w:rsidR="00B30A43" w:rsidRDefault="00B30A43">
      <w:pPr>
        <w:pStyle w:val="FootnoteText"/>
      </w:pPr>
      <w:r>
        <w:rPr>
          <w:rStyle w:val="FootnoteReference"/>
        </w:rPr>
        <w:footnoteRef/>
      </w:r>
      <w:r>
        <w:t xml:space="preserve"> Nikolaidou 2016, pp.100.</w:t>
      </w:r>
    </w:p>
  </w:footnote>
  <w:footnote w:id="8">
    <w:p w14:paraId="44B2DDEE" w14:textId="28026AAF" w:rsidR="00B30A43" w:rsidRDefault="00B30A43">
      <w:pPr>
        <w:pStyle w:val="FootnoteText"/>
      </w:pPr>
      <w:r>
        <w:rPr>
          <w:rStyle w:val="FootnoteReference"/>
        </w:rPr>
        <w:footnoteRef/>
      </w:r>
      <w:r>
        <w:t xml:space="preserve"> Nikolaidou 2016, pp.99.</w:t>
      </w:r>
    </w:p>
  </w:footnote>
  <w:footnote w:id="9">
    <w:p w14:paraId="774E3D14" w14:textId="571D7AF4" w:rsidR="005D4596" w:rsidRDefault="005D4596">
      <w:pPr>
        <w:pStyle w:val="FootnoteText"/>
      </w:pPr>
      <w:r>
        <w:rPr>
          <w:rStyle w:val="FootnoteReference"/>
        </w:rPr>
        <w:footnoteRef/>
      </w:r>
      <w:r>
        <w:t xml:space="preserve"> Goodison 1989; </w:t>
      </w:r>
      <w:proofErr w:type="spellStart"/>
      <w:r>
        <w:t>Peatfield</w:t>
      </w:r>
      <w:proofErr w:type="spellEnd"/>
      <w:r>
        <w:t xml:space="preserve"> 1983.</w:t>
      </w:r>
    </w:p>
  </w:footnote>
  <w:footnote w:id="10">
    <w:p w14:paraId="57D148C5" w14:textId="42B2C911" w:rsidR="005D4596" w:rsidRDefault="005D4596">
      <w:pPr>
        <w:pStyle w:val="FootnoteText"/>
      </w:pPr>
      <w:r>
        <w:rPr>
          <w:rStyle w:val="FootnoteReference"/>
        </w:rPr>
        <w:footnoteRef/>
      </w:r>
      <w:r>
        <w:t xml:space="preserve"> Nikolaidou 2016, pp.98-99.</w:t>
      </w:r>
    </w:p>
  </w:footnote>
  <w:footnote w:id="11">
    <w:p w14:paraId="33828555" w14:textId="1371BDCB" w:rsidR="003B2E40" w:rsidRDefault="003B2E40">
      <w:pPr>
        <w:pStyle w:val="FootnoteText"/>
      </w:pPr>
      <w:r>
        <w:rPr>
          <w:rStyle w:val="FootnoteReference"/>
        </w:rPr>
        <w:footnoteRef/>
      </w:r>
      <w:r>
        <w:t xml:space="preserve"> Cf. Nilsson 1950.</w:t>
      </w:r>
    </w:p>
  </w:footnote>
  <w:footnote w:id="12">
    <w:p w14:paraId="4B33E635" w14:textId="7729BA20" w:rsidR="003B2E40" w:rsidRDefault="003B2E40">
      <w:pPr>
        <w:pStyle w:val="FootnoteText"/>
      </w:pPr>
      <w:r>
        <w:rPr>
          <w:rStyle w:val="FootnoteReference"/>
        </w:rPr>
        <w:footnoteRef/>
      </w:r>
      <w:r>
        <w:t xml:space="preserve"> </w:t>
      </w:r>
      <w:r w:rsidRPr="003B2E40">
        <w:t>Crowley 1989; Weingarten 1989</w:t>
      </w:r>
      <w:r>
        <w:t>.</w:t>
      </w:r>
    </w:p>
  </w:footnote>
  <w:footnote w:id="13">
    <w:p w14:paraId="1C875345" w14:textId="5DC736D2" w:rsidR="00D42A27" w:rsidRDefault="00D42A27">
      <w:pPr>
        <w:pStyle w:val="FootnoteText"/>
      </w:pPr>
      <w:r>
        <w:rPr>
          <w:rStyle w:val="FootnoteReference"/>
        </w:rPr>
        <w:footnoteRef/>
      </w:r>
      <w:r>
        <w:t xml:space="preserve"> Nikolaidou 2016, pp.104-105.</w:t>
      </w:r>
    </w:p>
  </w:footnote>
  <w:footnote w:id="14">
    <w:p w14:paraId="378A0EF8" w14:textId="6F5CD59E" w:rsidR="003B2E40" w:rsidRDefault="003B2E40">
      <w:pPr>
        <w:pStyle w:val="FootnoteText"/>
      </w:pPr>
      <w:r>
        <w:rPr>
          <w:rStyle w:val="FootnoteReference"/>
        </w:rPr>
        <w:footnoteRef/>
      </w:r>
      <w:r>
        <w:t xml:space="preserve"> </w:t>
      </w:r>
      <w:r w:rsidRPr="003B2E40">
        <w:t>Haysom 2010; Goodison 2009</w:t>
      </w:r>
      <w:r>
        <w:t>.</w:t>
      </w:r>
    </w:p>
  </w:footnote>
  <w:footnote w:id="15">
    <w:p w14:paraId="4D689A58" w14:textId="6AFE6B7E" w:rsidR="003B2E40" w:rsidRDefault="003B2E40">
      <w:pPr>
        <w:pStyle w:val="FootnoteText"/>
      </w:pPr>
      <w:r>
        <w:rPr>
          <w:rStyle w:val="FootnoteReference"/>
        </w:rPr>
        <w:footnoteRef/>
      </w:r>
      <w:r>
        <w:t xml:space="preserve"> Nikolaidou 2016, pp.101.</w:t>
      </w:r>
    </w:p>
  </w:footnote>
  <w:footnote w:id="16">
    <w:p w14:paraId="7BC11710" w14:textId="272B43E1" w:rsidR="003B2E40" w:rsidRDefault="003B2E40">
      <w:pPr>
        <w:pStyle w:val="FootnoteText"/>
      </w:pPr>
      <w:r>
        <w:rPr>
          <w:rStyle w:val="FootnoteReference"/>
        </w:rPr>
        <w:footnoteRef/>
      </w:r>
      <w:r>
        <w:t xml:space="preserve"> C</w:t>
      </w:r>
      <w:r w:rsidRPr="003B2E40">
        <w:t>f. Yasur-Landau 2010</w:t>
      </w:r>
      <w:r w:rsidR="00820FBA">
        <w:t>.</w:t>
      </w:r>
    </w:p>
  </w:footnote>
  <w:footnote w:id="17">
    <w:p w14:paraId="078826DE" w14:textId="41D7D971" w:rsidR="00820FBA" w:rsidRDefault="00820FBA">
      <w:pPr>
        <w:pStyle w:val="FootnoteText"/>
      </w:pPr>
      <w:r>
        <w:rPr>
          <w:rStyle w:val="FootnoteReference"/>
        </w:rPr>
        <w:footnoteRef/>
      </w:r>
      <w:r>
        <w:t xml:space="preserve"> Cf. </w:t>
      </w:r>
      <w:proofErr w:type="spellStart"/>
      <w:r w:rsidRPr="00820FBA">
        <w:t>Marinatos</w:t>
      </w:r>
      <w:proofErr w:type="spellEnd"/>
      <w:r w:rsidRPr="00820FBA">
        <w:t xml:space="preserve"> 2010</w:t>
      </w:r>
      <w:r>
        <w:t>.</w:t>
      </w:r>
    </w:p>
  </w:footnote>
  <w:footnote w:id="18">
    <w:p w14:paraId="145DE0B2" w14:textId="197DC7E2" w:rsidR="00F44B6A" w:rsidRDefault="00F44B6A">
      <w:pPr>
        <w:pStyle w:val="FootnoteText"/>
      </w:pPr>
      <w:r>
        <w:rPr>
          <w:rStyle w:val="FootnoteReference"/>
        </w:rPr>
        <w:footnoteRef/>
      </w:r>
      <w:r>
        <w:t xml:space="preserve"> Gesell 1985; Kyriakidis 2005.</w:t>
      </w:r>
    </w:p>
  </w:footnote>
  <w:footnote w:id="19">
    <w:p w14:paraId="55EBDF29" w14:textId="156D62A8" w:rsidR="00820FBA" w:rsidRDefault="00820FBA">
      <w:pPr>
        <w:pStyle w:val="FootnoteText"/>
      </w:pPr>
      <w:r>
        <w:rPr>
          <w:rStyle w:val="FootnoteReference"/>
        </w:rPr>
        <w:footnoteRef/>
      </w:r>
      <w:r>
        <w:t xml:space="preserve"> Nikolaidou 2016, pp.99.</w:t>
      </w:r>
    </w:p>
  </w:footnote>
  <w:footnote w:id="20">
    <w:p w14:paraId="1AC11655" w14:textId="3876F093" w:rsidR="00820FBA" w:rsidRDefault="00820FBA">
      <w:pPr>
        <w:pStyle w:val="FootnoteText"/>
      </w:pPr>
      <w:r>
        <w:rPr>
          <w:rStyle w:val="FootnoteReference"/>
        </w:rPr>
        <w:footnoteRef/>
      </w:r>
      <w:r>
        <w:t xml:space="preserve"> </w:t>
      </w:r>
      <w:r w:rsidRPr="00820FBA">
        <w:t>Crooks, Tully and Hitchcock 2016</w:t>
      </w:r>
      <w:r>
        <w:t>.</w:t>
      </w:r>
    </w:p>
  </w:footnote>
  <w:footnote w:id="21">
    <w:p w14:paraId="59D3FC85" w14:textId="1CAD06CE" w:rsidR="00820FBA" w:rsidRDefault="00820FBA">
      <w:pPr>
        <w:pStyle w:val="FootnoteText"/>
      </w:pPr>
      <w:r>
        <w:rPr>
          <w:rStyle w:val="FootnoteReference"/>
        </w:rPr>
        <w:footnoteRef/>
      </w:r>
      <w:r>
        <w:t xml:space="preserve"> Nikolaidou 2016, pp.97.</w:t>
      </w:r>
    </w:p>
  </w:footnote>
  <w:footnote w:id="22">
    <w:p w14:paraId="2F847FF0" w14:textId="5B07D49E" w:rsidR="00820FBA" w:rsidRDefault="00820FBA">
      <w:pPr>
        <w:pStyle w:val="FootnoteText"/>
      </w:pPr>
      <w:r>
        <w:rPr>
          <w:rStyle w:val="FootnoteReference"/>
        </w:rPr>
        <w:footnoteRef/>
      </w:r>
      <w:r>
        <w:t xml:space="preserve"> </w:t>
      </w:r>
      <w:r w:rsidRPr="00820FBA">
        <w:t>Nikolaidou 2016, pp.100</w:t>
      </w:r>
      <w:r>
        <w:t>-</w:t>
      </w:r>
      <w:r w:rsidRPr="00820FBA">
        <w:t>103, 105</w:t>
      </w:r>
      <w:r>
        <w:t>-</w:t>
      </w:r>
      <w:r w:rsidRPr="00820FBA">
        <w:t>106</w:t>
      </w:r>
      <w:r>
        <w:t>.</w:t>
      </w:r>
    </w:p>
  </w:footnote>
  <w:footnote w:id="23">
    <w:p w14:paraId="3441BCEA" w14:textId="53D2BA58" w:rsidR="00820FBA" w:rsidRDefault="00820FBA">
      <w:pPr>
        <w:pStyle w:val="FootnoteText"/>
      </w:pPr>
      <w:r>
        <w:rPr>
          <w:rStyle w:val="FootnoteReference"/>
        </w:rPr>
        <w:footnoteRef/>
      </w:r>
      <w:r>
        <w:t xml:space="preserve"> </w:t>
      </w:r>
      <w:r w:rsidRPr="00820FBA">
        <w:t>Nikolaidou 2016, pp.98</w:t>
      </w:r>
      <w:r>
        <w:t>-</w:t>
      </w:r>
      <w:r w:rsidRPr="00820FBA">
        <w:t>100</w:t>
      </w:r>
      <w:r>
        <w:t>.</w:t>
      </w:r>
    </w:p>
  </w:footnote>
  <w:footnote w:id="24">
    <w:p w14:paraId="7147CD36" w14:textId="570E2DE8" w:rsidR="00820FBA" w:rsidRDefault="00820FBA">
      <w:pPr>
        <w:pStyle w:val="FootnoteText"/>
      </w:pPr>
      <w:r>
        <w:rPr>
          <w:rStyle w:val="FootnoteReference"/>
        </w:rPr>
        <w:footnoteRef/>
      </w:r>
      <w:r>
        <w:t xml:space="preserve"> </w:t>
      </w:r>
      <w:r w:rsidRPr="00820FBA">
        <w:t>Nikolaidou 2016, pp.97</w:t>
      </w:r>
      <w:r>
        <w:t>-</w:t>
      </w:r>
      <w:r w:rsidRPr="00820FBA">
        <w:t>98, 102</w:t>
      </w:r>
      <w:r>
        <w:t>-</w:t>
      </w:r>
      <w:r w:rsidRPr="00820FBA">
        <w:t>107</w:t>
      </w:r>
      <w:r>
        <w:t>.</w:t>
      </w:r>
    </w:p>
  </w:footnote>
  <w:footnote w:id="25">
    <w:p w14:paraId="759E7EB8" w14:textId="1EBBEFED" w:rsidR="00820FBA" w:rsidRDefault="00820FBA">
      <w:pPr>
        <w:pStyle w:val="FootnoteText"/>
      </w:pPr>
      <w:r>
        <w:rPr>
          <w:rStyle w:val="FootnoteReference"/>
        </w:rPr>
        <w:footnoteRef/>
      </w:r>
      <w:r>
        <w:t xml:space="preserve"> </w:t>
      </w:r>
      <w:r w:rsidRPr="00820FBA">
        <w:t>Nikolaidou 2016, pp.97</w:t>
      </w:r>
      <w:r>
        <w:t>-</w:t>
      </w:r>
      <w:r w:rsidRPr="00820FBA">
        <w:t>98, 105</w:t>
      </w:r>
      <w:r>
        <w:t>-</w:t>
      </w:r>
      <w:r w:rsidRPr="00820FBA">
        <w:t>108</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40"/>
      <w:gridCol w:w="3776"/>
    </w:tblGrid>
    <w:tr w:rsidR="00786FEA" w14:paraId="7AEB06ED" w14:textId="77777777" w:rsidTr="00502D79">
      <w:tc>
        <w:tcPr>
          <w:tcW w:w="5240" w:type="dxa"/>
        </w:tcPr>
        <w:p w14:paraId="2BBB6A10" w14:textId="76C2CB09" w:rsidR="00786FEA" w:rsidRDefault="00786FEA">
          <w:pPr>
            <w:pStyle w:val="Header"/>
          </w:pPr>
          <w:r>
            <w:t>HPAH7014 – Assessment 1 Critical Review</w:t>
          </w:r>
        </w:p>
      </w:tc>
      <w:tc>
        <w:tcPr>
          <w:tcW w:w="3776" w:type="dxa"/>
        </w:tcPr>
        <w:p w14:paraId="4FE0B776" w14:textId="659D0CDA" w:rsidR="00786FEA" w:rsidRDefault="00786FEA" w:rsidP="00786FEA">
          <w:pPr>
            <w:pStyle w:val="Header"/>
            <w:jc w:val="right"/>
          </w:pPr>
          <w:r>
            <w:t xml:space="preserve">Word Count - </w:t>
          </w:r>
          <w:r w:rsidR="00502D79">
            <w:t>15</w:t>
          </w:r>
          <w:r w:rsidR="00533EB7">
            <w:t>51</w:t>
          </w:r>
        </w:p>
      </w:tc>
    </w:tr>
  </w:tbl>
  <w:p w14:paraId="32755098" w14:textId="77777777" w:rsidR="00786FEA" w:rsidRDefault="00786F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CB9"/>
    <w:rsid w:val="000802B4"/>
    <w:rsid w:val="001B6FEA"/>
    <w:rsid w:val="001E2B06"/>
    <w:rsid w:val="001F7F8B"/>
    <w:rsid w:val="00281DF2"/>
    <w:rsid w:val="003623C8"/>
    <w:rsid w:val="003832E0"/>
    <w:rsid w:val="003B2E40"/>
    <w:rsid w:val="00502D79"/>
    <w:rsid w:val="00533EB7"/>
    <w:rsid w:val="00537AE3"/>
    <w:rsid w:val="005D4596"/>
    <w:rsid w:val="00786FEA"/>
    <w:rsid w:val="007B14C8"/>
    <w:rsid w:val="007F52BF"/>
    <w:rsid w:val="00820FBA"/>
    <w:rsid w:val="00821438"/>
    <w:rsid w:val="00861FBD"/>
    <w:rsid w:val="00A06C24"/>
    <w:rsid w:val="00B30A43"/>
    <w:rsid w:val="00BF1CB9"/>
    <w:rsid w:val="00CC74E1"/>
    <w:rsid w:val="00CF0F52"/>
    <w:rsid w:val="00D04706"/>
    <w:rsid w:val="00D42A27"/>
    <w:rsid w:val="00DD21C6"/>
    <w:rsid w:val="00EC0509"/>
    <w:rsid w:val="00EE1748"/>
    <w:rsid w:val="00F44B6A"/>
    <w:rsid w:val="00F775B6"/>
    <w:rsid w:val="00FE7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8C8F8"/>
  <w15:chartTrackingRefBased/>
  <w15:docId w15:val="{F22BCA81-9D6D-4F81-9B28-7A8EA91F0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1C6"/>
    <w:pPr>
      <w:jc w:val="both"/>
    </w:pPr>
  </w:style>
  <w:style w:type="paragraph" w:styleId="Heading1">
    <w:name w:val="heading 1"/>
    <w:basedOn w:val="Normal"/>
    <w:next w:val="Normal"/>
    <w:link w:val="Heading1Char"/>
    <w:uiPriority w:val="9"/>
    <w:qFormat/>
    <w:rsid w:val="00BF1CB9"/>
    <w:pPr>
      <w:keepNext/>
      <w:keepLines/>
      <w:pBdr>
        <w:bottom w:val="single" w:sz="4" w:space="1" w:color="auto"/>
      </w:pBdr>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semiHidden/>
    <w:unhideWhenUsed/>
    <w:qFormat/>
    <w:rsid w:val="00BF1C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C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C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C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C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C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C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C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CB9"/>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semiHidden/>
    <w:rsid w:val="00BF1C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C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C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C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C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C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C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CB9"/>
    <w:rPr>
      <w:rFonts w:eastAsiaTheme="majorEastAsia" w:cstheme="majorBidi"/>
      <w:color w:val="272727" w:themeColor="text1" w:themeTint="D8"/>
    </w:rPr>
  </w:style>
  <w:style w:type="paragraph" w:styleId="Title">
    <w:name w:val="Title"/>
    <w:basedOn w:val="Normal"/>
    <w:next w:val="Normal"/>
    <w:link w:val="TitleChar"/>
    <w:uiPriority w:val="10"/>
    <w:qFormat/>
    <w:rsid w:val="00BF1C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C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C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C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CB9"/>
    <w:pPr>
      <w:spacing w:before="160"/>
      <w:jc w:val="center"/>
    </w:pPr>
    <w:rPr>
      <w:i/>
      <w:iCs/>
      <w:color w:val="404040" w:themeColor="text1" w:themeTint="BF"/>
    </w:rPr>
  </w:style>
  <w:style w:type="character" w:customStyle="1" w:styleId="QuoteChar">
    <w:name w:val="Quote Char"/>
    <w:basedOn w:val="DefaultParagraphFont"/>
    <w:link w:val="Quote"/>
    <w:uiPriority w:val="29"/>
    <w:rsid w:val="00BF1CB9"/>
    <w:rPr>
      <w:i/>
      <w:iCs/>
      <w:color w:val="404040" w:themeColor="text1" w:themeTint="BF"/>
    </w:rPr>
  </w:style>
  <w:style w:type="paragraph" w:styleId="ListParagraph">
    <w:name w:val="List Paragraph"/>
    <w:basedOn w:val="Normal"/>
    <w:uiPriority w:val="34"/>
    <w:qFormat/>
    <w:rsid w:val="00BF1CB9"/>
    <w:pPr>
      <w:ind w:left="720"/>
      <w:contextualSpacing/>
    </w:pPr>
  </w:style>
  <w:style w:type="character" w:styleId="IntenseEmphasis">
    <w:name w:val="Intense Emphasis"/>
    <w:basedOn w:val="DefaultParagraphFont"/>
    <w:uiPriority w:val="21"/>
    <w:qFormat/>
    <w:rsid w:val="00BF1CB9"/>
    <w:rPr>
      <w:i/>
      <w:iCs/>
      <w:color w:val="0F4761" w:themeColor="accent1" w:themeShade="BF"/>
    </w:rPr>
  </w:style>
  <w:style w:type="paragraph" w:styleId="IntenseQuote">
    <w:name w:val="Intense Quote"/>
    <w:basedOn w:val="Normal"/>
    <w:next w:val="Normal"/>
    <w:link w:val="IntenseQuoteChar"/>
    <w:uiPriority w:val="30"/>
    <w:qFormat/>
    <w:rsid w:val="00BF1C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CB9"/>
    <w:rPr>
      <w:i/>
      <w:iCs/>
      <w:color w:val="0F4761" w:themeColor="accent1" w:themeShade="BF"/>
    </w:rPr>
  </w:style>
  <w:style w:type="character" w:styleId="IntenseReference">
    <w:name w:val="Intense Reference"/>
    <w:basedOn w:val="DefaultParagraphFont"/>
    <w:uiPriority w:val="32"/>
    <w:qFormat/>
    <w:rsid w:val="00BF1CB9"/>
    <w:rPr>
      <w:b/>
      <w:bCs/>
      <w:smallCaps/>
      <w:color w:val="0F4761" w:themeColor="accent1" w:themeShade="BF"/>
      <w:spacing w:val="5"/>
    </w:rPr>
  </w:style>
  <w:style w:type="paragraph" w:styleId="FootnoteText">
    <w:name w:val="footnote text"/>
    <w:basedOn w:val="Normal"/>
    <w:link w:val="FootnoteTextChar"/>
    <w:uiPriority w:val="99"/>
    <w:semiHidden/>
    <w:unhideWhenUsed/>
    <w:rsid w:val="00BF1C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1CB9"/>
    <w:rPr>
      <w:rFonts w:ascii="Times New Roman" w:hAnsi="Times New Roman"/>
      <w:sz w:val="20"/>
      <w:szCs w:val="20"/>
    </w:rPr>
  </w:style>
  <w:style w:type="character" w:styleId="FootnoteReference">
    <w:name w:val="footnote reference"/>
    <w:basedOn w:val="DefaultParagraphFont"/>
    <w:uiPriority w:val="99"/>
    <w:semiHidden/>
    <w:unhideWhenUsed/>
    <w:rsid w:val="00BF1CB9"/>
    <w:rPr>
      <w:vertAlign w:val="superscript"/>
    </w:rPr>
  </w:style>
  <w:style w:type="paragraph" w:styleId="Header">
    <w:name w:val="header"/>
    <w:basedOn w:val="Normal"/>
    <w:link w:val="HeaderChar"/>
    <w:uiPriority w:val="99"/>
    <w:unhideWhenUsed/>
    <w:rsid w:val="00786F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FEA"/>
  </w:style>
  <w:style w:type="paragraph" w:styleId="Footer">
    <w:name w:val="footer"/>
    <w:basedOn w:val="Normal"/>
    <w:link w:val="FooterChar"/>
    <w:uiPriority w:val="99"/>
    <w:unhideWhenUsed/>
    <w:rsid w:val="00786F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FEA"/>
  </w:style>
  <w:style w:type="table" w:styleId="TableGrid">
    <w:name w:val="Table Grid"/>
    <w:basedOn w:val="TableNormal"/>
    <w:uiPriority w:val="39"/>
    <w:rsid w:val="00786F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1F17C-9140-43CF-9F10-F41DA60B4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6</Pages>
  <Words>2022</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Chaplin, Ashley</dc:creator>
  <cp:keywords/>
  <dc:description/>
  <cp:lastModifiedBy>Ashley Chaplin</cp:lastModifiedBy>
  <cp:revision>7</cp:revision>
  <dcterms:created xsi:type="dcterms:W3CDTF">2025-11-20T13:03:00Z</dcterms:created>
  <dcterms:modified xsi:type="dcterms:W3CDTF">2025-11-21T16:04:00Z</dcterms:modified>
</cp:coreProperties>
</file>