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5B066" w14:textId="77777777" w:rsidR="00D2187B" w:rsidRDefault="00D2187B" w:rsidP="00D2187B">
      <w:pPr>
        <w:spacing w:after="160" w:line="259" w:lineRule="auto"/>
        <w:jc w:val="center"/>
        <w:rPr>
          <w:rFonts w:ascii="Verdana" w:hAnsi="Verdana"/>
          <w:b/>
          <w:i/>
          <w:sz w:val="44"/>
        </w:rPr>
      </w:pPr>
    </w:p>
    <w:p w14:paraId="1171E107" w14:textId="2777F436" w:rsidR="00F73B35" w:rsidRPr="00392BE9" w:rsidRDefault="00B94E17" w:rsidP="000A10AA">
      <w:pPr>
        <w:spacing w:after="160" w:line="259" w:lineRule="auto"/>
        <w:jc w:val="center"/>
        <w:rPr>
          <w:rFonts w:ascii="Verdana" w:hAnsi="Verdana"/>
          <w:b/>
          <w:caps/>
          <w:color w:val="5B9BD5" w:themeColor="accent1"/>
          <w:sz w:val="18"/>
          <w:szCs w:val="18"/>
        </w:rPr>
      </w:pPr>
      <w:r>
        <w:rPr>
          <w:rFonts w:ascii="Verdana" w:hAnsi="Verdana"/>
          <w:b/>
          <w:i/>
          <w:color w:val="5B9BD5" w:themeColor="accent1"/>
          <w:sz w:val="44"/>
        </w:rPr>
        <w:t>Patisserie Valerie</w:t>
      </w:r>
    </w:p>
    <w:p w14:paraId="58D27D51" w14:textId="77777777" w:rsidR="00D2187B" w:rsidRDefault="00D2187B">
      <w:pPr>
        <w:spacing w:after="160" w:line="259" w:lineRule="auto"/>
        <w:rPr>
          <w:rFonts w:ascii="Verdana" w:hAnsi="Verdana"/>
          <w:b/>
          <w:caps/>
          <w:sz w:val="18"/>
          <w:szCs w:val="18"/>
        </w:rPr>
      </w:pPr>
    </w:p>
    <w:p w14:paraId="1E1E79F9" w14:textId="569D0F6E" w:rsidR="00D2187B" w:rsidRDefault="000A10AA" w:rsidP="00947AF8">
      <w:pPr>
        <w:spacing w:after="160" w:line="259" w:lineRule="auto"/>
        <w:rPr>
          <w:rFonts w:ascii="Verdana" w:hAnsi="Verdana"/>
          <w:b/>
          <w:caps/>
          <w:sz w:val="18"/>
          <w:szCs w:val="18"/>
        </w:rPr>
      </w:pPr>
      <w:r>
        <w:rPr>
          <w:noProof/>
          <w:lang w:eastAsia="en-GB"/>
        </w:rPr>
        <w:drawing>
          <wp:anchor distT="0" distB="0" distL="114300" distR="114300" simplePos="0" relativeHeight="251658240" behindDoc="0" locked="0" layoutInCell="1" allowOverlap="1" wp14:anchorId="60B6C6F4" wp14:editId="1636FD38">
            <wp:simplePos x="0" y="0"/>
            <wp:positionH relativeFrom="column">
              <wp:posOffset>914400</wp:posOffset>
            </wp:positionH>
            <wp:positionV relativeFrom="paragraph">
              <wp:align>top</wp:align>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r w:rsidR="00947AF8">
        <w:rPr>
          <w:rFonts w:ascii="Verdana" w:hAnsi="Verdana"/>
          <w:b/>
          <w:caps/>
          <w:sz w:val="18"/>
          <w:szCs w:val="18"/>
        </w:rPr>
        <w:br w:type="textWrapping" w:clear="all"/>
      </w:r>
    </w:p>
    <w:p w14:paraId="123A0E5E" w14:textId="77777777" w:rsidR="00D2187B" w:rsidRDefault="00D2187B">
      <w:pPr>
        <w:spacing w:after="160" w:line="259" w:lineRule="auto"/>
        <w:rPr>
          <w:rFonts w:ascii="Verdana" w:hAnsi="Verdana"/>
          <w:b/>
          <w:caps/>
          <w:sz w:val="18"/>
          <w:szCs w:val="18"/>
        </w:rPr>
      </w:pPr>
    </w:p>
    <w:p w14:paraId="5845D582" w14:textId="3E53C08B" w:rsidR="00D2187B" w:rsidRPr="00947AF8" w:rsidRDefault="00F7697D" w:rsidP="002A1AD3">
      <w:pPr>
        <w:spacing w:after="160" w:line="259" w:lineRule="auto"/>
        <w:jc w:val="center"/>
        <w:rPr>
          <w:rFonts w:ascii="Verdana" w:hAnsi="Verdana"/>
          <w:b/>
          <w:color w:val="5B9BD5" w:themeColor="accent1"/>
          <w:sz w:val="44"/>
        </w:rPr>
      </w:pPr>
      <w:r>
        <w:rPr>
          <w:rFonts w:ascii="Verdana" w:hAnsi="Verdana"/>
          <w:b/>
          <w:color w:val="5B9BD5" w:themeColor="accent1"/>
          <w:sz w:val="44"/>
        </w:rPr>
        <w:t>March 2020</w:t>
      </w:r>
    </w:p>
    <w:p w14:paraId="0A1CC042" w14:textId="77777777" w:rsidR="00D2187B" w:rsidRDefault="00D2187B">
      <w:pPr>
        <w:spacing w:after="160" w:line="259" w:lineRule="auto"/>
        <w:rPr>
          <w:rFonts w:ascii="Verdana" w:hAnsi="Verdana"/>
          <w:b/>
          <w:caps/>
          <w:sz w:val="18"/>
          <w:szCs w:val="18"/>
        </w:rPr>
      </w:pPr>
    </w:p>
    <w:p w14:paraId="0C086A43" w14:textId="1727B3C4"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B94E17">
        <w:rPr>
          <w:rFonts w:ascii="Verdana" w:hAnsi="Verdana"/>
          <w:b/>
          <w:caps/>
          <w:color w:val="5B9BD5" w:themeColor="accent1"/>
          <w:sz w:val="18"/>
          <w:szCs w:val="18"/>
        </w:rPr>
        <w:t>Corporate reporting and social responsibility</w:t>
      </w:r>
    </w:p>
    <w:p w14:paraId="1387AD83" w14:textId="67D940D4" w:rsidR="00D2187B" w:rsidRPr="00947AF8" w:rsidRDefault="00D2187B">
      <w:pPr>
        <w:spacing w:after="160" w:line="259" w:lineRule="auto"/>
        <w:rPr>
          <w:rFonts w:ascii="Verdana" w:hAnsi="Verdana"/>
          <w:b/>
          <w:caps/>
          <w:color w:val="5B9BD5" w:themeColor="accen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947AF8" w:rsidRPr="00947AF8">
        <w:rPr>
          <w:rFonts w:ascii="Verdana" w:hAnsi="Verdana"/>
          <w:b/>
          <w:caps/>
          <w:color w:val="5B9BD5" w:themeColor="accent1"/>
          <w:sz w:val="18"/>
          <w:szCs w:val="18"/>
        </w:rPr>
        <w:t>Syed Azan Ali Shah</w:t>
      </w:r>
    </w:p>
    <w:p w14:paraId="571833C2" w14:textId="19284600"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947AF8" w:rsidRPr="00947AF8">
        <w:rPr>
          <w:rFonts w:ascii="Verdana" w:hAnsi="Verdana"/>
          <w:b/>
          <w:caps/>
          <w:color w:val="5B9BD5" w:themeColor="accent1"/>
          <w:sz w:val="18"/>
          <w:szCs w:val="18"/>
        </w:rPr>
        <w:t>1706936</w:t>
      </w:r>
    </w:p>
    <w:p w14:paraId="5EA09DAF" w14:textId="2F5891C2" w:rsidR="007B2A62" w:rsidRDefault="001D1483" w:rsidP="00B0084B">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284BF30E" w14:textId="77777777" w:rsidR="007B2A62" w:rsidRDefault="007B2A62" w:rsidP="00273161">
      <w:pPr>
        <w:tabs>
          <w:tab w:val="left" w:pos="4007"/>
        </w:tabs>
        <w:jc w:val="center"/>
        <w:rPr>
          <w:rFonts w:ascii="Verdana" w:hAnsi="Verdana"/>
          <w:b/>
          <w:caps/>
          <w:sz w:val="18"/>
          <w:szCs w:val="18"/>
        </w:rPr>
      </w:pPr>
    </w:p>
    <w:p w14:paraId="7A4D0CA9" w14:textId="2E6C6837" w:rsidR="00425B81" w:rsidRDefault="00425B81" w:rsidP="00273161">
      <w:pPr>
        <w:tabs>
          <w:tab w:val="left" w:pos="4007"/>
        </w:tabs>
        <w:jc w:val="center"/>
        <w:rPr>
          <w:rFonts w:ascii="Verdana" w:hAnsi="Verdana"/>
          <w:b/>
          <w:caps/>
          <w:sz w:val="18"/>
          <w:szCs w:val="18"/>
        </w:rPr>
      </w:pPr>
    </w:p>
    <w:p w14:paraId="4068D15F" w14:textId="3274416D" w:rsidR="00425B81" w:rsidRPr="00425B81" w:rsidRDefault="00425B81" w:rsidP="00425B81">
      <w:pPr>
        <w:tabs>
          <w:tab w:val="left" w:pos="2955"/>
        </w:tabs>
        <w:rPr>
          <w:rFonts w:ascii="Verdana" w:hAnsi="Verdana"/>
          <w:sz w:val="18"/>
          <w:szCs w:val="18"/>
        </w:rPr>
      </w:pPr>
    </w:p>
    <w:p w14:paraId="0FE6D1F6" w14:textId="103505AD" w:rsidR="00425B81" w:rsidRDefault="00425B81" w:rsidP="00425B81">
      <w:pPr>
        <w:rPr>
          <w:rFonts w:ascii="Verdana" w:hAnsi="Verdana"/>
          <w:sz w:val="18"/>
          <w:szCs w:val="18"/>
        </w:rPr>
      </w:pPr>
    </w:p>
    <w:p w14:paraId="5D27815B" w14:textId="6737DFF0" w:rsidR="00425B81" w:rsidRDefault="00425B81">
      <w:pPr>
        <w:autoSpaceDE/>
        <w:autoSpaceDN/>
        <w:adjustRightInd/>
        <w:spacing w:after="160" w:line="259" w:lineRule="auto"/>
        <w:rPr>
          <w:rFonts w:ascii="Verdana" w:hAnsi="Verdana"/>
          <w:sz w:val="18"/>
          <w:szCs w:val="18"/>
        </w:rPr>
      </w:pPr>
      <w:r>
        <w:rPr>
          <w:rFonts w:ascii="Verdana" w:hAnsi="Verdana"/>
          <w:sz w:val="18"/>
          <w:szCs w:val="18"/>
        </w:rPr>
        <w:br w:type="page"/>
      </w:r>
    </w:p>
    <w:p w14:paraId="6596F631" w14:textId="77777777" w:rsidR="007B2A62" w:rsidRPr="00425B81" w:rsidRDefault="007B2A62" w:rsidP="00425B81">
      <w:pPr>
        <w:rPr>
          <w:rFonts w:ascii="Verdana" w:hAnsi="Verdana"/>
          <w:sz w:val="18"/>
          <w:szCs w:val="18"/>
        </w:rPr>
        <w:sectPr w:rsidR="007B2A62" w:rsidRPr="00425B81" w:rsidSect="00E05928">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p w14:paraId="5F7D0AA2" w14:textId="353F03FB" w:rsidR="009B20F4" w:rsidRPr="00EC6888" w:rsidRDefault="009B20F4" w:rsidP="00277E0A">
      <w:pPr>
        <w:tabs>
          <w:tab w:val="left" w:pos="4007"/>
        </w:tabs>
        <w:jc w:val="center"/>
        <w:rPr>
          <w:rFonts w:ascii="Verdana" w:hAnsi="Verdana"/>
          <w:b/>
          <w:caps/>
          <w:color w:val="000000" w:themeColor="text1"/>
          <w:sz w:val="18"/>
          <w:szCs w:val="18"/>
        </w:rPr>
      </w:pPr>
      <w:r w:rsidRPr="00EC6888">
        <w:rPr>
          <w:rFonts w:ascii="Verdana" w:hAnsi="Verdana"/>
          <w:b/>
          <w:caps/>
          <w:color w:val="000000" w:themeColor="text1"/>
          <w:sz w:val="18"/>
          <w:szCs w:val="18"/>
        </w:rPr>
        <w:lastRenderedPageBreak/>
        <w:t>Table of Contents</w:t>
      </w:r>
    </w:p>
    <w:sdt>
      <w:sdtPr>
        <w:rPr>
          <w:rFonts w:ascii="Arial" w:eastAsiaTheme="minorHAnsi" w:hAnsi="Arial" w:cs="Arial"/>
          <w:b w:val="0"/>
          <w:bCs w:val="0"/>
          <w:caps/>
          <w:color w:val="000000" w:themeColor="text1"/>
          <w:sz w:val="22"/>
          <w:szCs w:val="22"/>
          <w:lang w:val="en-GB" w:eastAsia="en-US"/>
        </w:rPr>
        <w:id w:val="911353598"/>
        <w:docPartObj>
          <w:docPartGallery w:val="Table of Contents"/>
          <w:docPartUnique/>
        </w:docPartObj>
      </w:sdtPr>
      <w:sdtEndPr>
        <w:rPr>
          <w:b/>
          <w:bCs/>
          <w:noProof/>
          <w:color w:val="FF0000"/>
          <w:sz w:val="18"/>
          <w:szCs w:val="20"/>
        </w:rPr>
      </w:sdtEndPr>
      <w:sdtContent>
        <w:p w14:paraId="2718F3C1" w14:textId="77777777" w:rsidR="00300408" w:rsidRDefault="00300408" w:rsidP="00300408">
          <w:pPr>
            <w:pStyle w:val="TOCHeading"/>
            <w:rPr>
              <w:rFonts w:ascii="Arial" w:hAnsi="Arial" w:cs="Arial"/>
              <w:color w:val="000000" w:themeColor="text1"/>
              <w:sz w:val="24"/>
              <w:szCs w:val="24"/>
            </w:rPr>
          </w:pPr>
          <w:r w:rsidRPr="00EC6888">
            <w:rPr>
              <w:rFonts w:ascii="Arial" w:hAnsi="Arial" w:cs="Arial"/>
              <w:color w:val="000000" w:themeColor="text1"/>
              <w:sz w:val="24"/>
              <w:szCs w:val="24"/>
            </w:rPr>
            <w:t>Table of Contents</w:t>
          </w:r>
        </w:p>
        <w:p w14:paraId="7374EB7C" w14:textId="77777777" w:rsidR="00B94E17" w:rsidRDefault="00B94E17" w:rsidP="00B94E17">
          <w:pPr>
            <w:rPr>
              <w:lang w:val="en-US" w:eastAsia="ja-JP"/>
            </w:rPr>
          </w:pPr>
        </w:p>
        <w:p w14:paraId="4254D775" w14:textId="0298E4A9" w:rsidR="00224ECD" w:rsidRPr="00224ECD" w:rsidRDefault="00224ECD" w:rsidP="00E45A0E">
          <w:pPr>
            <w:pStyle w:val="Heading1"/>
            <w:numPr>
              <w:ilvl w:val="0"/>
              <w:numId w:val="3"/>
            </w:numPr>
            <w:rPr>
              <w:rFonts w:asciiTheme="minorHAnsi" w:hAnsiTheme="minorHAnsi" w:cstheme="minorHAnsi"/>
              <w:lang w:val="en-US" w:eastAsia="ja-JP"/>
            </w:rPr>
          </w:pPr>
          <w:r w:rsidRPr="00224ECD">
            <w:rPr>
              <w:rFonts w:asciiTheme="minorHAnsi" w:hAnsiTheme="minorHAnsi" w:cstheme="minorHAnsi"/>
              <w:lang w:val="en-US" w:eastAsia="ja-JP"/>
            </w:rPr>
            <w:t>executive summary</w:t>
          </w:r>
        </w:p>
        <w:p w14:paraId="6A3E6902" w14:textId="77777777"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sidRPr="00B0084B">
            <w:rPr>
              <w:rFonts w:asciiTheme="minorHAnsi" w:hAnsiTheme="minorHAnsi" w:cstheme="minorHAnsi"/>
            </w:rPr>
            <w:t>Introduction</w:t>
          </w:r>
        </w:p>
        <w:p w14:paraId="3A491286" w14:textId="77777777" w:rsidR="00B0084B" w:rsidRDefault="00B0084B" w:rsidP="00B0084B"/>
        <w:p w14:paraId="7B2BADF8" w14:textId="77777777"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sidRPr="00B0084B">
            <w:rPr>
              <w:rFonts w:asciiTheme="minorHAnsi" w:hAnsiTheme="minorHAnsi" w:cstheme="minorHAnsi"/>
            </w:rPr>
            <w:t>Earnings Management</w:t>
          </w:r>
        </w:p>
        <w:p w14:paraId="20586BC8" w14:textId="77777777" w:rsidR="00B0084B" w:rsidRDefault="00B0084B" w:rsidP="00B0084B"/>
        <w:p w14:paraId="0C1B1DC3" w14:textId="77777777"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sidRPr="00B0084B">
            <w:rPr>
              <w:rFonts w:asciiTheme="minorHAnsi" w:hAnsiTheme="minorHAnsi" w:cstheme="minorHAnsi"/>
            </w:rPr>
            <w:t>Incentives and Pressures Leading to Earnings Management</w:t>
          </w:r>
        </w:p>
        <w:p w14:paraId="46CF4156" w14:textId="77777777" w:rsidR="00B0084B" w:rsidRDefault="00B0084B" w:rsidP="00B0084B"/>
        <w:p w14:paraId="62E64A01" w14:textId="77777777"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sidRPr="00B0084B">
            <w:rPr>
              <w:rFonts w:asciiTheme="minorHAnsi" w:hAnsiTheme="minorHAnsi" w:cstheme="minorHAnsi"/>
            </w:rPr>
            <w:t>Issue of Earnings Management Specific to Patisserie Valerie</w:t>
          </w:r>
        </w:p>
        <w:p w14:paraId="508D89AD" w14:textId="77777777" w:rsidR="00B0084B" w:rsidRDefault="00B0084B" w:rsidP="00B0084B">
          <w:pPr>
            <w:pStyle w:val="Heading2"/>
            <w:rPr>
              <w:rFonts w:asciiTheme="minorHAnsi" w:hAnsiTheme="minorHAnsi" w:cstheme="minorHAnsi"/>
            </w:rPr>
          </w:pPr>
          <w:r w:rsidRPr="00B0084B">
            <w:rPr>
              <w:rFonts w:asciiTheme="minorHAnsi" w:hAnsiTheme="minorHAnsi" w:cstheme="minorHAnsi"/>
            </w:rPr>
            <w:t>4.1 Pressure to meet the expectations of the capital market participants</w:t>
          </w:r>
        </w:p>
        <w:p w14:paraId="1A664FF0" w14:textId="77777777" w:rsidR="00B0084B" w:rsidRDefault="00B0084B" w:rsidP="00B0084B">
          <w:pPr>
            <w:pStyle w:val="Heading2"/>
            <w:rPr>
              <w:rFonts w:asciiTheme="minorHAnsi" w:hAnsiTheme="minorHAnsi" w:cstheme="minorHAnsi"/>
            </w:rPr>
          </w:pPr>
          <w:r w:rsidRPr="00B0084B">
            <w:rPr>
              <w:rFonts w:asciiTheme="minorHAnsi" w:hAnsiTheme="minorHAnsi" w:cstheme="minorHAnsi"/>
            </w:rPr>
            <w:t xml:space="preserve">4.2 Performance linked pay </w:t>
          </w:r>
        </w:p>
        <w:p w14:paraId="6C630A23" w14:textId="722F4F53" w:rsidR="00B0084B" w:rsidRDefault="00B0084B" w:rsidP="00B0084B">
          <w:pPr>
            <w:pStyle w:val="Heading2"/>
            <w:rPr>
              <w:rFonts w:asciiTheme="minorHAnsi" w:hAnsiTheme="minorHAnsi" w:cstheme="minorHAnsi"/>
            </w:rPr>
          </w:pPr>
          <w:r>
            <w:rPr>
              <w:rFonts w:asciiTheme="minorHAnsi" w:hAnsiTheme="minorHAnsi" w:cstheme="minorHAnsi"/>
            </w:rPr>
            <w:t>4.3</w:t>
          </w:r>
          <w:r w:rsidRPr="00B0084B">
            <w:rPr>
              <w:rFonts w:asciiTheme="minorHAnsi" w:hAnsiTheme="minorHAnsi" w:cstheme="minorHAnsi"/>
            </w:rPr>
            <w:t xml:space="preserve"> </w:t>
          </w:r>
          <w:r>
            <w:rPr>
              <w:rFonts w:asciiTheme="minorHAnsi" w:hAnsiTheme="minorHAnsi" w:cstheme="minorHAnsi"/>
            </w:rPr>
            <w:t>The role of uk corporate governance structure in constraining earnings management</w:t>
          </w:r>
          <w:r w:rsidRPr="00B0084B">
            <w:rPr>
              <w:rFonts w:asciiTheme="minorHAnsi" w:hAnsiTheme="minorHAnsi" w:cstheme="minorHAnsi"/>
            </w:rPr>
            <w:t xml:space="preserve"> </w:t>
          </w:r>
        </w:p>
        <w:p w14:paraId="2ECBBE09" w14:textId="247603F0" w:rsidR="00B0084B" w:rsidRDefault="00B0084B" w:rsidP="00B0084B">
          <w:pPr>
            <w:pStyle w:val="Heading2"/>
            <w:rPr>
              <w:rFonts w:asciiTheme="minorHAnsi" w:hAnsiTheme="minorHAnsi" w:cstheme="minorHAnsi"/>
            </w:rPr>
          </w:pPr>
          <w:r>
            <w:rPr>
              <w:rFonts w:asciiTheme="minorHAnsi" w:hAnsiTheme="minorHAnsi" w:cstheme="minorHAnsi"/>
            </w:rPr>
            <w:t xml:space="preserve">4.4 the role of the independent board of directors                                                                                                   4.5 </w:t>
          </w:r>
          <w:r w:rsidRPr="00B0084B">
            <w:rPr>
              <w:rFonts w:asciiTheme="minorHAnsi" w:hAnsiTheme="minorHAnsi" w:cstheme="minorHAnsi"/>
            </w:rPr>
            <w:t xml:space="preserve">The role </w:t>
          </w:r>
          <w:r>
            <w:rPr>
              <w:rFonts w:asciiTheme="minorHAnsi" w:hAnsiTheme="minorHAnsi" w:cstheme="minorHAnsi"/>
            </w:rPr>
            <w:t>of the audit comitee</w:t>
          </w:r>
        </w:p>
        <w:p w14:paraId="5E81DB70" w14:textId="77777777" w:rsidR="00B0084B" w:rsidRPr="00B0084B" w:rsidRDefault="00B0084B" w:rsidP="00B0084B"/>
        <w:p w14:paraId="542467BD" w14:textId="2DE34679"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Pr>
              <w:rFonts w:asciiTheme="minorHAnsi" w:hAnsiTheme="minorHAnsi" w:cstheme="minorHAnsi"/>
            </w:rPr>
            <w:t>Conclusion</w:t>
          </w:r>
        </w:p>
        <w:p w14:paraId="7848F620" w14:textId="4D2D2286" w:rsidR="00B0084B" w:rsidRP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Pr>
              <w:rFonts w:asciiTheme="minorHAnsi" w:hAnsiTheme="minorHAnsi" w:cstheme="minorHAnsi"/>
            </w:rPr>
            <w:t>Recommendations</w:t>
          </w:r>
        </w:p>
        <w:p w14:paraId="22D780C8" w14:textId="020BF2CB" w:rsidR="00B0084B" w:rsidRDefault="00B0084B" w:rsidP="00E45A0E">
          <w:pPr>
            <w:pStyle w:val="Heading1"/>
            <w:keepNext/>
            <w:keepLines/>
            <w:numPr>
              <w:ilvl w:val="0"/>
              <w:numId w:val="3"/>
            </w:numPr>
            <w:autoSpaceDE/>
            <w:autoSpaceDN/>
            <w:adjustRightInd/>
            <w:spacing w:before="240" w:after="0" w:line="259" w:lineRule="auto"/>
            <w:contextualSpacing w:val="0"/>
            <w:rPr>
              <w:rFonts w:asciiTheme="minorHAnsi" w:hAnsiTheme="minorHAnsi" w:cstheme="minorHAnsi"/>
            </w:rPr>
          </w:pPr>
          <w:r>
            <w:rPr>
              <w:rFonts w:asciiTheme="minorHAnsi" w:hAnsiTheme="minorHAnsi" w:cstheme="minorHAnsi"/>
            </w:rPr>
            <w:t>References</w:t>
          </w:r>
        </w:p>
        <w:p w14:paraId="6D02E351" w14:textId="77777777" w:rsidR="00B0084B" w:rsidRPr="00B0084B" w:rsidRDefault="00B0084B" w:rsidP="00B0084B"/>
        <w:p w14:paraId="2B9A8425" w14:textId="19617935" w:rsidR="00B0084B" w:rsidRPr="00B0084B" w:rsidRDefault="00B0084B" w:rsidP="00B0084B"/>
        <w:p w14:paraId="2AE1AD8D" w14:textId="77777777" w:rsidR="00B0084B" w:rsidRPr="00B0084B" w:rsidRDefault="00B0084B" w:rsidP="00B0084B"/>
        <w:p w14:paraId="2E88DB99" w14:textId="77777777" w:rsidR="00B0084B" w:rsidRPr="00B0084B" w:rsidRDefault="00B0084B" w:rsidP="00B0084B"/>
        <w:p w14:paraId="6215762A" w14:textId="77777777" w:rsidR="00B0084B" w:rsidRPr="00B0084B" w:rsidRDefault="00B0084B" w:rsidP="00B0084B"/>
        <w:p w14:paraId="6188991E" w14:textId="6F1247CC" w:rsidR="00300408" w:rsidRDefault="00E45A0E" w:rsidP="00B0084B">
          <w:pPr>
            <w:pStyle w:val="TOC1"/>
            <w:tabs>
              <w:tab w:val="right" w:leader="dot" w:pos="9016"/>
            </w:tabs>
            <w:rPr>
              <w:rFonts w:ascii="Arial" w:hAnsi="Arial" w:cs="Arial"/>
              <w:noProof/>
            </w:rPr>
          </w:pPr>
        </w:p>
      </w:sdtContent>
    </w:sdt>
    <w:p w14:paraId="4759A750" w14:textId="409B765F" w:rsidR="009B20F4" w:rsidRPr="008B0864" w:rsidRDefault="009B20F4" w:rsidP="008B0864">
      <w:pPr>
        <w:pStyle w:val="TableofFigures"/>
        <w:tabs>
          <w:tab w:val="right" w:leader="dot" w:pos="9016"/>
        </w:tabs>
        <w:spacing w:line="480" w:lineRule="auto"/>
        <w:rPr>
          <w:rFonts w:ascii="Verdana" w:hAnsi="Verdana"/>
          <w:sz w:val="18"/>
          <w:szCs w:val="18"/>
        </w:rPr>
      </w:pP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3F3FA863" w14:textId="700A3B1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BA2442">
          <w:footerReference w:type="first" r:id="rId14"/>
          <w:pgSz w:w="11906" w:h="16838"/>
          <w:pgMar w:top="1440" w:right="1440" w:bottom="1440" w:left="1440" w:header="708" w:footer="708" w:gutter="0"/>
          <w:cols w:space="708"/>
          <w:docGrid w:linePitch="360"/>
        </w:sectPr>
      </w:pPr>
      <w:bookmarkStart w:id="0" w:name="_Toc419303684"/>
    </w:p>
    <w:p w14:paraId="082BB808" w14:textId="1D63A4B9" w:rsidR="00DE1400" w:rsidRDefault="00A502A4" w:rsidP="00E45A0E">
      <w:pPr>
        <w:pStyle w:val="Heading1"/>
        <w:keepNext/>
        <w:numPr>
          <w:ilvl w:val="0"/>
          <w:numId w:val="4"/>
        </w:numPr>
        <w:spacing w:after="0" w:line="480" w:lineRule="auto"/>
        <w:contextualSpacing w:val="0"/>
        <w:rPr>
          <w:rFonts w:asciiTheme="minorHAnsi" w:eastAsia="Times New Roman" w:hAnsiTheme="minorHAnsi" w:cstheme="minorHAnsi"/>
          <w:bCs/>
          <w:sz w:val="22"/>
          <w:szCs w:val="20"/>
        </w:rPr>
      </w:pPr>
      <w:bookmarkStart w:id="1" w:name="_Toc496043657"/>
      <w:r w:rsidRPr="00B94E17">
        <w:rPr>
          <w:rFonts w:asciiTheme="minorHAnsi" w:eastAsia="Times New Roman" w:hAnsiTheme="minorHAnsi" w:cstheme="minorHAnsi"/>
          <w:bCs/>
          <w:sz w:val="22"/>
          <w:szCs w:val="20"/>
        </w:rPr>
        <w:lastRenderedPageBreak/>
        <w:t>eXECUTIVE sUMMARY</w:t>
      </w:r>
      <w:bookmarkEnd w:id="1"/>
    </w:p>
    <w:p w14:paraId="667EF1A5" w14:textId="49243468" w:rsidR="004B1142" w:rsidRDefault="004B1142" w:rsidP="004B1142">
      <w:r>
        <w:t>T</w:t>
      </w:r>
      <w:r w:rsidR="00F66999">
        <w:t>he purpose of this report is to analyse the incentives and pressures which drive managers towards the use of earnings management with specific reference to Patisserie Valerie.</w:t>
      </w:r>
    </w:p>
    <w:p w14:paraId="53C86053" w14:textId="748C69E6" w:rsidR="00F66999" w:rsidRDefault="00F66999" w:rsidP="004B1142">
      <w:r>
        <w:t xml:space="preserve">The first section of this report will define the meaning of earnings management. Earnings management is the measured manipulation of revenues and expenses in the financial statements in order for a company </w:t>
      </w:r>
      <w:r w:rsidR="00EE19D5">
        <w:t>to falsely value or devalue the reported profits of the earnings per share.</w:t>
      </w:r>
    </w:p>
    <w:p w14:paraId="2DBADBBB" w14:textId="6C89470A" w:rsidR="00EE19D5" w:rsidRDefault="00EE19D5" w:rsidP="004B1142">
      <w:r>
        <w:t xml:space="preserve">The second section of the report will talk about the incentives and pressures that motivate managers towards earnings management. Performance related pay is perceived to be one of the main incentives that motivates business managers towards taking part in earnings management, as business managers that to reach aims that are set in the budget tend to receive immense bonuses upon completion of targets. Raising the capital is another </w:t>
      </w:r>
      <w:r w:rsidR="00737238">
        <w:t>reason</w:t>
      </w:r>
      <w:r>
        <w:t xml:space="preserve"> that pushes managers towards </w:t>
      </w:r>
      <w:r w:rsidR="00737238">
        <w:t xml:space="preserve">engaging in </w:t>
      </w:r>
      <w:r>
        <w:t xml:space="preserve">earnings management, </w:t>
      </w:r>
      <w:r w:rsidR="00737238">
        <w:t>meeting the prospects of those that provide capital will result in investors continuing to provide funds for survival and growth. Minimising Taxes and other political cost is also a key incentive for businesses to take part in earnings management. The pressure to comply with restrictive covenants of debt providers drives managers to engage in earnings management, this allows the company to avoid the repercussions of breaching a restrictive covenant imposed by the debt providers.</w:t>
      </w:r>
    </w:p>
    <w:p w14:paraId="45C1792A" w14:textId="28AD54E7" w:rsidR="00A21F61" w:rsidRDefault="009B6578" w:rsidP="004B1142">
      <w:r>
        <w:t>The third section of the reports will go into detail about the issues of earnings management that were prevalent in the case specific to Patisserie Valerie.</w:t>
      </w:r>
      <w:r w:rsidR="00CF1590">
        <w:t xml:space="preserve">  </w:t>
      </w:r>
      <w:r w:rsidR="00E971A0">
        <w:t xml:space="preserve">Analysis of Patisserie Valerie’s statements </w:t>
      </w:r>
      <w:r w:rsidR="0060744C">
        <w:t>exhibit</w:t>
      </w:r>
      <w:r w:rsidR="00483553">
        <w:t>, earnings</w:t>
      </w:r>
      <w:r w:rsidR="00E971A0">
        <w:t xml:space="preserve"> management was motivated by management wanting to meet the expectations of the capital market participants. The cash flow and profitability of the company was overstated by £120 and £12 million correspondingly. The performance linked pay incentive was </w:t>
      </w:r>
      <w:r w:rsidR="0060744C">
        <w:t xml:space="preserve">highlighted </w:t>
      </w:r>
      <w:r w:rsidR="00483553">
        <w:t>as the</w:t>
      </w:r>
      <w:r w:rsidR="0060744C">
        <w:t xml:space="preserve"> finance director of the company had potential gain to make from earnings management as the company was heading for an IPO.  </w:t>
      </w:r>
    </w:p>
    <w:p w14:paraId="6D80108C" w14:textId="30B1C32A" w:rsidR="009B6578" w:rsidRDefault="00A21F61" w:rsidP="004B1142">
      <w:r>
        <w:t>Further, the</w:t>
      </w:r>
      <w:r w:rsidR="0060744C">
        <w:t xml:space="preserve"> corporate governance’s structure in constraining earnings management is brushed over. The role of Independent board of directors is looked at alongside with, the role that the audit committee </w:t>
      </w:r>
      <w:r w:rsidR="006B10CD">
        <w:t>have in earnings management.</w:t>
      </w:r>
    </w:p>
    <w:p w14:paraId="2DFDF46B" w14:textId="77777777" w:rsidR="009841EB" w:rsidRDefault="006B10CD" w:rsidP="009841EB">
      <w:pPr>
        <w:pStyle w:val="Heading2"/>
        <w:keepNext/>
        <w:keepLines/>
        <w:numPr>
          <w:ilvl w:val="0"/>
          <w:numId w:val="0"/>
        </w:numPr>
        <w:autoSpaceDE/>
        <w:autoSpaceDN/>
        <w:adjustRightInd/>
        <w:spacing w:before="40" w:after="0" w:line="259" w:lineRule="auto"/>
        <w:contextualSpacing w:val="0"/>
        <w:rPr>
          <w:rFonts w:ascii="Calibri" w:hAnsi="Calibri"/>
          <w:b w:val="0"/>
          <w:caps w:val="0"/>
          <w:sz w:val="22"/>
          <w:szCs w:val="22"/>
        </w:rPr>
      </w:pPr>
      <w:r>
        <w:rPr>
          <w:rFonts w:ascii="Calibri" w:hAnsi="Calibri"/>
          <w:b w:val="0"/>
          <w:caps w:val="0"/>
          <w:sz w:val="22"/>
          <w:szCs w:val="22"/>
        </w:rPr>
        <w:t xml:space="preserve">The report is concluded, stating to us that the engagement of earnings management makes room for a damaging value to shareholders in the long-term. The </w:t>
      </w:r>
      <w:proofErr w:type="gramStart"/>
      <w:r>
        <w:rPr>
          <w:rFonts w:ascii="Calibri" w:hAnsi="Calibri"/>
          <w:b w:val="0"/>
          <w:caps w:val="0"/>
          <w:sz w:val="22"/>
          <w:szCs w:val="22"/>
        </w:rPr>
        <w:t>managers</w:t>
      </w:r>
      <w:proofErr w:type="gramEnd"/>
      <w:r>
        <w:rPr>
          <w:rFonts w:ascii="Calibri" w:hAnsi="Calibri"/>
          <w:b w:val="0"/>
          <w:caps w:val="0"/>
          <w:sz w:val="22"/>
          <w:szCs w:val="22"/>
        </w:rPr>
        <w:t xml:space="preserve"> incentive for personal gain has no regard for shareholders. The UK corporate governance frame work is continuously developing however in matter of earning management it is still so far from perfect. Eff</w:t>
      </w:r>
      <w:r w:rsidR="009841EB">
        <w:rPr>
          <w:rFonts w:ascii="Calibri" w:hAnsi="Calibri"/>
          <w:b w:val="0"/>
          <w:caps w:val="0"/>
          <w:sz w:val="22"/>
          <w:szCs w:val="22"/>
        </w:rPr>
        <w:t>ective corporate governance is crucial to constraining earning management and increasing the credibility of the financial statements.</w:t>
      </w:r>
    </w:p>
    <w:p w14:paraId="4F792908" w14:textId="77777777" w:rsidR="006D58B8" w:rsidRPr="006D58B8" w:rsidRDefault="006D58B8" w:rsidP="006D58B8"/>
    <w:p w14:paraId="7155D1B7" w14:textId="2DA56A42" w:rsidR="009841EB" w:rsidRPr="009841EB" w:rsidRDefault="009841EB" w:rsidP="009841EB">
      <w:r>
        <w:t xml:space="preserve">Lastly, </w:t>
      </w:r>
      <w:r w:rsidR="00D450D5">
        <w:t>three</w:t>
      </w:r>
      <w:r>
        <w:t xml:space="preserve"> clear cut recommendations are given on </w:t>
      </w:r>
      <w:r w:rsidR="00F63DDF">
        <w:t>what amendments</w:t>
      </w:r>
      <w:r>
        <w:t xml:space="preserve"> </w:t>
      </w:r>
      <w:r w:rsidR="00F63DDF">
        <w:t xml:space="preserve">the UK corporate governance requires in constraining earnings management. </w:t>
      </w:r>
      <w:r w:rsidR="00D169A9">
        <w:t>M</w:t>
      </w:r>
      <w:r w:rsidR="0043147C">
        <w:t xml:space="preserve">aking it mandatory to disclose the drivers of the variable pay component of key management </w:t>
      </w:r>
      <w:r w:rsidR="00D169A9">
        <w:t xml:space="preserve">personal would </w:t>
      </w:r>
      <w:r w:rsidR="0043147C">
        <w:t>help improve the framework.</w:t>
      </w:r>
      <w:r w:rsidR="00D450D5">
        <w:t xml:space="preserve"> Corporate governance framework requiring non-executive directors and the auditor committee to verify the financial metrics of a company is recommended. Making it mandatory for independent directors to comment on the point of ease it was to achieve targets to the operators of the financial statements would allow the risk to be assessed with ease is also suggested.</w:t>
      </w:r>
    </w:p>
    <w:p w14:paraId="66CBFF2E" w14:textId="77777777" w:rsidR="009B6578" w:rsidRPr="003575C4" w:rsidRDefault="009B6578" w:rsidP="003575C4">
      <w:pPr>
        <w:spacing w:line="360" w:lineRule="auto"/>
        <w:jc w:val="both"/>
        <w:rPr>
          <w:rFonts w:asciiTheme="minorHAnsi" w:hAnsiTheme="minorHAnsi" w:cstheme="minorHAnsi"/>
          <w:szCs w:val="24"/>
        </w:rPr>
        <w:sectPr w:rsidR="009B6578" w:rsidRPr="003575C4" w:rsidSect="0027316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p>
    <w:bookmarkEnd w:id="0"/>
    <w:p w14:paraId="36677945" w14:textId="73161C2B" w:rsidR="00B0084B" w:rsidRPr="00B94E17" w:rsidRDefault="00B0084B" w:rsidP="00E45A0E">
      <w:pPr>
        <w:pStyle w:val="Heading1"/>
        <w:keepNext/>
        <w:keepLines/>
        <w:numPr>
          <w:ilvl w:val="0"/>
          <w:numId w:val="5"/>
        </w:numPr>
        <w:autoSpaceDE/>
        <w:autoSpaceDN/>
        <w:adjustRightInd/>
        <w:spacing w:before="240" w:after="0" w:line="259" w:lineRule="auto"/>
        <w:contextualSpacing w:val="0"/>
        <w:rPr>
          <w:rFonts w:asciiTheme="minorHAnsi" w:hAnsiTheme="minorHAnsi" w:cstheme="minorHAnsi"/>
          <w:sz w:val="22"/>
        </w:rPr>
      </w:pPr>
      <w:r w:rsidRPr="00B94E17">
        <w:rPr>
          <w:rFonts w:asciiTheme="minorHAnsi" w:hAnsiTheme="minorHAnsi" w:cstheme="minorHAnsi"/>
          <w:sz w:val="22"/>
        </w:rPr>
        <w:lastRenderedPageBreak/>
        <w:t>Introduction</w:t>
      </w:r>
    </w:p>
    <w:p w14:paraId="0A309936" w14:textId="77777777" w:rsidR="00B0084B" w:rsidRPr="00B0084B" w:rsidRDefault="00B0084B" w:rsidP="00B0084B"/>
    <w:p w14:paraId="3AA424EF"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Earnings management has undermined the sanctity of numbers reported in the financial statements of a business (ICAEW, 2013). Earnings management is a process of deliberate intervention in the process of financial accounting and reporting with the objective of getting private gains (</w:t>
      </w:r>
      <w:proofErr w:type="spellStart"/>
      <w:r w:rsidRPr="00B0084B">
        <w:rPr>
          <w:rFonts w:asciiTheme="minorHAnsi" w:hAnsiTheme="minorHAnsi" w:cstheme="minorHAnsi"/>
        </w:rPr>
        <w:t>Beneish</w:t>
      </w:r>
      <w:proofErr w:type="spellEnd"/>
      <w:r w:rsidRPr="00B0084B">
        <w:rPr>
          <w:rFonts w:asciiTheme="minorHAnsi" w:hAnsiTheme="minorHAnsi" w:cstheme="minorHAnsi"/>
        </w:rPr>
        <w:t xml:space="preserve">, 2001). Business managers often misuse the flexibility offered by the financial reporting standards by making biased judgments and assumptions for personal gains (ICAEW, 2012a). </w:t>
      </w:r>
    </w:p>
    <w:p w14:paraId="4629A8A2"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The objective of this report is to critically assess the drivers of earnings management. The report will start by shedding light on the meaning of earnings management. Thereafter, the report will analyse the incentives and pressures that often drives managers towards earnings management. Subsequently, the report will evaluate the issues of earnings management specific to the case of Patisserie Valerie. Finally, the report will conclude by discussing the role of UK corporate governance framework in constraining earnings management. </w:t>
      </w:r>
    </w:p>
    <w:p w14:paraId="47373774" w14:textId="77777777" w:rsidR="00B0084B" w:rsidRPr="00B94E17" w:rsidRDefault="00B0084B" w:rsidP="00E45A0E">
      <w:pPr>
        <w:pStyle w:val="Heading1"/>
        <w:keepNext/>
        <w:keepLines/>
        <w:numPr>
          <w:ilvl w:val="0"/>
          <w:numId w:val="5"/>
        </w:numPr>
        <w:autoSpaceDE/>
        <w:autoSpaceDN/>
        <w:adjustRightInd/>
        <w:spacing w:before="240" w:after="0" w:line="259" w:lineRule="auto"/>
        <w:contextualSpacing w:val="0"/>
        <w:rPr>
          <w:rFonts w:asciiTheme="minorHAnsi" w:hAnsiTheme="minorHAnsi" w:cstheme="minorHAnsi"/>
          <w:sz w:val="22"/>
        </w:rPr>
      </w:pPr>
      <w:r w:rsidRPr="00B94E17">
        <w:rPr>
          <w:rFonts w:asciiTheme="minorHAnsi" w:hAnsiTheme="minorHAnsi" w:cstheme="minorHAnsi"/>
          <w:sz w:val="22"/>
        </w:rPr>
        <w:t>Earnings Management</w:t>
      </w:r>
    </w:p>
    <w:p w14:paraId="0572590E" w14:textId="77777777" w:rsidR="00B0084B" w:rsidRPr="00B0084B" w:rsidRDefault="00B0084B" w:rsidP="00B0084B"/>
    <w:p w14:paraId="2C57267F"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Earnings management could be defined as the deliberate manipulation of revenues and expenses in the financial statements of a company in order to artificially inflate or deflate the reported profits or earnings per share (ACCA Global, 2008).. ICAEW (2012b) asserts that earnings management does not necessarily imply violation of rules prescribed by the financial reporting framework. It could be perceived as bending rules by adopting accounting policies and estimates that do not reflect the economic reality of the underlying transactions while staying within the boundaries set by the financial reporting framework. </w:t>
      </w:r>
    </w:p>
    <w:p w14:paraId="266CA94F" w14:textId="77777777" w:rsidR="00B0084B" w:rsidRDefault="00B0084B" w:rsidP="00B0084B">
      <w:pPr>
        <w:jc w:val="both"/>
        <w:rPr>
          <w:rFonts w:asciiTheme="minorHAnsi" w:hAnsiTheme="minorHAnsi" w:cstheme="minorHAnsi"/>
        </w:rPr>
      </w:pPr>
      <w:r w:rsidRPr="00B0084B">
        <w:rPr>
          <w:rFonts w:asciiTheme="minorHAnsi" w:hAnsiTheme="minorHAnsi" w:cstheme="minorHAnsi"/>
        </w:rPr>
        <w:t xml:space="preserve">There is an explicit difference between earnings management and fraudulent financial reporting. While the former comprises of bending the rules whilst staying within the boundaries of the financial reporting framework, the latter involves deliberate falsification of the underlying accounting records or omission of transactions in the financial statements (ACCA Global, 2008). </w:t>
      </w:r>
    </w:p>
    <w:p w14:paraId="0560116D" w14:textId="77777777" w:rsidR="00B0084B" w:rsidRPr="00B0084B" w:rsidRDefault="00B0084B" w:rsidP="00B0084B">
      <w:pPr>
        <w:jc w:val="both"/>
        <w:rPr>
          <w:rFonts w:asciiTheme="minorHAnsi" w:hAnsiTheme="minorHAnsi" w:cstheme="minorHAnsi"/>
        </w:rPr>
      </w:pPr>
    </w:p>
    <w:p w14:paraId="31A80701" w14:textId="77777777" w:rsidR="00B0084B" w:rsidRPr="00B94E17" w:rsidRDefault="00B0084B" w:rsidP="00E45A0E">
      <w:pPr>
        <w:pStyle w:val="Heading1"/>
        <w:keepNext/>
        <w:keepLines/>
        <w:numPr>
          <w:ilvl w:val="0"/>
          <w:numId w:val="5"/>
        </w:numPr>
        <w:autoSpaceDE/>
        <w:autoSpaceDN/>
        <w:adjustRightInd/>
        <w:spacing w:before="240" w:after="0" w:line="259" w:lineRule="auto"/>
        <w:contextualSpacing w:val="0"/>
        <w:rPr>
          <w:rFonts w:asciiTheme="minorHAnsi" w:hAnsiTheme="minorHAnsi" w:cstheme="minorHAnsi"/>
          <w:sz w:val="22"/>
        </w:rPr>
      </w:pPr>
      <w:r w:rsidRPr="00B94E17">
        <w:rPr>
          <w:rFonts w:asciiTheme="minorHAnsi" w:hAnsiTheme="minorHAnsi" w:cstheme="minorHAnsi"/>
          <w:sz w:val="22"/>
        </w:rPr>
        <w:t>Incentives and Pressures Leading to Earnings Management</w:t>
      </w:r>
    </w:p>
    <w:p w14:paraId="77013BCD" w14:textId="77777777" w:rsidR="00B0084B" w:rsidRPr="00B0084B" w:rsidRDefault="00B0084B" w:rsidP="00B0084B"/>
    <w:p w14:paraId="162179E6"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Business managers engage in the practice of earnings management due to a number of reasons. Performance related pay is perceived to be one of the primary incentives for business managers to engage in the practice of earnings management (ICAEW, 2012d). Business managers are often entitled to hefty bonuses upon achieving the targets set in the budget. Empirical evidence highlights that desire to earn the variable component of remuneration often motivates managers to window dress the financial statements (Rahman, </w:t>
      </w:r>
      <w:proofErr w:type="spellStart"/>
      <w:r w:rsidRPr="00B0084B">
        <w:rPr>
          <w:rFonts w:asciiTheme="minorHAnsi" w:hAnsiTheme="minorHAnsi" w:cstheme="minorHAnsi"/>
        </w:rPr>
        <w:t>Moniruzzaman</w:t>
      </w:r>
      <w:proofErr w:type="spellEnd"/>
      <w:r w:rsidRPr="00B0084B">
        <w:rPr>
          <w:rFonts w:asciiTheme="minorHAnsi" w:hAnsiTheme="minorHAnsi" w:cstheme="minorHAnsi"/>
        </w:rPr>
        <w:t xml:space="preserve"> &amp; Sharif, 2013). ICAEW (2012c) asserts that linking rewards with the factors beyond managerial control is a primary contributor to earnings management. </w:t>
      </w:r>
    </w:p>
    <w:p w14:paraId="1D4E1970"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Raising capital is another key incentive for managers to engage in the practice of earnings management. Libby, </w:t>
      </w:r>
      <w:proofErr w:type="spellStart"/>
      <w:r w:rsidRPr="00B0084B">
        <w:rPr>
          <w:rFonts w:asciiTheme="minorHAnsi" w:hAnsiTheme="minorHAnsi" w:cstheme="minorHAnsi"/>
        </w:rPr>
        <w:t>Rennekamp</w:t>
      </w:r>
      <w:proofErr w:type="spellEnd"/>
      <w:r w:rsidRPr="00B0084B">
        <w:rPr>
          <w:rFonts w:asciiTheme="minorHAnsi" w:hAnsiTheme="minorHAnsi" w:cstheme="minorHAnsi"/>
        </w:rPr>
        <w:t xml:space="preserve"> and </w:t>
      </w:r>
      <w:proofErr w:type="spellStart"/>
      <w:r w:rsidRPr="00B0084B">
        <w:rPr>
          <w:rFonts w:asciiTheme="minorHAnsi" w:hAnsiTheme="minorHAnsi" w:cstheme="minorHAnsi"/>
        </w:rPr>
        <w:t>Seybert</w:t>
      </w:r>
      <w:proofErr w:type="spellEnd"/>
      <w:r w:rsidRPr="00B0084B">
        <w:rPr>
          <w:rFonts w:asciiTheme="minorHAnsi" w:hAnsiTheme="minorHAnsi" w:cstheme="minorHAnsi"/>
        </w:rPr>
        <w:t xml:space="preserve"> (2015) assert that managers often engage in </w:t>
      </w:r>
      <w:r w:rsidRPr="00B0084B">
        <w:rPr>
          <w:rFonts w:asciiTheme="minorHAnsi" w:hAnsiTheme="minorHAnsi" w:cstheme="minorHAnsi"/>
        </w:rPr>
        <w:lastRenderedPageBreak/>
        <w:t xml:space="preserve">massaging the numbers reported in the financial statements in order to meet the expectations of the capital providers. ICAEW (2012e) asserts that both equity and debt investors evaluate investment proposals by analysing historical growth and performance improvement trends. Furthermore, benchmarking the performance of a business under evaluation relative to its peers and industry is a common mechanism that influences investment decisions of capital providers. Thus, companies seeking to raise funds from the capital market are highly vulnerable to use of earnings management because failure to meet investors’ expectations could devoid them of capital that is imperative for its survival and growth. </w:t>
      </w:r>
    </w:p>
    <w:p w14:paraId="5832AFF5"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Minimising taxes and other political costs are other key incentives for businesses to engage in the practice of earnings management. Based on the empirical evidence, approximately 10% of the businesses across the globe massage the numbers reported in their financial statements in order to artificially inflate their earnings. Furthermore, one third of the businesses with losses engage in the practice of earnings management in order to report profits (</w:t>
      </w:r>
      <w:proofErr w:type="spellStart"/>
      <w:r w:rsidRPr="00B0084B">
        <w:rPr>
          <w:rFonts w:asciiTheme="minorHAnsi" w:hAnsiTheme="minorHAnsi" w:cstheme="minorHAnsi"/>
        </w:rPr>
        <w:t>SWlearning</w:t>
      </w:r>
      <w:proofErr w:type="spellEnd"/>
      <w:r w:rsidRPr="00B0084B">
        <w:rPr>
          <w:rFonts w:asciiTheme="minorHAnsi" w:hAnsiTheme="minorHAnsi" w:cstheme="minorHAnsi"/>
        </w:rPr>
        <w:t xml:space="preserve">, 2003). </w:t>
      </w:r>
    </w:p>
    <w:p w14:paraId="2A857AB4" w14:textId="77777777" w:rsidR="00FD176D" w:rsidRDefault="00B0084B" w:rsidP="00B0084B">
      <w:pPr>
        <w:jc w:val="both"/>
        <w:rPr>
          <w:rFonts w:asciiTheme="minorHAnsi" w:hAnsiTheme="minorHAnsi" w:cstheme="minorHAnsi"/>
        </w:rPr>
      </w:pPr>
      <w:r w:rsidRPr="00B0084B">
        <w:rPr>
          <w:rFonts w:asciiTheme="minorHAnsi" w:hAnsiTheme="minorHAnsi" w:cstheme="minorHAnsi"/>
        </w:rPr>
        <w:t xml:space="preserve">The pressure to comply with the restrictive covenants of the debt providers is another driver of earnings management. It is a common practice for debt providers to impose a number of restrictive covenants on the borrowers in order to safeguard their </w:t>
      </w:r>
      <w:proofErr w:type="gramStart"/>
      <w:r w:rsidRPr="00B0084B">
        <w:rPr>
          <w:rFonts w:asciiTheme="minorHAnsi" w:hAnsiTheme="minorHAnsi" w:cstheme="minorHAnsi"/>
        </w:rPr>
        <w:t>investment.,</w:t>
      </w:r>
      <w:proofErr w:type="gramEnd"/>
      <w:r w:rsidRPr="00B0084B">
        <w:rPr>
          <w:rFonts w:asciiTheme="minorHAnsi" w:hAnsiTheme="minorHAnsi" w:cstheme="minorHAnsi"/>
        </w:rPr>
        <w:t xml:space="preserve"> In order to avoid the repercussions arising out of the breach of restrictive covenants, it is common for managers to engage in the practice of earnings management (ICAEW, 2012e). </w:t>
      </w:r>
    </w:p>
    <w:p w14:paraId="2B9534C7" w14:textId="5DC114E5"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 </w:t>
      </w:r>
    </w:p>
    <w:p w14:paraId="161689EA" w14:textId="77777777" w:rsidR="00B0084B" w:rsidRPr="00B94E17" w:rsidRDefault="00B0084B" w:rsidP="00E45A0E">
      <w:pPr>
        <w:pStyle w:val="Heading1"/>
        <w:keepNext/>
        <w:keepLines/>
        <w:numPr>
          <w:ilvl w:val="0"/>
          <w:numId w:val="5"/>
        </w:numPr>
        <w:autoSpaceDE/>
        <w:autoSpaceDN/>
        <w:adjustRightInd/>
        <w:spacing w:before="240" w:after="0" w:line="259" w:lineRule="auto"/>
        <w:contextualSpacing w:val="0"/>
        <w:rPr>
          <w:rFonts w:asciiTheme="minorHAnsi" w:hAnsiTheme="minorHAnsi" w:cstheme="minorHAnsi"/>
          <w:sz w:val="22"/>
        </w:rPr>
      </w:pPr>
      <w:r w:rsidRPr="00B94E17">
        <w:rPr>
          <w:rFonts w:asciiTheme="minorHAnsi" w:hAnsiTheme="minorHAnsi" w:cstheme="minorHAnsi"/>
          <w:sz w:val="22"/>
        </w:rPr>
        <w:t>Issue of Earnings Management Specific to Patisserie Valerie</w:t>
      </w:r>
    </w:p>
    <w:p w14:paraId="6D62336F" w14:textId="77777777" w:rsidR="00B0084B" w:rsidRPr="00B0084B" w:rsidRDefault="00B0084B" w:rsidP="00B0084B"/>
    <w:p w14:paraId="79B5A4C1" w14:textId="77777777" w:rsidR="00B0084B" w:rsidRPr="00B0084B" w:rsidRDefault="00B0084B" w:rsidP="00B0084B">
      <w:pPr>
        <w:jc w:val="both"/>
        <w:rPr>
          <w:rStyle w:val="Emphasis"/>
          <w:rFonts w:asciiTheme="minorHAnsi" w:hAnsiTheme="minorHAnsi" w:cstheme="minorHAnsi"/>
          <w:i/>
        </w:rPr>
      </w:pPr>
      <w:r w:rsidRPr="00B0084B">
        <w:rPr>
          <w:rStyle w:val="Emphasis"/>
          <w:rFonts w:asciiTheme="minorHAnsi" w:hAnsiTheme="minorHAnsi" w:cstheme="minorHAnsi"/>
        </w:rPr>
        <w:t xml:space="preserve">The analysis of the financial statements of Patisserie Valerie highlights that the earnings management were driven by a different set of motives in the pre IPO period and the post IPO period. In the Pre IPO period, the focus of the management was to window dress the results such that the expectations of the capital market participants are adequately satisfied. In the post IPO period, the objective of the management was to deliver a superior performance compared to that of the peers in order to maximise their variable portion of the pay, which was linked to the overall performance of the company (BBC, 2018). </w:t>
      </w:r>
    </w:p>
    <w:p w14:paraId="487E7CA5" w14:textId="77777777" w:rsidR="00B0084B" w:rsidRPr="00B94E17" w:rsidRDefault="00B0084B" w:rsidP="00FD176D">
      <w:pPr>
        <w:pStyle w:val="Heading2"/>
        <w:numPr>
          <w:ilvl w:val="0"/>
          <w:numId w:val="0"/>
        </w:numPr>
        <w:rPr>
          <w:rFonts w:asciiTheme="minorHAnsi" w:hAnsiTheme="minorHAnsi" w:cstheme="minorHAnsi"/>
          <w:sz w:val="20"/>
        </w:rPr>
      </w:pPr>
      <w:r w:rsidRPr="00B94E17">
        <w:rPr>
          <w:rFonts w:asciiTheme="minorHAnsi" w:hAnsiTheme="minorHAnsi" w:cstheme="minorHAnsi"/>
          <w:sz w:val="20"/>
        </w:rPr>
        <w:t>4.1 Pressure to meet the expectations of the capital market participants</w:t>
      </w:r>
    </w:p>
    <w:p w14:paraId="37809B6F"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The management of Patisserie Valerie deliberately overstated the cash flows and the profitability of the company by £120 million and £12 million respectively (BBC, 2019). Significant delays in payment to the suppliers were one of the early indicators of earnings management in Patisserie Valerie. Despite getting 60 days’ credit terms from its suppliers and having cash on its balance sheet, the company was struggling to pay its suppliers in twice the time (Financial Times, 2019). </w:t>
      </w:r>
    </w:p>
    <w:p w14:paraId="5BD7D4D4"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Secondly, the management of Patisserie Valerie artificially increased its profit margin by deliberately omitting the cost transactions from its books of accounts. Peer benchmarking highlights that Greggs and Costa Coffee operate with an operating margin of 8% and 12% respectively, compared to 18% operating margin for Patisserie Valerie (Financial Times, 2019). The higher operating margin for Patisserie Valerie was primarily attributed to underreporting of the expenses in the income statement and capitalisation of the expenses on the balance sheet (Financial Times, 2019). </w:t>
      </w:r>
    </w:p>
    <w:p w14:paraId="020CAB40" w14:textId="77777777" w:rsidR="00B0084B" w:rsidRPr="00B0084B" w:rsidRDefault="00B0084B" w:rsidP="00B0084B">
      <w:pPr>
        <w:jc w:val="both"/>
        <w:rPr>
          <w:rFonts w:asciiTheme="minorHAnsi" w:hAnsiTheme="minorHAnsi" w:cstheme="minorHAnsi"/>
        </w:rPr>
      </w:pPr>
    </w:p>
    <w:p w14:paraId="3B126EBF" w14:textId="77777777" w:rsidR="00B0084B" w:rsidRPr="00B0084B" w:rsidRDefault="00B0084B" w:rsidP="00FD176D">
      <w:pPr>
        <w:pStyle w:val="Heading2"/>
        <w:numPr>
          <w:ilvl w:val="0"/>
          <w:numId w:val="0"/>
        </w:numPr>
        <w:ind w:left="851" w:hanging="851"/>
        <w:rPr>
          <w:rFonts w:asciiTheme="minorHAnsi" w:hAnsiTheme="minorHAnsi" w:cstheme="minorHAnsi"/>
        </w:rPr>
      </w:pPr>
      <w:r w:rsidRPr="00B0084B">
        <w:rPr>
          <w:rFonts w:asciiTheme="minorHAnsi" w:hAnsiTheme="minorHAnsi" w:cstheme="minorHAnsi"/>
        </w:rPr>
        <w:lastRenderedPageBreak/>
        <w:t xml:space="preserve">4.2 Performance linked pay </w:t>
      </w:r>
    </w:p>
    <w:p w14:paraId="4D2F6D94"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The commitment under property leases merely increased from £61.6 million in 2014 to £63.1 million in 2016 despite the addition of 36 new stores. Negligible increase in the rent commitments is primarily attributed to the incorrect accounting of the rent free period granted by the landlords in order to flatten the profits and better meet investors’ expectations (Financial Times, 2019). </w:t>
      </w:r>
    </w:p>
    <w:p w14:paraId="2F8BAF97" w14:textId="77777777" w:rsidR="00B0084B" w:rsidRPr="00B0084B" w:rsidRDefault="00B0084B" w:rsidP="00B0084B">
      <w:pPr>
        <w:jc w:val="both"/>
        <w:rPr>
          <w:rFonts w:asciiTheme="minorHAnsi" w:hAnsiTheme="minorHAnsi" w:cstheme="minorHAnsi"/>
        </w:rPr>
      </w:pPr>
    </w:p>
    <w:p w14:paraId="1CDC121E"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Lastly, there is a material likelihood of the promoter and the finance director colluding in massaging the financial results prior to 2014, as the company was heading towards an IPO. If the company were to list publicly, the promoter and the finance director would have been the key beneficiaries as they held significant shareholding in the company. Thus, there are traces of the existence of significant incentives for the management of Patisserie Valerie to engage in the practice of earnings management. </w:t>
      </w:r>
    </w:p>
    <w:p w14:paraId="41AFCFB5" w14:textId="4B23BE00" w:rsidR="00B0084B" w:rsidRPr="00B0084B" w:rsidRDefault="00FD176D" w:rsidP="00FD176D">
      <w:pPr>
        <w:pStyle w:val="Heading1"/>
        <w:keepNext/>
        <w:keepLines/>
        <w:numPr>
          <w:ilvl w:val="0"/>
          <w:numId w:val="0"/>
        </w:numPr>
        <w:autoSpaceDE/>
        <w:autoSpaceDN/>
        <w:adjustRightInd/>
        <w:spacing w:before="240" w:after="0" w:line="259" w:lineRule="auto"/>
        <w:ind w:left="851" w:hanging="851"/>
        <w:contextualSpacing w:val="0"/>
        <w:rPr>
          <w:rFonts w:asciiTheme="minorHAnsi" w:hAnsiTheme="minorHAnsi" w:cstheme="minorHAnsi"/>
        </w:rPr>
      </w:pPr>
      <w:r>
        <w:rPr>
          <w:rFonts w:asciiTheme="minorHAnsi" w:hAnsiTheme="minorHAnsi" w:cstheme="minorHAnsi"/>
        </w:rPr>
        <w:t xml:space="preserve">4.3 </w:t>
      </w:r>
      <w:r w:rsidR="00B0084B" w:rsidRPr="00B0084B">
        <w:rPr>
          <w:rFonts w:asciiTheme="minorHAnsi" w:hAnsiTheme="minorHAnsi" w:cstheme="minorHAnsi"/>
        </w:rPr>
        <w:t>The role of UK Corporate Governance Structure in Constraining Earnings Management</w:t>
      </w:r>
    </w:p>
    <w:p w14:paraId="10C01F2F"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The corporate governance framework in the UK is constantly evolving with the objective of constraining earnings management. The corporate governance framework in the UK strives to constraint earnings management through improving board independence and expanding the role of the audit committee (</w:t>
      </w:r>
      <w:proofErr w:type="spellStart"/>
      <w:r w:rsidRPr="00B0084B">
        <w:rPr>
          <w:rFonts w:asciiTheme="minorHAnsi" w:hAnsiTheme="minorHAnsi" w:cstheme="minorHAnsi"/>
        </w:rPr>
        <w:t>Dahya</w:t>
      </w:r>
      <w:proofErr w:type="spellEnd"/>
      <w:r w:rsidRPr="00B0084B">
        <w:rPr>
          <w:rFonts w:asciiTheme="minorHAnsi" w:hAnsiTheme="minorHAnsi" w:cstheme="minorHAnsi"/>
        </w:rPr>
        <w:t xml:space="preserve"> and McConnell, 2007). </w:t>
      </w:r>
    </w:p>
    <w:p w14:paraId="35790C0A" w14:textId="01B226C1" w:rsidR="00B0084B" w:rsidRPr="00B94E17" w:rsidRDefault="00FD176D" w:rsidP="00FD176D">
      <w:pPr>
        <w:pStyle w:val="Heading2"/>
        <w:numPr>
          <w:ilvl w:val="0"/>
          <w:numId w:val="0"/>
        </w:numPr>
        <w:ind w:left="851" w:hanging="851"/>
        <w:rPr>
          <w:rFonts w:asciiTheme="minorHAnsi" w:hAnsiTheme="minorHAnsi" w:cstheme="minorHAnsi"/>
          <w:sz w:val="20"/>
        </w:rPr>
      </w:pPr>
      <w:r w:rsidRPr="00B94E17">
        <w:rPr>
          <w:rFonts w:asciiTheme="minorHAnsi" w:hAnsiTheme="minorHAnsi" w:cstheme="minorHAnsi"/>
          <w:sz w:val="20"/>
        </w:rPr>
        <w:t>4.4</w:t>
      </w:r>
      <w:r w:rsidR="00B0084B" w:rsidRPr="00B94E17">
        <w:rPr>
          <w:rFonts w:asciiTheme="minorHAnsi" w:hAnsiTheme="minorHAnsi" w:cstheme="minorHAnsi"/>
          <w:sz w:val="20"/>
        </w:rPr>
        <w:t xml:space="preserve"> The role of the independent board of directors</w:t>
      </w:r>
    </w:p>
    <w:p w14:paraId="7FCFBDC9"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Empirical evidence highlights a negative relationship between board independence and earnings management (</w:t>
      </w:r>
      <w:proofErr w:type="spellStart"/>
      <w:r w:rsidRPr="00B0084B">
        <w:rPr>
          <w:rFonts w:asciiTheme="minorHAnsi" w:hAnsiTheme="minorHAnsi" w:cstheme="minorHAnsi"/>
        </w:rPr>
        <w:t>Dahya</w:t>
      </w:r>
      <w:proofErr w:type="spellEnd"/>
      <w:r w:rsidRPr="00B0084B">
        <w:rPr>
          <w:rFonts w:asciiTheme="minorHAnsi" w:hAnsiTheme="minorHAnsi" w:cstheme="minorHAnsi"/>
        </w:rPr>
        <w:t xml:space="preserve"> and McConnell, 2007). One of the primary factors underpinning the success of the independent directors in reducing the earnings management in a business is that they are in a better position to withstand the pressure from the various stakeholders of the company to manipulate earnings due to their independence from the company (</w:t>
      </w:r>
      <w:proofErr w:type="spellStart"/>
      <w:r w:rsidRPr="00B0084B">
        <w:rPr>
          <w:rFonts w:asciiTheme="minorHAnsi" w:hAnsiTheme="minorHAnsi" w:cstheme="minorHAnsi"/>
        </w:rPr>
        <w:t>Busirin</w:t>
      </w:r>
      <w:proofErr w:type="spellEnd"/>
      <w:r w:rsidRPr="00B0084B">
        <w:rPr>
          <w:rFonts w:asciiTheme="minorHAnsi" w:hAnsiTheme="minorHAnsi" w:cstheme="minorHAnsi"/>
        </w:rPr>
        <w:t xml:space="preserve">, </w:t>
      </w:r>
      <w:proofErr w:type="spellStart"/>
      <w:r w:rsidRPr="00B0084B">
        <w:rPr>
          <w:rFonts w:asciiTheme="minorHAnsi" w:hAnsiTheme="minorHAnsi" w:cstheme="minorHAnsi"/>
        </w:rPr>
        <w:t>Azmi</w:t>
      </w:r>
      <w:proofErr w:type="spellEnd"/>
      <w:r w:rsidRPr="00B0084B">
        <w:rPr>
          <w:rFonts w:asciiTheme="minorHAnsi" w:hAnsiTheme="minorHAnsi" w:cstheme="minorHAnsi"/>
        </w:rPr>
        <w:t xml:space="preserve">, and </w:t>
      </w:r>
      <w:proofErr w:type="spellStart"/>
      <w:r w:rsidRPr="00B0084B">
        <w:rPr>
          <w:rFonts w:asciiTheme="minorHAnsi" w:hAnsiTheme="minorHAnsi" w:cstheme="minorHAnsi"/>
        </w:rPr>
        <w:t>Zakaria</w:t>
      </w:r>
      <w:proofErr w:type="spellEnd"/>
      <w:r w:rsidRPr="00B0084B">
        <w:rPr>
          <w:rFonts w:asciiTheme="minorHAnsi" w:hAnsiTheme="minorHAnsi" w:cstheme="minorHAnsi"/>
        </w:rPr>
        <w:t>, 2015). Furthermore, the absence of any linkages between the remuneration of the independent directors and the overall performance of the underlying business further enhances their ability to monitor the financial reporting process of a business without any bias (Kapoor, 2019)</w:t>
      </w:r>
    </w:p>
    <w:p w14:paraId="5FB0C646" w14:textId="77777777" w:rsidR="00B0084B" w:rsidRPr="00B0084B" w:rsidRDefault="00B0084B" w:rsidP="00B0084B">
      <w:pPr>
        <w:jc w:val="both"/>
        <w:rPr>
          <w:rFonts w:asciiTheme="minorHAnsi" w:hAnsiTheme="minorHAnsi" w:cstheme="minorHAnsi"/>
        </w:rPr>
      </w:pPr>
    </w:p>
    <w:p w14:paraId="1BB347D2" w14:textId="73CD41F2" w:rsidR="00B0084B" w:rsidRDefault="00FD176D" w:rsidP="00FD176D">
      <w:pPr>
        <w:pStyle w:val="Heading2"/>
        <w:keepNext/>
        <w:keepLines/>
        <w:numPr>
          <w:ilvl w:val="0"/>
          <w:numId w:val="0"/>
        </w:numPr>
        <w:autoSpaceDE/>
        <w:autoSpaceDN/>
        <w:adjustRightInd/>
        <w:spacing w:before="40" w:after="0" w:line="259" w:lineRule="auto"/>
        <w:ind w:left="851" w:hanging="851"/>
        <w:contextualSpacing w:val="0"/>
        <w:rPr>
          <w:rFonts w:asciiTheme="minorHAnsi" w:hAnsiTheme="minorHAnsi" w:cstheme="minorHAnsi"/>
          <w:sz w:val="20"/>
        </w:rPr>
      </w:pPr>
      <w:r w:rsidRPr="00B94E17">
        <w:rPr>
          <w:rFonts w:asciiTheme="minorHAnsi" w:hAnsiTheme="minorHAnsi" w:cstheme="minorHAnsi"/>
          <w:sz w:val="20"/>
        </w:rPr>
        <w:t>4.5</w:t>
      </w:r>
      <w:proofErr w:type="gramStart"/>
      <w:r w:rsidRPr="00B94E17">
        <w:rPr>
          <w:rFonts w:asciiTheme="minorHAnsi" w:hAnsiTheme="minorHAnsi" w:cstheme="minorHAnsi"/>
          <w:sz w:val="20"/>
        </w:rPr>
        <w:t>.</w:t>
      </w:r>
      <w:r w:rsidR="00B0084B" w:rsidRPr="00B94E17">
        <w:rPr>
          <w:rFonts w:asciiTheme="minorHAnsi" w:hAnsiTheme="minorHAnsi" w:cstheme="minorHAnsi"/>
          <w:sz w:val="20"/>
        </w:rPr>
        <w:t>The</w:t>
      </w:r>
      <w:proofErr w:type="gramEnd"/>
      <w:r w:rsidR="00B0084B" w:rsidRPr="00B94E17">
        <w:rPr>
          <w:rFonts w:asciiTheme="minorHAnsi" w:hAnsiTheme="minorHAnsi" w:cstheme="minorHAnsi"/>
          <w:sz w:val="20"/>
        </w:rPr>
        <w:t xml:space="preserve"> role of the audit committee</w:t>
      </w:r>
    </w:p>
    <w:p w14:paraId="1C9EDF96" w14:textId="77777777" w:rsidR="00483553" w:rsidRDefault="00483553" w:rsidP="003703BB"/>
    <w:p w14:paraId="030B3994" w14:textId="6D9D223B" w:rsidR="00B0084B" w:rsidRDefault="00B0084B" w:rsidP="003703BB">
      <w:r w:rsidRPr="00B0084B">
        <w:t>Existence of audit committee plays a crucial role in monitoring the robustness of the internal controls and the qu</w:t>
      </w:r>
      <w:r w:rsidR="003703BB">
        <w:t>ality of financial information.</w:t>
      </w:r>
      <w:r w:rsidRPr="00B0084B">
        <w:t xml:space="preserve"> </w:t>
      </w:r>
      <w:r w:rsidRPr="00A77173">
        <w:rPr>
          <w:rStyle w:val="Hyperlink"/>
          <w:rFonts w:asciiTheme="minorHAnsi" w:hAnsiTheme="minorHAnsi" w:cstheme="minorHAnsi"/>
          <w:color w:val="auto"/>
          <w:u w:val="none"/>
        </w:rPr>
        <w:t xml:space="preserve">Habbash (2012) asserts that a primary benefit of having an audit committee in a business organisation is that it deters the employees at all levels from engaging in earnings management by increasing the likelihood of getting caught. Furthermore, as the audit committees usually comprise of professionals with a significant experience in the profession of accounting, they contribute to improving the overall control environment of an organisation by instituting the best industry practices, thereby reducing the scope for the employees to engage in the practice of earnings </w:t>
      </w:r>
      <w:proofErr w:type="gramStart"/>
      <w:r w:rsidRPr="00A77173">
        <w:rPr>
          <w:rStyle w:val="Hyperlink"/>
          <w:rFonts w:asciiTheme="minorHAnsi" w:hAnsiTheme="minorHAnsi" w:cstheme="minorHAnsi"/>
          <w:color w:val="auto"/>
          <w:u w:val="none"/>
        </w:rPr>
        <w:t>management  (</w:t>
      </w:r>
      <w:proofErr w:type="gramEnd"/>
      <w:r w:rsidR="00A77173" w:rsidRPr="00A77173">
        <w:rPr>
          <w:rStyle w:val="Hyperlink"/>
          <w:rFonts w:asciiTheme="minorHAnsi" w:hAnsiTheme="minorHAnsi" w:cstheme="minorHAnsi"/>
          <w:color w:val="auto"/>
          <w:u w:val="none"/>
        </w:rPr>
        <w:t>Piot and Janin, 2007)</w:t>
      </w:r>
      <w:r w:rsidRPr="00A77173">
        <w:t xml:space="preserve"> </w:t>
      </w:r>
    </w:p>
    <w:p w14:paraId="3FE0924F" w14:textId="77777777" w:rsidR="00B94E17" w:rsidRDefault="00B94E17" w:rsidP="00B94E17"/>
    <w:p w14:paraId="2559C09C" w14:textId="77777777" w:rsidR="00B94E17" w:rsidRPr="00B94E17" w:rsidRDefault="00B94E17" w:rsidP="00B94E17"/>
    <w:p w14:paraId="60ACA4B3" w14:textId="623DF0EB" w:rsidR="00B0084B" w:rsidRPr="00A77173" w:rsidRDefault="00B0084B" w:rsidP="00E45A0E">
      <w:pPr>
        <w:pStyle w:val="Heading1"/>
        <w:keepNext/>
        <w:keepLines/>
        <w:numPr>
          <w:ilvl w:val="0"/>
          <w:numId w:val="5"/>
        </w:numPr>
        <w:autoSpaceDE/>
        <w:autoSpaceDN/>
        <w:adjustRightInd/>
        <w:spacing w:before="240" w:after="0" w:line="259" w:lineRule="auto"/>
        <w:contextualSpacing w:val="0"/>
        <w:rPr>
          <w:rFonts w:asciiTheme="minorHAnsi" w:hAnsiTheme="minorHAnsi" w:cstheme="minorHAnsi"/>
          <w:sz w:val="24"/>
          <w:szCs w:val="24"/>
        </w:rPr>
      </w:pPr>
      <w:r w:rsidRPr="00A77173">
        <w:rPr>
          <w:rFonts w:asciiTheme="minorHAnsi" w:hAnsiTheme="minorHAnsi" w:cstheme="minorHAnsi"/>
          <w:sz w:val="24"/>
          <w:szCs w:val="24"/>
        </w:rPr>
        <w:t>Conclusion</w:t>
      </w:r>
    </w:p>
    <w:p w14:paraId="199A3575" w14:textId="77777777" w:rsidR="00B0084B" w:rsidRPr="00B0084B" w:rsidRDefault="00B0084B" w:rsidP="00B0084B">
      <w:pPr>
        <w:rPr>
          <w:rFonts w:asciiTheme="minorHAnsi" w:hAnsiTheme="minorHAnsi" w:cstheme="minorHAnsi"/>
        </w:rPr>
      </w:pPr>
    </w:p>
    <w:p w14:paraId="5A37613D" w14:textId="77777777" w:rsidR="00B0084B" w:rsidRPr="00B0084B" w:rsidRDefault="00B0084B" w:rsidP="00B0084B">
      <w:pPr>
        <w:rPr>
          <w:rFonts w:asciiTheme="minorHAnsi" w:hAnsiTheme="minorHAnsi" w:cstheme="minorHAnsi"/>
        </w:rPr>
      </w:pPr>
      <w:r w:rsidRPr="00B0084B">
        <w:rPr>
          <w:rFonts w:asciiTheme="minorHAnsi" w:hAnsiTheme="minorHAnsi" w:cstheme="minorHAnsi"/>
        </w:rPr>
        <w:t xml:space="preserve">Earnings management leads to the destruction of shareholders’ value in the long-term. Managers’ incentives to maximise their personal gains along with the pressure to meet the expectations of capital market participants contribute to earnings management within an organisation. Although the UK corporate governance framework is constantly evolving with the objective of constraining earnings management, the progress is far from ideal. Improving the effectiveness of corporate governance is critical to constraining earnings management and reinstating the credibility of the numbers contained within the financial statements. </w:t>
      </w:r>
    </w:p>
    <w:p w14:paraId="5AFD443F" w14:textId="101E0A07" w:rsidR="00B0084B" w:rsidRDefault="00B0084B" w:rsidP="00E45A0E">
      <w:pPr>
        <w:pStyle w:val="Heading1"/>
        <w:keepNext/>
        <w:keepLines/>
        <w:numPr>
          <w:ilvl w:val="0"/>
          <w:numId w:val="5"/>
        </w:numPr>
        <w:autoSpaceDE/>
        <w:autoSpaceDN/>
        <w:adjustRightInd/>
        <w:spacing w:before="240" w:after="0" w:line="259" w:lineRule="auto"/>
        <w:contextualSpacing w:val="0"/>
        <w:jc w:val="both"/>
        <w:rPr>
          <w:rFonts w:asciiTheme="minorHAnsi" w:hAnsiTheme="minorHAnsi" w:cstheme="minorHAnsi"/>
          <w:sz w:val="22"/>
        </w:rPr>
      </w:pPr>
      <w:r w:rsidRPr="00B94E17">
        <w:rPr>
          <w:rFonts w:asciiTheme="minorHAnsi" w:hAnsiTheme="minorHAnsi" w:cstheme="minorHAnsi"/>
          <w:sz w:val="22"/>
        </w:rPr>
        <w:t>Recommendations</w:t>
      </w:r>
    </w:p>
    <w:p w14:paraId="1E9C21B6" w14:textId="77777777" w:rsidR="00B94E17" w:rsidRPr="00B94E17" w:rsidRDefault="00B94E17" w:rsidP="00B94E17"/>
    <w:p w14:paraId="412FFC1A"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The corporate governance framework in the United Kingdom needs to evolve in order to ensure a higher degree of transparency with respect to the remunerations of the key management personnel. Although, the remuneration of the key management personnel is disclosed in the financial statements, the corporate governance framework could be further improved by making it mandatory to disclose about the drivers of the variable pay component of the key management personnel (ICAEW, 2013). </w:t>
      </w:r>
    </w:p>
    <w:p w14:paraId="68E75BC4" w14:textId="77777777" w:rsidR="00B0084B" w:rsidRPr="00B0084B" w:rsidRDefault="00B0084B" w:rsidP="00B0084B">
      <w:pPr>
        <w:jc w:val="both"/>
        <w:rPr>
          <w:rFonts w:asciiTheme="minorHAnsi" w:hAnsiTheme="minorHAnsi" w:cstheme="minorHAnsi"/>
        </w:rPr>
      </w:pPr>
      <w:r w:rsidRPr="00B0084B">
        <w:rPr>
          <w:rFonts w:asciiTheme="minorHAnsi" w:hAnsiTheme="minorHAnsi" w:cstheme="minorHAnsi"/>
        </w:rPr>
        <w:t xml:space="preserve">Secondly, the corporate governance framework should require the non-executive directors and the audit committee of a company to independently verify the key financial metrics reported in the financial statements of a company (ICAEW, 2012a). Furthermore, it should be mandatory for the independent directors to comment on the degree of ease with which the management of the company was able to achieve its targets. Such enhanced disclosures from the independent directors would provide valuable information to the users of the financial statements to assess the degree of risk in the financial reporting activity of a business. </w:t>
      </w:r>
    </w:p>
    <w:p w14:paraId="0ED34B52" w14:textId="77777777" w:rsidR="00B0084B" w:rsidRDefault="00B0084B" w:rsidP="00B0084B"/>
    <w:p w14:paraId="58310FDE" w14:textId="77777777" w:rsidR="00B0084B" w:rsidRDefault="00B0084B" w:rsidP="00B0084B"/>
    <w:p w14:paraId="6D3AA125" w14:textId="77777777" w:rsidR="00B0084B" w:rsidRDefault="00B0084B" w:rsidP="00B0084B"/>
    <w:p w14:paraId="7D44FF0D" w14:textId="77777777" w:rsidR="00B0084B" w:rsidRDefault="00B0084B" w:rsidP="00B0084B"/>
    <w:p w14:paraId="5AF9843E" w14:textId="77777777" w:rsidR="00B0084B" w:rsidRDefault="00B0084B" w:rsidP="00B0084B"/>
    <w:p w14:paraId="3153155E" w14:textId="77777777" w:rsidR="00B0084B" w:rsidRDefault="00B0084B" w:rsidP="00B0084B"/>
    <w:p w14:paraId="5B677EA1" w14:textId="77777777" w:rsidR="00B0084B" w:rsidRDefault="00B0084B" w:rsidP="00B0084B"/>
    <w:p w14:paraId="2C71CB45" w14:textId="77777777" w:rsidR="00B0084B" w:rsidRDefault="00B0084B" w:rsidP="00B0084B"/>
    <w:p w14:paraId="248FD54F" w14:textId="77777777" w:rsidR="00B0084B" w:rsidRDefault="00B0084B" w:rsidP="00B0084B"/>
    <w:p w14:paraId="3CF6F6DD" w14:textId="77777777" w:rsidR="00B0084B" w:rsidRDefault="00B0084B" w:rsidP="00B0084B"/>
    <w:p w14:paraId="69695AD8" w14:textId="77777777" w:rsidR="00B0084B" w:rsidRDefault="00B0084B" w:rsidP="00B0084B"/>
    <w:p w14:paraId="2A03AC30" w14:textId="77777777" w:rsidR="00B0084B" w:rsidRPr="00E1545C" w:rsidRDefault="00B0084B" w:rsidP="00B0084B"/>
    <w:p w14:paraId="0637B213" w14:textId="51A4ABA8" w:rsidR="00B0084B" w:rsidRPr="00B94E17" w:rsidRDefault="00B0084B" w:rsidP="00E45A0E">
      <w:pPr>
        <w:pStyle w:val="ListParagraph"/>
        <w:numPr>
          <w:ilvl w:val="0"/>
          <w:numId w:val="5"/>
        </w:numPr>
        <w:rPr>
          <w:rFonts w:asciiTheme="minorHAnsi" w:hAnsiTheme="minorHAnsi" w:cstheme="minorHAnsi"/>
          <w:b/>
          <w:sz w:val="24"/>
          <w:szCs w:val="24"/>
        </w:rPr>
      </w:pPr>
      <w:r w:rsidRPr="00B94E17">
        <w:rPr>
          <w:rFonts w:asciiTheme="minorHAnsi" w:hAnsiTheme="minorHAnsi" w:cstheme="minorHAnsi"/>
          <w:b/>
          <w:sz w:val="24"/>
          <w:szCs w:val="24"/>
        </w:rPr>
        <w:t>Reference</w:t>
      </w:r>
      <w:r w:rsidR="00712A92">
        <w:rPr>
          <w:rFonts w:asciiTheme="minorHAnsi" w:hAnsiTheme="minorHAnsi" w:cstheme="minorHAnsi"/>
          <w:b/>
          <w:sz w:val="24"/>
          <w:szCs w:val="24"/>
        </w:rPr>
        <w:t>s</w:t>
      </w:r>
      <w:bookmarkStart w:id="2" w:name="_GoBack"/>
      <w:bookmarkEnd w:id="2"/>
    </w:p>
    <w:p w14:paraId="2AAA34D4" w14:textId="77777777" w:rsidR="00A77173" w:rsidRPr="00FD176D" w:rsidRDefault="00A77173" w:rsidP="00A77173">
      <w:pPr>
        <w:pStyle w:val="ListParagraph"/>
        <w:ind w:left="1440"/>
        <w:rPr>
          <w:b/>
          <w:sz w:val="24"/>
          <w:szCs w:val="24"/>
          <w:u w:val="single"/>
        </w:rPr>
      </w:pPr>
    </w:p>
    <w:p w14:paraId="21B74045" w14:textId="77777777" w:rsidR="00B0084B" w:rsidRPr="00782080" w:rsidRDefault="00B0084B" w:rsidP="00B0084B">
      <w:pPr>
        <w:tabs>
          <w:tab w:val="left" w:pos="0"/>
        </w:tabs>
      </w:pPr>
      <w:r>
        <w:t xml:space="preserve">ACCA Global, 2008, </w:t>
      </w:r>
      <w:r>
        <w:rPr>
          <w:i/>
        </w:rPr>
        <w:t>What is earnings management</w:t>
      </w:r>
      <w:proofErr w:type="gramStart"/>
      <w:r>
        <w:rPr>
          <w:i/>
        </w:rPr>
        <w:t>?,</w:t>
      </w:r>
      <w:proofErr w:type="gramEnd"/>
      <w:r>
        <w:rPr>
          <w:i/>
        </w:rPr>
        <w:t xml:space="preserve"> </w:t>
      </w:r>
      <w:r>
        <w:t>Accessed on 12</w:t>
      </w:r>
      <w:r w:rsidRPr="00782080">
        <w:rPr>
          <w:vertAlign w:val="superscript"/>
        </w:rPr>
        <w:t>th</w:t>
      </w:r>
      <w:r>
        <w:t xml:space="preserve"> March 2020 at: </w:t>
      </w:r>
      <w:hyperlink r:id="rId19" w:history="1">
        <w:r>
          <w:rPr>
            <w:rStyle w:val="Hyperlink"/>
          </w:rPr>
          <w:t>https://www.accaglobal.com/my/en/student/exam-support-resources/professional-exams-study-resources/p7/technical-articles/massaging-the-figures.html</w:t>
        </w:r>
      </w:hyperlink>
    </w:p>
    <w:p w14:paraId="0E2967D8" w14:textId="77777777" w:rsidR="00B0084B" w:rsidRDefault="00B0084B" w:rsidP="00B0084B">
      <w:proofErr w:type="gramStart"/>
      <w:r>
        <w:t xml:space="preserve">BBC, 2018, </w:t>
      </w:r>
      <w:proofErr w:type="spellStart"/>
      <w:r>
        <w:rPr>
          <w:i/>
        </w:rPr>
        <w:t>Pattiserie</w:t>
      </w:r>
      <w:proofErr w:type="spellEnd"/>
      <w:r>
        <w:rPr>
          <w:i/>
        </w:rPr>
        <w:t xml:space="preserve"> Valerie auditor faces probe over alleged fraud.</w:t>
      </w:r>
      <w:proofErr w:type="gramEnd"/>
      <w:r>
        <w:rPr>
          <w:i/>
        </w:rPr>
        <w:t xml:space="preserve"> </w:t>
      </w:r>
      <w:r>
        <w:t>Accessed on 26</w:t>
      </w:r>
      <w:r w:rsidRPr="007043AC">
        <w:rPr>
          <w:vertAlign w:val="superscript"/>
        </w:rPr>
        <w:t>th</w:t>
      </w:r>
      <w:r>
        <w:t xml:space="preserve"> March 2020 at: </w:t>
      </w:r>
      <w:hyperlink r:id="rId20" w:history="1">
        <w:r>
          <w:rPr>
            <w:rStyle w:val="Hyperlink"/>
          </w:rPr>
          <w:t>https://www.bbc.com/news/business-46286934</w:t>
        </w:r>
      </w:hyperlink>
    </w:p>
    <w:p w14:paraId="65817599" w14:textId="77777777" w:rsidR="00B0084B" w:rsidRPr="00646B04" w:rsidRDefault="00B0084B" w:rsidP="00B0084B">
      <w:proofErr w:type="spellStart"/>
      <w:r>
        <w:t>Busirin</w:t>
      </w:r>
      <w:proofErr w:type="spellEnd"/>
      <w:r>
        <w:t xml:space="preserve">, M., </w:t>
      </w:r>
      <w:proofErr w:type="spellStart"/>
      <w:r>
        <w:t>Azmi</w:t>
      </w:r>
      <w:proofErr w:type="spellEnd"/>
      <w:r>
        <w:t xml:space="preserve">, N. and </w:t>
      </w:r>
      <w:proofErr w:type="spellStart"/>
      <w:r>
        <w:t>Zakaria</w:t>
      </w:r>
      <w:proofErr w:type="spellEnd"/>
      <w:r>
        <w:t xml:space="preserve">, N., 2015, How effective is the Board Independence to the monitoring of earnings manipulation, </w:t>
      </w:r>
      <w:r>
        <w:rPr>
          <w:i/>
        </w:rPr>
        <w:t xml:space="preserve">Procedia Economics and Finance, </w:t>
      </w:r>
      <w:r>
        <w:t>vol. 31 (no.1), pp. 462-469</w:t>
      </w:r>
    </w:p>
    <w:p w14:paraId="32896E43" w14:textId="77777777" w:rsidR="00B0084B" w:rsidRPr="00D92739" w:rsidRDefault="00B0084B" w:rsidP="00B0084B">
      <w:r>
        <w:t xml:space="preserve">BBC, 2019, </w:t>
      </w:r>
      <w:proofErr w:type="spellStart"/>
      <w:r>
        <w:rPr>
          <w:i/>
        </w:rPr>
        <w:t>Pattiserie</w:t>
      </w:r>
      <w:proofErr w:type="spellEnd"/>
      <w:r>
        <w:rPr>
          <w:i/>
        </w:rPr>
        <w:t xml:space="preserve"> Valerie says accounting scandal worse than thought. </w:t>
      </w:r>
      <w:r>
        <w:t>Accessed on 12</w:t>
      </w:r>
      <w:r w:rsidRPr="00D92739">
        <w:rPr>
          <w:vertAlign w:val="superscript"/>
        </w:rPr>
        <w:t>th</w:t>
      </w:r>
      <w:r>
        <w:t xml:space="preserve"> March 2020 at: </w:t>
      </w:r>
      <w:hyperlink r:id="rId21" w:history="1">
        <w:r>
          <w:rPr>
            <w:rStyle w:val="Hyperlink"/>
          </w:rPr>
          <w:t>https://www.bbc.com/news/business-46897543</w:t>
        </w:r>
      </w:hyperlink>
    </w:p>
    <w:p w14:paraId="5D57C798" w14:textId="77777777" w:rsidR="00B0084B" w:rsidRDefault="00B0084B" w:rsidP="00B0084B">
      <w:pPr>
        <w:ind w:left="720" w:hanging="720"/>
      </w:pPr>
      <w:proofErr w:type="spellStart"/>
      <w:r>
        <w:t>Beneish</w:t>
      </w:r>
      <w:proofErr w:type="spellEnd"/>
      <w:r>
        <w:t xml:space="preserve">, M., 2001, Earnings Management: A Perspective, </w:t>
      </w:r>
      <w:r>
        <w:rPr>
          <w:i/>
        </w:rPr>
        <w:t xml:space="preserve">Managerial Finance, </w:t>
      </w:r>
      <w:r>
        <w:t>vol. 27 (no. 12), pp. 3-17</w:t>
      </w:r>
    </w:p>
    <w:p w14:paraId="0B910876" w14:textId="77777777" w:rsidR="00B0084B" w:rsidRDefault="00B0084B" w:rsidP="00B0084B">
      <w:r>
        <w:t xml:space="preserve">Christensen, C. and </w:t>
      </w:r>
      <w:proofErr w:type="spellStart"/>
      <w:r>
        <w:t>Raynor</w:t>
      </w:r>
      <w:proofErr w:type="spellEnd"/>
      <w:r>
        <w:t xml:space="preserve">, M., 2003, </w:t>
      </w:r>
      <w:proofErr w:type="gramStart"/>
      <w:r>
        <w:t>Why</w:t>
      </w:r>
      <w:proofErr w:type="gramEnd"/>
      <w:r>
        <w:t xml:space="preserve"> hard-nosed executives should care about management theory, </w:t>
      </w:r>
      <w:r>
        <w:rPr>
          <w:i/>
        </w:rPr>
        <w:t xml:space="preserve">Harvard Business Review, </w:t>
      </w:r>
      <w:r>
        <w:t>pp. 1-6</w:t>
      </w:r>
    </w:p>
    <w:p w14:paraId="55FE3C1B" w14:textId="77777777" w:rsidR="00B0084B" w:rsidRDefault="00B0084B" w:rsidP="00B0084B">
      <w:proofErr w:type="spellStart"/>
      <w:r>
        <w:t>Dahya</w:t>
      </w:r>
      <w:proofErr w:type="spellEnd"/>
      <w:r>
        <w:t xml:space="preserve">, J. and McConnell, J., 2007, Board Composition, Corporate Performance and the Cadbury Committee Recommendation, </w:t>
      </w:r>
      <w:r>
        <w:rPr>
          <w:i/>
        </w:rPr>
        <w:t xml:space="preserve">Journal of financial and Quantitative Analysis, </w:t>
      </w:r>
      <w:r>
        <w:t>vol. 42 (no. 3), pp. 535-564</w:t>
      </w:r>
    </w:p>
    <w:p w14:paraId="1554BC37" w14:textId="77777777" w:rsidR="00B0084B" w:rsidRDefault="00B0084B" w:rsidP="00B0084B">
      <w:pPr>
        <w:rPr>
          <w:rStyle w:val="Hyperlink"/>
        </w:rPr>
      </w:pPr>
      <w:r>
        <w:t xml:space="preserve">Financial Times, 2019, </w:t>
      </w:r>
      <w:r>
        <w:rPr>
          <w:i/>
        </w:rPr>
        <w:t xml:space="preserve">How Patisserie Valerie’s recipe turned sour. </w:t>
      </w:r>
      <w:r>
        <w:t>Accessed on 12</w:t>
      </w:r>
      <w:r w:rsidRPr="00AE05CC">
        <w:rPr>
          <w:vertAlign w:val="superscript"/>
        </w:rPr>
        <w:t>th</w:t>
      </w:r>
      <w:r>
        <w:t xml:space="preserve"> March 2020 at: </w:t>
      </w:r>
      <w:hyperlink r:id="rId22" w:history="1">
        <w:r>
          <w:rPr>
            <w:rStyle w:val="Hyperlink"/>
          </w:rPr>
          <w:t>https://www.ft.com/content/78c1d05a-0c1c-11e9-acdc-4d9976f1533b</w:t>
        </w:r>
      </w:hyperlink>
    </w:p>
    <w:p w14:paraId="6EC54CBD" w14:textId="77777777" w:rsidR="00B0084B" w:rsidRPr="00F17C59" w:rsidRDefault="00B0084B" w:rsidP="00B0084B">
      <w:proofErr w:type="spellStart"/>
      <w:r>
        <w:rPr>
          <w:rStyle w:val="Hyperlink"/>
        </w:rPr>
        <w:t>Habbash</w:t>
      </w:r>
      <w:proofErr w:type="spellEnd"/>
      <w:r>
        <w:rPr>
          <w:rStyle w:val="Hyperlink"/>
        </w:rPr>
        <w:t xml:space="preserve">, M., 2012, Earnings Management, Audit Committee Effectiveness and the role of </w:t>
      </w:r>
      <w:proofErr w:type="spellStart"/>
      <w:r>
        <w:rPr>
          <w:rStyle w:val="Hyperlink"/>
        </w:rPr>
        <w:t>Blockholders</w:t>
      </w:r>
      <w:proofErr w:type="spellEnd"/>
      <w:r>
        <w:rPr>
          <w:rStyle w:val="Hyperlink"/>
        </w:rPr>
        <w:t xml:space="preserve"> Ownership, Evidence from UK large firms, </w:t>
      </w:r>
      <w:r>
        <w:rPr>
          <w:rStyle w:val="Hyperlink"/>
          <w:i/>
        </w:rPr>
        <w:t xml:space="preserve">Journal of Governance and Regulation, </w:t>
      </w:r>
      <w:r>
        <w:rPr>
          <w:rStyle w:val="Hyperlink"/>
        </w:rPr>
        <w:t>vol. 1 (no.4), pp. 100-116</w:t>
      </w:r>
    </w:p>
    <w:p w14:paraId="221DE8CC" w14:textId="77777777" w:rsidR="00B0084B" w:rsidRDefault="00B0084B" w:rsidP="00B0084B">
      <w:r>
        <w:t xml:space="preserve">ICAEW, 2012a, </w:t>
      </w:r>
      <w:r>
        <w:rPr>
          <w:i/>
        </w:rPr>
        <w:t xml:space="preserve">Financial Accounting Study Manual, </w:t>
      </w:r>
      <w:r>
        <w:t>7</w:t>
      </w:r>
      <w:r w:rsidRPr="00C24F13">
        <w:rPr>
          <w:vertAlign w:val="superscript"/>
        </w:rPr>
        <w:t>th</w:t>
      </w:r>
      <w:r>
        <w:t xml:space="preserve"> Edition, Exeter, Polestar </w:t>
      </w:r>
      <w:proofErr w:type="spellStart"/>
      <w:r>
        <w:t>Wheatons</w:t>
      </w:r>
      <w:proofErr w:type="spellEnd"/>
      <w:r>
        <w:t xml:space="preserve"> </w:t>
      </w:r>
    </w:p>
    <w:p w14:paraId="7078906E" w14:textId="77777777" w:rsidR="00B0084B" w:rsidRDefault="00B0084B" w:rsidP="00B0084B">
      <w:r>
        <w:t xml:space="preserve">ICAEW, 2012b, </w:t>
      </w:r>
      <w:r>
        <w:rPr>
          <w:i/>
        </w:rPr>
        <w:t xml:space="preserve">Financial Reporting Study Manual, </w:t>
      </w:r>
      <w:r>
        <w:t>7</w:t>
      </w:r>
      <w:r w:rsidRPr="00782080">
        <w:rPr>
          <w:vertAlign w:val="superscript"/>
        </w:rPr>
        <w:t>th</w:t>
      </w:r>
      <w:r>
        <w:t xml:space="preserve"> Edition, Exeter, Polestar </w:t>
      </w:r>
      <w:proofErr w:type="spellStart"/>
      <w:r>
        <w:t>Wheatons</w:t>
      </w:r>
      <w:proofErr w:type="spellEnd"/>
    </w:p>
    <w:p w14:paraId="5C49C040" w14:textId="77777777" w:rsidR="00B0084B" w:rsidRDefault="00B0084B" w:rsidP="00B0084B">
      <w:r>
        <w:t xml:space="preserve">ICAEW, 2012c, </w:t>
      </w:r>
      <w:r>
        <w:rPr>
          <w:i/>
        </w:rPr>
        <w:t xml:space="preserve">Audit and Assurance Study Manual, </w:t>
      </w:r>
      <w:r>
        <w:t>7</w:t>
      </w:r>
      <w:r w:rsidRPr="00A75004">
        <w:rPr>
          <w:vertAlign w:val="superscript"/>
        </w:rPr>
        <w:t>th</w:t>
      </w:r>
      <w:r>
        <w:t xml:space="preserve"> Edition, Exeter, Polestar </w:t>
      </w:r>
      <w:proofErr w:type="spellStart"/>
      <w:r>
        <w:t>Wheatons</w:t>
      </w:r>
      <w:proofErr w:type="spellEnd"/>
      <w:r>
        <w:t xml:space="preserve">  </w:t>
      </w:r>
    </w:p>
    <w:p w14:paraId="14612D7F" w14:textId="77777777" w:rsidR="00B0084B" w:rsidRDefault="00B0084B" w:rsidP="00B0084B">
      <w:r>
        <w:t xml:space="preserve">ICAEW, 2012d, </w:t>
      </w:r>
      <w:r>
        <w:rPr>
          <w:i/>
        </w:rPr>
        <w:t xml:space="preserve">Business Strategy Study Manual, </w:t>
      </w:r>
      <w:r>
        <w:t>7</w:t>
      </w:r>
      <w:r w:rsidRPr="00A75004">
        <w:rPr>
          <w:vertAlign w:val="superscript"/>
        </w:rPr>
        <w:t>th</w:t>
      </w:r>
      <w:r>
        <w:t xml:space="preserve"> Edition, Exeter, Polestar </w:t>
      </w:r>
      <w:proofErr w:type="spellStart"/>
      <w:r>
        <w:t>Wheatons</w:t>
      </w:r>
      <w:proofErr w:type="spellEnd"/>
    </w:p>
    <w:p w14:paraId="6F1B173B" w14:textId="77777777" w:rsidR="00B0084B" w:rsidRPr="005F31D5" w:rsidRDefault="00B0084B" w:rsidP="00B0084B">
      <w:r>
        <w:t xml:space="preserve">ICAEW, 2012e, </w:t>
      </w:r>
      <w:r>
        <w:rPr>
          <w:i/>
        </w:rPr>
        <w:t xml:space="preserve">Financial Management Study Manual, </w:t>
      </w:r>
      <w:r>
        <w:t>7</w:t>
      </w:r>
      <w:r w:rsidRPr="005F31D5">
        <w:rPr>
          <w:vertAlign w:val="superscript"/>
        </w:rPr>
        <w:t>th</w:t>
      </w:r>
      <w:r>
        <w:t xml:space="preserve"> Edition, Exeter, Polestar </w:t>
      </w:r>
      <w:proofErr w:type="spellStart"/>
      <w:r>
        <w:t>Wheatons</w:t>
      </w:r>
      <w:proofErr w:type="spellEnd"/>
      <w:r>
        <w:t xml:space="preserve"> </w:t>
      </w:r>
    </w:p>
    <w:p w14:paraId="7D57382D" w14:textId="77777777" w:rsidR="00B0084B" w:rsidRDefault="00B0084B" w:rsidP="00B0084B">
      <w:r>
        <w:t xml:space="preserve">ICAEW, 2013, </w:t>
      </w:r>
      <w:r>
        <w:rPr>
          <w:i/>
        </w:rPr>
        <w:t xml:space="preserve">Financial Accounting and Reporting Study Manual, </w:t>
      </w:r>
      <w:r>
        <w:t>1</w:t>
      </w:r>
      <w:r w:rsidRPr="00C24F13">
        <w:rPr>
          <w:vertAlign w:val="superscript"/>
        </w:rPr>
        <w:t>st</w:t>
      </w:r>
      <w:r>
        <w:t xml:space="preserve"> Edition, Exeter, Polestar </w:t>
      </w:r>
      <w:proofErr w:type="spellStart"/>
      <w:r>
        <w:t>Wheatons</w:t>
      </w:r>
      <w:proofErr w:type="spellEnd"/>
    </w:p>
    <w:p w14:paraId="16131F65" w14:textId="77777777" w:rsidR="00B0084B" w:rsidRPr="006E5381" w:rsidRDefault="00B0084B" w:rsidP="00B0084B">
      <w:r>
        <w:lastRenderedPageBreak/>
        <w:t xml:space="preserve">Kapoor, N and </w:t>
      </w:r>
      <w:proofErr w:type="spellStart"/>
      <w:r>
        <w:t>Goel</w:t>
      </w:r>
      <w:proofErr w:type="spellEnd"/>
      <w:r>
        <w:t xml:space="preserve">, S., 2019, Do diligent independent directors restrain earnings management practices? Indian lessons for the global world, </w:t>
      </w:r>
      <w:r>
        <w:rPr>
          <w:i/>
        </w:rPr>
        <w:t xml:space="preserve">Asian Journal of Accounting Research, </w:t>
      </w:r>
      <w:r>
        <w:t>vol. 4 (no.1), pp. 52-69</w:t>
      </w:r>
    </w:p>
    <w:p w14:paraId="76A821B5" w14:textId="77777777" w:rsidR="00B0084B" w:rsidRDefault="00B0084B" w:rsidP="00B0084B">
      <w:proofErr w:type="gramStart"/>
      <w:r>
        <w:t xml:space="preserve">Libby, R., </w:t>
      </w:r>
      <w:proofErr w:type="spellStart"/>
      <w:r>
        <w:t>Rennekamp</w:t>
      </w:r>
      <w:proofErr w:type="spellEnd"/>
      <w:r>
        <w:t xml:space="preserve">, K. and </w:t>
      </w:r>
      <w:proofErr w:type="spellStart"/>
      <w:r>
        <w:t>Seybert</w:t>
      </w:r>
      <w:proofErr w:type="spellEnd"/>
      <w:r>
        <w:t>, N., 2015, Regulation and the interdependent roles of managers, auditors, and directors in earnings management and accounting choice.</w:t>
      </w:r>
      <w:proofErr w:type="gramEnd"/>
      <w:r>
        <w:t xml:space="preserve"> </w:t>
      </w:r>
      <w:proofErr w:type="gramStart"/>
      <w:r w:rsidRPr="00A75004">
        <w:t>Accounting, Organisations and Society.</w:t>
      </w:r>
      <w:proofErr w:type="gramEnd"/>
      <w:r w:rsidRPr="00A75004">
        <w:t xml:space="preserve"> </w:t>
      </w:r>
      <w:r>
        <w:t xml:space="preserve">Vol. 47, pp. 25-42 </w:t>
      </w:r>
    </w:p>
    <w:p w14:paraId="2B22098D" w14:textId="77777777" w:rsidR="00B0084B" w:rsidRPr="00E830F4" w:rsidRDefault="00B0084B" w:rsidP="00B0084B">
      <w:r>
        <w:t xml:space="preserve">Piot, C and </w:t>
      </w:r>
      <w:proofErr w:type="spellStart"/>
      <w:r>
        <w:t>Janin</w:t>
      </w:r>
      <w:proofErr w:type="spellEnd"/>
      <w:r>
        <w:t xml:space="preserve">, R., 2007, External Auditors, Audit Committees and Earnings Management in France, </w:t>
      </w:r>
      <w:r>
        <w:rPr>
          <w:i/>
        </w:rPr>
        <w:t xml:space="preserve">European Accounting Review, </w:t>
      </w:r>
      <w:r>
        <w:t>vol. 16 (no.2), pp. 429-454</w:t>
      </w:r>
    </w:p>
    <w:p w14:paraId="53D5362C" w14:textId="77777777" w:rsidR="00B0084B" w:rsidRDefault="00B0084B" w:rsidP="00B0084B">
      <w:r>
        <w:t xml:space="preserve">Rahman, M., </w:t>
      </w:r>
      <w:proofErr w:type="spellStart"/>
      <w:r>
        <w:t>Moniruzzaman</w:t>
      </w:r>
      <w:proofErr w:type="spellEnd"/>
      <w:r>
        <w:t xml:space="preserve">, M. and Sharif, J., 2013, Techniques, Motives and Controls of Earnings Management, </w:t>
      </w:r>
      <w:r>
        <w:rPr>
          <w:i/>
        </w:rPr>
        <w:t xml:space="preserve">International Journal of Information Technology and Business Management, </w:t>
      </w:r>
      <w:r>
        <w:t>vol. 11 (no.1), pp.22-34</w:t>
      </w:r>
    </w:p>
    <w:p w14:paraId="358C088E" w14:textId="79ECC999" w:rsidR="00B0084B" w:rsidRDefault="00B0084B" w:rsidP="00B0084B">
      <w:proofErr w:type="spellStart"/>
      <w:r>
        <w:t>SWlearning</w:t>
      </w:r>
      <w:proofErr w:type="spellEnd"/>
      <w:r>
        <w:t xml:space="preserve">, 2003, </w:t>
      </w:r>
      <w:proofErr w:type="gramStart"/>
      <w:r>
        <w:rPr>
          <w:i/>
        </w:rPr>
        <w:t>What</w:t>
      </w:r>
      <w:proofErr w:type="gramEnd"/>
      <w:r>
        <w:rPr>
          <w:i/>
        </w:rPr>
        <w:t xml:space="preserve"> is earnings management. </w:t>
      </w:r>
      <w:r w:rsidR="00A77173">
        <w:t>Accessed on 1</w:t>
      </w:r>
      <w:r>
        <w:t>6</w:t>
      </w:r>
      <w:r w:rsidRPr="001A012A">
        <w:rPr>
          <w:vertAlign w:val="superscript"/>
        </w:rPr>
        <w:t>th</w:t>
      </w:r>
      <w:r>
        <w:t xml:space="preserve"> March 2020 at: </w:t>
      </w:r>
      <w:hyperlink r:id="rId23" w:history="1">
        <w:r w:rsidRPr="002560AA">
          <w:rPr>
            <w:rStyle w:val="Hyperlink"/>
          </w:rPr>
          <w:t>http://www.swlearning.com/pdfs/chapter/0324223250_1.PDF</w:t>
        </w:r>
      </w:hyperlink>
    </w:p>
    <w:p w14:paraId="67A55CF0" w14:textId="77777777" w:rsidR="00C850FD" w:rsidRPr="00C850FD" w:rsidRDefault="00C850FD" w:rsidP="00B0084B">
      <w:pPr>
        <w:spacing w:line="360" w:lineRule="auto"/>
        <w:jc w:val="both"/>
      </w:pPr>
    </w:p>
    <w:sectPr w:rsidR="00C850FD" w:rsidRPr="00C850FD"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905E46" w14:textId="77777777" w:rsidR="00E45A0E" w:rsidRDefault="00E45A0E" w:rsidP="009B20F4">
      <w:pPr>
        <w:spacing w:after="0" w:line="240" w:lineRule="auto"/>
      </w:pPr>
      <w:r>
        <w:separator/>
      </w:r>
    </w:p>
  </w:endnote>
  <w:endnote w:type="continuationSeparator" w:id="0">
    <w:p w14:paraId="1E4DAA84" w14:textId="77777777" w:rsidR="00E45A0E" w:rsidRDefault="00E45A0E"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A77173" w:rsidRDefault="00E45A0E">
        <w:pPr>
          <w:pStyle w:val="Footer"/>
          <w:jc w:val="center"/>
        </w:pPr>
      </w:p>
    </w:sdtContent>
  </w:sdt>
  <w:p w14:paraId="0829C6EF" w14:textId="77777777" w:rsidR="00A77173" w:rsidRDefault="00A77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A77173" w:rsidRDefault="00A77173">
    <w:pPr>
      <w:pStyle w:val="Footer"/>
      <w:jc w:val="center"/>
    </w:pPr>
  </w:p>
  <w:p w14:paraId="2EB1AFE0" w14:textId="77777777" w:rsidR="00A77173" w:rsidRDefault="00A77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929712"/>
      <w:docPartObj>
        <w:docPartGallery w:val="Page Numbers (Bottom of Page)"/>
        <w:docPartUnique/>
      </w:docPartObj>
    </w:sdtPr>
    <w:sdtEndPr>
      <w:rPr>
        <w:noProof/>
      </w:rPr>
    </w:sdtEndPr>
    <w:sdtContent>
      <w:p w14:paraId="0F6B7989" w14:textId="65380458" w:rsidR="00A77173" w:rsidRDefault="00E45A0E">
        <w:pPr>
          <w:pStyle w:val="Footer"/>
          <w:jc w:val="center"/>
        </w:pPr>
      </w:p>
    </w:sdtContent>
  </w:sdt>
  <w:p w14:paraId="174ECA47" w14:textId="77777777" w:rsidR="00A77173" w:rsidRDefault="00A7717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1725958"/>
      <w:docPartObj>
        <w:docPartGallery w:val="Page Numbers (Bottom of Page)"/>
        <w:docPartUnique/>
      </w:docPartObj>
    </w:sdtPr>
    <w:sdtEndPr>
      <w:rPr>
        <w:noProof/>
      </w:rPr>
    </w:sdtEndPr>
    <w:sdtContent>
      <w:p w14:paraId="75A15F7F" w14:textId="41183C62" w:rsidR="00A77173" w:rsidRDefault="00A77173">
        <w:pPr>
          <w:pStyle w:val="Footer"/>
          <w:jc w:val="center"/>
        </w:pPr>
        <w:r>
          <w:fldChar w:fldCharType="begin"/>
        </w:r>
        <w:r>
          <w:instrText xml:space="preserve"> PAGE   \* MERGEFORMAT </w:instrText>
        </w:r>
        <w:r>
          <w:fldChar w:fldCharType="separate"/>
        </w:r>
        <w:r w:rsidR="00712A92">
          <w:rPr>
            <w:noProof/>
          </w:rPr>
          <w:t>7</w:t>
        </w:r>
        <w:r>
          <w:rPr>
            <w:noProof/>
          </w:rPr>
          <w:fldChar w:fldCharType="end"/>
        </w:r>
      </w:p>
    </w:sdtContent>
  </w:sdt>
  <w:p w14:paraId="4AD9795B" w14:textId="77777777" w:rsidR="00A77173" w:rsidRDefault="00A7717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499386"/>
      <w:docPartObj>
        <w:docPartGallery w:val="Page Numbers (Bottom of Page)"/>
        <w:docPartUnique/>
      </w:docPartObj>
    </w:sdtPr>
    <w:sdtEndPr>
      <w:rPr>
        <w:noProof/>
      </w:rPr>
    </w:sdtEndPr>
    <w:sdtContent>
      <w:p w14:paraId="78E92EB1" w14:textId="504030C8" w:rsidR="00A77173" w:rsidRDefault="00A77173">
        <w:pPr>
          <w:pStyle w:val="Footer"/>
          <w:jc w:val="center"/>
        </w:pPr>
        <w:r>
          <w:fldChar w:fldCharType="begin"/>
        </w:r>
        <w:r>
          <w:instrText xml:space="preserve"> PAGE   \* MERGEFORMAT </w:instrText>
        </w:r>
        <w:r>
          <w:fldChar w:fldCharType="separate"/>
        </w:r>
        <w:r w:rsidR="00712A92">
          <w:rPr>
            <w:noProof/>
          </w:rPr>
          <w:t>2</w:t>
        </w:r>
        <w:r>
          <w:rPr>
            <w:noProof/>
          </w:rPr>
          <w:fldChar w:fldCharType="end"/>
        </w:r>
      </w:p>
    </w:sdtContent>
  </w:sdt>
  <w:p w14:paraId="24B130E4" w14:textId="77777777" w:rsidR="00A77173" w:rsidRDefault="00A77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541330" w14:textId="77777777" w:rsidR="00E45A0E" w:rsidRDefault="00E45A0E" w:rsidP="009B20F4">
      <w:pPr>
        <w:spacing w:after="0" w:line="240" w:lineRule="auto"/>
      </w:pPr>
      <w:r>
        <w:separator/>
      </w:r>
    </w:p>
  </w:footnote>
  <w:footnote w:type="continuationSeparator" w:id="0">
    <w:p w14:paraId="7591211B" w14:textId="77777777" w:rsidR="00E45A0E" w:rsidRDefault="00E45A0E"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3C7C7" w14:textId="77777777" w:rsidR="00A77173" w:rsidRDefault="00A77173" w:rsidP="0007275A">
    <w:pPr>
      <w:pStyle w:val="Header"/>
      <w:pBdr>
        <w:bottom w:val="single" w:sz="4" w:space="1" w:color="auto"/>
      </w:pBdr>
      <w:jc w:val="center"/>
      <w:rPr>
        <w:rFonts w:ascii="Verdana" w:hAnsi="Verdana"/>
        <w:b/>
        <w:caps/>
        <w:sz w:val="18"/>
        <w:szCs w:val="18"/>
      </w:rPr>
    </w:pPr>
  </w:p>
  <w:p w14:paraId="5B22732B" w14:textId="77777777" w:rsidR="00A77173" w:rsidRPr="00586DC0" w:rsidRDefault="00A77173" w:rsidP="0007275A">
    <w:pPr>
      <w:pStyle w:val="Header"/>
      <w:pBdr>
        <w:bottom w:val="single" w:sz="4" w:space="1" w:color="auto"/>
      </w:pBdr>
      <w:jc w:val="center"/>
      <w:rPr>
        <w:b/>
        <w:caps/>
        <w:szCs w:val="18"/>
      </w:rPr>
    </w:pPr>
  </w:p>
  <w:p w14:paraId="3B93F63C" w14:textId="77777777" w:rsidR="00A77173" w:rsidRPr="0007275A" w:rsidRDefault="00A7717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C1AF2" w14:textId="6D549DE9" w:rsidR="00A77173" w:rsidRDefault="00A77173">
    <w:pPr>
      <w:pStyle w:val="Header"/>
    </w:pPr>
    <w:r>
      <w:t>Syed Azan Ali Shah – 1706936 – BMBM6004</w:t>
    </w:r>
    <w:r w:rsidR="00010713">
      <w:t xml:space="preserve"> – Richard Dunstan</w:t>
    </w:r>
  </w:p>
  <w:p w14:paraId="5CBCAFDA" w14:textId="77777777" w:rsidR="00A77173" w:rsidRDefault="00A77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C29A92" w14:textId="77777777" w:rsidR="00A77173" w:rsidRPr="00586DC0" w:rsidRDefault="00A77173" w:rsidP="0007275A">
    <w:pPr>
      <w:pStyle w:val="Header"/>
      <w:pBdr>
        <w:bottom w:val="single" w:sz="4" w:space="1" w:color="auto"/>
      </w:pBdr>
      <w:jc w:val="center"/>
      <w:rPr>
        <w:b/>
        <w:caps/>
        <w:szCs w:val="18"/>
      </w:rPr>
    </w:pPr>
  </w:p>
  <w:p w14:paraId="73B0C1B5" w14:textId="77777777" w:rsidR="00A77173" w:rsidRPr="0007275A" w:rsidRDefault="00A77173"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BC620" w14:textId="77777777" w:rsidR="00A77173" w:rsidRPr="00586DC0" w:rsidRDefault="00A77173" w:rsidP="0007275A">
    <w:pPr>
      <w:pStyle w:val="Header"/>
      <w:pBdr>
        <w:bottom w:val="single" w:sz="4" w:space="1" w:color="auto"/>
      </w:pBdr>
      <w:jc w:val="center"/>
      <w:rPr>
        <w:b/>
        <w:caps/>
        <w:szCs w:val="18"/>
      </w:rPr>
    </w:pPr>
  </w:p>
  <w:p w14:paraId="71FC9410" w14:textId="77777777" w:rsidR="00A77173" w:rsidRDefault="00A77173"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88366" w14:textId="77777777" w:rsidR="00A77173" w:rsidRDefault="00A77173" w:rsidP="00C3584F">
    <w:pPr>
      <w:pStyle w:val="Header"/>
      <w:pBdr>
        <w:bottom w:val="single" w:sz="4" w:space="1" w:color="auto"/>
      </w:pBdr>
      <w:jc w:val="center"/>
      <w:rPr>
        <w:rFonts w:ascii="Verdana" w:hAnsi="Verdana"/>
        <w:b/>
        <w:caps/>
        <w:sz w:val="18"/>
        <w:szCs w:val="18"/>
      </w:rPr>
    </w:pPr>
  </w:p>
  <w:p w14:paraId="1F459FD2" w14:textId="77777777" w:rsidR="00A77173" w:rsidRPr="0007275A" w:rsidRDefault="00A7717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FA33E" w14:textId="77777777" w:rsidR="00A77173" w:rsidRDefault="00A77173" w:rsidP="0007275A">
    <w:pPr>
      <w:pStyle w:val="Header"/>
      <w:pBdr>
        <w:bottom w:val="single" w:sz="4" w:space="1" w:color="auto"/>
      </w:pBdr>
      <w:jc w:val="center"/>
      <w:rPr>
        <w:rFonts w:ascii="Verdana" w:hAnsi="Verdana"/>
        <w:b/>
        <w:caps/>
        <w:sz w:val="18"/>
        <w:szCs w:val="18"/>
      </w:rPr>
    </w:pPr>
  </w:p>
  <w:p w14:paraId="63C6BE82" w14:textId="77777777" w:rsidR="00A77173" w:rsidRPr="00586DC0" w:rsidRDefault="00A77173" w:rsidP="0007275A">
    <w:pPr>
      <w:pStyle w:val="Header"/>
      <w:pBdr>
        <w:bottom w:val="single" w:sz="4" w:space="1" w:color="auto"/>
      </w:pBdr>
      <w:jc w:val="center"/>
      <w:rPr>
        <w:b/>
        <w:caps/>
        <w:szCs w:val="18"/>
      </w:rPr>
    </w:pPr>
  </w:p>
  <w:p w14:paraId="5A87713E" w14:textId="77777777" w:rsidR="00A77173" w:rsidRDefault="00A7717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C27EA"/>
    <w:multiLevelType w:val="multilevel"/>
    <w:tmpl w:val="2F1CB008"/>
    <w:lvl w:ilvl="0">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D480B29"/>
    <w:multiLevelType w:val="multilevel"/>
    <w:tmpl w:val="2564F00E"/>
    <w:lvl w:ilvl="0">
      <w:numFmt w:val="decimal"/>
      <w:lvlText w:val="%1."/>
      <w:lvlJc w:val="left"/>
      <w:pPr>
        <w:ind w:left="1440" w:hanging="360"/>
      </w:pPr>
    </w:lvl>
    <w:lvl w:ilvl="1">
      <w:start w:val="5"/>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520" w:hanging="1440"/>
      </w:pPr>
      <w:rPr>
        <w:rFonts w:hint="default"/>
      </w:rPr>
    </w:lvl>
  </w:abstractNum>
  <w:abstractNum w:abstractNumId="2">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466559A7"/>
    <w:multiLevelType w:val="multilevel"/>
    <w:tmpl w:val="2564F00E"/>
    <w:lvl w:ilvl="0">
      <w:numFmt w:val="decimal"/>
      <w:lvlText w:val="%1."/>
      <w:lvlJc w:val="left"/>
      <w:pPr>
        <w:ind w:left="1440" w:hanging="360"/>
      </w:pPr>
    </w:lvl>
    <w:lvl w:ilvl="1">
      <w:start w:val="5"/>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520" w:hanging="1440"/>
      </w:pPr>
      <w:rPr>
        <w:rFonts w:hint="default"/>
      </w:rPr>
    </w:lvl>
  </w:abstractNum>
  <w:abstractNum w:abstractNumId="4">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2"/>
  </w:num>
  <w:num w:numId="3">
    <w:abstractNumId w:val="0"/>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713"/>
    <w:rsid w:val="00010EB2"/>
    <w:rsid w:val="0001278C"/>
    <w:rsid w:val="000148FE"/>
    <w:rsid w:val="00015A6B"/>
    <w:rsid w:val="000177F9"/>
    <w:rsid w:val="00020BFF"/>
    <w:rsid w:val="00021717"/>
    <w:rsid w:val="00022027"/>
    <w:rsid w:val="000243B0"/>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1C6A"/>
    <w:rsid w:val="00062767"/>
    <w:rsid w:val="00062B16"/>
    <w:rsid w:val="00063E43"/>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52BD"/>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4ECD"/>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2C7"/>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0882"/>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408"/>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16EE"/>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5C4"/>
    <w:rsid w:val="0035796E"/>
    <w:rsid w:val="00361EFB"/>
    <w:rsid w:val="0036216A"/>
    <w:rsid w:val="00362512"/>
    <w:rsid w:val="00362ACA"/>
    <w:rsid w:val="00363693"/>
    <w:rsid w:val="00363AB0"/>
    <w:rsid w:val="00363C31"/>
    <w:rsid w:val="00363F55"/>
    <w:rsid w:val="00365141"/>
    <w:rsid w:val="00365584"/>
    <w:rsid w:val="0036698A"/>
    <w:rsid w:val="00366F06"/>
    <w:rsid w:val="003703BB"/>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2BE9"/>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59A"/>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5B81"/>
    <w:rsid w:val="00426E29"/>
    <w:rsid w:val="00427B3A"/>
    <w:rsid w:val="0043085A"/>
    <w:rsid w:val="0043147C"/>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3553"/>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1142"/>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5D5"/>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295"/>
    <w:rsid w:val="005854F2"/>
    <w:rsid w:val="0058575B"/>
    <w:rsid w:val="00586657"/>
    <w:rsid w:val="00586980"/>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6793"/>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4C8A"/>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44C"/>
    <w:rsid w:val="0060754D"/>
    <w:rsid w:val="00607BF0"/>
    <w:rsid w:val="00611377"/>
    <w:rsid w:val="00611412"/>
    <w:rsid w:val="00611A76"/>
    <w:rsid w:val="00612077"/>
    <w:rsid w:val="00612F0E"/>
    <w:rsid w:val="0061327C"/>
    <w:rsid w:val="00613825"/>
    <w:rsid w:val="0061402A"/>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6B65"/>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0CD"/>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58B8"/>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1774"/>
    <w:rsid w:val="007031E4"/>
    <w:rsid w:val="007037B7"/>
    <w:rsid w:val="007038B9"/>
    <w:rsid w:val="00704FEC"/>
    <w:rsid w:val="007050F9"/>
    <w:rsid w:val="0070667E"/>
    <w:rsid w:val="00707935"/>
    <w:rsid w:val="00710819"/>
    <w:rsid w:val="007112EC"/>
    <w:rsid w:val="00711511"/>
    <w:rsid w:val="00712A92"/>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238"/>
    <w:rsid w:val="0073768B"/>
    <w:rsid w:val="00740530"/>
    <w:rsid w:val="00740630"/>
    <w:rsid w:val="00740BED"/>
    <w:rsid w:val="007425E5"/>
    <w:rsid w:val="00742D7F"/>
    <w:rsid w:val="00745856"/>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0BF"/>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A62"/>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B74"/>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5FA9"/>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0C69"/>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47AF8"/>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1EB"/>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578"/>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1F61"/>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173"/>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084B"/>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94E17"/>
    <w:rsid w:val="00B965D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A14"/>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77C7B"/>
    <w:rsid w:val="00C803CB"/>
    <w:rsid w:val="00C80BA2"/>
    <w:rsid w:val="00C8228A"/>
    <w:rsid w:val="00C82BBC"/>
    <w:rsid w:val="00C850FD"/>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383C"/>
    <w:rsid w:val="00CA5907"/>
    <w:rsid w:val="00CA5A8A"/>
    <w:rsid w:val="00CA5D0D"/>
    <w:rsid w:val="00CA5E81"/>
    <w:rsid w:val="00CA62FB"/>
    <w:rsid w:val="00CA71F5"/>
    <w:rsid w:val="00CA7801"/>
    <w:rsid w:val="00CB02DE"/>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5E10"/>
    <w:rsid w:val="00CE62D0"/>
    <w:rsid w:val="00CE70C0"/>
    <w:rsid w:val="00CE7251"/>
    <w:rsid w:val="00CE7BEB"/>
    <w:rsid w:val="00CF0C09"/>
    <w:rsid w:val="00CF1590"/>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9A9"/>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0D5"/>
    <w:rsid w:val="00D459FF"/>
    <w:rsid w:val="00D45CFE"/>
    <w:rsid w:val="00D4606F"/>
    <w:rsid w:val="00D46900"/>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37C"/>
    <w:rsid w:val="00E07F76"/>
    <w:rsid w:val="00E100D3"/>
    <w:rsid w:val="00E10880"/>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5A0E"/>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1A0"/>
    <w:rsid w:val="00E978CC"/>
    <w:rsid w:val="00E97D49"/>
    <w:rsid w:val="00EA2071"/>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88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19D5"/>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55B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644"/>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3DDF"/>
    <w:rsid w:val="00F6443B"/>
    <w:rsid w:val="00F6671E"/>
    <w:rsid w:val="00F66999"/>
    <w:rsid w:val="00F6795E"/>
    <w:rsid w:val="00F67C1D"/>
    <w:rsid w:val="00F704B1"/>
    <w:rsid w:val="00F70BB1"/>
    <w:rsid w:val="00F70C6A"/>
    <w:rsid w:val="00F7147F"/>
    <w:rsid w:val="00F71F94"/>
    <w:rsid w:val="00F71FA5"/>
    <w:rsid w:val="00F73317"/>
    <w:rsid w:val="00F73934"/>
    <w:rsid w:val="00F73B35"/>
    <w:rsid w:val="00F756A9"/>
    <w:rsid w:val="00F76162"/>
    <w:rsid w:val="00F7697D"/>
    <w:rsid w:val="00F77287"/>
    <w:rsid w:val="00F80AA1"/>
    <w:rsid w:val="00F80BC5"/>
    <w:rsid w:val="00F81015"/>
    <w:rsid w:val="00F811A0"/>
    <w:rsid w:val="00F81A85"/>
    <w:rsid w:val="00F821F2"/>
    <w:rsid w:val="00F82737"/>
    <w:rsid w:val="00F83AA6"/>
    <w:rsid w:val="00F84455"/>
    <w:rsid w:val="00F8555B"/>
    <w:rsid w:val="00F857C5"/>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176D"/>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semiHidden/>
    <w:unhideWhenUsed/>
    <w:qFormat/>
    <w:rsid w:val="00300408"/>
    <w:pPr>
      <w:keepNext/>
      <w:keepLines/>
      <w:numPr>
        <w:numId w:val="0"/>
      </w:numPr>
      <w:autoSpaceDE/>
      <w:autoSpaceDN/>
      <w:adjustRightInd/>
      <w:spacing w:before="480" w:after="0"/>
      <w:contextualSpacing w:val="0"/>
      <w:outlineLvl w:val="9"/>
    </w:pPr>
    <w:rPr>
      <w:rFonts w:asciiTheme="majorHAnsi" w:eastAsiaTheme="majorEastAsia" w:hAnsiTheme="majorHAnsi" w:cstheme="majorBidi"/>
      <w:bCs/>
      <w:caps w:val="0"/>
      <w:color w:val="2E74B5" w:themeColor="accent1" w:themeShade="BF"/>
      <w:sz w:val="28"/>
      <w:szCs w:val="28"/>
      <w:lang w:val="en-US" w:eastAsia="ja-JP"/>
    </w:rPr>
  </w:style>
  <w:style w:type="paragraph" w:styleId="Title">
    <w:name w:val="Title"/>
    <w:basedOn w:val="Normal"/>
    <w:next w:val="Normal"/>
    <w:link w:val="TitleChar"/>
    <w:uiPriority w:val="10"/>
    <w:qFormat/>
    <w:rsid w:val="007B2A62"/>
    <w:pPr>
      <w:pBdr>
        <w:bottom w:val="single" w:sz="8" w:space="4" w:color="5B9BD5" w:themeColor="accent1"/>
      </w:pBdr>
      <w:autoSpaceDE/>
      <w:autoSpaceDN/>
      <w:adjustRightInd/>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B2A62"/>
    <w:rPr>
      <w:rFonts w:asciiTheme="majorHAnsi" w:eastAsiaTheme="majorEastAsia" w:hAnsiTheme="majorHAnsi" w:cstheme="majorBidi"/>
      <w:color w:val="323E4F" w:themeColor="text2" w:themeShade="BF"/>
      <w:spacing w:val="5"/>
      <w:kern w:val="28"/>
      <w:sz w:val="52"/>
      <w:szCs w:val="52"/>
    </w:rPr>
  </w:style>
  <w:style w:type="paragraph" w:customStyle="1" w:styleId="story-bodyintroduction">
    <w:name w:val="story-body__introduction"/>
    <w:basedOn w:val="Normal"/>
    <w:rsid w:val="00F66999"/>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semiHidden/>
    <w:unhideWhenUsed/>
    <w:qFormat/>
    <w:rsid w:val="00300408"/>
    <w:pPr>
      <w:keepNext/>
      <w:keepLines/>
      <w:numPr>
        <w:numId w:val="0"/>
      </w:numPr>
      <w:autoSpaceDE/>
      <w:autoSpaceDN/>
      <w:adjustRightInd/>
      <w:spacing w:before="480" w:after="0"/>
      <w:contextualSpacing w:val="0"/>
      <w:outlineLvl w:val="9"/>
    </w:pPr>
    <w:rPr>
      <w:rFonts w:asciiTheme="majorHAnsi" w:eastAsiaTheme="majorEastAsia" w:hAnsiTheme="majorHAnsi" w:cstheme="majorBidi"/>
      <w:bCs/>
      <w:caps w:val="0"/>
      <w:color w:val="2E74B5" w:themeColor="accent1" w:themeShade="BF"/>
      <w:sz w:val="28"/>
      <w:szCs w:val="28"/>
      <w:lang w:val="en-US" w:eastAsia="ja-JP"/>
    </w:rPr>
  </w:style>
  <w:style w:type="paragraph" w:styleId="Title">
    <w:name w:val="Title"/>
    <w:basedOn w:val="Normal"/>
    <w:next w:val="Normal"/>
    <w:link w:val="TitleChar"/>
    <w:uiPriority w:val="10"/>
    <w:qFormat/>
    <w:rsid w:val="007B2A62"/>
    <w:pPr>
      <w:pBdr>
        <w:bottom w:val="single" w:sz="8" w:space="4" w:color="5B9BD5" w:themeColor="accent1"/>
      </w:pBdr>
      <w:autoSpaceDE/>
      <w:autoSpaceDN/>
      <w:adjustRightInd/>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B2A62"/>
    <w:rPr>
      <w:rFonts w:asciiTheme="majorHAnsi" w:eastAsiaTheme="majorEastAsia" w:hAnsiTheme="majorHAnsi" w:cstheme="majorBidi"/>
      <w:color w:val="323E4F" w:themeColor="text2" w:themeShade="BF"/>
      <w:spacing w:val="5"/>
      <w:kern w:val="28"/>
      <w:sz w:val="52"/>
      <w:szCs w:val="52"/>
    </w:rPr>
  </w:style>
  <w:style w:type="paragraph" w:customStyle="1" w:styleId="story-bodyintroduction">
    <w:name w:val="story-body__introduction"/>
    <w:basedOn w:val="Normal"/>
    <w:rsid w:val="00F66999"/>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07365989">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bc.com/news/business-46897543"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bbc.com/news/business-462869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swlearning.com/pdfs/chapter/0324223250_1.PDF" TargetMode="External"/><Relationship Id="rId10" Type="http://schemas.openxmlformats.org/officeDocument/2006/relationships/header" Target="header1.xml"/><Relationship Id="rId19" Type="http://schemas.openxmlformats.org/officeDocument/2006/relationships/hyperlink" Target="https://www.accaglobal.com/my/en/student/exam-support-resources/professional-exams-study-resources/p7/technical-articles/massaging-the-figure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yperlink" Target="https://www.ft.com/content/78c1d05a-0c1c-11e9-acdc-4d9976f1533b"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A88D1247-CB5F-4EB6-AF3C-DA46B1030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Syed Azan Ali Shah</cp:lastModifiedBy>
  <cp:revision>26</cp:revision>
  <cp:lastPrinted>2018-10-22T09:00:00Z</cp:lastPrinted>
  <dcterms:created xsi:type="dcterms:W3CDTF">2019-12-05T01:32:00Z</dcterms:created>
  <dcterms:modified xsi:type="dcterms:W3CDTF">2020-03-26T23:38:00Z</dcterms:modified>
</cp:coreProperties>
</file>