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8AD90" w14:textId="1C6F1FCD" w:rsidR="001F3DDF" w:rsidRDefault="00E75718" w:rsidP="00E75718">
      <w:pPr>
        <w:jc w:val="center"/>
      </w:pPr>
      <w:r>
        <w:rPr>
          <w:noProof/>
        </w:rPr>
        <w:drawing>
          <wp:inline distT="0" distB="0" distL="0" distR="0" wp14:anchorId="6E23ADE6" wp14:editId="69D333C2">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B68A3E5" w14:textId="77777777" w:rsidR="00D81CFB" w:rsidRDefault="00D81CFB" w:rsidP="000E2F67"/>
    <w:p w14:paraId="6B9388EC" w14:textId="77777777" w:rsidR="00D81CFB" w:rsidRDefault="00D81CFB" w:rsidP="000E2F67"/>
    <w:p w14:paraId="033320EC" w14:textId="77777777" w:rsidR="00D81CFB" w:rsidRDefault="00D81CFB" w:rsidP="000E2F67"/>
    <w:p w14:paraId="3FAA183B" w14:textId="77777777" w:rsidR="00D81CFB" w:rsidRDefault="00D81CFB" w:rsidP="000E2F67"/>
    <w:p w14:paraId="4D42237B" w14:textId="77777777" w:rsidR="00446EF8" w:rsidRDefault="00446EF8" w:rsidP="000E2F67"/>
    <w:p w14:paraId="35BB94CA" w14:textId="77777777" w:rsidR="00446EF8" w:rsidRDefault="00446EF8" w:rsidP="000E2F67"/>
    <w:p w14:paraId="78609953" w14:textId="77777777" w:rsidR="00446EF8" w:rsidRDefault="00446EF8" w:rsidP="000E2F67"/>
    <w:p w14:paraId="355DCA76" w14:textId="77777777" w:rsidR="00446EF8" w:rsidRDefault="00446EF8" w:rsidP="000E2F67"/>
    <w:p w14:paraId="586B90F8" w14:textId="77777777" w:rsidR="00446EF8" w:rsidRDefault="00446EF8" w:rsidP="000E2F67"/>
    <w:p w14:paraId="2E442CFD" w14:textId="77777777" w:rsidR="00446EF8" w:rsidRDefault="00446EF8" w:rsidP="000E2F67"/>
    <w:p w14:paraId="5676FDBF" w14:textId="77777777" w:rsidR="00446EF8" w:rsidRPr="00586E16" w:rsidRDefault="00446EF8" w:rsidP="004568D9">
      <w:pPr>
        <w:spacing w:line="360" w:lineRule="auto"/>
        <w:rPr>
          <w:rFonts w:ascii="Arial" w:hAnsi="Arial" w:cs="Arial"/>
          <w:sz w:val="22"/>
          <w:szCs w:val="22"/>
        </w:rPr>
      </w:pPr>
    </w:p>
    <w:p w14:paraId="2DF15950" w14:textId="77777777" w:rsidR="00446EF8" w:rsidRPr="00586E16" w:rsidRDefault="00446EF8" w:rsidP="004568D9">
      <w:pPr>
        <w:spacing w:line="360" w:lineRule="auto"/>
        <w:jc w:val="center"/>
        <w:rPr>
          <w:rFonts w:ascii="Arial" w:hAnsi="Arial" w:cs="Arial"/>
          <w:sz w:val="22"/>
          <w:szCs w:val="22"/>
        </w:rPr>
      </w:pPr>
      <w:r w:rsidRPr="00586E16">
        <w:rPr>
          <w:rFonts w:ascii="Arial" w:hAnsi="Arial" w:cs="Arial"/>
          <w:sz w:val="22"/>
          <w:szCs w:val="22"/>
        </w:rPr>
        <w:t>Name: Lamaiya Smith</w:t>
      </w:r>
    </w:p>
    <w:p w14:paraId="1EFC0C22" w14:textId="77777777" w:rsidR="00446EF8" w:rsidRPr="00586E16" w:rsidRDefault="00446EF8" w:rsidP="004568D9">
      <w:pPr>
        <w:spacing w:line="360" w:lineRule="auto"/>
        <w:jc w:val="center"/>
        <w:rPr>
          <w:rFonts w:ascii="Arial" w:hAnsi="Arial" w:cs="Arial"/>
          <w:sz w:val="22"/>
          <w:szCs w:val="22"/>
        </w:rPr>
      </w:pPr>
      <w:r w:rsidRPr="00586E16">
        <w:rPr>
          <w:rFonts w:ascii="Arial" w:hAnsi="Arial" w:cs="Arial"/>
          <w:sz w:val="22"/>
          <w:szCs w:val="22"/>
        </w:rPr>
        <w:t>Student ID: 1815074</w:t>
      </w:r>
    </w:p>
    <w:p w14:paraId="466A456D" w14:textId="35B58812" w:rsidR="00446EF8" w:rsidRPr="00586E16" w:rsidRDefault="00446EF8" w:rsidP="004568D9">
      <w:pPr>
        <w:spacing w:line="360" w:lineRule="auto"/>
        <w:jc w:val="center"/>
        <w:rPr>
          <w:rFonts w:ascii="Arial" w:hAnsi="Arial" w:cs="Arial"/>
          <w:sz w:val="22"/>
          <w:szCs w:val="22"/>
        </w:rPr>
      </w:pPr>
      <w:r w:rsidRPr="00586E16">
        <w:rPr>
          <w:rFonts w:ascii="Arial" w:hAnsi="Arial" w:cs="Arial"/>
          <w:sz w:val="22"/>
          <w:szCs w:val="22"/>
        </w:rPr>
        <w:t>Module Code: LCHS40</w:t>
      </w:r>
      <w:r w:rsidR="004568D9">
        <w:rPr>
          <w:rFonts w:ascii="Arial" w:hAnsi="Arial" w:cs="Arial"/>
          <w:sz w:val="22"/>
          <w:szCs w:val="22"/>
        </w:rPr>
        <w:t>10</w:t>
      </w:r>
    </w:p>
    <w:p w14:paraId="75F62E9A" w14:textId="4B5CABD0" w:rsidR="00446EF8" w:rsidRPr="00586E16" w:rsidRDefault="00446EF8" w:rsidP="004568D9">
      <w:pPr>
        <w:spacing w:line="360" w:lineRule="auto"/>
        <w:jc w:val="center"/>
        <w:rPr>
          <w:rFonts w:ascii="Arial" w:hAnsi="Arial" w:cs="Arial"/>
          <w:sz w:val="22"/>
          <w:szCs w:val="22"/>
        </w:rPr>
      </w:pPr>
      <w:r w:rsidRPr="00586E16">
        <w:rPr>
          <w:rFonts w:ascii="Arial" w:hAnsi="Arial" w:cs="Arial"/>
          <w:sz w:val="22"/>
          <w:szCs w:val="22"/>
        </w:rPr>
        <w:t xml:space="preserve">Module: </w:t>
      </w:r>
      <w:r w:rsidR="007C4FCC">
        <w:rPr>
          <w:rFonts w:ascii="Arial" w:hAnsi="Arial" w:cs="Arial"/>
          <w:sz w:val="22"/>
          <w:szCs w:val="22"/>
        </w:rPr>
        <w:t>P</w:t>
      </w:r>
      <w:r w:rsidR="00DE37F6">
        <w:rPr>
          <w:rFonts w:ascii="Arial" w:hAnsi="Arial" w:cs="Arial"/>
          <w:sz w:val="22"/>
          <w:szCs w:val="22"/>
        </w:rPr>
        <w:t>sychology In Health and Social Care – Assessment 2: B</w:t>
      </w:r>
      <w:r w:rsidR="0015160C">
        <w:rPr>
          <w:rFonts w:ascii="Arial" w:hAnsi="Arial" w:cs="Arial"/>
          <w:sz w:val="22"/>
          <w:szCs w:val="22"/>
        </w:rPr>
        <w:t>ibliography &amp; Report</w:t>
      </w:r>
    </w:p>
    <w:p w14:paraId="0066B925" w14:textId="7CCAB55A" w:rsidR="00446EF8" w:rsidRPr="00586E16" w:rsidRDefault="00446EF8" w:rsidP="004568D9">
      <w:pPr>
        <w:spacing w:line="360" w:lineRule="auto"/>
        <w:jc w:val="center"/>
        <w:rPr>
          <w:rFonts w:ascii="Arial" w:hAnsi="Arial" w:cs="Arial"/>
          <w:sz w:val="22"/>
          <w:szCs w:val="22"/>
        </w:rPr>
      </w:pPr>
      <w:r w:rsidRPr="00586E16">
        <w:rPr>
          <w:rFonts w:ascii="Arial" w:hAnsi="Arial" w:cs="Arial"/>
          <w:sz w:val="22"/>
          <w:szCs w:val="22"/>
        </w:rPr>
        <w:t xml:space="preserve">Lecturer: </w:t>
      </w:r>
      <w:r w:rsidR="001144D3">
        <w:rPr>
          <w:rFonts w:ascii="Arial" w:hAnsi="Arial" w:cs="Arial"/>
          <w:sz w:val="22"/>
          <w:szCs w:val="22"/>
        </w:rPr>
        <w:t>Helen Parsons</w:t>
      </w:r>
    </w:p>
    <w:p w14:paraId="00EB21CC" w14:textId="77777777" w:rsidR="00446EF8" w:rsidRDefault="00446EF8" w:rsidP="000E2F67"/>
    <w:p w14:paraId="46F7604D" w14:textId="77777777" w:rsidR="00446EF8" w:rsidRDefault="00446EF8" w:rsidP="000E2F67"/>
    <w:p w14:paraId="23A8A6EA" w14:textId="77777777" w:rsidR="00D81CFB" w:rsidRDefault="00D81CFB" w:rsidP="000E2F67"/>
    <w:p w14:paraId="6EB7EEA6" w14:textId="77777777" w:rsidR="00D81CFB" w:rsidRDefault="00D81CFB" w:rsidP="000E2F67"/>
    <w:p w14:paraId="5E0F7B57" w14:textId="77777777" w:rsidR="00D81CFB" w:rsidRDefault="00D81CFB" w:rsidP="000E2F67"/>
    <w:p w14:paraId="5A2ABA32" w14:textId="77777777" w:rsidR="00D81CFB" w:rsidRDefault="00D81CFB" w:rsidP="000E2F67"/>
    <w:p w14:paraId="2D031691" w14:textId="77777777" w:rsidR="001144D3" w:rsidRDefault="001144D3" w:rsidP="000E2F67"/>
    <w:p w14:paraId="4217FC25" w14:textId="534584C3" w:rsidR="000E2F67" w:rsidRPr="00396888" w:rsidRDefault="000E2F67" w:rsidP="00396888">
      <w:pPr>
        <w:spacing w:line="360" w:lineRule="auto"/>
        <w:jc w:val="center"/>
        <w:rPr>
          <w:rFonts w:ascii="Arial" w:hAnsi="Arial" w:cs="Arial"/>
          <w:sz w:val="22"/>
          <w:szCs w:val="22"/>
        </w:rPr>
      </w:pPr>
      <w:r w:rsidRPr="00396888">
        <w:rPr>
          <w:rFonts w:ascii="Arial" w:hAnsi="Arial" w:cs="Arial"/>
          <w:sz w:val="22"/>
          <w:szCs w:val="22"/>
        </w:rPr>
        <w:lastRenderedPageBreak/>
        <w:t>Part A: Annotated Bibliography</w:t>
      </w:r>
    </w:p>
    <w:p w14:paraId="6D6CFC10" w14:textId="5FD97A91" w:rsidR="008D3967" w:rsidRPr="00396888" w:rsidRDefault="00FF4E43" w:rsidP="00396888">
      <w:pPr>
        <w:spacing w:line="360" w:lineRule="auto"/>
        <w:rPr>
          <w:rFonts w:ascii="Arial" w:hAnsi="Arial" w:cs="Arial"/>
          <w:sz w:val="22"/>
          <w:szCs w:val="22"/>
        </w:rPr>
      </w:pPr>
      <w:r w:rsidRPr="00396888">
        <w:rPr>
          <w:rFonts w:ascii="Arial" w:hAnsi="Arial" w:cs="Arial"/>
          <w:sz w:val="22"/>
          <w:szCs w:val="22"/>
        </w:rPr>
        <w:t>For this annotated bibliography, I have selected four academic sources that relate to two theories of adult development and ageing: Erikson's psychosocial stages and Activity Theory as developed by Havighurst (1961) and Nimrod and Kleiber (2007). These have been chosen for their relevance to supporting older adults within health and social care.</w:t>
      </w:r>
    </w:p>
    <w:p w14:paraId="6C60C9AA" w14:textId="397B2C57" w:rsidR="001F3DDF" w:rsidRPr="00396888" w:rsidRDefault="001F3DDF" w:rsidP="00396888">
      <w:pPr>
        <w:spacing w:line="360" w:lineRule="auto"/>
        <w:rPr>
          <w:rFonts w:ascii="Arial" w:hAnsi="Arial" w:cs="Arial"/>
          <w:b/>
          <w:bCs/>
          <w:sz w:val="22"/>
          <w:szCs w:val="22"/>
        </w:rPr>
      </w:pPr>
      <w:r w:rsidRPr="00396888">
        <w:rPr>
          <w:rFonts w:ascii="Arial" w:hAnsi="Arial" w:cs="Arial"/>
          <w:b/>
          <w:bCs/>
          <w:i/>
          <w:iCs/>
          <w:sz w:val="22"/>
          <w:szCs w:val="22"/>
        </w:rPr>
        <w:t>Source 1</w:t>
      </w:r>
      <w:r w:rsidR="00013E86" w:rsidRPr="00396888">
        <w:rPr>
          <w:rFonts w:ascii="Arial" w:hAnsi="Arial" w:cs="Arial"/>
          <w:b/>
          <w:bCs/>
          <w:i/>
          <w:iCs/>
          <w:sz w:val="22"/>
          <w:szCs w:val="22"/>
        </w:rPr>
        <w:t xml:space="preserve">: </w:t>
      </w:r>
    </w:p>
    <w:p w14:paraId="00B53D30" w14:textId="77777777" w:rsidR="005A631C" w:rsidRPr="00396888" w:rsidRDefault="005A631C" w:rsidP="00396888">
      <w:pPr>
        <w:spacing w:line="360" w:lineRule="auto"/>
        <w:rPr>
          <w:rFonts w:ascii="Arial" w:hAnsi="Arial" w:cs="Arial"/>
          <w:sz w:val="22"/>
          <w:szCs w:val="22"/>
        </w:rPr>
      </w:pPr>
      <w:r w:rsidRPr="00396888">
        <w:rPr>
          <w:rFonts w:ascii="Arial" w:hAnsi="Arial" w:cs="Arial"/>
          <w:sz w:val="22"/>
          <w:szCs w:val="22"/>
        </w:rPr>
        <w:t>Erikson, E.H. (1997) The Life Cycle Completed. Extended Version with New Chapters on the Ninth Stage of Development by Joan M. Erikson. W.W. Norton &amp; Company.</w:t>
      </w:r>
    </w:p>
    <w:p w14:paraId="43F911E2" w14:textId="646966E1" w:rsidR="005A631C" w:rsidRPr="00396888" w:rsidRDefault="005A631C" w:rsidP="00396888">
      <w:pPr>
        <w:spacing w:line="360" w:lineRule="auto"/>
        <w:rPr>
          <w:rFonts w:ascii="Arial" w:hAnsi="Arial" w:cs="Arial"/>
          <w:sz w:val="22"/>
          <w:szCs w:val="22"/>
        </w:rPr>
      </w:pPr>
      <w:r w:rsidRPr="00396888">
        <w:rPr>
          <w:rFonts w:ascii="Arial" w:hAnsi="Arial" w:cs="Arial"/>
          <w:sz w:val="22"/>
          <w:szCs w:val="22"/>
        </w:rPr>
        <w:t>This book presents Erikson's eight</w:t>
      </w:r>
      <w:r w:rsidR="006A3096">
        <w:rPr>
          <w:rFonts w:ascii="Arial" w:hAnsi="Arial" w:cs="Arial"/>
          <w:sz w:val="22"/>
          <w:szCs w:val="22"/>
        </w:rPr>
        <w:t xml:space="preserve"> </w:t>
      </w:r>
      <w:r w:rsidRPr="00396888">
        <w:rPr>
          <w:rFonts w:ascii="Arial" w:hAnsi="Arial" w:cs="Arial"/>
          <w:sz w:val="22"/>
          <w:szCs w:val="22"/>
        </w:rPr>
        <w:t>stage model of psychosocial development, arguing that each stage involves a psychological conflict that needs to be worked through for healthy development to happen. The author describes the two stages most relevant to older adults as Stage 7 (Generativity vs. Stagnation) and Stage 8 (Ego Integrity vs. Despair). Erikson suggests that older adults who successfully work through Stage 8 develop a sense of ego integrity, feeling that their life has been worthwhile, whilst those who do not may experience despair. The book highlights that supportive relationships and a sense of purpose are key to psychological wellbeing in later life.</w:t>
      </w:r>
    </w:p>
    <w:p w14:paraId="38674F8A" w14:textId="452FF4D4" w:rsidR="001F3DDF" w:rsidRPr="00396888" w:rsidRDefault="005A631C" w:rsidP="00396888">
      <w:pPr>
        <w:spacing w:line="360" w:lineRule="auto"/>
        <w:rPr>
          <w:rFonts w:ascii="Arial" w:hAnsi="Arial" w:cs="Arial"/>
          <w:sz w:val="22"/>
          <w:szCs w:val="22"/>
        </w:rPr>
      </w:pPr>
      <w:r w:rsidRPr="00396888">
        <w:rPr>
          <w:rFonts w:ascii="Arial" w:hAnsi="Arial" w:cs="Arial"/>
          <w:sz w:val="22"/>
          <w:szCs w:val="22"/>
        </w:rPr>
        <w:t>The key contribution this book makes is helping to explain the emotional experiences older adults may go through, particularly when facing loss of roles or reflecting on their lives. This information is valuable for health and social care professionals because it helps them understand why some residents may appear withdrawn or distressed. However, the model has been criticised for reflecting a Western, individualistic viewpoint (Berk, 2019), which may not apply to everyone. This is relevant when supporting older adults because it reminds practitioners to consider the psychological and emotional side of care, not just physical needs.</w:t>
      </w:r>
    </w:p>
    <w:p w14:paraId="46D746EF" w14:textId="2CE68B80" w:rsidR="00733FC2" w:rsidRPr="00396888" w:rsidRDefault="00733FC2" w:rsidP="00396888">
      <w:pPr>
        <w:spacing w:line="360" w:lineRule="auto"/>
        <w:rPr>
          <w:rFonts w:ascii="Arial" w:hAnsi="Arial" w:cs="Arial"/>
          <w:b/>
          <w:bCs/>
          <w:sz w:val="22"/>
          <w:szCs w:val="22"/>
        </w:rPr>
      </w:pPr>
      <w:r w:rsidRPr="00396888">
        <w:rPr>
          <w:rFonts w:ascii="Arial" w:hAnsi="Arial" w:cs="Arial"/>
          <w:b/>
          <w:bCs/>
          <w:sz w:val="22"/>
          <w:szCs w:val="22"/>
        </w:rPr>
        <w:t>Source 2</w:t>
      </w:r>
      <w:r w:rsidR="001A4DFF" w:rsidRPr="00396888">
        <w:rPr>
          <w:rFonts w:ascii="Arial" w:hAnsi="Arial" w:cs="Arial"/>
          <w:b/>
          <w:bCs/>
          <w:sz w:val="22"/>
          <w:szCs w:val="22"/>
        </w:rPr>
        <w:t>:</w:t>
      </w:r>
    </w:p>
    <w:p w14:paraId="4C28CC3E" w14:textId="77777777" w:rsidR="006D3159" w:rsidRPr="00396888" w:rsidRDefault="006D3159" w:rsidP="00396888">
      <w:pPr>
        <w:spacing w:line="360" w:lineRule="auto"/>
        <w:rPr>
          <w:rFonts w:ascii="Arial" w:hAnsi="Arial" w:cs="Arial"/>
          <w:sz w:val="22"/>
          <w:szCs w:val="22"/>
        </w:rPr>
      </w:pPr>
      <w:r w:rsidRPr="00396888">
        <w:rPr>
          <w:rFonts w:ascii="Arial" w:hAnsi="Arial" w:cs="Arial"/>
          <w:sz w:val="22"/>
          <w:szCs w:val="22"/>
        </w:rPr>
        <w:t xml:space="preserve">Berk, L.E. (2019) 'Emotional and social development in late adulthood', in Development Through the Lifespan. 7th </w:t>
      </w:r>
      <w:proofErr w:type="spellStart"/>
      <w:r w:rsidRPr="00396888">
        <w:rPr>
          <w:rFonts w:ascii="Arial" w:hAnsi="Arial" w:cs="Arial"/>
          <w:sz w:val="22"/>
          <w:szCs w:val="22"/>
        </w:rPr>
        <w:t>edn</w:t>
      </w:r>
      <w:proofErr w:type="spellEnd"/>
      <w:r w:rsidRPr="00396888">
        <w:rPr>
          <w:rFonts w:ascii="Arial" w:hAnsi="Arial" w:cs="Arial"/>
          <w:sz w:val="22"/>
          <w:szCs w:val="22"/>
        </w:rPr>
        <w:t>. Hoboken: Pearson Education, pp. 1959–2066.</w:t>
      </w:r>
    </w:p>
    <w:p w14:paraId="54303A24" w14:textId="77777777" w:rsidR="006D3159" w:rsidRPr="00396888" w:rsidRDefault="006D3159" w:rsidP="00396888">
      <w:pPr>
        <w:spacing w:line="360" w:lineRule="auto"/>
        <w:rPr>
          <w:rFonts w:ascii="Arial" w:hAnsi="Arial" w:cs="Arial"/>
          <w:sz w:val="22"/>
          <w:szCs w:val="22"/>
        </w:rPr>
      </w:pPr>
      <w:r w:rsidRPr="00396888">
        <w:rPr>
          <w:rFonts w:ascii="Arial" w:hAnsi="Arial" w:cs="Arial"/>
          <w:sz w:val="22"/>
          <w:szCs w:val="22"/>
        </w:rPr>
        <w:t xml:space="preserve">This chapter examines the emotional and social development of older adults, with a particular focus on Erikson's theory of Ego Integrity versus Despair. The author describes how factors such as relationships, retirement, and social context play a significant role in shaping psychological wellbeing in later life. Berk suggests that older adults who maintain a strong sense of self and positive social connections are more likely to experience successful </w:t>
      </w:r>
      <w:r w:rsidRPr="00396888">
        <w:rPr>
          <w:rFonts w:ascii="Arial" w:hAnsi="Arial" w:cs="Arial"/>
          <w:sz w:val="22"/>
          <w:szCs w:val="22"/>
        </w:rPr>
        <w:lastRenderedPageBreak/>
        <w:t>ageing. The chapter also explores how cultural influences can affect the psychological experiences of older adults differently.</w:t>
      </w:r>
    </w:p>
    <w:p w14:paraId="5124639B" w14:textId="3D04A6BF" w:rsidR="006D3159" w:rsidRPr="00396888" w:rsidRDefault="006D3159" w:rsidP="00396888">
      <w:pPr>
        <w:spacing w:line="360" w:lineRule="auto"/>
        <w:rPr>
          <w:rFonts w:ascii="Arial" w:hAnsi="Arial" w:cs="Arial"/>
          <w:sz w:val="22"/>
          <w:szCs w:val="22"/>
        </w:rPr>
      </w:pPr>
      <w:r w:rsidRPr="00396888">
        <w:rPr>
          <w:rFonts w:ascii="Arial" w:hAnsi="Arial" w:cs="Arial"/>
          <w:sz w:val="22"/>
          <w:szCs w:val="22"/>
        </w:rPr>
        <w:t>The key contribution this chapter makes is that it brings together a range of psychological and social factors that influence wellbeing in late adulthood. This</w:t>
      </w:r>
      <w:r w:rsidRPr="00396888">
        <w:rPr>
          <w:sz w:val="22"/>
          <w:szCs w:val="22"/>
        </w:rPr>
        <w:t xml:space="preserve"> </w:t>
      </w:r>
      <w:r w:rsidRPr="00396888">
        <w:rPr>
          <w:rFonts w:ascii="Arial" w:hAnsi="Arial" w:cs="Arial"/>
          <w:sz w:val="22"/>
          <w:szCs w:val="22"/>
        </w:rPr>
        <w:t>information is valuable for health and social care professionals because it highlights how retirement, relationships, and social environment directly impact the mental health of older adults in their care. However, as a textbook chapter it draws on existing research rather than generating new findings, which means the evidence should be cross</w:t>
      </w:r>
      <w:r w:rsidR="005A2E9F">
        <w:rPr>
          <w:rFonts w:ascii="Arial" w:hAnsi="Arial" w:cs="Arial"/>
          <w:sz w:val="22"/>
          <w:szCs w:val="22"/>
        </w:rPr>
        <w:t xml:space="preserve"> </w:t>
      </w:r>
      <w:r w:rsidRPr="00396888">
        <w:rPr>
          <w:rFonts w:ascii="Arial" w:hAnsi="Arial" w:cs="Arial"/>
          <w:sz w:val="22"/>
          <w:szCs w:val="22"/>
        </w:rPr>
        <w:t>referenced with primary studies. This is relevant when supporting older adults because it encourages practitioners to take a holistic view of wellbeing, considering social and emotional needs alongside physical care</w:t>
      </w:r>
      <w:r w:rsidRPr="00396888">
        <w:rPr>
          <w:rFonts w:ascii="Arial" w:hAnsi="Arial" w:cs="Arial"/>
          <w:sz w:val="22"/>
          <w:szCs w:val="22"/>
        </w:rPr>
        <w:t>.</w:t>
      </w:r>
    </w:p>
    <w:p w14:paraId="468BAB53" w14:textId="0E7F9FDC" w:rsidR="00EF5ED4" w:rsidRPr="00396888" w:rsidRDefault="00717306" w:rsidP="00396888">
      <w:pPr>
        <w:spacing w:line="360" w:lineRule="auto"/>
        <w:rPr>
          <w:rFonts w:ascii="Arial" w:hAnsi="Arial" w:cs="Arial"/>
          <w:sz w:val="22"/>
          <w:szCs w:val="22"/>
        </w:rPr>
      </w:pPr>
      <w:r w:rsidRPr="00396888">
        <w:rPr>
          <w:rFonts w:ascii="Arial" w:hAnsi="Arial" w:cs="Arial"/>
          <w:b/>
          <w:bCs/>
          <w:sz w:val="22"/>
          <w:szCs w:val="22"/>
        </w:rPr>
        <w:t>Source 3</w:t>
      </w:r>
      <w:r w:rsidR="007F04DD" w:rsidRPr="00396888">
        <w:rPr>
          <w:rFonts w:ascii="Arial" w:hAnsi="Arial" w:cs="Arial"/>
          <w:b/>
          <w:bCs/>
          <w:sz w:val="22"/>
          <w:szCs w:val="22"/>
        </w:rPr>
        <w:t>:</w:t>
      </w:r>
    </w:p>
    <w:p w14:paraId="49283F71" w14:textId="77777777" w:rsidR="001C69B0" w:rsidRPr="00396888" w:rsidRDefault="001C69B0" w:rsidP="00396888">
      <w:pPr>
        <w:spacing w:line="360" w:lineRule="auto"/>
        <w:rPr>
          <w:rFonts w:ascii="Arial" w:hAnsi="Arial" w:cs="Arial"/>
          <w:sz w:val="22"/>
          <w:szCs w:val="22"/>
        </w:rPr>
      </w:pPr>
      <w:r w:rsidRPr="00396888">
        <w:rPr>
          <w:rFonts w:ascii="Arial" w:hAnsi="Arial" w:cs="Arial"/>
          <w:sz w:val="22"/>
          <w:szCs w:val="22"/>
        </w:rPr>
        <w:t>Havighurst, R.J. (1961) 'Successful ageing', The Gerontologist, 1(1), pp. 8–13.</w:t>
      </w:r>
    </w:p>
    <w:p w14:paraId="2816BD20" w14:textId="2894D99E" w:rsidR="001C69B0" w:rsidRPr="00396888" w:rsidRDefault="001C69B0" w:rsidP="00396888">
      <w:pPr>
        <w:spacing w:line="360" w:lineRule="auto"/>
        <w:rPr>
          <w:rFonts w:ascii="Arial" w:hAnsi="Arial" w:cs="Arial"/>
          <w:sz w:val="22"/>
          <w:szCs w:val="22"/>
        </w:rPr>
      </w:pPr>
      <w:r w:rsidRPr="00396888">
        <w:rPr>
          <w:rFonts w:ascii="Arial" w:hAnsi="Arial" w:cs="Arial"/>
          <w:sz w:val="22"/>
          <w:szCs w:val="22"/>
        </w:rPr>
        <w:t xml:space="preserve">This seminal article argues that psychological wellbeing in later life is best supported through continued activity and social engagement, rather than withdrawing from roles and relationships. The author describes how older adults who keep up with social, occupational, and recreational activities tend to report higher levels of life satisfaction and wellbeing. Havighurst suggests that working through key tasks in later </w:t>
      </w:r>
      <w:r w:rsidR="004B7E44" w:rsidRPr="00396888">
        <w:rPr>
          <w:rFonts w:ascii="Arial" w:hAnsi="Arial" w:cs="Arial"/>
          <w:sz w:val="22"/>
          <w:szCs w:val="22"/>
        </w:rPr>
        <w:t xml:space="preserve">life, </w:t>
      </w:r>
      <w:r w:rsidRPr="00396888">
        <w:rPr>
          <w:rFonts w:ascii="Arial" w:hAnsi="Arial" w:cs="Arial"/>
          <w:sz w:val="22"/>
          <w:szCs w:val="22"/>
        </w:rPr>
        <w:t>such as adjusting to retirement and maintaining relationships</w:t>
      </w:r>
      <w:r w:rsidR="004B7E44" w:rsidRPr="00396888">
        <w:rPr>
          <w:rFonts w:ascii="Arial" w:hAnsi="Arial" w:cs="Arial"/>
          <w:sz w:val="22"/>
          <w:szCs w:val="22"/>
        </w:rPr>
        <w:t xml:space="preserve">, </w:t>
      </w:r>
      <w:r w:rsidRPr="00396888">
        <w:rPr>
          <w:rFonts w:ascii="Arial" w:hAnsi="Arial" w:cs="Arial"/>
          <w:sz w:val="22"/>
          <w:szCs w:val="22"/>
        </w:rPr>
        <w:t>plays an important role in healthy ageing. The research forms the basis of Activity Theory, which sees staying active and connected as central to psychological health in older adulthood.</w:t>
      </w:r>
    </w:p>
    <w:p w14:paraId="6CDF7D30" w14:textId="77777777" w:rsidR="004B7E44" w:rsidRPr="00396888" w:rsidRDefault="001C69B0" w:rsidP="00396888">
      <w:pPr>
        <w:spacing w:line="360" w:lineRule="auto"/>
        <w:rPr>
          <w:rFonts w:ascii="Arial" w:hAnsi="Arial" w:cs="Arial"/>
          <w:sz w:val="22"/>
          <w:szCs w:val="22"/>
        </w:rPr>
      </w:pPr>
      <w:r w:rsidRPr="00396888">
        <w:rPr>
          <w:rFonts w:ascii="Arial" w:hAnsi="Arial" w:cs="Arial"/>
          <w:sz w:val="22"/>
          <w:szCs w:val="22"/>
        </w:rPr>
        <w:t>This article is one of the founding texts of Activity Theory, making it a key source for this topic. This information is valuable for health and social care professionals because it gives a theoretical basis for why keeping older adults active and socially engaged matters in a care setting. However, as it was written in 1961 it is quite dated and may not fully reflect the experiences and expectations of older adults today. This is relevant when supporting older adults because it encourages practitioners to think about how activity and social connection can be built into everyday care.</w:t>
      </w:r>
    </w:p>
    <w:p w14:paraId="6E23CE7D" w14:textId="77777777" w:rsidR="00A4162C" w:rsidRPr="00396888" w:rsidRDefault="00195F10" w:rsidP="00396888">
      <w:pPr>
        <w:spacing w:line="360" w:lineRule="auto"/>
        <w:rPr>
          <w:rFonts w:ascii="Arial" w:hAnsi="Arial" w:cs="Arial"/>
          <w:sz w:val="22"/>
          <w:szCs w:val="22"/>
        </w:rPr>
      </w:pPr>
      <w:r w:rsidRPr="00396888">
        <w:rPr>
          <w:rFonts w:ascii="Arial" w:hAnsi="Arial" w:cs="Arial"/>
          <w:b/>
          <w:bCs/>
          <w:sz w:val="22"/>
          <w:szCs w:val="22"/>
        </w:rPr>
        <w:t>Source 4</w:t>
      </w:r>
      <w:r w:rsidR="007F04DD" w:rsidRPr="00396888">
        <w:rPr>
          <w:rFonts w:ascii="Arial" w:hAnsi="Arial" w:cs="Arial"/>
          <w:b/>
          <w:bCs/>
          <w:sz w:val="22"/>
          <w:szCs w:val="22"/>
        </w:rPr>
        <w:t>:</w:t>
      </w:r>
      <w:r w:rsidR="00A4162C" w:rsidRPr="00396888">
        <w:rPr>
          <w:rFonts w:ascii="Arial" w:hAnsi="Arial" w:cs="Arial"/>
          <w:sz w:val="22"/>
          <w:szCs w:val="22"/>
        </w:rPr>
        <w:t xml:space="preserve"> </w:t>
      </w:r>
    </w:p>
    <w:p w14:paraId="593BAF0F" w14:textId="77777777" w:rsidR="00323009" w:rsidRPr="00396888" w:rsidRDefault="00323009" w:rsidP="00396888">
      <w:pPr>
        <w:spacing w:line="360" w:lineRule="auto"/>
        <w:rPr>
          <w:rFonts w:ascii="Arial" w:hAnsi="Arial" w:cs="Arial"/>
          <w:sz w:val="22"/>
          <w:szCs w:val="22"/>
        </w:rPr>
      </w:pPr>
      <w:r w:rsidRPr="00396888">
        <w:rPr>
          <w:rFonts w:ascii="Arial" w:hAnsi="Arial" w:cs="Arial"/>
          <w:sz w:val="22"/>
          <w:szCs w:val="22"/>
        </w:rPr>
        <w:t>Nimrod, G. and Kleiber, D.A. (2007) 'Reconsidering change and continuity in later life: Toward an innovation theory of successful ageing', International Journal of Ageing and Human Development, 65(1), pp. 1–22.</w:t>
      </w:r>
    </w:p>
    <w:p w14:paraId="61B7B607" w14:textId="67B9C665" w:rsidR="00323009" w:rsidRPr="00396888" w:rsidRDefault="00323009" w:rsidP="00396888">
      <w:pPr>
        <w:spacing w:line="360" w:lineRule="auto"/>
        <w:rPr>
          <w:rFonts w:ascii="Arial" w:hAnsi="Arial" w:cs="Arial"/>
          <w:sz w:val="22"/>
          <w:szCs w:val="22"/>
        </w:rPr>
      </w:pPr>
      <w:r w:rsidRPr="00396888">
        <w:rPr>
          <w:rFonts w:ascii="Arial" w:hAnsi="Arial" w:cs="Arial"/>
          <w:sz w:val="22"/>
          <w:szCs w:val="22"/>
        </w:rPr>
        <w:t xml:space="preserve">This article explores the role of innovation and continuity in the activities of retirees, positioning itself within the debate between Activity Theory and Disengagement Theory. The </w:t>
      </w:r>
      <w:r w:rsidRPr="00396888">
        <w:rPr>
          <w:rFonts w:ascii="Arial" w:hAnsi="Arial" w:cs="Arial"/>
          <w:sz w:val="22"/>
          <w:szCs w:val="22"/>
        </w:rPr>
        <w:lastRenderedPageBreak/>
        <w:t>research suggests that engaging in new and meaningful activities can support psychological wellbeing and a stable sense of self. Using in</w:t>
      </w:r>
      <w:r w:rsidR="00E94CDF">
        <w:rPr>
          <w:rFonts w:ascii="Arial" w:hAnsi="Arial" w:cs="Arial"/>
          <w:sz w:val="22"/>
          <w:szCs w:val="22"/>
        </w:rPr>
        <w:t xml:space="preserve"> </w:t>
      </w:r>
      <w:r w:rsidRPr="00396888">
        <w:rPr>
          <w:rFonts w:ascii="Arial" w:hAnsi="Arial" w:cs="Arial"/>
          <w:sz w:val="22"/>
          <w:szCs w:val="22"/>
        </w:rPr>
        <w:t>depth interviews with 20 retirees, the authors found that only certain types of activities</w:t>
      </w:r>
      <w:r w:rsidRPr="00396888">
        <w:rPr>
          <w:rFonts w:ascii="Arial" w:hAnsi="Arial" w:cs="Arial"/>
          <w:sz w:val="22"/>
          <w:szCs w:val="22"/>
        </w:rPr>
        <w:t xml:space="preserve">, </w:t>
      </w:r>
      <w:r w:rsidRPr="00396888">
        <w:rPr>
          <w:rFonts w:ascii="Arial" w:hAnsi="Arial" w:cs="Arial"/>
          <w:sz w:val="22"/>
          <w:szCs w:val="22"/>
        </w:rPr>
        <w:t>such as cultural activities and spending time with family</w:t>
      </w:r>
      <w:r w:rsidRPr="00396888">
        <w:rPr>
          <w:rFonts w:ascii="Arial" w:hAnsi="Arial" w:cs="Arial"/>
          <w:sz w:val="22"/>
          <w:szCs w:val="22"/>
        </w:rPr>
        <w:t xml:space="preserve">, </w:t>
      </w:r>
      <w:r w:rsidRPr="00396888">
        <w:rPr>
          <w:rFonts w:ascii="Arial" w:hAnsi="Arial" w:cs="Arial"/>
          <w:sz w:val="22"/>
          <w:szCs w:val="22"/>
        </w:rPr>
        <w:t>were positively associated with wellbeing, whilst others such as watching television had no positive association at all.</w:t>
      </w:r>
    </w:p>
    <w:p w14:paraId="4CC1B61C" w14:textId="5FCF13BE" w:rsidR="00195F10" w:rsidRPr="00396888" w:rsidRDefault="00323009" w:rsidP="00396888">
      <w:pPr>
        <w:spacing w:line="360" w:lineRule="auto"/>
        <w:rPr>
          <w:rFonts w:ascii="Arial" w:hAnsi="Arial" w:cs="Arial"/>
          <w:sz w:val="22"/>
          <w:szCs w:val="22"/>
        </w:rPr>
      </w:pPr>
      <w:r w:rsidRPr="00396888">
        <w:rPr>
          <w:rFonts w:ascii="Arial" w:hAnsi="Arial" w:cs="Arial"/>
          <w:sz w:val="22"/>
          <w:szCs w:val="22"/>
        </w:rPr>
        <w:t>This information is valuable for health and social care professionals because it challenges the assumption that keeping older adults busy is enough, suggesting that the quality and personal relevance of activities is what truly matters. A strength of this article is its use of qualitative interviews, providing a rich insight into how retirees experience activity in later life. However, the sample size of only 20 participants is relatively small, meaning findings may not apply to all older adults in residential care. This is relevant when supporting older adults because it encourages practitioners to move beyond generic activity programmes and focus on what genuinely matters to each individual resident.</w:t>
      </w:r>
    </w:p>
    <w:p w14:paraId="75A6C01E" w14:textId="77777777" w:rsidR="00286D18" w:rsidRPr="00396888" w:rsidRDefault="00286D18" w:rsidP="00396888">
      <w:pPr>
        <w:spacing w:line="360" w:lineRule="auto"/>
        <w:jc w:val="center"/>
        <w:rPr>
          <w:rFonts w:ascii="Arial" w:hAnsi="Arial" w:cs="Arial"/>
          <w:b/>
          <w:bCs/>
          <w:sz w:val="22"/>
          <w:szCs w:val="22"/>
        </w:rPr>
      </w:pPr>
      <w:r w:rsidRPr="00396888">
        <w:rPr>
          <w:rFonts w:ascii="Arial" w:hAnsi="Arial" w:cs="Arial"/>
          <w:b/>
          <w:bCs/>
          <w:sz w:val="22"/>
          <w:szCs w:val="22"/>
        </w:rPr>
        <w:t>Part B: Short Report</w:t>
      </w:r>
    </w:p>
    <w:p w14:paraId="160A2219" w14:textId="77777777" w:rsidR="00994D75" w:rsidRPr="00396888" w:rsidRDefault="00994D75" w:rsidP="00396888">
      <w:pPr>
        <w:spacing w:line="360" w:lineRule="auto"/>
        <w:rPr>
          <w:rFonts w:ascii="Arial" w:hAnsi="Arial" w:cs="Arial"/>
          <w:sz w:val="22"/>
          <w:szCs w:val="22"/>
        </w:rPr>
      </w:pPr>
      <w:r w:rsidRPr="00396888">
        <w:rPr>
          <w:rFonts w:ascii="Arial" w:hAnsi="Arial" w:cs="Arial"/>
          <w:sz w:val="22"/>
          <w:szCs w:val="22"/>
        </w:rPr>
        <w:t>This report is written for professionals working with older adults in residential care settings. It explores how Activity Theory, developed by Havighurst (1961), can be applied to improve the psychological wellbeing of residents. Activity Theory argues that maintaining meaningful activity and social roles is essential to wellbeing in later life, and that the loss of these roles can significantly impact an older adult's sense of identity and purpose. This report will outline the key principles of the theory, demonstrate how it can be applied in practice, and discuss a challenge professionals may face when implementing it.</w:t>
      </w:r>
    </w:p>
    <w:p w14:paraId="1DCAE357" w14:textId="77777777" w:rsidR="00994D75" w:rsidRPr="00396888" w:rsidRDefault="00994D75" w:rsidP="00396888">
      <w:pPr>
        <w:spacing w:line="360" w:lineRule="auto"/>
        <w:rPr>
          <w:rFonts w:ascii="Arial" w:hAnsi="Arial" w:cs="Arial"/>
          <w:sz w:val="22"/>
          <w:szCs w:val="22"/>
        </w:rPr>
      </w:pPr>
      <w:r w:rsidRPr="00396888">
        <w:rPr>
          <w:rFonts w:ascii="Arial" w:hAnsi="Arial" w:cs="Arial"/>
          <w:sz w:val="22"/>
          <w:szCs w:val="22"/>
        </w:rPr>
        <w:t>Activity Theory was first developed by Havighurst (1961) and argues that psychological wellbeing in later life is best maintained through continued engagement in meaningful social, physical, and occupational activities. The theory suggests that older adults who remain active and maintain social roles tend to report higher levels of life satisfaction and wellbeing. Havighurst proposed that later life brings key developmental tasks, such as adjusting to retirement, adapting to physical changes, and maintaining relationships, and that successfully working through these is central to healthy ageing.</w:t>
      </w:r>
    </w:p>
    <w:p w14:paraId="0B80344F" w14:textId="77777777" w:rsidR="00994D75" w:rsidRPr="00396888" w:rsidRDefault="00994D75" w:rsidP="00396888">
      <w:pPr>
        <w:spacing w:line="360" w:lineRule="auto"/>
        <w:rPr>
          <w:rFonts w:ascii="Arial" w:hAnsi="Arial" w:cs="Arial"/>
          <w:sz w:val="22"/>
          <w:szCs w:val="22"/>
        </w:rPr>
      </w:pPr>
      <w:r w:rsidRPr="00396888">
        <w:rPr>
          <w:rFonts w:ascii="Arial" w:hAnsi="Arial" w:cs="Arial"/>
          <w:sz w:val="22"/>
          <w:szCs w:val="22"/>
        </w:rPr>
        <w:t>Nimrod and Kleiber (2007) build on this, suggesting that it is not just the amount of activity that matters, but whether that activity feels personally meaningful and preserves a sense of identity, moving away from the idea that simply keeping older adults busy is enough.</w:t>
      </w:r>
    </w:p>
    <w:p w14:paraId="50637AE9" w14:textId="77777777" w:rsidR="00994D75" w:rsidRPr="00396888" w:rsidRDefault="00994D75" w:rsidP="00396888">
      <w:pPr>
        <w:spacing w:line="360" w:lineRule="auto"/>
        <w:rPr>
          <w:rFonts w:ascii="Arial" w:hAnsi="Arial" w:cs="Arial"/>
          <w:sz w:val="22"/>
          <w:szCs w:val="22"/>
        </w:rPr>
      </w:pPr>
      <w:r w:rsidRPr="00396888">
        <w:rPr>
          <w:rFonts w:ascii="Arial" w:hAnsi="Arial" w:cs="Arial"/>
          <w:sz w:val="22"/>
          <w:szCs w:val="22"/>
        </w:rPr>
        <w:t xml:space="preserve">This links closely to Erikson's (1997) theory of psychosocial development, particularly Stage 7 (Generativity vs. Stagnation) and Stage 8 (Ego Integrity vs. Despair). Erikson suggests that older adults have a fundamental need to feel their life has been meaningful and that </w:t>
      </w:r>
      <w:r w:rsidRPr="00396888">
        <w:rPr>
          <w:rFonts w:ascii="Arial" w:hAnsi="Arial" w:cs="Arial"/>
          <w:sz w:val="22"/>
          <w:szCs w:val="22"/>
        </w:rPr>
        <w:lastRenderedPageBreak/>
        <w:t>they are still contributing in some way. Activity Theory provides a practical way of meeting this need by ensuring older adults remain engaged in activities that give them a sense of purpose and identity.</w:t>
      </w:r>
    </w:p>
    <w:p w14:paraId="136F300A" w14:textId="77777777" w:rsidR="00994D75" w:rsidRPr="00396888" w:rsidRDefault="00994D75" w:rsidP="00396888">
      <w:pPr>
        <w:spacing w:line="360" w:lineRule="auto"/>
        <w:rPr>
          <w:rFonts w:ascii="Arial" w:hAnsi="Arial" w:cs="Arial"/>
          <w:sz w:val="22"/>
          <w:szCs w:val="22"/>
        </w:rPr>
      </w:pPr>
      <w:r w:rsidRPr="00396888">
        <w:rPr>
          <w:rFonts w:ascii="Arial" w:hAnsi="Arial" w:cs="Arial"/>
          <w:sz w:val="22"/>
          <w:szCs w:val="22"/>
        </w:rPr>
        <w:t>For older adults living in residential care, admission often brings significant losses, including the loss of familiar roles, routines, and independence. Hay et al. (2020) found that participation in meaningful activities has psychological, physical, social, and cognitive benefits for older adults in care homes, and that barriers to participation can significantly impact wellbeing. Activity Theory suggests that care professionals can address this by identifying each resident's previous roles and interests and designing individualised activity programmes that meaningfully replace those losses.</w:t>
      </w:r>
    </w:p>
    <w:p w14:paraId="2B92989F" w14:textId="7897636C" w:rsidR="00994D75" w:rsidRPr="00396888" w:rsidRDefault="00994D75" w:rsidP="00396888">
      <w:pPr>
        <w:spacing w:line="360" w:lineRule="auto"/>
        <w:rPr>
          <w:rFonts w:ascii="Arial" w:hAnsi="Arial" w:cs="Arial"/>
          <w:sz w:val="22"/>
          <w:szCs w:val="22"/>
        </w:rPr>
      </w:pPr>
      <w:r w:rsidRPr="00396888">
        <w:rPr>
          <w:rFonts w:ascii="Arial" w:hAnsi="Arial" w:cs="Arial"/>
          <w:sz w:val="22"/>
          <w:szCs w:val="22"/>
        </w:rPr>
        <w:t>NICE (2013) recommends that care home staff support older adults to engage in activities meaningful to them as individuals, rather than offering a one-size</w:t>
      </w:r>
      <w:r w:rsidR="00C95EF5">
        <w:rPr>
          <w:rFonts w:ascii="Arial" w:hAnsi="Arial" w:cs="Arial"/>
          <w:sz w:val="22"/>
          <w:szCs w:val="22"/>
        </w:rPr>
        <w:t xml:space="preserve"> </w:t>
      </w:r>
      <w:r w:rsidRPr="00396888">
        <w:rPr>
          <w:rFonts w:ascii="Arial" w:hAnsi="Arial" w:cs="Arial"/>
          <w:sz w:val="22"/>
          <w:szCs w:val="22"/>
        </w:rPr>
        <w:t>fits</w:t>
      </w:r>
      <w:r w:rsidR="00C95EF5">
        <w:rPr>
          <w:rFonts w:ascii="Arial" w:hAnsi="Arial" w:cs="Arial"/>
          <w:sz w:val="22"/>
          <w:szCs w:val="22"/>
        </w:rPr>
        <w:t xml:space="preserve"> </w:t>
      </w:r>
      <w:r w:rsidRPr="00396888">
        <w:rPr>
          <w:rFonts w:ascii="Arial" w:hAnsi="Arial" w:cs="Arial"/>
          <w:sz w:val="22"/>
          <w:szCs w:val="22"/>
        </w:rPr>
        <w:t xml:space="preserve">all programme. This </w:t>
      </w:r>
      <w:r w:rsidR="00262B8C" w:rsidRPr="00396888">
        <w:rPr>
          <w:rFonts w:ascii="Arial" w:hAnsi="Arial" w:cs="Arial"/>
          <w:sz w:val="22"/>
          <w:szCs w:val="22"/>
        </w:rPr>
        <w:t>person</w:t>
      </w:r>
      <w:r w:rsidR="00262B8C">
        <w:rPr>
          <w:rFonts w:ascii="Arial" w:hAnsi="Arial" w:cs="Arial"/>
          <w:sz w:val="22"/>
          <w:szCs w:val="22"/>
        </w:rPr>
        <w:t>-centred</w:t>
      </w:r>
      <w:r w:rsidRPr="00396888">
        <w:rPr>
          <w:rFonts w:ascii="Arial" w:hAnsi="Arial" w:cs="Arial"/>
          <w:sz w:val="22"/>
          <w:szCs w:val="22"/>
        </w:rPr>
        <w:t xml:space="preserve"> approach aligns closely with Activity Theory, recognising that the quality and personal relevance of activities matters more than simply keeping residents occupied.</w:t>
      </w:r>
    </w:p>
    <w:p w14:paraId="31F5CCF3" w14:textId="3CF23F56" w:rsidR="00994D75" w:rsidRPr="00396888" w:rsidRDefault="00994D75" w:rsidP="00396888">
      <w:pPr>
        <w:spacing w:line="360" w:lineRule="auto"/>
        <w:rPr>
          <w:rFonts w:ascii="Arial" w:hAnsi="Arial" w:cs="Arial"/>
          <w:sz w:val="22"/>
          <w:szCs w:val="22"/>
        </w:rPr>
      </w:pPr>
      <w:r w:rsidRPr="00396888">
        <w:rPr>
          <w:rFonts w:ascii="Arial" w:hAnsi="Arial" w:cs="Arial"/>
          <w:sz w:val="22"/>
          <w:szCs w:val="22"/>
        </w:rPr>
        <w:t>To illustrate this in practice, consider Margaret, an 81-year-old resident who moved into a care home six months ago following a fall at home. Prior to admission, Margaret had been an active member of her local Women's Institute, volunteered weekly at a charity shop, and cooked regularly for her family. Since moving in she has become increasingly withdrawn, expressing that she feels useless and has nothing left to offer. Drawing on Activity Theory, Margaret's keyworker works with her to identify activities that reconnect her with her previous roles. A weekly baking session is established which Margaret is invited to lead, and the care home facilitates a pen pal programme with a local primary school. Within eight weeks, staff observe a marked improvement in Margaret's mood, engagement, and social interaction, reflecting Nimrod and Kleiber's (2007) finding that meaningful, identity</w:t>
      </w:r>
      <w:r w:rsidR="00344361">
        <w:rPr>
          <w:rFonts w:ascii="Arial" w:hAnsi="Arial" w:cs="Arial"/>
          <w:sz w:val="22"/>
          <w:szCs w:val="22"/>
        </w:rPr>
        <w:t xml:space="preserve"> </w:t>
      </w:r>
      <w:r w:rsidRPr="00396888">
        <w:rPr>
          <w:rFonts w:ascii="Arial" w:hAnsi="Arial" w:cs="Arial"/>
          <w:sz w:val="22"/>
          <w:szCs w:val="22"/>
        </w:rPr>
        <w:t>affirming activities are most effective in supporting wellbeing.</w:t>
      </w:r>
    </w:p>
    <w:p w14:paraId="3DC4612A" w14:textId="335D8720" w:rsidR="00994D75" w:rsidRPr="00396888" w:rsidRDefault="00994D75" w:rsidP="00396888">
      <w:pPr>
        <w:spacing w:line="360" w:lineRule="auto"/>
        <w:rPr>
          <w:rFonts w:ascii="Arial" w:hAnsi="Arial" w:cs="Arial"/>
          <w:sz w:val="22"/>
          <w:szCs w:val="22"/>
        </w:rPr>
      </w:pPr>
      <w:r w:rsidRPr="00396888">
        <w:rPr>
          <w:rFonts w:ascii="Arial" w:hAnsi="Arial" w:cs="Arial"/>
          <w:sz w:val="22"/>
          <w:szCs w:val="22"/>
        </w:rPr>
        <w:t>A significant challenge for care professionals applying Activity Theory is the risk of taking a one-size-fits</w:t>
      </w:r>
      <w:r w:rsidR="00341A2C">
        <w:rPr>
          <w:rFonts w:ascii="Arial" w:hAnsi="Arial" w:cs="Arial"/>
          <w:sz w:val="22"/>
          <w:szCs w:val="22"/>
        </w:rPr>
        <w:t xml:space="preserve"> </w:t>
      </w:r>
      <w:r w:rsidRPr="00396888">
        <w:rPr>
          <w:rFonts w:ascii="Arial" w:hAnsi="Arial" w:cs="Arial"/>
          <w:sz w:val="22"/>
          <w:szCs w:val="22"/>
        </w:rPr>
        <w:t>all approach, where activities are offered to all residents regardless of individual preference, capacity, or cultural background. This can undermine residents' autonomy and may increase distress rather than reduce it, particularly for those who prefer quieter, more solitary activities (Nimrod and Kleiber, 2007).</w:t>
      </w:r>
    </w:p>
    <w:p w14:paraId="31D06EC3" w14:textId="381C5E21" w:rsidR="00994D75" w:rsidRPr="00396888" w:rsidRDefault="00994D75" w:rsidP="00396888">
      <w:pPr>
        <w:spacing w:line="360" w:lineRule="auto"/>
        <w:rPr>
          <w:rFonts w:ascii="Arial" w:hAnsi="Arial" w:cs="Arial"/>
          <w:sz w:val="22"/>
          <w:szCs w:val="22"/>
        </w:rPr>
      </w:pPr>
      <w:r w:rsidRPr="00396888">
        <w:rPr>
          <w:rFonts w:ascii="Arial" w:hAnsi="Arial" w:cs="Arial"/>
          <w:sz w:val="22"/>
          <w:szCs w:val="22"/>
        </w:rPr>
        <w:t>To overcome this, practitioners should adopt a person-centred approach to activity planning, grounded in detailed life history work and ongoing conversation with the resident and their family. Tools such as life story books or structured key</w:t>
      </w:r>
      <w:r w:rsidR="00341A2C">
        <w:rPr>
          <w:rFonts w:ascii="Arial" w:hAnsi="Arial" w:cs="Arial"/>
          <w:sz w:val="22"/>
          <w:szCs w:val="22"/>
        </w:rPr>
        <w:t xml:space="preserve"> </w:t>
      </w:r>
      <w:r w:rsidRPr="00396888">
        <w:rPr>
          <w:rFonts w:ascii="Arial" w:hAnsi="Arial" w:cs="Arial"/>
          <w:sz w:val="22"/>
          <w:szCs w:val="22"/>
        </w:rPr>
        <w:t>worker conversations can help ensure activities are tailored to what genuinely matters to each individual resident (NICE, 2013), supporting both their psychological wellbeing and their sense of dignity and identity.</w:t>
      </w:r>
    </w:p>
    <w:p w14:paraId="4DCB586A" w14:textId="287BD766" w:rsidR="00733FC2" w:rsidRPr="00396888" w:rsidRDefault="00994D75" w:rsidP="00396888">
      <w:pPr>
        <w:spacing w:line="360" w:lineRule="auto"/>
        <w:rPr>
          <w:rFonts w:ascii="Arial" w:hAnsi="Arial" w:cs="Arial"/>
          <w:sz w:val="22"/>
          <w:szCs w:val="22"/>
        </w:rPr>
      </w:pPr>
      <w:r w:rsidRPr="00396888">
        <w:rPr>
          <w:rFonts w:ascii="Arial" w:hAnsi="Arial" w:cs="Arial"/>
          <w:sz w:val="22"/>
          <w:szCs w:val="22"/>
        </w:rPr>
        <w:lastRenderedPageBreak/>
        <w:t xml:space="preserve">Activity Theory provides a practical and </w:t>
      </w:r>
      <w:r w:rsidR="00344361" w:rsidRPr="00396888">
        <w:rPr>
          <w:rFonts w:ascii="Arial" w:hAnsi="Arial" w:cs="Arial"/>
          <w:sz w:val="22"/>
          <w:szCs w:val="22"/>
        </w:rPr>
        <w:t>evidence</w:t>
      </w:r>
      <w:r w:rsidR="00344361">
        <w:rPr>
          <w:rFonts w:ascii="Arial" w:hAnsi="Arial" w:cs="Arial"/>
          <w:sz w:val="22"/>
          <w:szCs w:val="22"/>
        </w:rPr>
        <w:t>-based</w:t>
      </w:r>
      <w:r w:rsidRPr="00396888">
        <w:rPr>
          <w:rFonts w:ascii="Arial" w:hAnsi="Arial" w:cs="Arial"/>
          <w:sz w:val="22"/>
          <w:szCs w:val="22"/>
        </w:rPr>
        <w:t xml:space="preserve"> framework for improving the psychological wellbeing of older adults in residential care. By focusing on meaningful, identity</w:t>
      </w:r>
      <w:r w:rsidR="00396888">
        <w:rPr>
          <w:rFonts w:ascii="Arial" w:hAnsi="Arial" w:cs="Arial"/>
          <w:sz w:val="22"/>
          <w:szCs w:val="22"/>
        </w:rPr>
        <w:t xml:space="preserve"> </w:t>
      </w:r>
      <w:r w:rsidRPr="00396888">
        <w:rPr>
          <w:rFonts w:ascii="Arial" w:hAnsi="Arial" w:cs="Arial"/>
          <w:sz w:val="22"/>
          <w:szCs w:val="22"/>
        </w:rPr>
        <w:t>affirming activities that replace lost roles, care professionals can make a genuine difference to residents' quality of life, provided the approach remains person-centred and tailored to individual need.</w:t>
      </w:r>
    </w:p>
    <w:p w14:paraId="130D76A6" w14:textId="77777777" w:rsidR="00516177" w:rsidRDefault="00516177" w:rsidP="00994D75"/>
    <w:p w14:paraId="12A154E7" w14:textId="77777777" w:rsidR="00396888" w:rsidRDefault="00396888" w:rsidP="00994D75"/>
    <w:p w14:paraId="6BB33653" w14:textId="77777777" w:rsidR="00396888" w:rsidRDefault="00396888" w:rsidP="00994D75"/>
    <w:p w14:paraId="5DFC7F4F" w14:textId="77777777" w:rsidR="00396888" w:rsidRDefault="00396888" w:rsidP="00994D75"/>
    <w:p w14:paraId="17BCD2F3" w14:textId="77777777" w:rsidR="00396888" w:rsidRDefault="00396888" w:rsidP="00994D75"/>
    <w:p w14:paraId="7E18CE9A" w14:textId="77777777" w:rsidR="00396888" w:rsidRDefault="00396888" w:rsidP="00994D75"/>
    <w:p w14:paraId="54AFF13F" w14:textId="77777777" w:rsidR="00396888" w:rsidRDefault="00396888" w:rsidP="00994D75"/>
    <w:p w14:paraId="71F2FBE3" w14:textId="77777777" w:rsidR="00396888" w:rsidRDefault="00396888" w:rsidP="00994D75"/>
    <w:p w14:paraId="15D7B9A6" w14:textId="77777777" w:rsidR="00396888" w:rsidRDefault="00396888" w:rsidP="00994D75"/>
    <w:p w14:paraId="7B875E9C" w14:textId="77777777" w:rsidR="00396888" w:rsidRDefault="00396888" w:rsidP="00994D75"/>
    <w:p w14:paraId="6E70A43E" w14:textId="77777777" w:rsidR="00396888" w:rsidRDefault="00396888" w:rsidP="00994D75"/>
    <w:p w14:paraId="790AE20C" w14:textId="77777777" w:rsidR="00396888" w:rsidRDefault="00396888" w:rsidP="00994D75"/>
    <w:p w14:paraId="4F951210" w14:textId="77777777" w:rsidR="00396888" w:rsidRDefault="00396888" w:rsidP="00994D75"/>
    <w:p w14:paraId="2BE5F743" w14:textId="77777777" w:rsidR="00396888" w:rsidRDefault="00396888" w:rsidP="00994D75"/>
    <w:p w14:paraId="5FCD5D64" w14:textId="77777777" w:rsidR="00396888" w:rsidRDefault="00396888" w:rsidP="00994D75"/>
    <w:p w14:paraId="50AF9136" w14:textId="77777777" w:rsidR="00396888" w:rsidRDefault="00396888" w:rsidP="00994D75"/>
    <w:p w14:paraId="3726007E" w14:textId="77777777" w:rsidR="00396888" w:rsidRDefault="00396888" w:rsidP="00994D75"/>
    <w:p w14:paraId="04605D70" w14:textId="77777777" w:rsidR="00396888" w:rsidRDefault="00396888" w:rsidP="00994D75"/>
    <w:p w14:paraId="4CB6EB9A" w14:textId="77777777" w:rsidR="00396888" w:rsidRDefault="00396888" w:rsidP="00994D75"/>
    <w:p w14:paraId="68D40911" w14:textId="77777777" w:rsidR="00396888" w:rsidRDefault="00396888" w:rsidP="00994D75"/>
    <w:p w14:paraId="4E8C8934" w14:textId="77777777" w:rsidR="00396888" w:rsidRDefault="00396888" w:rsidP="00994D75"/>
    <w:p w14:paraId="26D8F878" w14:textId="77777777" w:rsidR="00396888" w:rsidRDefault="00396888" w:rsidP="00994D75"/>
    <w:p w14:paraId="3DCC763E" w14:textId="77777777" w:rsidR="00396888" w:rsidRDefault="00396888" w:rsidP="00994D75"/>
    <w:p w14:paraId="123B890B" w14:textId="77777777" w:rsidR="00396888" w:rsidRDefault="00396888" w:rsidP="00516177"/>
    <w:p w14:paraId="2C87EEAD" w14:textId="2BDE825A" w:rsidR="00516177" w:rsidRPr="00396888" w:rsidRDefault="00516177" w:rsidP="00516177">
      <w:pPr>
        <w:rPr>
          <w:rFonts w:ascii="Arial" w:hAnsi="Arial" w:cs="Arial"/>
          <w:b/>
          <w:bCs/>
          <w:sz w:val="22"/>
          <w:szCs w:val="22"/>
        </w:rPr>
      </w:pPr>
      <w:r w:rsidRPr="00396888">
        <w:rPr>
          <w:rFonts w:ascii="Arial" w:hAnsi="Arial" w:cs="Arial"/>
          <w:b/>
          <w:bCs/>
          <w:sz w:val="22"/>
          <w:szCs w:val="22"/>
        </w:rPr>
        <w:lastRenderedPageBreak/>
        <w:t>References</w:t>
      </w:r>
      <w:r w:rsidR="00396888" w:rsidRPr="00396888">
        <w:rPr>
          <w:rFonts w:ascii="Arial" w:hAnsi="Arial" w:cs="Arial"/>
          <w:b/>
          <w:bCs/>
          <w:sz w:val="22"/>
          <w:szCs w:val="22"/>
        </w:rPr>
        <w:t>:</w:t>
      </w:r>
    </w:p>
    <w:p w14:paraId="75DC1E90" w14:textId="77777777" w:rsidR="00516177" w:rsidRPr="00396888" w:rsidRDefault="00516177" w:rsidP="00516177">
      <w:pPr>
        <w:rPr>
          <w:rFonts w:ascii="Arial" w:hAnsi="Arial" w:cs="Arial"/>
          <w:sz w:val="22"/>
          <w:szCs w:val="22"/>
        </w:rPr>
      </w:pPr>
      <w:r w:rsidRPr="00396888">
        <w:rPr>
          <w:rFonts w:ascii="Arial" w:hAnsi="Arial" w:cs="Arial"/>
          <w:sz w:val="22"/>
          <w:szCs w:val="22"/>
        </w:rPr>
        <w:t xml:space="preserve">Berk, L.E. (2019) 'Emotional and social development in late adulthood', in Development Through the Lifespan. 7th </w:t>
      </w:r>
      <w:proofErr w:type="spellStart"/>
      <w:r w:rsidRPr="00396888">
        <w:rPr>
          <w:rFonts w:ascii="Arial" w:hAnsi="Arial" w:cs="Arial"/>
          <w:sz w:val="22"/>
          <w:szCs w:val="22"/>
        </w:rPr>
        <w:t>edn</w:t>
      </w:r>
      <w:proofErr w:type="spellEnd"/>
      <w:r w:rsidRPr="00396888">
        <w:rPr>
          <w:rFonts w:ascii="Arial" w:hAnsi="Arial" w:cs="Arial"/>
          <w:sz w:val="22"/>
          <w:szCs w:val="22"/>
        </w:rPr>
        <w:t>. Hoboken: Pearson Education, pp. 1959–2066.</w:t>
      </w:r>
    </w:p>
    <w:p w14:paraId="188D719A" w14:textId="77777777" w:rsidR="00516177" w:rsidRPr="00396888" w:rsidRDefault="00516177" w:rsidP="00516177">
      <w:pPr>
        <w:rPr>
          <w:rFonts w:ascii="Arial" w:hAnsi="Arial" w:cs="Arial"/>
          <w:sz w:val="22"/>
          <w:szCs w:val="22"/>
        </w:rPr>
      </w:pPr>
      <w:r w:rsidRPr="00396888">
        <w:rPr>
          <w:rFonts w:ascii="Arial" w:hAnsi="Arial" w:cs="Arial"/>
          <w:sz w:val="22"/>
          <w:szCs w:val="22"/>
        </w:rPr>
        <w:t>Erikson, E.H. (1997) The Life Cycle Completed. Extended Version with New Chapters on the Ninth Stage of Development by Joan M. Erikson. W.W. Norton &amp; Company.</w:t>
      </w:r>
    </w:p>
    <w:p w14:paraId="054BDB05" w14:textId="77777777" w:rsidR="00516177" w:rsidRPr="00396888" w:rsidRDefault="00516177" w:rsidP="00516177">
      <w:pPr>
        <w:rPr>
          <w:rFonts w:ascii="Arial" w:hAnsi="Arial" w:cs="Arial"/>
          <w:sz w:val="22"/>
          <w:szCs w:val="22"/>
        </w:rPr>
      </w:pPr>
      <w:r w:rsidRPr="00396888">
        <w:rPr>
          <w:rFonts w:ascii="Arial" w:hAnsi="Arial" w:cs="Arial"/>
          <w:sz w:val="22"/>
          <w:szCs w:val="22"/>
        </w:rPr>
        <w:t>Havighurst, R.J. (1961) 'Successful ageing', The Gerontologist, 1(1), pp. 8–13.</w:t>
      </w:r>
    </w:p>
    <w:p w14:paraId="4A1DF986" w14:textId="77777777" w:rsidR="00516177" w:rsidRPr="00396888" w:rsidRDefault="00516177" w:rsidP="00516177">
      <w:pPr>
        <w:rPr>
          <w:rFonts w:ascii="Arial" w:hAnsi="Arial" w:cs="Arial"/>
          <w:sz w:val="22"/>
          <w:szCs w:val="22"/>
        </w:rPr>
      </w:pPr>
      <w:r w:rsidRPr="00396888">
        <w:rPr>
          <w:rFonts w:ascii="Arial" w:hAnsi="Arial" w:cs="Arial"/>
          <w:sz w:val="22"/>
          <w:szCs w:val="22"/>
        </w:rPr>
        <w:t>Hay, M.E. et al. (2020) 'Pathways of participation by older adults living in continuing care homes: A constructivist grounded theory study', Activities, Adaptation and Ageing, 44(1), pp. 1–23.</w:t>
      </w:r>
    </w:p>
    <w:p w14:paraId="7AFA780C" w14:textId="233CCD82" w:rsidR="00516177" w:rsidRPr="00396888" w:rsidRDefault="00516177" w:rsidP="00516177">
      <w:pPr>
        <w:rPr>
          <w:rFonts w:ascii="Arial" w:hAnsi="Arial" w:cs="Arial"/>
          <w:sz w:val="22"/>
          <w:szCs w:val="22"/>
        </w:rPr>
      </w:pPr>
      <w:r w:rsidRPr="00396888">
        <w:rPr>
          <w:rFonts w:ascii="Arial" w:hAnsi="Arial" w:cs="Arial"/>
          <w:sz w:val="22"/>
          <w:szCs w:val="22"/>
        </w:rPr>
        <w:t xml:space="preserve">NICE (2013) Mental Wellbeing of Older People in Care Homes. London: National Institute for Health and Care Excellence. Available at: </w:t>
      </w:r>
      <w:hyperlink r:id="rId5" w:history="1">
        <w:r w:rsidRPr="00396888">
          <w:rPr>
            <w:rStyle w:val="Hyperlink"/>
            <w:rFonts w:ascii="Arial" w:hAnsi="Arial" w:cs="Arial"/>
            <w:sz w:val="22"/>
            <w:szCs w:val="22"/>
          </w:rPr>
          <w:t>https://www.nice.org.uk/guidance/qs50</w:t>
        </w:r>
      </w:hyperlink>
      <w:r w:rsidRPr="00396888">
        <w:rPr>
          <w:rFonts w:ascii="Arial" w:hAnsi="Arial" w:cs="Arial"/>
          <w:sz w:val="22"/>
          <w:szCs w:val="22"/>
        </w:rPr>
        <w:t xml:space="preserve"> </w:t>
      </w:r>
      <w:r w:rsidRPr="00396888">
        <w:rPr>
          <w:rFonts w:ascii="Arial" w:hAnsi="Arial" w:cs="Arial"/>
          <w:sz w:val="22"/>
          <w:szCs w:val="22"/>
        </w:rPr>
        <w:t xml:space="preserve">(Accessed: </w:t>
      </w:r>
      <w:r w:rsidRPr="00396888">
        <w:rPr>
          <w:rFonts w:ascii="Arial" w:hAnsi="Arial" w:cs="Arial"/>
          <w:sz w:val="22"/>
          <w:szCs w:val="22"/>
        </w:rPr>
        <w:t xml:space="preserve">13 </w:t>
      </w:r>
      <w:r w:rsidRPr="00396888">
        <w:rPr>
          <w:rFonts w:ascii="Arial" w:hAnsi="Arial" w:cs="Arial"/>
          <w:sz w:val="22"/>
          <w:szCs w:val="22"/>
        </w:rPr>
        <w:t>March 2026).</w:t>
      </w:r>
    </w:p>
    <w:p w14:paraId="7A89A061" w14:textId="75DC538D" w:rsidR="00516177" w:rsidRPr="00396888" w:rsidRDefault="00516177" w:rsidP="00516177">
      <w:pPr>
        <w:rPr>
          <w:rFonts w:ascii="Arial" w:hAnsi="Arial" w:cs="Arial"/>
          <w:sz w:val="22"/>
          <w:szCs w:val="22"/>
        </w:rPr>
      </w:pPr>
      <w:r w:rsidRPr="00396888">
        <w:rPr>
          <w:rFonts w:ascii="Arial" w:hAnsi="Arial" w:cs="Arial"/>
          <w:sz w:val="22"/>
          <w:szCs w:val="22"/>
        </w:rPr>
        <w:t>Nimrod, G. and Kleiber, D.A. (2007) 'Reconsidering change and continuity in later life: Toward an innovation theory of successful ageing', International Journal of Ageing and Human Development, 65(1), pp. 1–22.</w:t>
      </w:r>
    </w:p>
    <w:sectPr w:rsidR="00516177" w:rsidRPr="003968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F67"/>
    <w:rsid w:val="00013E86"/>
    <w:rsid w:val="00071FA7"/>
    <w:rsid w:val="000E2F67"/>
    <w:rsid w:val="001144D3"/>
    <w:rsid w:val="0015160C"/>
    <w:rsid w:val="00195F10"/>
    <w:rsid w:val="001A4DFF"/>
    <w:rsid w:val="001C69B0"/>
    <w:rsid w:val="001F3DDF"/>
    <w:rsid w:val="00262B8C"/>
    <w:rsid w:val="00286D18"/>
    <w:rsid w:val="00323009"/>
    <w:rsid w:val="003345D9"/>
    <w:rsid w:val="0033678A"/>
    <w:rsid w:val="00341A2C"/>
    <w:rsid w:val="00344361"/>
    <w:rsid w:val="0038367E"/>
    <w:rsid w:val="00396888"/>
    <w:rsid w:val="003A4415"/>
    <w:rsid w:val="004138AC"/>
    <w:rsid w:val="00435007"/>
    <w:rsid w:val="00446EF8"/>
    <w:rsid w:val="00451156"/>
    <w:rsid w:val="004568D9"/>
    <w:rsid w:val="0049389C"/>
    <w:rsid w:val="004B7E44"/>
    <w:rsid w:val="00516177"/>
    <w:rsid w:val="00586E16"/>
    <w:rsid w:val="005A2E9F"/>
    <w:rsid w:val="005A631C"/>
    <w:rsid w:val="00652A1E"/>
    <w:rsid w:val="00657B81"/>
    <w:rsid w:val="006A3096"/>
    <w:rsid w:val="006B71F8"/>
    <w:rsid w:val="006D3159"/>
    <w:rsid w:val="00717306"/>
    <w:rsid w:val="00732E58"/>
    <w:rsid w:val="00733FC2"/>
    <w:rsid w:val="007C4FCC"/>
    <w:rsid w:val="007F04DD"/>
    <w:rsid w:val="00805F4C"/>
    <w:rsid w:val="00844051"/>
    <w:rsid w:val="008D3967"/>
    <w:rsid w:val="008D7E80"/>
    <w:rsid w:val="00994D75"/>
    <w:rsid w:val="00A4162C"/>
    <w:rsid w:val="00A60C37"/>
    <w:rsid w:val="00AA3470"/>
    <w:rsid w:val="00AC1DBC"/>
    <w:rsid w:val="00AF31D0"/>
    <w:rsid w:val="00C54507"/>
    <w:rsid w:val="00C95EF5"/>
    <w:rsid w:val="00D16BC1"/>
    <w:rsid w:val="00D25C46"/>
    <w:rsid w:val="00D46DD3"/>
    <w:rsid w:val="00D65DCE"/>
    <w:rsid w:val="00D81CFB"/>
    <w:rsid w:val="00D93971"/>
    <w:rsid w:val="00DE37F6"/>
    <w:rsid w:val="00DF57C6"/>
    <w:rsid w:val="00E75718"/>
    <w:rsid w:val="00E94CDF"/>
    <w:rsid w:val="00EA5183"/>
    <w:rsid w:val="00EF5ED4"/>
    <w:rsid w:val="00FA1AAE"/>
    <w:rsid w:val="00FF4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30763D"/>
  <w15:chartTrackingRefBased/>
  <w15:docId w15:val="{2145FF34-0650-094E-8946-8D76BB80A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F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F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F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F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F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F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F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F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F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F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F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F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F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F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F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F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F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F67"/>
    <w:rPr>
      <w:rFonts w:eastAsiaTheme="majorEastAsia" w:cstheme="majorBidi"/>
      <w:color w:val="272727" w:themeColor="text1" w:themeTint="D8"/>
    </w:rPr>
  </w:style>
  <w:style w:type="paragraph" w:styleId="Title">
    <w:name w:val="Title"/>
    <w:basedOn w:val="Normal"/>
    <w:next w:val="Normal"/>
    <w:link w:val="TitleChar"/>
    <w:uiPriority w:val="10"/>
    <w:qFormat/>
    <w:rsid w:val="000E2F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F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F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F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F67"/>
    <w:pPr>
      <w:spacing w:before="160"/>
      <w:jc w:val="center"/>
    </w:pPr>
    <w:rPr>
      <w:i/>
      <w:iCs/>
      <w:color w:val="404040" w:themeColor="text1" w:themeTint="BF"/>
    </w:rPr>
  </w:style>
  <w:style w:type="character" w:customStyle="1" w:styleId="QuoteChar">
    <w:name w:val="Quote Char"/>
    <w:basedOn w:val="DefaultParagraphFont"/>
    <w:link w:val="Quote"/>
    <w:uiPriority w:val="29"/>
    <w:rsid w:val="000E2F67"/>
    <w:rPr>
      <w:i/>
      <w:iCs/>
      <w:color w:val="404040" w:themeColor="text1" w:themeTint="BF"/>
    </w:rPr>
  </w:style>
  <w:style w:type="paragraph" w:styleId="ListParagraph">
    <w:name w:val="List Paragraph"/>
    <w:basedOn w:val="Normal"/>
    <w:uiPriority w:val="34"/>
    <w:qFormat/>
    <w:rsid w:val="000E2F67"/>
    <w:pPr>
      <w:ind w:left="720"/>
      <w:contextualSpacing/>
    </w:pPr>
  </w:style>
  <w:style w:type="character" w:styleId="IntenseEmphasis">
    <w:name w:val="Intense Emphasis"/>
    <w:basedOn w:val="DefaultParagraphFont"/>
    <w:uiPriority w:val="21"/>
    <w:qFormat/>
    <w:rsid w:val="000E2F67"/>
    <w:rPr>
      <w:i/>
      <w:iCs/>
      <w:color w:val="0F4761" w:themeColor="accent1" w:themeShade="BF"/>
    </w:rPr>
  </w:style>
  <w:style w:type="paragraph" w:styleId="IntenseQuote">
    <w:name w:val="Intense Quote"/>
    <w:basedOn w:val="Normal"/>
    <w:next w:val="Normal"/>
    <w:link w:val="IntenseQuoteChar"/>
    <w:uiPriority w:val="30"/>
    <w:qFormat/>
    <w:rsid w:val="000E2F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F67"/>
    <w:rPr>
      <w:i/>
      <w:iCs/>
      <w:color w:val="0F4761" w:themeColor="accent1" w:themeShade="BF"/>
    </w:rPr>
  </w:style>
  <w:style w:type="character" w:styleId="IntenseReference">
    <w:name w:val="Intense Reference"/>
    <w:basedOn w:val="DefaultParagraphFont"/>
    <w:uiPriority w:val="32"/>
    <w:qFormat/>
    <w:rsid w:val="000E2F67"/>
    <w:rPr>
      <w:b/>
      <w:bCs/>
      <w:smallCaps/>
      <w:color w:val="0F4761" w:themeColor="accent1" w:themeShade="BF"/>
      <w:spacing w:val="5"/>
    </w:rPr>
  </w:style>
  <w:style w:type="character" w:styleId="Hyperlink">
    <w:name w:val="Hyperlink"/>
    <w:basedOn w:val="DefaultParagraphFont"/>
    <w:uiPriority w:val="99"/>
    <w:unhideWhenUsed/>
    <w:rsid w:val="00516177"/>
    <w:rPr>
      <w:color w:val="467886" w:themeColor="hyperlink"/>
      <w:u w:val="single"/>
    </w:rPr>
  </w:style>
  <w:style w:type="character" w:styleId="UnresolvedMention">
    <w:name w:val="Unresolved Mention"/>
    <w:basedOn w:val="DefaultParagraphFont"/>
    <w:uiPriority w:val="99"/>
    <w:semiHidden/>
    <w:unhideWhenUsed/>
    <w:rsid w:val="005161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nice.org.uk/guidance/qs5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58</TotalTime>
  <Pages>7</Pages>
  <Words>1798</Words>
  <Characters>10898</Characters>
  <Application>Microsoft Office Word</Application>
  <DocSecurity>0</DocSecurity>
  <Lines>259</Lines>
  <Paragraphs>100</Paragraphs>
  <ScaleCrop>false</ScaleCrop>
  <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Lamaiya Smith (1815074)</dc:creator>
  <cp:keywords/>
  <dc:description/>
  <cp:lastModifiedBy>Lamaiya Smith (1815074)</cp:lastModifiedBy>
  <cp:revision>57</cp:revision>
  <dcterms:created xsi:type="dcterms:W3CDTF">2026-03-22T20:42:00Z</dcterms:created>
  <dcterms:modified xsi:type="dcterms:W3CDTF">2026-03-24T07:26:00Z</dcterms:modified>
</cp:coreProperties>
</file>