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A3A2" w14:textId="77777777" w:rsidR="00BD26D8" w:rsidRDefault="00BD26D8" w:rsidP="00BD26D8">
      <w:pPr>
        <w:rPr>
          <w:b/>
          <w:bCs/>
          <w:u w:val="single"/>
        </w:rPr>
      </w:pPr>
      <w:r w:rsidRPr="00BD26D8">
        <w:rPr>
          <w:b/>
          <w:bCs/>
          <w:u w:val="single"/>
        </w:rPr>
        <w:t>Reflection on Occupational Therapy Intervention for Patient X Using Gibbs’ Model</w:t>
      </w:r>
    </w:p>
    <w:p w14:paraId="08AB8092" w14:textId="77777777" w:rsidR="009C6C4A" w:rsidRDefault="009C6C4A" w:rsidP="00BD26D8"/>
    <w:p w14:paraId="4E08202D" w14:textId="04E2B7A2" w:rsidR="00F94E55" w:rsidRPr="00A36263" w:rsidRDefault="00F94E55" w:rsidP="009C6C4A">
      <w:pPr>
        <w:spacing w:line="360" w:lineRule="auto"/>
      </w:pPr>
      <w:r w:rsidRPr="00A36263">
        <w:t>This Reflection uses Gibb’s Mo</w:t>
      </w:r>
      <w:r w:rsidR="00695297" w:rsidRPr="00A36263">
        <w:t xml:space="preserve">del to reflect on my own </w:t>
      </w:r>
      <w:r w:rsidR="00A36263">
        <w:t xml:space="preserve">my own practice as a </w:t>
      </w:r>
      <w:r w:rsidR="009C6C4A">
        <w:t>Therapy Assistant Practitioner in Monmouthshire’s integrated team. This reflection focuses on person centred care approach and the benefits of a holistic assessment.</w:t>
      </w:r>
    </w:p>
    <w:p w14:paraId="30E284A6" w14:textId="71B868B3" w:rsidR="00BD26D8" w:rsidRPr="00BD26D8" w:rsidRDefault="00BD26D8" w:rsidP="00BD26D8">
      <w:pPr>
        <w:spacing w:line="360" w:lineRule="auto"/>
        <w:rPr>
          <w:b/>
          <w:bCs/>
        </w:rPr>
      </w:pPr>
      <w:r w:rsidRPr="00BD26D8">
        <w:rPr>
          <w:b/>
          <w:bCs/>
        </w:rPr>
        <w:t>1. Description</w:t>
      </w:r>
    </w:p>
    <w:p w14:paraId="7D07A573" w14:textId="69530C48" w:rsidR="00BD26D8" w:rsidRDefault="00BD26D8" w:rsidP="00BD26D8">
      <w:pPr>
        <w:spacing w:line="360" w:lineRule="auto"/>
      </w:pPr>
      <w:r>
        <w:t>Patient X, a 59-year-old individual, was admitted to the hospital following a fall, which led to significant functional decline and reduced mobility.  Their medical history included alcohol dependency, peripheral neuropathy, COPD, and depression.  On admission, the patient presented with severe mobility limitations, unable to manage stairs or perform basic self-care tasks.  The</w:t>
      </w:r>
      <w:r w:rsidR="00D9406A">
        <w:t xml:space="preserve"> </w:t>
      </w:r>
      <w:r w:rsidR="00630B86">
        <w:t>patient’s</w:t>
      </w:r>
      <w:r>
        <w:t xml:space="preserve"> mood was low, and they lacked motivation to engage in therapy or self-care activities.</w:t>
      </w:r>
    </w:p>
    <w:p w14:paraId="2963221E" w14:textId="2B601E6A" w:rsidR="00BD26D8" w:rsidRDefault="00BD26D8" w:rsidP="00BD26D8">
      <w:pPr>
        <w:spacing w:line="360" w:lineRule="auto"/>
      </w:pPr>
      <w:r>
        <w:t>Following discharge, the patient was provided with various support services, including bed relocation, community meals, and reablement carers</w:t>
      </w:r>
      <w:r w:rsidR="00012A96">
        <w:t>,</w:t>
      </w:r>
      <w:r>
        <w:t xml:space="preserve"> </w:t>
      </w:r>
      <w:r w:rsidR="00A2595C" w:rsidRPr="00A2595C">
        <w:t>an approach consistent with the</w:t>
      </w:r>
      <w:r w:rsidR="00792CAB" w:rsidRPr="00792CAB">
        <w:t xml:space="preserve"> Social Services and Well-being (Wales) Act </w:t>
      </w:r>
      <w:r w:rsidR="00D9406A" w:rsidRPr="00792CAB">
        <w:t>2014</w:t>
      </w:r>
      <w:r w:rsidR="00D9406A" w:rsidRPr="00A2595C">
        <w:t>,</w:t>
      </w:r>
      <w:r w:rsidR="00A2595C" w:rsidRPr="00A2595C">
        <w:t xml:space="preserve"> which requires local authorities to promote independence and provide reablement-focused support </w:t>
      </w:r>
      <w:r w:rsidR="00E2474D" w:rsidRPr="00A2595C">
        <w:t>(</w:t>
      </w:r>
      <w:r w:rsidR="00E2474D">
        <w:t xml:space="preserve">The </w:t>
      </w:r>
      <w:r w:rsidR="002E166B">
        <w:t>National Archives</w:t>
      </w:r>
      <w:r w:rsidR="00A2595C" w:rsidRPr="00A2595C">
        <w:t>, 20</w:t>
      </w:r>
      <w:r w:rsidR="002E166B">
        <w:t>25</w:t>
      </w:r>
      <w:r w:rsidR="00A2595C" w:rsidRPr="00A2595C">
        <w:t>).</w:t>
      </w:r>
      <w:r w:rsidR="00012A96">
        <w:t xml:space="preserve">  </w:t>
      </w:r>
      <w:r>
        <w:t xml:space="preserve">However, the patient initially declined participation in therapy and self-care tasks, which led to continued functional decline.  The patient was subsequently referred to </w:t>
      </w:r>
      <w:r w:rsidR="005918B4">
        <w:t>me</w:t>
      </w:r>
      <w:r>
        <w:t xml:space="preserve"> a Band 4 Occupational Therapy Assistant,</w:t>
      </w:r>
      <w:r w:rsidR="00090FC9">
        <w:t xml:space="preserve"> I</w:t>
      </w:r>
      <w:r>
        <w:t xml:space="preserve"> aimed to improve mobility, self-care, and community engagement</w:t>
      </w:r>
      <w:r w:rsidR="00FC1407" w:rsidRPr="00FC1407">
        <w:t xml:space="preserve"> in line with </w:t>
      </w:r>
      <w:r w:rsidR="00090FC9">
        <w:t>National institu</w:t>
      </w:r>
      <w:r w:rsidR="00EC305D">
        <w:t>te for Health and Care</w:t>
      </w:r>
      <w:r w:rsidR="006C6BE1">
        <w:t xml:space="preserve"> Excellence (NICE) </w:t>
      </w:r>
      <w:r w:rsidR="00FC1407" w:rsidRPr="00FC1407">
        <w:t>guideline NG74, which recommends therapy-led reablement to maximise independence after hospital discharge (NICE, 2017).</w:t>
      </w:r>
      <w:r w:rsidR="00FC1407">
        <w:t xml:space="preserve"> </w:t>
      </w:r>
      <w:r>
        <w:t xml:space="preserve">  Over time, the patient's progress was hindered by a new diagnosis of cataracts, which further impaired their vision and diminished their sense of independence.</w:t>
      </w:r>
    </w:p>
    <w:p w14:paraId="5B209DC2" w14:textId="77777777" w:rsidR="00BD26D8" w:rsidRPr="00BD26D8" w:rsidRDefault="00BD26D8" w:rsidP="00BD26D8">
      <w:pPr>
        <w:spacing w:line="360" w:lineRule="auto"/>
        <w:rPr>
          <w:b/>
          <w:bCs/>
        </w:rPr>
      </w:pPr>
      <w:r w:rsidRPr="00BD26D8">
        <w:rPr>
          <w:b/>
          <w:bCs/>
        </w:rPr>
        <w:t>2. Feelings</w:t>
      </w:r>
    </w:p>
    <w:p w14:paraId="0D50F28C" w14:textId="098FF36B" w:rsidR="00BD26D8" w:rsidRDefault="00BD26D8" w:rsidP="00BD26D8">
      <w:pPr>
        <w:spacing w:line="360" w:lineRule="auto"/>
      </w:pPr>
      <w:r>
        <w:t xml:space="preserve">At the beginning of the intervention, I felt a mix of concern and uncertainty about the patient’s engagement. </w:t>
      </w:r>
      <w:r w:rsidR="00F70772">
        <w:t xml:space="preserve"> </w:t>
      </w:r>
      <w:r>
        <w:t>The patient’s resistance to therapy and refusal of services were worrying</w:t>
      </w:r>
      <w:r w:rsidR="00A62CD1">
        <w:t xml:space="preserve">, </w:t>
      </w:r>
      <w:r>
        <w:t xml:space="preserve">and it was challenging to know how best to motivate them. </w:t>
      </w:r>
      <w:r w:rsidR="00F63BF9">
        <w:t xml:space="preserve"> </w:t>
      </w:r>
      <w:r>
        <w:t>I felt empathetic towards their emotional state, recogni</w:t>
      </w:r>
      <w:r w:rsidR="00F63BF9">
        <w:t>s</w:t>
      </w:r>
      <w:r>
        <w:t xml:space="preserve">ing that depression and a significant loss of function were major barriers to their participation. </w:t>
      </w:r>
      <w:r w:rsidR="00F63BF9">
        <w:t xml:space="preserve"> </w:t>
      </w:r>
      <w:r>
        <w:t>When small improvements were achieved</w:t>
      </w:r>
      <w:r w:rsidR="00F63BF9">
        <w:t xml:space="preserve">, </w:t>
      </w:r>
      <w:r>
        <w:t>such as managing stairs independently and bathing independently</w:t>
      </w:r>
      <w:r w:rsidR="00F63BF9">
        <w:t xml:space="preserve"> </w:t>
      </w:r>
      <w:r>
        <w:t xml:space="preserve">I felt a sense of hope and accomplishment. </w:t>
      </w:r>
      <w:r w:rsidR="00F63BF9">
        <w:t xml:space="preserve"> </w:t>
      </w:r>
      <w:r>
        <w:t>However, after the diagnosis of cataracts, I again felt frustrated and concerned about how this would affect the patient’s emotional and physical progress.</w:t>
      </w:r>
    </w:p>
    <w:p w14:paraId="75759AE1" w14:textId="77777777" w:rsidR="00BD26D8" w:rsidRPr="00F63BF9" w:rsidRDefault="00BD26D8" w:rsidP="00BD26D8">
      <w:pPr>
        <w:spacing w:line="360" w:lineRule="auto"/>
        <w:rPr>
          <w:b/>
          <w:bCs/>
        </w:rPr>
      </w:pPr>
      <w:r w:rsidRPr="00F63BF9">
        <w:rPr>
          <w:b/>
          <w:bCs/>
        </w:rPr>
        <w:t>3. Evaluation</w:t>
      </w:r>
    </w:p>
    <w:p w14:paraId="3BC3A884" w14:textId="1CB9F061" w:rsidR="00BD26D8" w:rsidRDefault="00BD26D8" w:rsidP="00BD26D8">
      <w:pPr>
        <w:spacing w:line="360" w:lineRule="auto"/>
      </w:pPr>
      <w:r>
        <w:lastRenderedPageBreak/>
        <w:t>Looking back, there were both successes and challenges in the intervention.</w:t>
      </w:r>
      <w:r w:rsidR="00F63BF9">
        <w:t xml:space="preserve"> </w:t>
      </w:r>
      <w:r>
        <w:t xml:space="preserve"> On the positive side, the patient made substantial progress in mobility, especially with stairs, and achieved independence with bathing and food preparation. </w:t>
      </w:r>
      <w:r w:rsidR="00F63BF9">
        <w:t xml:space="preserve"> </w:t>
      </w:r>
      <w:r>
        <w:t>These milestones were important not only for the patient's functional recovery but also for their self-esteem.</w:t>
      </w:r>
      <w:r w:rsidR="00F63BF9">
        <w:t xml:space="preserve"> </w:t>
      </w:r>
      <w:r>
        <w:t xml:space="preserve"> However, emotional and social factors, particularly depression and the reluctance to engage with community activities, significantly hindered </w:t>
      </w:r>
      <w:r w:rsidR="00AF08E7">
        <w:t>progress,</w:t>
      </w:r>
      <w:r w:rsidR="00AF08E7" w:rsidRPr="00AF08E7">
        <w:t xml:space="preserve"> a factor widely recognised in OT practice where psychosocial barriers significantly affect rehabilitation (Royal College of Occupational Therapists, 2021).</w:t>
      </w:r>
      <w:r>
        <w:t xml:space="preserve"> The cataract diagnosis, while contributing to decreased mobility, also had a profound emotional impact, making the patient less motivated to continue progressing.</w:t>
      </w:r>
    </w:p>
    <w:p w14:paraId="5C24B6AE" w14:textId="07335543" w:rsidR="00BD26D8" w:rsidRDefault="00BD26D8" w:rsidP="00BD26D8">
      <w:pPr>
        <w:spacing w:line="360" w:lineRule="auto"/>
      </w:pPr>
      <w:r>
        <w:t xml:space="preserve">The patient's refusal to accept some support services, such as the Sensory Team for visual impairment and the Community Car Scheme for transport, further complicated the rehabilitation process.  </w:t>
      </w:r>
      <w:r w:rsidR="00453DD6">
        <w:t>A</w:t>
      </w:r>
      <w:r>
        <w:t>ddressing both physical and emotional health challenges is essential for holistic rehabilitation</w:t>
      </w:r>
      <w:r w:rsidR="002A78F4">
        <w:t>, t</w:t>
      </w:r>
      <w:r>
        <w:t>his was particularly relevant in this case, where emotional engagement was just as vital as physical recovery.</w:t>
      </w:r>
    </w:p>
    <w:p w14:paraId="07810C2D" w14:textId="77777777" w:rsidR="00BD26D8" w:rsidRPr="00F63BF9" w:rsidRDefault="00BD26D8" w:rsidP="00BD26D8">
      <w:pPr>
        <w:spacing w:line="360" w:lineRule="auto"/>
        <w:rPr>
          <w:b/>
          <w:bCs/>
        </w:rPr>
      </w:pPr>
      <w:r w:rsidRPr="00F63BF9">
        <w:rPr>
          <w:b/>
          <w:bCs/>
        </w:rPr>
        <w:t>4. Analysis</w:t>
      </w:r>
    </w:p>
    <w:p w14:paraId="7CBCE174" w14:textId="48C38E75" w:rsidR="00BD26D8" w:rsidRDefault="00BD26D8" w:rsidP="00BD26D8">
      <w:pPr>
        <w:spacing w:line="360" w:lineRule="auto"/>
      </w:pPr>
      <w:r>
        <w:t xml:space="preserve">One of the major barriers in this case was the patient’s emotional well-being. </w:t>
      </w:r>
      <w:r w:rsidR="00F63BF9">
        <w:t xml:space="preserve"> </w:t>
      </w:r>
      <w:r>
        <w:t>Depression significantly impacted motivation</w:t>
      </w:r>
      <w:r w:rsidR="005D2B97">
        <w:t>, e</w:t>
      </w:r>
      <w:r w:rsidR="005D2B97" w:rsidRPr="005D2B97">
        <w:t>vidence suggests that confidence, motivation and readiness strongly affect rehabilitation outcomes (</w:t>
      </w:r>
      <w:r w:rsidR="008445B0">
        <w:t>Wall</w:t>
      </w:r>
      <w:r w:rsidR="005D2B97" w:rsidRPr="005D2B97">
        <w:t xml:space="preserve"> et al., 2023). </w:t>
      </w:r>
      <w:r w:rsidR="005D2B97">
        <w:t xml:space="preserve"> </w:t>
      </w:r>
      <w:r w:rsidR="00F63BF9">
        <w:t xml:space="preserve"> </w:t>
      </w:r>
      <w:r>
        <w:t>In this case, while some progress was made, it was clear that without addressing the patient’s emotional and social needs, progress in physical rehabilitation would be slower</w:t>
      </w:r>
      <w:r w:rsidR="00753202" w:rsidRPr="00753202">
        <w:t>.  The cataract diagnosis further reduced independence, aligning with the NICE recommendation that sensory impairment should be addressed early in reablement to maintain progress and confidence (NICE, 2017).</w:t>
      </w:r>
    </w:p>
    <w:p w14:paraId="75220770" w14:textId="36D16A05" w:rsidR="00BD26D8" w:rsidRDefault="00BD26D8" w:rsidP="00BD26D8">
      <w:pPr>
        <w:spacing w:line="360" w:lineRule="auto"/>
      </w:pPr>
      <w:r>
        <w:t>The patient’s reluctance to engage with community services and support systems was another challenge.</w:t>
      </w:r>
      <w:r w:rsidR="00F63BF9">
        <w:t xml:space="preserve"> </w:t>
      </w:r>
      <w:r w:rsidR="00AA1ABC" w:rsidRPr="00AA1ABC">
        <w:t xml:space="preserve">Research into community rehabilitation barriers identifies fear, reduced confidence, and lack of emotional support as major factors limiting engagement </w:t>
      </w:r>
      <w:r w:rsidR="000A3D4D">
        <w:t xml:space="preserve"> and </w:t>
      </w:r>
      <w:r w:rsidR="00AA1ABC" w:rsidRPr="00AA1ABC">
        <w:t>suggest</w:t>
      </w:r>
      <w:r w:rsidR="000A3D4D">
        <w:t>s</w:t>
      </w:r>
      <w:r w:rsidR="00AA1ABC" w:rsidRPr="00AA1ABC">
        <w:t xml:space="preserve"> that improved therapeutic rapport and collaborative </w:t>
      </w:r>
      <w:r w:rsidR="009377F7" w:rsidRPr="00AA1ABC">
        <w:t>goal setting</w:t>
      </w:r>
      <w:r w:rsidR="00AA1ABC" w:rsidRPr="00AA1ABC">
        <w:t xml:space="preserve"> could have enhanced participation (</w:t>
      </w:r>
      <w:r w:rsidR="00594900">
        <w:t>Adams</w:t>
      </w:r>
      <w:r w:rsidR="00AA1ABC" w:rsidRPr="00AA1ABC">
        <w:t xml:space="preserve"> et al., 2023</w:t>
      </w:r>
      <w:r w:rsidR="00753202">
        <w:t>).</w:t>
      </w:r>
    </w:p>
    <w:p w14:paraId="35844DE6" w14:textId="77777777" w:rsidR="00BD26D8" w:rsidRPr="00F63BF9" w:rsidRDefault="00BD26D8" w:rsidP="00BD26D8">
      <w:pPr>
        <w:spacing w:line="360" w:lineRule="auto"/>
        <w:rPr>
          <w:b/>
          <w:bCs/>
        </w:rPr>
      </w:pPr>
      <w:r w:rsidRPr="00F63BF9">
        <w:rPr>
          <w:b/>
          <w:bCs/>
        </w:rPr>
        <w:t>5. Conclusion</w:t>
      </w:r>
    </w:p>
    <w:p w14:paraId="2FAD2DEC" w14:textId="2DF6BF2A" w:rsidR="00BD26D8" w:rsidRDefault="00BD26D8" w:rsidP="00BD26D8">
      <w:pPr>
        <w:spacing w:line="360" w:lineRule="auto"/>
      </w:pPr>
      <w:r>
        <w:t xml:space="preserve">The intervention highlighted the importance of considering both physical and psychosocial barriers in occupational therapy practice. </w:t>
      </w:r>
      <w:r w:rsidR="00F63BF9">
        <w:t xml:space="preserve"> </w:t>
      </w:r>
      <w:r>
        <w:t xml:space="preserve">While there were significant achievements in mobility, self-care, and food preparation, the emotional impact of the patient’s depression, </w:t>
      </w:r>
      <w:r w:rsidR="000A3D4D">
        <w:t>heightened</w:t>
      </w:r>
      <w:r>
        <w:t xml:space="preserve"> by the cataract diagnosis, limited the progress in broader areas like social participation and community engagement. </w:t>
      </w:r>
      <w:r w:rsidR="00F63BF9">
        <w:t xml:space="preserve"> </w:t>
      </w:r>
      <w:r>
        <w:lastRenderedPageBreak/>
        <w:t xml:space="preserve">This case underscores the need for an integrated approach that addresses the patient's emotional health alongside physical </w:t>
      </w:r>
      <w:r w:rsidR="00594900">
        <w:t>rehabilitation,</w:t>
      </w:r>
      <w:r w:rsidR="00B30E60">
        <w:t xml:space="preserve"> and t</w:t>
      </w:r>
      <w:r w:rsidR="00B30E60" w:rsidRPr="00B30E60">
        <w:t>his reflects the RCOT (2021) position that occupational therapy should adopt a holistic, person-centred approach to maximise long-term independence.</w:t>
      </w:r>
    </w:p>
    <w:p w14:paraId="21C78782" w14:textId="30AC4E44" w:rsidR="00BD26D8" w:rsidRDefault="00BD26D8" w:rsidP="00BD26D8">
      <w:pPr>
        <w:spacing w:line="360" w:lineRule="auto"/>
      </w:pPr>
      <w:r>
        <w:t>The patient's reluctance to accept additional services demonstrates the complexities of working with clients who are emotionally distressed or disengaged</w:t>
      </w:r>
      <w:r w:rsidR="00B745D8" w:rsidRPr="00B745D8">
        <w:t xml:space="preserve">. </w:t>
      </w:r>
    </w:p>
    <w:p w14:paraId="7EA658B8" w14:textId="77777777" w:rsidR="00BD26D8" w:rsidRPr="00F63BF9" w:rsidRDefault="00BD26D8" w:rsidP="00BD26D8">
      <w:pPr>
        <w:spacing w:line="360" w:lineRule="auto"/>
        <w:rPr>
          <w:b/>
          <w:bCs/>
        </w:rPr>
      </w:pPr>
      <w:r w:rsidRPr="00F63BF9">
        <w:rPr>
          <w:b/>
          <w:bCs/>
        </w:rPr>
        <w:t>6. Action Plan</w:t>
      </w:r>
    </w:p>
    <w:p w14:paraId="4EA68A85" w14:textId="77777777" w:rsidR="00BD26D8" w:rsidRDefault="00BD26D8" w:rsidP="00BD26D8">
      <w:pPr>
        <w:spacing w:line="360" w:lineRule="auto"/>
      </w:pPr>
      <w:r>
        <w:t>In future interventions, I would focus on:</w:t>
      </w:r>
    </w:p>
    <w:p w14:paraId="661CFDEF" w14:textId="7BACE33D" w:rsidR="00BD26D8" w:rsidRDefault="00BD26D8" w:rsidP="00BD26D8">
      <w:pPr>
        <w:spacing w:line="360" w:lineRule="auto"/>
      </w:pPr>
      <w:r>
        <w:t>1.</w:t>
      </w:r>
      <w:r w:rsidR="00F63BF9">
        <w:t xml:space="preserve"> </w:t>
      </w:r>
      <w:r>
        <w:t>Integrating motivational interviewing techniques: Motivational interviewing</w:t>
      </w:r>
      <w:r w:rsidR="00B745D8">
        <w:t xml:space="preserve"> </w:t>
      </w:r>
      <w:r>
        <w:t>could help address the patient’s reluctance and resistance to engage with therapy, especially when depression is a barrier.</w:t>
      </w:r>
    </w:p>
    <w:p w14:paraId="0146B011" w14:textId="4A9DCEF9" w:rsidR="00BD26D8" w:rsidRDefault="00BD26D8" w:rsidP="00BD26D8">
      <w:pPr>
        <w:spacing w:line="360" w:lineRule="auto"/>
      </w:pPr>
      <w:r>
        <w:t>2.</w:t>
      </w:r>
      <w:r w:rsidR="00F63BF9">
        <w:t xml:space="preserve"> </w:t>
      </w:r>
      <w:r>
        <w:t>Collaboration with mental health professionals: I would work more closely with a multidisciplinary team to address the emotional and psychological needs of the patient, especially considering the significant role that depression played in hindering participation.</w:t>
      </w:r>
    </w:p>
    <w:p w14:paraId="0FDD216B" w14:textId="2BF2AE10" w:rsidR="00BD26D8" w:rsidRDefault="00BD26D8" w:rsidP="00BD26D8">
      <w:pPr>
        <w:spacing w:line="360" w:lineRule="auto"/>
      </w:pPr>
      <w:r>
        <w:t>3.</w:t>
      </w:r>
      <w:r w:rsidR="00F63BF9">
        <w:t xml:space="preserve"> </w:t>
      </w:r>
      <w:r>
        <w:t>Gradual introduction to community support services: In similar cases, I would ensure that the patient’s views are central to decision-making regarding services.</w:t>
      </w:r>
      <w:r w:rsidR="00F63BF9">
        <w:t xml:space="preserve"> </w:t>
      </w:r>
      <w:r>
        <w:t xml:space="preserve"> Engaging the patient in a collaborative discussion about the benefits of support services like community transport and sensory support could improve their acceptance and adherence to these services.</w:t>
      </w:r>
    </w:p>
    <w:p w14:paraId="3157C3EA" w14:textId="2F300EAE" w:rsidR="00BD26D8" w:rsidRDefault="00BD26D8" w:rsidP="00BD26D8">
      <w:pPr>
        <w:spacing w:line="360" w:lineRule="auto"/>
      </w:pPr>
      <w:r>
        <w:t>This experience reinforces the importance of flexibility and a person-</w:t>
      </w:r>
      <w:r w:rsidR="00F63BF9">
        <w:t>centred</w:t>
      </w:r>
      <w:r>
        <w:t xml:space="preserve"> approach in occupational therapy, as well as the need to address emotional, social, and physical factors together for optimal recovery.</w:t>
      </w:r>
    </w:p>
    <w:p w14:paraId="2B1049CC" w14:textId="77777777" w:rsidR="007C1BFA" w:rsidRDefault="007C1BFA" w:rsidP="00BD26D8">
      <w:pPr>
        <w:spacing w:line="360" w:lineRule="auto"/>
      </w:pPr>
    </w:p>
    <w:p w14:paraId="34265E63" w14:textId="77777777" w:rsidR="007C1BFA" w:rsidRDefault="007C1BFA" w:rsidP="00BD26D8">
      <w:pPr>
        <w:spacing w:line="360" w:lineRule="auto"/>
      </w:pPr>
    </w:p>
    <w:p w14:paraId="770D9944" w14:textId="77777777" w:rsidR="007C1BFA" w:rsidRDefault="007C1BFA" w:rsidP="00BD26D8">
      <w:pPr>
        <w:spacing w:line="360" w:lineRule="auto"/>
      </w:pPr>
    </w:p>
    <w:p w14:paraId="0B1C8C89" w14:textId="77777777" w:rsidR="007C1BFA" w:rsidRDefault="007C1BFA" w:rsidP="00BD26D8">
      <w:pPr>
        <w:spacing w:line="360" w:lineRule="auto"/>
      </w:pPr>
    </w:p>
    <w:p w14:paraId="278AE839" w14:textId="77777777" w:rsidR="007C1BFA" w:rsidRDefault="007C1BFA" w:rsidP="00BD26D8">
      <w:pPr>
        <w:spacing w:line="360" w:lineRule="auto"/>
      </w:pPr>
    </w:p>
    <w:p w14:paraId="4BDB9949" w14:textId="77777777" w:rsidR="007C1BFA" w:rsidRDefault="007C1BFA" w:rsidP="00BD26D8">
      <w:pPr>
        <w:spacing w:line="360" w:lineRule="auto"/>
      </w:pPr>
    </w:p>
    <w:p w14:paraId="53E6DDE4" w14:textId="77777777" w:rsidR="007C1BFA" w:rsidRDefault="007C1BFA" w:rsidP="00BD26D8">
      <w:pPr>
        <w:spacing w:line="360" w:lineRule="auto"/>
      </w:pPr>
    </w:p>
    <w:p w14:paraId="2BA0FAE3" w14:textId="77777777" w:rsidR="007C1BFA" w:rsidRDefault="007C1BFA" w:rsidP="00BD26D8">
      <w:pPr>
        <w:spacing w:line="360" w:lineRule="auto"/>
      </w:pPr>
    </w:p>
    <w:p w14:paraId="0EBEE0E2" w14:textId="77777777" w:rsidR="007C1BFA" w:rsidRDefault="007C1BFA" w:rsidP="00BD26D8">
      <w:pPr>
        <w:spacing w:line="360" w:lineRule="auto"/>
      </w:pPr>
    </w:p>
    <w:p w14:paraId="05C895CF" w14:textId="77777777" w:rsidR="007C1BFA" w:rsidRDefault="007C1BFA" w:rsidP="00BD26D8">
      <w:pPr>
        <w:spacing w:line="360" w:lineRule="auto"/>
      </w:pPr>
    </w:p>
    <w:p w14:paraId="43ED66FA" w14:textId="77777777" w:rsidR="007C1BFA" w:rsidRDefault="007C1BFA" w:rsidP="00BD26D8">
      <w:pPr>
        <w:spacing w:line="360" w:lineRule="auto"/>
      </w:pPr>
    </w:p>
    <w:p w14:paraId="1C74577D" w14:textId="05944E2E" w:rsidR="00BD26D8" w:rsidRDefault="00BD26D8" w:rsidP="00BD26D8">
      <w:pPr>
        <w:spacing w:line="360" w:lineRule="auto"/>
        <w:rPr>
          <w:b/>
          <w:bCs/>
          <w:u w:val="single"/>
        </w:rPr>
      </w:pPr>
      <w:r w:rsidRPr="007C1BFA">
        <w:rPr>
          <w:b/>
          <w:bCs/>
          <w:u w:val="single"/>
        </w:rPr>
        <w:t xml:space="preserve">References </w:t>
      </w:r>
    </w:p>
    <w:p w14:paraId="31D1707C" w14:textId="4DB58F8D" w:rsidR="007E4EFB" w:rsidRPr="007E4EFB" w:rsidRDefault="007E4EFB" w:rsidP="00BD26D8">
      <w:pPr>
        <w:spacing w:line="360" w:lineRule="auto"/>
      </w:pPr>
      <w:r w:rsidRPr="007E4EFB">
        <w:t>Adams,</w:t>
      </w:r>
      <w:r>
        <w:t xml:space="preserve"> J., </w:t>
      </w:r>
      <w:r w:rsidRPr="007E4EFB">
        <w:t>Jones,</w:t>
      </w:r>
      <w:r>
        <w:t xml:space="preserve"> </w:t>
      </w:r>
      <w:r w:rsidR="00637B07">
        <w:t xml:space="preserve">G, D., </w:t>
      </w:r>
      <w:r w:rsidRPr="007E4EFB">
        <w:t>Sadler,</w:t>
      </w:r>
      <w:r w:rsidR="00637B07">
        <w:t xml:space="preserve"> E.,</w:t>
      </w:r>
      <w:r w:rsidRPr="007E4EFB">
        <w:t xml:space="preserve"> Guerra, </w:t>
      </w:r>
      <w:r w:rsidR="00CC4DC1">
        <w:t xml:space="preserve">S,. </w:t>
      </w:r>
      <w:r w:rsidRPr="007E4EFB">
        <w:t>Sobolev,</w:t>
      </w:r>
      <w:r w:rsidR="00CC4DC1">
        <w:t xml:space="preserve"> B., </w:t>
      </w:r>
      <w:r w:rsidRPr="007E4EFB">
        <w:t>Sackley,</w:t>
      </w:r>
      <w:r w:rsidR="00627DE0">
        <w:t xml:space="preserve"> </w:t>
      </w:r>
      <w:r w:rsidR="00CC4DC1">
        <w:t>C.</w:t>
      </w:r>
      <w:r w:rsidR="00286720">
        <w:t xml:space="preserve"> And</w:t>
      </w:r>
      <w:r w:rsidRPr="007E4EFB">
        <w:t xml:space="preserve"> Sheehan, </w:t>
      </w:r>
      <w:r w:rsidR="00627DE0">
        <w:t>K, J.</w:t>
      </w:r>
      <w:r w:rsidR="00286720">
        <w:t xml:space="preserve"> (2023). </w:t>
      </w:r>
      <w:r w:rsidRPr="007E4EFB">
        <w:t xml:space="preserve">Physiotherapists’ perspectives of barriers and facilitators to effective community provision after hip fracture: a qualitative study in England, </w:t>
      </w:r>
      <w:r w:rsidRPr="00286720">
        <w:rPr>
          <w:i/>
          <w:iCs/>
        </w:rPr>
        <w:t>Age and Ageing,</w:t>
      </w:r>
      <w:r w:rsidRPr="007E4EFB">
        <w:t xml:space="preserve"> 52</w:t>
      </w:r>
      <w:r w:rsidR="00286720">
        <w:t>(</w:t>
      </w:r>
      <w:r w:rsidRPr="007E4EFB">
        <w:t>9</w:t>
      </w:r>
      <w:r w:rsidR="00286720">
        <w:t>)</w:t>
      </w:r>
      <w:r w:rsidR="00594900">
        <w:t xml:space="preserve">. Available at: </w:t>
      </w:r>
      <w:r w:rsidRPr="007E4EFB">
        <w:t>https://doi.org/10.1093/ageing/afad130</w:t>
      </w:r>
    </w:p>
    <w:p w14:paraId="5026B102" w14:textId="3A5E85CB" w:rsidR="00275F26" w:rsidRDefault="00275F26" w:rsidP="00275F26">
      <w:pPr>
        <w:spacing w:line="360" w:lineRule="auto"/>
      </w:pPr>
      <w:r>
        <w:t>N</w:t>
      </w:r>
      <w:r w:rsidR="006C6BE1">
        <w:t xml:space="preserve">ational Institute </w:t>
      </w:r>
      <w:r w:rsidR="00061EA3">
        <w:t xml:space="preserve">for Health and </w:t>
      </w:r>
      <w:r>
        <w:t>C</w:t>
      </w:r>
      <w:r w:rsidR="00061EA3">
        <w:t xml:space="preserve">linical </w:t>
      </w:r>
      <w:r>
        <w:t>E</w:t>
      </w:r>
      <w:r w:rsidR="00061EA3">
        <w:t>xcel</w:t>
      </w:r>
      <w:r w:rsidR="006B5944">
        <w:t xml:space="preserve">lence </w:t>
      </w:r>
      <w:r>
        <w:t>(2017) Intermediate care including reablement (NG74). Available at:</w:t>
      </w:r>
      <w:r w:rsidR="006B5944" w:rsidRPr="006B5944">
        <w:t xml:space="preserve"> </w:t>
      </w:r>
      <w:r w:rsidR="00D9406A" w:rsidRPr="00D9406A">
        <w:t>https://www.nice.org.uk/guidance/ng74</w:t>
      </w:r>
      <w:r w:rsidR="00D9406A">
        <w:t xml:space="preserve"> (</w:t>
      </w:r>
      <w:r>
        <w:t>Accessed: 4 December 2025).</w:t>
      </w:r>
    </w:p>
    <w:p w14:paraId="77618AF1" w14:textId="77777777" w:rsidR="00275F26" w:rsidRDefault="00275F26" w:rsidP="00275F26">
      <w:pPr>
        <w:spacing w:line="360" w:lineRule="auto"/>
      </w:pPr>
      <w:r>
        <w:t>Royal College of Occupational Therapists (2021) Positioning Occupational Therapy for the Future. Available at: https://www.rcot.co.uk/support-the-profession/workforce-strategy/positioning-occupational-therapy (Accessed: 4 December 2025).</w:t>
      </w:r>
    </w:p>
    <w:p w14:paraId="42EE112D" w14:textId="1BC9C5CA" w:rsidR="00EC34AD" w:rsidRDefault="00EC34AD" w:rsidP="00275F26">
      <w:pPr>
        <w:spacing w:line="360" w:lineRule="auto"/>
      </w:pPr>
      <w:r w:rsidRPr="00EC34AD">
        <w:t>The National Archives (2025). Social Services and Well-being (Wales) Act 2014 Available at: https://www.legislation.gov.uk/anaw/2014/4/contents (Accessed: 4 December 2025).</w:t>
      </w:r>
    </w:p>
    <w:p w14:paraId="7B395B67" w14:textId="6E4C13AB" w:rsidR="004F3CEF" w:rsidRDefault="004F3CEF" w:rsidP="00275F26">
      <w:pPr>
        <w:spacing w:line="360" w:lineRule="auto"/>
      </w:pPr>
      <w:r w:rsidRPr="004F3CEF">
        <w:t>Wall, G, Isbel, S, Gustafasson, L. and Pearce, C. (2023) Occupation-based interventions to improve occupational performance and participation in the hospital setting: a systematic review, Disability and rehabilitation, 46(13), pp 2747-2768. Available at: https://doi.org/10.1080/09638288.2023.2236021</w:t>
      </w:r>
    </w:p>
    <w:sectPr w:rsidR="004F3C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6D8"/>
    <w:rsid w:val="000128E4"/>
    <w:rsid w:val="00012A96"/>
    <w:rsid w:val="000213A3"/>
    <w:rsid w:val="00061EA3"/>
    <w:rsid w:val="000817B5"/>
    <w:rsid w:val="00090FC9"/>
    <w:rsid w:val="000A3D4D"/>
    <w:rsid w:val="00275F26"/>
    <w:rsid w:val="00286720"/>
    <w:rsid w:val="002A78F4"/>
    <w:rsid w:val="002E166B"/>
    <w:rsid w:val="003067B7"/>
    <w:rsid w:val="003447D1"/>
    <w:rsid w:val="00396867"/>
    <w:rsid w:val="003D63EA"/>
    <w:rsid w:val="004312B4"/>
    <w:rsid w:val="00453DD6"/>
    <w:rsid w:val="00491E58"/>
    <w:rsid w:val="004F0993"/>
    <w:rsid w:val="004F3CEF"/>
    <w:rsid w:val="00502E2B"/>
    <w:rsid w:val="005918B4"/>
    <w:rsid w:val="00594900"/>
    <w:rsid w:val="005C6CF9"/>
    <w:rsid w:val="005D2B97"/>
    <w:rsid w:val="00600914"/>
    <w:rsid w:val="00627DE0"/>
    <w:rsid w:val="00630B86"/>
    <w:rsid w:val="00637B07"/>
    <w:rsid w:val="00695297"/>
    <w:rsid w:val="006B5944"/>
    <w:rsid w:val="006C6BE1"/>
    <w:rsid w:val="00753202"/>
    <w:rsid w:val="00762426"/>
    <w:rsid w:val="00763905"/>
    <w:rsid w:val="00792CAB"/>
    <w:rsid w:val="007C1BFA"/>
    <w:rsid w:val="007E3A43"/>
    <w:rsid w:val="007E4EFB"/>
    <w:rsid w:val="008234FF"/>
    <w:rsid w:val="008445B0"/>
    <w:rsid w:val="008D3494"/>
    <w:rsid w:val="008D3A89"/>
    <w:rsid w:val="00910F8C"/>
    <w:rsid w:val="009377F7"/>
    <w:rsid w:val="009C6918"/>
    <w:rsid w:val="009C6C4A"/>
    <w:rsid w:val="00A14D8D"/>
    <w:rsid w:val="00A2595C"/>
    <w:rsid w:val="00A36263"/>
    <w:rsid w:val="00A62CD1"/>
    <w:rsid w:val="00AA1ABC"/>
    <w:rsid w:val="00AE3C14"/>
    <w:rsid w:val="00AF08E7"/>
    <w:rsid w:val="00B30E60"/>
    <w:rsid w:val="00B745D8"/>
    <w:rsid w:val="00BD26D8"/>
    <w:rsid w:val="00BF20B2"/>
    <w:rsid w:val="00C24F04"/>
    <w:rsid w:val="00CA703A"/>
    <w:rsid w:val="00CC4DC1"/>
    <w:rsid w:val="00D05C2D"/>
    <w:rsid w:val="00D9406A"/>
    <w:rsid w:val="00E2474D"/>
    <w:rsid w:val="00E32C65"/>
    <w:rsid w:val="00E441B8"/>
    <w:rsid w:val="00EA2E4E"/>
    <w:rsid w:val="00EC305D"/>
    <w:rsid w:val="00EC34AD"/>
    <w:rsid w:val="00F63BF9"/>
    <w:rsid w:val="00F70772"/>
    <w:rsid w:val="00F8109C"/>
    <w:rsid w:val="00F94E55"/>
    <w:rsid w:val="00FC1407"/>
    <w:rsid w:val="00FD0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CFF3F"/>
  <w15:chartTrackingRefBased/>
  <w15:docId w15:val="{E2289C0C-50E4-4A34-B6BF-3ABCDA927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6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26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26D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26D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D26D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D26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26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26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26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6D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26D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26D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26D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D26D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D26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26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26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26D8"/>
    <w:rPr>
      <w:rFonts w:eastAsiaTheme="majorEastAsia" w:cstheme="majorBidi"/>
      <w:color w:val="272727" w:themeColor="text1" w:themeTint="D8"/>
    </w:rPr>
  </w:style>
  <w:style w:type="paragraph" w:styleId="Title">
    <w:name w:val="Title"/>
    <w:basedOn w:val="Normal"/>
    <w:next w:val="Normal"/>
    <w:link w:val="TitleChar"/>
    <w:uiPriority w:val="10"/>
    <w:qFormat/>
    <w:rsid w:val="00BD26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6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6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26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26D8"/>
    <w:pPr>
      <w:spacing w:before="160"/>
      <w:jc w:val="center"/>
    </w:pPr>
    <w:rPr>
      <w:i/>
      <w:iCs/>
      <w:color w:val="404040" w:themeColor="text1" w:themeTint="BF"/>
    </w:rPr>
  </w:style>
  <w:style w:type="character" w:customStyle="1" w:styleId="QuoteChar">
    <w:name w:val="Quote Char"/>
    <w:basedOn w:val="DefaultParagraphFont"/>
    <w:link w:val="Quote"/>
    <w:uiPriority w:val="29"/>
    <w:rsid w:val="00BD26D8"/>
    <w:rPr>
      <w:i/>
      <w:iCs/>
      <w:color w:val="404040" w:themeColor="text1" w:themeTint="BF"/>
    </w:rPr>
  </w:style>
  <w:style w:type="paragraph" w:styleId="ListParagraph">
    <w:name w:val="List Paragraph"/>
    <w:basedOn w:val="Normal"/>
    <w:uiPriority w:val="34"/>
    <w:qFormat/>
    <w:rsid w:val="00BD26D8"/>
    <w:pPr>
      <w:ind w:left="720"/>
      <w:contextualSpacing/>
    </w:pPr>
  </w:style>
  <w:style w:type="character" w:styleId="IntenseEmphasis">
    <w:name w:val="Intense Emphasis"/>
    <w:basedOn w:val="DefaultParagraphFont"/>
    <w:uiPriority w:val="21"/>
    <w:qFormat/>
    <w:rsid w:val="00BD26D8"/>
    <w:rPr>
      <w:i/>
      <w:iCs/>
      <w:color w:val="2F5496" w:themeColor="accent1" w:themeShade="BF"/>
    </w:rPr>
  </w:style>
  <w:style w:type="paragraph" w:styleId="IntenseQuote">
    <w:name w:val="Intense Quote"/>
    <w:basedOn w:val="Normal"/>
    <w:next w:val="Normal"/>
    <w:link w:val="IntenseQuoteChar"/>
    <w:uiPriority w:val="30"/>
    <w:qFormat/>
    <w:rsid w:val="00BD26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26D8"/>
    <w:rPr>
      <w:i/>
      <w:iCs/>
      <w:color w:val="2F5496" w:themeColor="accent1" w:themeShade="BF"/>
    </w:rPr>
  </w:style>
  <w:style w:type="character" w:styleId="IntenseReference">
    <w:name w:val="Intense Reference"/>
    <w:basedOn w:val="DefaultParagraphFont"/>
    <w:uiPriority w:val="32"/>
    <w:qFormat/>
    <w:rsid w:val="00BD26D8"/>
    <w:rPr>
      <w:b/>
      <w:bCs/>
      <w:smallCaps/>
      <w:color w:val="2F5496" w:themeColor="accent1" w:themeShade="BF"/>
      <w:spacing w:val="5"/>
    </w:rPr>
  </w:style>
  <w:style w:type="character" w:styleId="Hyperlink">
    <w:name w:val="Hyperlink"/>
    <w:basedOn w:val="DefaultParagraphFont"/>
    <w:uiPriority w:val="99"/>
    <w:unhideWhenUsed/>
    <w:rsid w:val="00502E2B"/>
    <w:rPr>
      <w:color w:val="0563C1" w:themeColor="hyperlink"/>
      <w:u w:val="single"/>
    </w:rPr>
  </w:style>
  <w:style w:type="character" w:styleId="UnresolvedMention">
    <w:name w:val="Unresolved Mention"/>
    <w:basedOn w:val="DefaultParagraphFont"/>
    <w:uiPriority w:val="99"/>
    <w:semiHidden/>
    <w:unhideWhenUsed/>
    <w:rsid w:val="00502E2B"/>
    <w:rPr>
      <w:color w:val="605E5C"/>
      <w:shd w:val="clear" w:color="auto" w:fill="E1DFDD"/>
    </w:rPr>
  </w:style>
  <w:style w:type="character" w:styleId="FollowedHyperlink">
    <w:name w:val="FollowedHyperlink"/>
    <w:basedOn w:val="DefaultParagraphFont"/>
    <w:uiPriority w:val="99"/>
    <w:semiHidden/>
    <w:unhideWhenUsed/>
    <w:rsid w:val="00502E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4</Pages>
  <Words>1061</Words>
  <Characters>6944</Characters>
  <Application>Microsoft Office Word</Application>
  <DocSecurity>0</DocSecurity>
  <Lines>113</Lines>
  <Paragraphs>33</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Pook, Carly</dc:creator>
  <cp:keywords/>
  <dc:description/>
  <cp:lastModifiedBy>Pook, Carly</cp:lastModifiedBy>
  <cp:revision>67</cp:revision>
  <dcterms:created xsi:type="dcterms:W3CDTF">2025-12-04T12:02:00Z</dcterms:created>
  <dcterms:modified xsi:type="dcterms:W3CDTF">2025-12-11T19:38:00Z</dcterms:modified>
</cp:coreProperties>
</file>