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D5559" w14:textId="77777777" w:rsidR="009E1AF2" w:rsidRPr="009B787F" w:rsidRDefault="00715BC4" w:rsidP="009B787F">
      <w:pPr>
        <w:jc w:val="center"/>
        <w:rPr>
          <w:rFonts w:ascii="Calibri" w:hAnsi="Calibri" w:cs="Calibri"/>
          <w:u w:val="single"/>
        </w:rPr>
      </w:pPr>
      <w:r w:rsidRPr="009B787F">
        <w:rPr>
          <w:rFonts w:ascii="Calibri" w:hAnsi="Calibri" w:cs="Calibri"/>
          <w:u w:val="single"/>
        </w:rPr>
        <w:t>PowerPoint Script</w:t>
      </w:r>
    </w:p>
    <w:p w14:paraId="7BB53090" w14:textId="4EA00A98" w:rsidR="003F60C4" w:rsidRPr="003F60C4" w:rsidRDefault="003F60C4" w:rsidP="009E1AF2">
      <w:pPr>
        <w:rPr>
          <w:rFonts w:ascii="Calibri" w:hAnsi="Calibri" w:cs="Calibri"/>
          <w:sz w:val="22"/>
          <w:szCs w:val="22"/>
          <w:u w:val="single"/>
        </w:rPr>
      </w:pPr>
    </w:p>
    <w:p w14:paraId="76B2136F" w14:textId="77777777" w:rsidR="009B787F" w:rsidRPr="009B787F" w:rsidRDefault="009B787F" w:rsidP="003C2A65">
      <w:pPr>
        <w:spacing w:line="480" w:lineRule="auto"/>
        <w:jc w:val="both"/>
        <w:rPr>
          <w:rFonts w:ascii="Calibri" w:hAnsi="Calibri" w:cs="Calibri"/>
          <w:sz w:val="22"/>
          <w:szCs w:val="22"/>
          <w:u w:val="single"/>
        </w:rPr>
      </w:pPr>
      <w:r w:rsidRPr="009B787F">
        <w:rPr>
          <w:rFonts w:ascii="Calibri" w:hAnsi="Calibri" w:cs="Calibri"/>
          <w:sz w:val="22"/>
          <w:szCs w:val="22"/>
          <w:u w:val="single"/>
        </w:rPr>
        <w:t>Slide One: Introduction</w:t>
      </w:r>
    </w:p>
    <w:p w14:paraId="1D5A40CF" w14:textId="6E80B68D" w:rsidR="003F60C4" w:rsidRPr="009B150B" w:rsidRDefault="003F60C4" w:rsidP="003C2A65">
      <w:pPr>
        <w:spacing w:line="480" w:lineRule="auto"/>
        <w:jc w:val="both"/>
        <w:rPr>
          <w:rFonts w:ascii="Calibri" w:hAnsi="Calibri" w:cs="Calibri"/>
          <w:color w:val="474747"/>
          <w:sz w:val="22"/>
          <w:szCs w:val="22"/>
          <w:shd w:val="clear" w:color="auto" w:fill="FFFFFF"/>
        </w:rPr>
      </w:pPr>
      <w:r w:rsidRPr="003F60C4">
        <w:rPr>
          <w:rFonts w:ascii="Calibri" w:hAnsi="Calibri" w:cs="Calibri"/>
          <w:sz w:val="22"/>
          <w:szCs w:val="22"/>
        </w:rPr>
        <w:t xml:space="preserve">Child poverty is </w:t>
      </w:r>
      <w:r w:rsidRPr="003F60C4">
        <w:rPr>
          <w:rFonts w:ascii="Calibri" w:hAnsi="Calibri" w:cs="Calibri"/>
          <w:sz w:val="22"/>
          <w:szCs w:val="22"/>
        </w:rPr>
        <w:t>often referred to as multidimensional poverty, which affects development and violates rights, and is characterised by low household income compared to the national average or by a lack of necessities for example, clean water, nutrition, and appropriate housing.</w:t>
      </w:r>
      <w:r w:rsidRPr="003F60C4">
        <w:rPr>
          <w:rFonts w:ascii="Calibri" w:hAnsi="Calibri" w:cs="Calibri"/>
          <w:sz w:val="22"/>
          <w:szCs w:val="22"/>
        </w:rPr>
        <w:t xml:space="preserve"> The United Kingdom Government has defined child poverty as ‘</w:t>
      </w:r>
      <w:r w:rsidRPr="003F60C4">
        <w:rPr>
          <w:rFonts w:ascii="Calibri" w:hAnsi="Calibri" w:cs="Calibri"/>
          <w:color w:val="040C28"/>
          <w:sz w:val="22"/>
          <w:szCs w:val="22"/>
        </w:rPr>
        <w:t>children and young people growing up without access to different types of resources that are vital for their wellbeing and for them to fulfil their potential</w:t>
      </w:r>
      <w:r w:rsidRPr="003F60C4">
        <w:rPr>
          <w:rFonts w:ascii="Calibri" w:hAnsi="Calibri" w:cs="Calibri"/>
          <w:color w:val="474747"/>
          <w:sz w:val="22"/>
          <w:szCs w:val="22"/>
          <w:shd w:val="clear" w:color="auto" w:fill="FFFFFF"/>
        </w:rPr>
        <w:t>. By resources we mean economic, social, cultural, physical, environmental and political resources</w:t>
      </w:r>
      <w:r w:rsidRPr="003F60C4">
        <w:rPr>
          <w:rFonts w:ascii="Calibri" w:hAnsi="Calibri" w:cs="Calibri"/>
          <w:color w:val="474747"/>
          <w:sz w:val="22"/>
          <w:szCs w:val="22"/>
          <w:shd w:val="clear" w:color="auto" w:fill="FFFFFF"/>
        </w:rPr>
        <w:t xml:space="preserve">’. </w:t>
      </w:r>
      <w:r w:rsidR="009B787F" w:rsidRPr="009B787F">
        <w:rPr>
          <w:rFonts w:ascii="Calibri" w:hAnsi="Calibri" w:cs="Calibri"/>
          <w:color w:val="474747"/>
          <w:sz w:val="22"/>
          <w:szCs w:val="22"/>
          <w:shd w:val="clear" w:color="auto" w:fill="FFFFFF"/>
        </w:rPr>
        <w:t xml:space="preserve">In the UK, </w:t>
      </w:r>
      <w:r w:rsidR="00E07856">
        <w:rPr>
          <w:rFonts w:ascii="Calibri" w:hAnsi="Calibri" w:cs="Calibri"/>
          <w:color w:val="474747"/>
          <w:sz w:val="22"/>
          <w:szCs w:val="22"/>
          <w:shd w:val="clear" w:color="auto" w:fill="FFFFFF"/>
        </w:rPr>
        <w:t xml:space="preserve">there </w:t>
      </w:r>
      <w:r w:rsidR="009B787F">
        <w:rPr>
          <w:rFonts w:ascii="Calibri" w:hAnsi="Calibri" w:cs="Calibri"/>
          <w:color w:val="474747"/>
          <w:sz w:val="22"/>
          <w:szCs w:val="22"/>
          <w:shd w:val="clear" w:color="auto" w:fill="FFFFFF"/>
        </w:rPr>
        <w:t xml:space="preserve">are three </w:t>
      </w:r>
      <w:r w:rsidR="00E07856">
        <w:rPr>
          <w:rFonts w:ascii="Calibri" w:hAnsi="Calibri" w:cs="Calibri"/>
          <w:color w:val="474747"/>
          <w:sz w:val="22"/>
          <w:szCs w:val="22"/>
          <w:shd w:val="clear" w:color="auto" w:fill="FFFFFF"/>
        </w:rPr>
        <w:t>categories</w:t>
      </w:r>
      <w:r w:rsidR="009B787F">
        <w:rPr>
          <w:rFonts w:ascii="Calibri" w:hAnsi="Calibri" w:cs="Calibri"/>
          <w:color w:val="474747"/>
          <w:sz w:val="22"/>
          <w:szCs w:val="22"/>
          <w:shd w:val="clear" w:color="auto" w:fill="FFFFFF"/>
        </w:rPr>
        <w:t xml:space="preserve"> of </w:t>
      </w:r>
      <w:r w:rsidR="00E412E1">
        <w:rPr>
          <w:rFonts w:ascii="Calibri" w:hAnsi="Calibri" w:cs="Calibri"/>
          <w:color w:val="474747"/>
          <w:sz w:val="22"/>
          <w:szCs w:val="22"/>
          <w:shd w:val="clear" w:color="auto" w:fill="FFFFFF"/>
        </w:rPr>
        <w:t>poverty:</w:t>
      </w:r>
      <w:r w:rsidR="009B150B">
        <w:rPr>
          <w:rFonts w:ascii="Calibri" w:hAnsi="Calibri" w:cs="Calibri"/>
          <w:color w:val="474747"/>
          <w:sz w:val="22"/>
          <w:szCs w:val="22"/>
          <w:shd w:val="clear" w:color="auto" w:fill="FFFFFF"/>
        </w:rPr>
        <w:t xml:space="preserve"> </w:t>
      </w:r>
      <w:r w:rsidR="009B150B" w:rsidRPr="009B150B">
        <w:rPr>
          <w:rFonts w:ascii="Calibri" w:hAnsi="Calibri" w:cs="Calibri"/>
          <w:color w:val="474747"/>
          <w:sz w:val="22"/>
          <w:szCs w:val="22"/>
          <w:shd w:val="clear" w:color="auto" w:fill="FFFFFF"/>
        </w:rPr>
        <w:t>Relative Poverty</w:t>
      </w:r>
      <w:r w:rsidR="009B150B">
        <w:rPr>
          <w:rFonts w:ascii="Calibri" w:hAnsi="Calibri" w:cs="Calibri"/>
          <w:color w:val="474747"/>
          <w:sz w:val="22"/>
          <w:szCs w:val="22"/>
          <w:shd w:val="clear" w:color="auto" w:fill="FFFFFF"/>
        </w:rPr>
        <w:t xml:space="preserve">, </w:t>
      </w:r>
      <w:r w:rsidR="009B150B" w:rsidRPr="009B150B">
        <w:rPr>
          <w:rFonts w:ascii="Calibri" w:hAnsi="Calibri" w:cs="Calibri"/>
          <w:color w:val="474747"/>
          <w:sz w:val="22"/>
          <w:szCs w:val="22"/>
          <w:shd w:val="clear" w:color="auto" w:fill="FFFFFF"/>
        </w:rPr>
        <w:t>Absolute Poverty</w:t>
      </w:r>
      <w:r w:rsidR="009B150B">
        <w:rPr>
          <w:rFonts w:ascii="Calibri" w:hAnsi="Calibri" w:cs="Calibri"/>
          <w:color w:val="474747"/>
          <w:sz w:val="22"/>
          <w:szCs w:val="22"/>
          <w:shd w:val="clear" w:color="auto" w:fill="FFFFFF"/>
        </w:rPr>
        <w:t xml:space="preserve">, </w:t>
      </w:r>
      <w:r w:rsidR="009B150B" w:rsidRPr="009B150B">
        <w:rPr>
          <w:rFonts w:ascii="Calibri" w:hAnsi="Calibri" w:cs="Calibri"/>
          <w:color w:val="474747"/>
          <w:sz w:val="22"/>
          <w:szCs w:val="22"/>
          <w:shd w:val="clear" w:color="auto" w:fill="FFFFFF"/>
        </w:rPr>
        <w:t>Deep Material Poverty</w:t>
      </w:r>
      <w:r w:rsidR="009B150B">
        <w:rPr>
          <w:rFonts w:ascii="Calibri" w:hAnsi="Calibri" w:cs="Calibri"/>
          <w:color w:val="474747"/>
          <w:sz w:val="22"/>
          <w:szCs w:val="22"/>
          <w:shd w:val="clear" w:color="auto" w:fill="FFFFFF"/>
        </w:rPr>
        <w:t xml:space="preserve">. </w:t>
      </w:r>
      <w:r w:rsidR="009B150B" w:rsidRPr="009B150B">
        <w:rPr>
          <w:rFonts w:ascii="Calibri" w:hAnsi="Calibri" w:cs="Calibri"/>
          <w:color w:val="474747"/>
          <w:sz w:val="22"/>
          <w:szCs w:val="22"/>
          <w:shd w:val="clear" w:color="auto" w:fill="FFFFFF"/>
        </w:rPr>
        <w:t>Relative Poverty</w:t>
      </w:r>
      <w:r w:rsidR="009B150B">
        <w:rPr>
          <w:rFonts w:ascii="Calibri" w:hAnsi="Calibri" w:cs="Calibri"/>
          <w:color w:val="474747"/>
          <w:sz w:val="22"/>
          <w:szCs w:val="22"/>
          <w:shd w:val="clear" w:color="auto" w:fill="FFFFFF"/>
        </w:rPr>
        <w:t xml:space="preserve"> is i</w:t>
      </w:r>
      <w:r w:rsidR="009B150B" w:rsidRPr="009B150B">
        <w:rPr>
          <w:rFonts w:ascii="Calibri" w:hAnsi="Calibri" w:cs="Calibri"/>
          <w:color w:val="474747"/>
          <w:sz w:val="22"/>
          <w:szCs w:val="22"/>
          <w:shd w:val="clear" w:color="auto" w:fill="FFFFFF"/>
        </w:rPr>
        <w:t>f a child's household earns less than 60% of the UK's current median household income</w:t>
      </w:r>
      <w:r w:rsidR="009B150B">
        <w:rPr>
          <w:rFonts w:ascii="Calibri" w:hAnsi="Calibri" w:cs="Calibri"/>
          <w:color w:val="474747"/>
          <w:sz w:val="22"/>
          <w:szCs w:val="22"/>
          <w:shd w:val="clear" w:color="auto" w:fill="FFFFFF"/>
        </w:rPr>
        <w:t xml:space="preserve">. </w:t>
      </w:r>
      <w:r w:rsidR="009B150B" w:rsidRPr="009B150B">
        <w:rPr>
          <w:rFonts w:ascii="Calibri" w:hAnsi="Calibri" w:cs="Calibri"/>
          <w:color w:val="474747"/>
          <w:sz w:val="22"/>
          <w:szCs w:val="22"/>
          <w:shd w:val="clear" w:color="auto" w:fill="FFFFFF"/>
        </w:rPr>
        <w:t>Absolute Poverty</w:t>
      </w:r>
      <w:r w:rsidR="009B150B">
        <w:rPr>
          <w:rFonts w:ascii="Calibri" w:hAnsi="Calibri" w:cs="Calibri"/>
          <w:color w:val="474747"/>
          <w:sz w:val="22"/>
          <w:szCs w:val="22"/>
          <w:shd w:val="clear" w:color="auto" w:fill="FFFFFF"/>
        </w:rPr>
        <w:t xml:space="preserve"> is a</w:t>
      </w:r>
      <w:r w:rsidR="009B150B" w:rsidRPr="009B150B">
        <w:rPr>
          <w:rFonts w:ascii="Calibri" w:hAnsi="Calibri" w:cs="Calibri"/>
          <w:color w:val="474747"/>
          <w:sz w:val="22"/>
          <w:szCs w:val="22"/>
          <w:shd w:val="clear" w:color="auto" w:fill="FFFFFF"/>
        </w:rPr>
        <w:t xml:space="preserve"> child considered to be in poverty if their household earns less than 60% of the median income from a predetermined baseline</w:t>
      </w:r>
      <w:r w:rsidR="009B150B">
        <w:rPr>
          <w:rFonts w:ascii="Calibri" w:hAnsi="Calibri" w:cs="Calibri"/>
          <w:color w:val="474747"/>
          <w:sz w:val="22"/>
          <w:szCs w:val="22"/>
          <w:shd w:val="clear" w:color="auto" w:fill="FFFFFF"/>
        </w:rPr>
        <w:t xml:space="preserve"> and </w:t>
      </w:r>
      <w:r w:rsidR="009B150B" w:rsidRPr="009B150B">
        <w:rPr>
          <w:rFonts w:ascii="Calibri" w:hAnsi="Calibri" w:cs="Calibri"/>
          <w:color w:val="474747"/>
          <w:sz w:val="22"/>
          <w:szCs w:val="22"/>
          <w:shd w:val="clear" w:color="auto" w:fill="FFFFFF"/>
        </w:rPr>
        <w:t>Deep Material Poverty</w:t>
      </w:r>
      <w:r w:rsidR="009B150B">
        <w:rPr>
          <w:rFonts w:ascii="Calibri" w:hAnsi="Calibri" w:cs="Calibri"/>
          <w:color w:val="474747"/>
          <w:sz w:val="22"/>
          <w:szCs w:val="22"/>
          <w:shd w:val="clear" w:color="auto" w:fill="FFFFFF"/>
        </w:rPr>
        <w:t xml:space="preserve"> i</w:t>
      </w:r>
      <w:r w:rsidR="009B150B" w:rsidRPr="009B150B">
        <w:rPr>
          <w:rFonts w:ascii="Calibri" w:hAnsi="Calibri" w:cs="Calibri"/>
          <w:color w:val="474747"/>
          <w:sz w:val="22"/>
          <w:szCs w:val="22"/>
          <w:shd w:val="clear" w:color="auto" w:fill="FFFFFF"/>
        </w:rPr>
        <w:t xml:space="preserve">ndicates whether families </w:t>
      </w:r>
      <w:proofErr w:type="gramStart"/>
      <w:r w:rsidR="009B150B" w:rsidRPr="009B150B">
        <w:rPr>
          <w:rFonts w:ascii="Calibri" w:hAnsi="Calibri" w:cs="Calibri"/>
          <w:color w:val="474747"/>
          <w:sz w:val="22"/>
          <w:szCs w:val="22"/>
          <w:shd w:val="clear" w:color="auto" w:fill="FFFFFF"/>
        </w:rPr>
        <w:t>are able to</w:t>
      </w:r>
      <w:proofErr w:type="gramEnd"/>
      <w:r w:rsidR="009B150B" w:rsidRPr="009B150B">
        <w:rPr>
          <w:rFonts w:ascii="Calibri" w:hAnsi="Calibri" w:cs="Calibri"/>
          <w:color w:val="474747"/>
          <w:sz w:val="22"/>
          <w:szCs w:val="22"/>
          <w:shd w:val="clear" w:color="auto" w:fill="FFFFFF"/>
        </w:rPr>
        <w:t xml:space="preserve"> pay for certain necessities (such as warm clothes and school excursions) in addition to income</w:t>
      </w:r>
      <w:r w:rsidR="009B150B">
        <w:rPr>
          <w:rFonts w:ascii="Calibri" w:hAnsi="Calibri" w:cs="Calibri"/>
          <w:color w:val="474747"/>
          <w:sz w:val="22"/>
          <w:szCs w:val="22"/>
          <w:shd w:val="clear" w:color="auto" w:fill="FFFFFF"/>
        </w:rPr>
        <w:t>.</w:t>
      </w:r>
      <w:r w:rsidR="00AA1E0D">
        <w:rPr>
          <w:rFonts w:ascii="Calibri" w:hAnsi="Calibri" w:cs="Calibri"/>
          <w:color w:val="474747"/>
          <w:sz w:val="22"/>
          <w:szCs w:val="22"/>
          <w:shd w:val="clear" w:color="auto" w:fill="FFFFFF"/>
        </w:rPr>
        <w:t xml:space="preserve"> This presentation will focus on the impact child poverty has on children aged six to eleven. </w:t>
      </w:r>
    </w:p>
    <w:p w14:paraId="26D8B98A" w14:textId="77777777" w:rsidR="00A9666F" w:rsidRDefault="00605114" w:rsidP="003C2A65">
      <w:pPr>
        <w:spacing w:before="100" w:beforeAutospacing="1" w:after="100" w:afterAutospacing="1" w:line="480" w:lineRule="auto"/>
        <w:outlineLvl w:val="1"/>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u w:val="single"/>
          <w:lang w:eastAsia="en-GB"/>
          <w14:ligatures w14:val="none"/>
        </w:rPr>
        <w:t>Slide Two: Statistics</w:t>
      </w:r>
    </w:p>
    <w:p w14:paraId="5C05FB91" w14:textId="78225356" w:rsidR="00605114" w:rsidRPr="00605114" w:rsidRDefault="004A2B50" w:rsidP="003C2A65">
      <w:pPr>
        <w:spacing w:before="100" w:beforeAutospacing="1" w:after="100" w:afterAutospacing="1" w:line="480" w:lineRule="auto"/>
        <w:jc w:val="both"/>
        <w:outlineLvl w:val="1"/>
        <w:rPr>
          <w:rFonts w:ascii="Calibri" w:eastAsia="Times New Roman" w:hAnsi="Calibri" w:cs="Calibri"/>
          <w:color w:val="000000"/>
          <w:kern w:val="0"/>
          <w:sz w:val="22"/>
          <w:szCs w:val="22"/>
          <w:lang w:eastAsia="en-GB"/>
          <w14:ligatures w14:val="none"/>
        </w:rPr>
      </w:pPr>
      <w:r w:rsidRPr="004A2B50">
        <w:rPr>
          <w:rFonts w:ascii="Calibri" w:eastAsia="Times New Roman" w:hAnsi="Calibri" w:cs="Calibri"/>
          <w:color w:val="000000"/>
          <w:kern w:val="0"/>
          <w:sz w:val="22"/>
          <w:szCs w:val="22"/>
          <w:lang w:eastAsia="en-GB"/>
          <w14:ligatures w14:val="none"/>
        </w:rPr>
        <w:t>Child poverty in the United Kingdom remains extremely prevalent, encompassing over 4 million children, compared to ten years ago, with substantial differences between regions illustrating a greater prevalence in England and Wales compared to Scotland and Northern Ireland, and more severe poverty for numerous children, especially those in bigger families, single-parent households, and specific ethnic groups, regardless of recent data stabilisation following economic fluctuations.   Due to changes in policy and economic circumstances, trends indicate an increase over the past ten years; recent numbers have remained steady but are still excessive.</w:t>
      </w:r>
      <w:r w:rsidR="00A509D0">
        <w:rPr>
          <w:rFonts w:ascii="Calibri" w:eastAsia="Times New Roman" w:hAnsi="Calibri" w:cs="Calibri"/>
          <w:color w:val="000000"/>
          <w:kern w:val="0"/>
          <w:sz w:val="22"/>
          <w:szCs w:val="22"/>
          <w:lang w:eastAsia="en-GB"/>
          <w14:ligatures w14:val="none"/>
        </w:rPr>
        <w:t xml:space="preserve"> </w:t>
      </w:r>
      <w:r w:rsidR="00A509D0" w:rsidRPr="00A509D0">
        <w:rPr>
          <w:rFonts w:ascii="Calibri" w:eastAsia="Times New Roman" w:hAnsi="Calibri" w:cs="Calibri"/>
          <w:color w:val="000000"/>
          <w:kern w:val="0"/>
          <w:sz w:val="22"/>
          <w:szCs w:val="22"/>
          <w:lang w:eastAsia="en-GB"/>
          <w14:ligatures w14:val="none"/>
        </w:rPr>
        <w:t xml:space="preserve">Child poverty in the UK has been steadily increasing over the last ten years. Following costs associated with housing, the percentage of children residing in relative poverty rose from roughly 27% in 2010–11 to roughly 30–31% in 2022–2023, showing a sharp decline in living conditions. The proportion of deep poverty, which is </w:t>
      </w:r>
      <w:r w:rsidR="00A509D0" w:rsidRPr="00A509D0">
        <w:rPr>
          <w:rFonts w:ascii="Calibri" w:eastAsia="Times New Roman" w:hAnsi="Calibri" w:cs="Calibri"/>
          <w:color w:val="000000"/>
          <w:kern w:val="0"/>
          <w:sz w:val="22"/>
          <w:szCs w:val="22"/>
          <w:lang w:eastAsia="en-GB"/>
          <w14:ligatures w14:val="none"/>
        </w:rPr>
        <w:lastRenderedPageBreak/>
        <w:t xml:space="preserve">characterised as household income below 50% of the median, has also significantly increased, indicating both a deepening and a broadening of poverty. A rising number of impoverished children live in families where no less than one adult works, especially part-time, highlighting the inadequacy of earnings and employment supports. This tendency occurs more frequently amongst working families. </w:t>
      </w:r>
      <w:r w:rsidR="005B5A8B" w:rsidRPr="005B5A8B">
        <w:rPr>
          <w:rFonts w:ascii="Calibri" w:eastAsia="Times New Roman" w:hAnsi="Calibri" w:cs="Calibri"/>
          <w:color w:val="000000"/>
          <w:kern w:val="0"/>
          <w:sz w:val="22"/>
          <w:szCs w:val="22"/>
          <w:lang w:eastAsia="en-GB"/>
          <w14:ligatures w14:val="none"/>
        </w:rPr>
        <w:t>These statistics were made worse in 2022–2023 by the steep increase in inflation and the cost-of-living crises, which pulled greater numbers of households into impoverishment.  Prevalence rates in England differ significantly amongst communities, ranging from as low as 5% to as high as 43%, which reflects ingrained economic and geographical disparities.</w:t>
      </w:r>
    </w:p>
    <w:p w14:paraId="7DA2BA46" w14:textId="5D0D8769" w:rsidR="0092476E" w:rsidRDefault="0092476E" w:rsidP="003C2A65">
      <w:pPr>
        <w:spacing w:before="100" w:beforeAutospacing="1" w:after="100" w:afterAutospacing="1" w:line="480" w:lineRule="auto"/>
        <w:outlineLvl w:val="1"/>
        <w:rPr>
          <w:rFonts w:ascii="Calibri" w:eastAsia="Times New Roman" w:hAnsi="Calibri" w:cs="Calibri"/>
          <w:color w:val="000000"/>
          <w:kern w:val="0"/>
          <w:sz w:val="22"/>
          <w:szCs w:val="22"/>
          <w:u w:val="single"/>
          <w:lang w:eastAsia="en-GB"/>
          <w14:ligatures w14:val="none"/>
        </w:rPr>
      </w:pPr>
      <w:r>
        <w:rPr>
          <w:rFonts w:ascii="Calibri" w:eastAsia="Times New Roman" w:hAnsi="Calibri" w:cs="Calibri"/>
          <w:color w:val="000000"/>
          <w:kern w:val="0"/>
          <w:sz w:val="22"/>
          <w:szCs w:val="22"/>
          <w:u w:val="single"/>
          <w:lang w:eastAsia="en-GB"/>
          <w14:ligatures w14:val="none"/>
        </w:rPr>
        <w:t>Slide Three: Causes of Child Poverty</w:t>
      </w:r>
    </w:p>
    <w:p w14:paraId="7BB14A8A" w14:textId="66E4736A" w:rsidR="0092476E" w:rsidRDefault="00D95942" w:rsidP="003C2A65">
      <w:pPr>
        <w:spacing w:before="100" w:beforeAutospacing="1" w:after="100" w:afterAutospacing="1" w:line="480" w:lineRule="auto"/>
        <w:jc w:val="both"/>
        <w:outlineLvl w:val="1"/>
        <w:rPr>
          <w:rFonts w:ascii="Calibri" w:eastAsia="Times New Roman" w:hAnsi="Calibri" w:cs="Calibri"/>
          <w:color w:val="000000"/>
          <w:kern w:val="0"/>
          <w:sz w:val="22"/>
          <w:szCs w:val="22"/>
          <w:lang w:eastAsia="en-GB"/>
          <w14:ligatures w14:val="none"/>
        </w:rPr>
      </w:pPr>
      <w:r w:rsidRPr="00D95942">
        <w:rPr>
          <w:rFonts w:ascii="Calibri" w:eastAsia="Times New Roman" w:hAnsi="Calibri" w:cs="Calibri"/>
          <w:color w:val="000000"/>
          <w:kern w:val="0"/>
          <w:sz w:val="22"/>
          <w:szCs w:val="22"/>
          <w:lang w:eastAsia="en-GB"/>
          <w14:ligatures w14:val="none"/>
        </w:rPr>
        <w:t>The fundamental causes of child poverty are complex, arising from unsustainable incomes for households due to low salaries or employment instability, compounded by elevated costs of necessities such as housing, nourishment, and childcare services. Additionally, systemic factors like ineffective social assistance (including assistance limitations) diminish support, perpetuating patterns of intergenerational poverty fuelled by insufficient parental academic achievement, medical challenges, and a lack of chances for advancement, thereby entrenching families in prolonged hardship despite parental employment.</w:t>
      </w:r>
      <w:r w:rsidR="006C6E07">
        <w:rPr>
          <w:rFonts w:ascii="Calibri" w:eastAsia="Times New Roman" w:hAnsi="Calibri" w:cs="Calibri"/>
          <w:color w:val="000000"/>
          <w:kern w:val="0"/>
          <w:sz w:val="22"/>
          <w:szCs w:val="22"/>
          <w:lang w:eastAsia="en-GB"/>
          <w14:ligatures w14:val="none"/>
        </w:rPr>
        <w:t xml:space="preserve"> </w:t>
      </w:r>
      <w:r w:rsidR="006C6E07" w:rsidRPr="006C6E07">
        <w:rPr>
          <w:rFonts w:ascii="Calibri" w:eastAsia="Times New Roman" w:hAnsi="Calibri" w:cs="Calibri"/>
          <w:color w:val="000000"/>
          <w:kern w:val="0"/>
          <w:sz w:val="22"/>
          <w:szCs w:val="22"/>
          <w:lang w:eastAsia="en-GB"/>
          <w14:ligatures w14:val="none"/>
        </w:rPr>
        <w:t xml:space="preserve">Child poverty is the result of an intricate combination of social, </w:t>
      </w:r>
      <w:proofErr w:type="spellStart"/>
      <w:r w:rsidR="006C6E07" w:rsidRPr="006C6E07">
        <w:rPr>
          <w:rFonts w:ascii="Calibri" w:eastAsia="Times New Roman" w:hAnsi="Calibri" w:cs="Calibri"/>
          <w:color w:val="000000"/>
          <w:kern w:val="0"/>
          <w:sz w:val="22"/>
          <w:szCs w:val="22"/>
          <w:lang w:eastAsia="en-GB"/>
          <w14:ligatures w14:val="none"/>
        </w:rPr>
        <w:t>economical</w:t>
      </w:r>
      <w:proofErr w:type="spellEnd"/>
      <w:r w:rsidR="006C6E07" w:rsidRPr="006C6E07">
        <w:rPr>
          <w:rFonts w:ascii="Calibri" w:eastAsia="Times New Roman" w:hAnsi="Calibri" w:cs="Calibri"/>
          <w:color w:val="000000"/>
          <w:kern w:val="0"/>
          <w:sz w:val="22"/>
          <w:szCs w:val="22"/>
          <w:lang w:eastAsia="en-GB"/>
          <w14:ligatures w14:val="none"/>
        </w:rPr>
        <w:t>, and institutional variables. Domestic finances and job instability are critical, as many families work full-time but earn low salaries or have unstable jobs, leading in inadequate funds to satisfy basic necessities and chronic financial burden. These strains are exacerbated by the high cost of living, with growing housing, food, and childcare prices taking an excessive share of struggling households' budgets and providing inadequate space for savings or unforeseen costs. Welfare policy changes have further worsened suffering; for example, the UK's two-child benefit cap has cut financial support for families, leading numerous people, particularly working parents, to become dependent on charities that distribute food.</w:t>
      </w:r>
      <w:r w:rsidR="006C6E07">
        <w:rPr>
          <w:rFonts w:ascii="Calibri" w:eastAsia="Times New Roman" w:hAnsi="Calibri" w:cs="Calibri"/>
          <w:color w:val="000000"/>
          <w:kern w:val="0"/>
          <w:sz w:val="22"/>
          <w:szCs w:val="22"/>
          <w:lang w:eastAsia="en-GB"/>
          <w14:ligatures w14:val="none"/>
        </w:rPr>
        <w:t xml:space="preserve"> </w:t>
      </w:r>
      <w:r w:rsidR="006C6E07" w:rsidRPr="006C6E07">
        <w:rPr>
          <w:rFonts w:ascii="Calibri" w:eastAsia="Times New Roman" w:hAnsi="Calibri" w:cs="Calibri"/>
          <w:color w:val="000000"/>
          <w:kern w:val="0"/>
          <w:sz w:val="22"/>
          <w:szCs w:val="22"/>
          <w:lang w:eastAsia="en-GB"/>
          <w14:ligatures w14:val="none"/>
        </w:rPr>
        <w:t xml:space="preserve">Child poverty is also strongly embedded in intergenerational disparities. Furthermore, institutional concerns including as discrimination, limited access to adequate </w:t>
      </w:r>
      <w:r w:rsidR="006C6E07" w:rsidRPr="006C6E07">
        <w:rPr>
          <w:rFonts w:ascii="Calibri" w:eastAsia="Times New Roman" w:hAnsi="Calibri" w:cs="Calibri"/>
          <w:color w:val="000000"/>
          <w:kern w:val="0"/>
          <w:sz w:val="22"/>
          <w:szCs w:val="22"/>
          <w:lang w:eastAsia="en-GB"/>
          <w14:ligatures w14:val="none"/>
        </w:rPr>
        <w:lastRenderedPageBreak/>
        <w:t xml:space="preserve">health care and schooling, and minimal social security coverage persist and imprison families in poverty. To combat child poverty, concerted effort in </w:t>
      </w:r>
      <w:proofErr w:type="gramStart"/>
      <w:r w:rsidR="006C6E07" w:rsidRPr="006C6E07">
        <w:rPr>
          <w:rFonts w:ascii="Calibri" w:eastAsia="Times New Roman" w:hAnsi="Calibri" w:cs="Calibri"/>
          <w:color w:val="000000"/>
          <w:kern w:val="0"/>
          <w:sz w:val="22"/>
          <w:szCs w:val="22"/>
          <w:lang w:eastAsia="en-GB"/>
          <w14:ligatures w14:val="none"/>
        </w:rPr>
        <w:t>all of</w:t>
      </w:r>
      <w:proofErr w:type="gramEnd"/>
      <w:r w:rsidR="006C6E07" w:rsidRPr="006C6E07">
        <w:rPr>
          <w:rFonts w:ascii="Calibri" w:eastAsia="Times New Roman" w:hAnsi="Calibri" w:cs="Calibri"/>
          <w:color w:val="000000"/>
          <w:kern w:val="0"/>
          <w:sz w:val="22"/>
          <w:szCs w:val="22"/>
          <w:lang w:eastAsia="en-GB"/>
          <w14:ligatures w14:val="none"/>
        </w:rPr>
        <w:t xml:space="preserve"> these domains is required, including raising salaries and job stability, lowering living costs, enhancing social s</w:t>
      </w:r>
      <w:r w:rsidR="006C6E07">
        <w:rPr>
          <w:rFonts w:ascii="Calibri" w:eastAsia="Times New Roman" w:hAnsi="Calibri" w:cs="Calibri"/>
          <w:color w:val="000000"/>
          <w:kern w:val="0"/>
          <w:sz w:val="22"/>
          <w:szCs w:val="22"/>
          <w:lang w:eastAsia="en-GB"/>
          <w14:ligatures w14:val="none"/>
        </w:rPr>
        <w:t>ecurity</w:t>
      </w:r>
      <w:r w:rsidR="006C6E07" w:rsidRPr="006C6E07">
        <w:rPr>
          <w:rFonts w:ascii="Calibri" w:eastAsia="Times New Roman" w:hAnsi="Calibri" w:cs="Calibri"/>
          <w:color w:val="000000"/>
          <w:kern w:val="0"/>
          <w:sz w:val="22"/>
          <w:szCs w:val="22"/>
          <w:lang w:eastAsia="en-GB"/>
          <w14:ligatures w14:val="none"/>
        </w:rPr>
        <w:t>, and assisting parents in developing skills and obtaining stable employment.</w:t>
      </w:r>
    </w:p>
    <w:p w14:paraId="2BAE7EE7" w14:textId="54EF8B03" w:rsidR="009E4700" w:rsidRDefault="009E4700" w:rsidP="003C2A65">
      <w:pPr>
        <w:spacing w:before="100" w:beforeAutospacing="1" w:after="100" w:afterAutospacing="1" w:line="480" w:lineRule="auto"/>
        <w:rPr>
          <w:rFonts w:ascii="Calibri" w:eastAsia="Times New Roman" w:hAnsi="Calibri" w:cs="Calibri"/>
          <w:color w:val="000000"/>
          <w:kern w:val="0"/>
          <w:sz w:val="22"/>
          <w:szCs w:val="22"/>
          <w:u w:val="single"/>
          <w:lang w:eastAsia="en-GB"/>
          <w14:ligatures w14:val="none"/>
        </w:rPr>
      </w:pPr>
      <w:r>
        <w:rPr>
          <w:rFonts w:ascii="Calibri" w:eastAsia="Times New Roman" w:hAnsi="Calibri" w:cs="Calibri"/>
          <w:color w:val="000000"/>
          <w:kern w:val="0"/>
          <w:sz w:val="22"/>
          <w:szCs w:val="22"/>
          <w:u w:val="single"/>
          <w:lang w:eastAsia="en-GB"/>
          <w14:ligatures w14:val="none"/>
        </w:rPr>
        <w:t xml:space="preserve">Slide </w:t>
      </w:r>
      <w:r>
        <w:rPr>
          <w:rFonts w:ascii="Calibri" w:eastAsia="Times New Roman" w:hAnsi="Calibri" w:cs="Calibri"/>
          <w:color w:val="000000"/>
          <w:kern w:val="0"/>
          <w:sz w:val="22"/>
          <w:szCs w:val="22"/>
          <w:u w:val="single"/>
          <w:lang w:eastAsia="en-GB"/>
          <w14:ligatures w14:val="none"/>
        </w:rPr>
        <w:t>Four</w:t>
      </w:r>
      <w:r w:rsidR="000B1124">
        <w:rPr>
          <w:rFonts w:ascii="Calibri" w:eastAsia="Times New Roman" w:hAnsi="Calibri" w:cs="Calibri"/>
          <w:color w:val="000000"/>
          <w:kern w:val="0"/>
          <w:sz w:val="22"/>
          <w:szCs w:val="22"/>
          <w:u w:val="single"/>
          <w:lang w:eastAsia="en-GB"/>
          <w14:ligatures w14:val="none"/>
        </w:rPr>
        <w:t>/ Five/ Six</w:t>
      </w:r>
      <w:r>
        <w:rPr>
          <w:rFonts w:ascii="Calibri" w:eastAsia="Times New Roman" w:hAnsi="Calibri" w:cs="Calibri"/>
          <w:color w:val="000000"/>
          <w:kern w:val="0"/>
          <w:sz w:val="22"/>
          <w:szCs w:val="22"/>
          <w:u w:val="single"/>
          <w:lang w:eastAsia="en-GB"/>
          <w14:ligatures w14:val="none"/>
        </w:rPr>
        <w:t xml:space="preserve">: </w:t>
      </w:r>
      <w:r>
        <w:rPr>
          <w:rFonts w:ascii="Calibri" w:eastAsia="Times New Roman" w:hAnsi="Calibri" w:cs="Calibri"/>
          <w:color w:val="000000"/>
          <w:kern w:val="0"/>
          <w:sz w:val="22"/>
          <w:szCs w:val="22"/>
          <w:u w:val="single"/>
          <w:lang w:eastAsia="en-GB"/>
          <w14:ligatures w14:val="none"/>
        </w:rPr>
        <w:t xml:space="preserve">Children’s </w:t>
      </w:r>
      <w:r w:rsidR="00970FAD">
        <w:rPr>
          <w:rFonts w:ascii="Calibri" w:eastAsia="Times New Roman" w:hAnsi="Calibri" w:cs="Calibri"/>
          <w:color w:val="000000"/>
          <w:kern w:val="0"/>
          <w:sz w:val="22"/>
          <w:szCs w:val="22"/>
          <w:u w:val="single"/>
          <w:lang w:eastAsia="en-GB"/>
          <w14:ligatures w14:val="none"/>
        </w:rPr>
        <w:t>Perception</w:t>
      </w:r>
    </w:p>
    <w:p w14:paraId="6A3AD491" w14:textId="13E978B4" w:rsidR="0010020D" w:rsidRDefault="0010020D" w:rsidP="003C2A65">
      <w:pPr>
        <w:spacing w:before="100" w:beforeAutospacing="1" w:after="100" w:afterAutospacing="1" w:line="480" w:lineRule="auto"/>
        <w:jc w:val="both"/>
        <w:rPr>
          <w:rFonts w:ascii="Calibri" w:eastAsia="Times New Roman" w:hAnsi="Calibri" w:cs="Calibri"/>
          <w:color w:val="000000"/>
          <w:kern w:val="0"/>
          <w:sz w:val="22"/>
          <w:szCs w:val="22"/>
          <w:lang w:eastAsia="en-GB"/>
          <w14:ligatures w14:val="none"/>
        </w:rPr>
      </w:pPr>
      <w:r w:rsidRPr="0010020D">
        <w:rPr>
          <w:rFonts w:ascii="Calibri" w:eastAsia="Times New Roman" w:hAnsi="Calibri" w:cs="Calibri"/>
          <w:color w:val="000000"/>
          <w:kern w:val="0"/>
          <w:sz w:val="22"/>
          <w:szCs w:val="22"/>
          <w:lang w:eastAsia="en-GB"/>
          <w14:ligatures w14:val="none"/>
        </w:rPr>
        <w:t>Children's academic experiences and results are significantly impacted by child poverty in a variety of ways. Decreased school attendance is directly linked to financial difficulties because instability in the family, which compromises learning consistency.   Children from low-income households frequently do not have the ability to obtain educational resources including textbooks, mentoring, and extracurricular activities, which leads to inferior academic achievement and lower completion of graduation. Financial limitations additionally correlate to lower academic success. These drawbacks are exacerbated by the negative health effects of poverty, such as insufficient housing and inadequate nourishment, which can hinder focus and participation in the classroom.</w:t>
      </w:r>
      <w:r>
        <w:rPr>
          <w:rFonts w:ascii="Calibri" w:eastAsia="Times New Roman" w:hAnsi="Calibri" w:cs="Calibri"/>
          <w:color w:val="000000"/>
          <w:kern w:val="0"/>
          <w:sz w:val="22"/>
          <w:szCs w:val="22"/>
          <w:lang w:eastAsia="en-GB"/>
          <w14:ligatures w14:val="none"/>
        </w:rPr>
        <w:t xml:space="preserve"> </w:t>
      </w:r>
      <w:r w:rsidRPr="0010020D">
        <w:rPr>
          <w:rFonts w:ascii="Calibri" w:eastAsia="Times New Roman" w:hAnsi="Calibri" w:cs="Calibri"/>
          <w:color w:val="000000"/>
          <w:kern w:val="0"/>
          <w:sz w:val="22"/>
          <w:szCs w:val="22"/>
          <w:lang w:eastAsia="en-GB"/>
          <w14:ligatures w14:val="none"/>
        </w:rPr>
        <w:t>In conjunction with impaired development of literacy that may negatively affect children from a young age, poverty also has an impact on cognitive development. Long-term stress and disordered home environments are connected to decreased memory retention, decreased focus, and issues with problem-solving abilities.   In addition, disparities in availability of technology lead to a clear digital gap because many low-income families do not have enough equipment, dependable internet connectivity, or peaceful study areas, which makes it difficult for them to finish their assignments and fully engage in online education.   Time and resource constraints may also hinder parents' ability to assist their children's education. In addition to immediately impeding learning and classroom behaviour, poverty raises the likelihood of mental health issues like anxiety and depression. </w:t>
      </w:r>
    </w:p>
    <w:p w14:paraId="23B519FD" w14:textId="3FF0B473" w:rsidR="0026095B" w:rsidRDefault="0026095B" w:rsidP="003C2A65">
      <w:pPr>
        <w:spacing w:before="100" w:beforeAutospacing="1" w:after="100" w:afterAutospacing="1" w:line="480" w:lineRule="auto"/>
        <w:jc w:val="both"/>
        <w:rPr>
          <w:rFonts w:ascii="Calibri" w:eastAsia="Times New Roman" w:hAnsi="Calibri" w:cs="Calibri"/>
          <w:color w:val="000000"/>
          <w:kern w:val="0"/>
          <w:sz w:val="22"/>
          <w:szCs w:val="22"/>
          <w:lang w:eastAsia="en-GB"/>
          <w14:ligatures w14:val="none"/>
        </w:rPr>
      </w:pPr>
      <w:r w:rsidRPr="0026095B">
        <w:rPr>
          <w:rFonts w:ascii="Calibri" w:eastAsia="Times New Roman" w:hAnsi="Calibri" w:cs="Calibri"/>
          <w:color w:val="000000"/>
          <w:kern w:val="0"/>
          <w:sz w:val="22"/>
          <w:szCs w:val="22"/>
          <w:lang w:eastAsia="en-GB"/>
          <w14:ligatures w14:val="none"/>
        </w:rPr>
        <w:t xml:space="preserve">Numerous detrimental physical health consequences that might last a lifetime and lead to long-lasting health disparities are closely linked to child poverty. Respiratory conditions including asthma, obesity, </w:t>
      </w:r>
      <w:r w:rsidRPr="0026095B">
        <w:rPr>
          <w:rFonts w:ascii="Calibri" w:eastAsia="Times New Roman" w:hAnsi="Calibri" w:cs="Calibri"/>
          <w:color w:val="000000"/>
          <w:kern w:val="0"/>
          <w:sz w:val="22"/>
          <w:szCs w:val="22"/>
          <w:lang w:eastAsia="en-GB"/>
          <w14:ligatures w14:val="none"/>
        </w:rPr>
        <w:lastRenderedPageBreak/>
        <w:t>malnutrition, and an increased risk of sickness and early death are all more common among children living in poverty. A lack of food, which restricts access to adequate nutrition and can lead to obesity and malnutrition due to dependence on less expensive, high-energy foods, is one of the interrelated variables driving these consequences. Inadequate living conditions, especially those that are damp, cold, and crowded, increase the risk of respiratory infections and chronic illnesses.</w:t>
      </w:r>
      <w:r>
        <w:rPr>
          <w:rFonts w:ascii="Calibri" w:eastAsia="Times New Roman" w:hAnsi="Calibri" w:cs="Calibri"/>
          <w:color w:val="000000"/>
          <w:kern w:val="0"/>
          <w:sz w:val="22"/>
          <w:szCs w:val="22"/>
          <w:lang w:eastAsia="en-GB"/>
          <w14:ligatures w14:val="none"/>
        </w:rPr>
        <w:t xml:space="preserve"> </w:t>
      </w:r>
      <w:r w:rsidRPr="0026095B">
        <w:rPr>
          <w:rFonts w:ascii="Calibri" w:eastAsia="Times New Roman" w:hAnsi="Calibri" w:cs="Calibri"/>
          <w:color w:val="000000"/>
          <w:kern w:val="0"/>
          <w:sz w:val="22"/>
          <w:szCs w:val="22"/>
          <w:lang w:eastAsia="en-GB"/>
          <w14:ligatures w14:val="none"/>
        </w:rPr>
        <w:t>Bacterial infections, social alienation, and lost time in school can also result from not having access to basic hygiene supplies, especially menstruation products. Urgent medical attention may be delayed or prevented by poverty-related obstacles to healthcare, including travel expenses, stigma, and complicated administrative procedures. Long-term effects on physical health and wellness can result from the chronic stress brought on by poverty, which can also interfere with brain development, impede regulation of emotions, and diminish the immune system's effectiveness.   These accumulated dangers work together to produce a self-sustaining cycle that reinforces intergenerational patterns of poverty by raising the chance of chronic illness and limited opportunities in adulthood.</w:t>
      </w:r>
    </w:p>
    <w:p w14:paraId="59CC1547" w14:textId="64C4FFD8" w:rsidR="0026095B" w:rsidRPr="0010020D" w:rsidRDefault="0026095B" w:rsidP="003C2A65">
      <w:pPr>
        <w:spacing w:before="100" w:beforeAutospacing="1" w:after="100" w:afterAutospacing="1" w:line="480" w:lineRule="auto"/>
        <w:jc w:val="both"/>
        <w:rPr>
          <w:rFonts w:ascii="Calibri" w:eastAsia="Times New Roman" w:hAnsi="Calibri" w:cs="Calibri"/>
          <w:color w:val="000000"/>
          <w:kern w:val="0"/>
          <w:sz w:val="22"/>
          <w:szCs w:val="22"/>
          <w:lang w:eastAsia="en-GB"/>
          <w14:ligatures w14:val="none"/>
        </w:rPr>
      </w:pPr>
      <w:r w:rsidRPr="0026095B">
        <w:rPr>
          <w:rFonts w:ascii="Calibri" w:eastAsia="Times New Roman" w:hAnsi="Calibri" w:cs="Calibri"/>
          <w:color w:val="000000"/>
          <w:kern w:val="0"/>
          <w:sz w:val="22"/>
          <w:szCs w:val="22"/>
          <w:lang w:eastAsia="en-GB"/>
          <w14:ligatures w14:val="none"/>
        </w:rPr>
        <w:t>Child poverty has serious and long-lasting effects on children's mental and emotional health, greatly raising the likelihood of anxiety, long-term stress, and behavioural issues. Parents who experience ongoing financial uncertainty are under a great deal of stress, which frequently compromises their ability to consistently give emotional warmth and stability. This can damage parent-child connection and lead to externalising problems like disruptive behaviour, violence, and defiance. Long-term exposure to hardship triggers "fight, flight, or freeze" reactions in many young children, which hinders their ability to learn, sleep, control their emotions, and interact with others. Given that discrimination, prejudice, and isolation from society may restrict opportunities to develop positive connections among peers, poverty also harms self-esteem.</w:t>
      </w:r>
      <w:r w:rsidR="006F57DD">
        <w:rPr>
          <w:rFonts w:ascii="Calibri" w:eastAsia="Times New Roman" w:hAnsi="Calibri" w:cs="Calibri"/>
          <w:color w:val="000000"/>
          <w:kern w:val="0"/>
          <w:sz w:val="22"/>
          <w:szCs w:val="22"/>
          <w:lang w:eastAsia="en-GB"/>
          <w14:ligatures w14:val="none"/>
        </w:rPr>
        <w:t xml:space="preserve"> </w:t>
      </w:r>
      <w:proofErr w:type="gramStart"/>
      <w:r w:rsidR="006F57DD" w:rsidRPr="006F57DD">
        <w:rPr>
          <w:rFonts w:ascii="Calibri" w:eastAsia="Times New Roman" w:hAnsi="Calibri" w:cs="Calibri"/>
          <w:color w:val="000000"/>
          <w:kern w:val="0"/>
          <w:sz w:val="22"/>
          <w:szCs w:val="22"/>
          <w:lang w:eastAsia="en-GB"/>
          <w14:ligatures w14:val="none"/>
        </w:rPr>
        <w:t>Adverse childhood experiences (ACEs),</w:t>
      </w:r>
      <w:proofErr w:type="gramEnd"/>
      <w:r w:rsidR="006F57DD" w:rsidRPr="006F57DD">
        <w:rPr>
          <w:rFonts w:ascii="Calibri" w:eastAsia="Times New Roman" w:hAnsi="Calibri" w:cs="Calibri"/>
          <w:color w:val="000000"/>
          <w:kern w:val="0"/>
          <w:sz w:val="22"/>
          <w:szCs w:val="22"/>
          <w:lang w:eastAsia="en-GB"/>
          <w14:ligatures w14:val="none"/>
        </w:rPr>
        <w:t xml:space="preserve"> are more common in underprivileged communities and are closely linked to long-term mental health issues. </w:t>
      </w:r>
      <w:proofErr w:type="gramStart"/>
      <w:r w:rsidR="006F57DD" w:rsidRPr="006F57DD">
        <w:rPr>
          <w:rFonts w:ascii="Calibri" w:eastAsia="Times New Roman" w:hAnsi="Calibri" w:cs="Calibri"/>
          <w:color w:val="000000"/>
          <w:kern w:val="0"/>
          <w:sz w:val="22"/>
          <w:szCs w:val="22"/>
          <w:lang w:eastAsia="en-GB"/>
          <w14:ligatures w14:val="none"/>
        </w:rPr>
        <w:t>In order to</w:t>
      </w:r>
      <w:proofErr w:type="gramEnd"/>
      <w:r w:rsidR="006F57DD" w:rsidRPr="006F57DD">
        <w:rPr>
          <w:rFonts w:ascii="Calibri" w:eastAsia="Times New Roman" w:hAnsi="Calibri" w:cs="Calibri"/>
          <w:color w:val="000000"/>
          <w:kern w:val="0"/>
          <w:sz w:val="22"/>
          <w:szCs w:val="22"/>
          <w:lang w:eastAsia="en-GB"/>
          <w14:ligatures w14:val="none"/>
        </w:rPr>
        <w:t xml:space="preserve"> lessen the long-term effects of child poverty, households, schools, and societies must provide coordinated, multi-agency support. Together, these variables create a self-reinforcing cycle of </w:t>
      </w:r>
      <w:r w:rsidR="006F57DD" w:rsidRPr="006F57DD">
        <w:rPr>
          <w:rFonts w:ascii="Calibri" w:eastAsia="Times New Roman" w:hAnsi="Calibri" w:cs="Calibri"/>
          <w:color w:val="000000"/>
          <w:kern w:val="0"/>
          <w:sz w:val="22"/>
          <w:szCs w:val="22"/>
          <w:lang w:eastAsia="en-GB"/>
          <w14:ligatures w14:val="none"/>
        </w:rPr>
        <w:lastRenderedPageBreak/>
        <w:t>hardship in which early mental health disparities limit achievement in school, career prospects, and advancement in society.</w:t>
      </w:r>
    </w:p>
    <w:p w14:paraId="42C50EC0" w14:textId="296F2EFE" w:rsidR="001A7FD5" w:rsidRDefault="001A7FD5" w:rsidP="003C2A65">
      <w:pPr>
        <w:spacing w:before="100" w:beforeAutospacing="1" w:after="100" w:afterAutospacing="1" w:line="480" w:lineRule="auto"/>
        <w:rPr>
          <w:rFonts w:ascii="Calibri" w:eastAsia="Times New Roman" w:hAnsi="Calibri" w:cs="Calibri"/>
          <w:color w:val="000000"/>
          <w:kern w:val="0"/>
          <w:sz w:val="22"/>
          <w:szCs w:val="22"/>
          <w:u w:val="single"/>
          <w:lang w:eastAsia="en-GB"/>
          <w14:ligatures w14:val="none"/>
        </w:rPr>
      </w:pPr>
      <w:r w:rsidRPr="001A7FD5">
        <w:rPr>
          <w:rFonts w:ascii="Calibri" w:eastAsia="Times New Roman" w:hAnsi="Calibri" w:cs="Calibri"/>
          <w:color w:val="000000"/>
          <w:kern w:val="0"/>
          <w:sz w:val="22"/>
          <w:szCs w:val="22"/>
          <w:u w:val="single"/>
          <w:lang w:eastAsia="en-GB"/>
          <w14:ligatures w14:val="none"/>
        </w:rPr>
        <w:t xml:space="preserve">Slide </w:t>
      </w:r>
      <w:r>
        <w:rPr>
          <w:rFonts w:ascii="Calibri" w:eastAsia="Times New Roman" w:hAnsi="Calibri" w:cs="Calibri"/>
          <w:color w:val="000000"/>
          <w:kern w:val="0"/>
          <w:sz w:val="22"/>
          <w:szCs w:val="22"/>
          <w:u w:val="single"/>
          <w:lang w:eastAsia="en-GB"/>
          <w14:ligatures w14:val="none"/>
        </w:rPr>
        <w:t>Seven</w:t>
      </w:r>
      <w:r w:rsidRPr="001A7FD5">
        <w:rPr>
          <w:rFonts w:ascii="Calibri" w:eastAsia="Times New Roman" w:hAnsi="Calibri" w:cs="Calibri"/>
          <w:color w:val="000000"/>
          <w:kern w:val="0"/>
          <w:sz w:val="22"/>
          <w:szCs w:val="22"/>
          <w:u w:val="single"/>
          <w:lang w:eastAsia="en-GB"/>
          <w14:ligatures w14:val="none"/>
        </w:rPr>
        <w:t xml:space="preserve">: </w:t>
      </w:r>
      <w:r>
        <w:rPr>
          <w:rFonts w:ascii="Calibri" w:eastAsia="Times New Roman" w:hAnsi="Calibri" w:cs="Calibri"/>
          <w:color w:val="000000"/>
          <w:kern w:val="0"/>
          <w:sz w:val="22"/>
          <w:szCs w:val="22"/>
          <w:u w:val="single"/>
          <w:lang w:eastAsia="en-GB"/>
          <w14:ligatures w14:val="none"/>
        </w:rPr>
        <w:t>Family Dynamics</w:t>
      </w:r>
    </w:p>
    <w:p w14:paraId="5406E896" w14:textId="5A2254B4" w:rsidR="00444F49" w:rsidRPr="00444F49" w:rsidRDefault="00444F49" w:rsidP="003C2A65">
      <w:pPr>
        <w:spacing w:before="100" w:beforeAutospacing="1" w:after="100" w:afterAutospacing="1" w:line="480" w:lineRule="auto"/>
        <w:jc w:val="both"/>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C</w:t>
      </w:r>
      <w:r w:rsidRPr="00444F49">
        <w:rPr>
          <w:rFonts w:ascii="Calibri" w:eastAsia="Times New Roman" w:hAnsi="Calibri" w:cs="Calibri"/>
          <w:color w:val="000000"/>
          <w:kern w:val="0"/>
          <w:sz w:val="22"/>
          <w:szCs w:val="22"/>
          <w:lang w:eastAsia="en-GB"/>
          <w14:ligatures w14:val="none"/>
        </w:rPr>
        <w:t>hild poverty is a perpetuating cycle that limits family resources and adversely affects children's lives by exacerbating stress for parents, impaired mental health, and unstable work. Parents are under a great deal of stress due to rising living expenses, unstable employment, and restricted access to reasonably priced childcare facilities. As a result, anxiety and depression are more common, and parents are less able to maintain their jobs or successfully manage various family needs, especially when children need extra support like CAMHS. Mothers are particularly impacted by these demands, and they are more inclined to cut back on their work hours, which worsens household poverty. Raising in poverty is linked to inferior scholastic outcomes, loneliness, poor nutrition, and limited access to activities that are beneficial. These factors all compromise children's physical and mental health, including emotional resilience and self-esteem.</w:t>
      </w:r>
      <w:r w:rsidR="006D3929" w:rsidRPr="006D3929">
        <w:t xml:space="preserve"> </w:t>
      </w:r>
      <w:r w:rsidR="006D3929" w:rsidRPr="006D3929">
        <w:rPr>
          <w:rFonts w:ascii="Calibri" w:eastAsia="Times New Roman" w:hAnsi="Calibri" w:cs="Calibri"/>
          <w:color w:val="000000"/>
          <w:kern w:val="0"/>
          <w:sz w:val="22"/>
          <w:szCs w:val="22"/>
          <w:lang w:eastAsia="en-GB"/>
          <w14:ligatures w14:val="none"/>
        </w:rPr>
        <w:t xml:space="preserve">Evidence, nevertheless, indicates that this cycle is not inescapable.   The negative consequences of poverty can be lessened by protective family resilience elements, such as good relationship intervention, and early assistance from charities. While affordable, high-quality childcare promotes both parental workforce involvement and child development, tailored mental health treatment for parents improves their resilience and employability. Furthermore, at the lowest income levels, even little improvements in household earnings or the immediate supply of necessities might have a disproportionately favourable effect. When taken as a whole, these initiatives create more secure and supportive homes that allow children to flourish </w:t>
      </w:r>
      <w:proofErr w:type="gramStart"/>
      <w:r w:rsidR="006D3929" w:rsidRPr="006D3929">
        <w:rPr>
          <w:rFonts w:ascii="Calibri" w:eastAsia="Times New Roman" w:hAnsi="Calibri" w:cs="Calibri"/>
          <w:color w:val="000000"/>
          <w:kern w:val="0"/>
          <w:sz w:val="22"/>
          <w:szCs w:val="22"/>
          <w:lang w:eastAsia="en-GB"/>
          <w14:ligatures w14:val="none"/>
        </w:rPr>
        <w:t>in spite of</w:t>
      </w:r>
      <w:proofErr w:type="gramEnd"/>
      <w:r w:rsidR="006D3929" w:rsidRPr="006D3929">
        <w:rPr>
          <w:rFonts w:ascii="Calibri" w:eastAsia="Times New Roman" w:hAnsi="Calibri" w:cs="Calibri"/>
          <w:color w:val="000000"/>
          <w:kern w:val="0"/>
          <w:sz w:val="22"/>
          <w:szCs w:val="22"/>
          <w:lang w:eastAsia="en-GB"/>
          <w14:ligatures w14:val="none"/>
        </w:rPr>
        <w:t xml:space="preserve"> financial difficulties and stop poverty from being passed down through generations.</w:t>
      </w:r>
    </w:p>
    <w:p w14:paraId="7FC412B0" w14:textId="1CFD9CB4" w:rsidR="00106192" w:rsidRDefault="00106192" w:rsidP="003C2A65">
      <w:pPr>
        <w:spacing w:before="100" w:beforeAutospacing="1" w:after="100" w:afterAutospacing="1" w:line="480" w:lineRule="auto"/>
        <w:rPr>
          <w:rFonts w:ascii="Calibri" w:eastAsia="Times New Roman" w:hAnsi="Calibri" w:cs="Calibri"/>
          <w:color w:val="000000"/>
          <w:kern w:val="0"/>
          <w:sz w:val="22"/>
          <w:szCs w:val="22"/>
          <w:u w:val="single"/>
          <w:lang w:eastAsia="en-GB"/>
          <w14:ligatures w14:val="none"/>
        </w:rPr>
      </w:pPr>
      <w:r w:rsidRPr="00106192">
        <w:rPr>
          <w:rFonts w:ascii="Calibri" w:eastAsia="Times New Roman" w:hAnsi="Calibri" w:cs="Calibri"/>
          <w:color w:val="000000"/>
          <w:kern w:val="0"/>
          <w:sz w:val="22"/>
          <w:szCs w:val="22"/>
          <w:u w:val="single"/>
          <w:lang w:eastAsia="en-GB"/>
          <w14:ligatures w14:val="none"/>
        </w:rPr>
        <w:t xml:space="preserve">Slide </w:t>
      </w:r>
      <w:r>
        <w:rPr>
          <w:rFonts w:ascii="Calibri" w:eastAsia="Times New Roman" w:hAnsi="Calibri" w:cs="Calibri"/>
          <w:color w:val="000000"/>
          <w:kern w:val="0"/>
          <w:sz w:val="22"/>
          <w:szCs w:val="22"/>
          <w:u w:val="single"/>
          <w:lang w:eastAsia="en-GB"/>
          <w14:ligatures w14:val="none"/>
        </w:rPr>
        <w:t>Eight</w:t>
      </w:r>
      <w:r w:rsidRPr="00106192">
        <w:rPr>
          <w:rFonts w:ascii="Calibri" w:eastAsia="Times New Roman" w:hAnsi="Calibri" w:cs="Calibri"/>
          <w:color w:val="000000"/>
          <w:kern w:val="0"/>
          <w:sz w:val="22"/>
          <w:szCs w:val="22"/>
          <w:u w:val="single"/>
          <w:lang w:eastAsia="en-GB"/>
          <w14:ligatures w14:val="none"/>
        </w:rPr>
        <w:t xml:space="preserve">: </w:t>
      </w:r>
      <w:r>
        <w:rPr>
          <w:rFonts w:ascii="Calibri" w:eastAsia="Times New Roman" w:hAnsi="Calibri" w:cs="Calibri"/>
          <w:color w:val="000000"/>
          <w:kern w:val="0"/>
          <w:sz w:val="22"/>
          <w:szCs w:val="22"/>
          <w:u w:val="single"/>
          <w:lang w:eastAsia="en-GB"/>
          <w14:ligatures w14:val="none"/>
        </w:rPr>
        <w:t>Interventions</w:t>
      </w:r>
    </w:p>
    <w:p w14:paraId="5443949E" w14:textId="47DF74A9" w:rsidR="00BB7A8D" w:rsidRPr="00BB7A8D" w:rsidRDefault="00135DED" w:rsidP="003C2A65">
      <w:pPr>
        <w:spacing w:before="100" w:beforeAutospacing="1" w:after="100" w:afterAutospacing="1" w:line="480" w:lineRule="auto"/>
        <w:jc w:val="both"/>
        <w:rPr>
          <w:rFonts w:ascii="Calibri" w:eastAsia="Times New Roman" w:hAnsi="Calibri" w:cs="Calibri"/>
          <w:color w:val="000000"/>
          <w:kern w:val="0"/>
          <w:sz w:val="22"/>
          <w:szCs w:val="22"/>
          <w:lang w:eastAsia="en-GB"/>
          <w14:ligatures w14:val="none"/>
        </w:rPr>
      </w:pPr>
      <w:r w:rsidRPr="00135DED">
        <w:rPr>
          <w:rFonts w:ascii="Calibri" w:eastAsia="Times New Roman" w:hAnsi="Calibri" w:cs="Calibri"/>
          <w:color w:val="000000"/>
          <w:kern w:val="0"/>
          <w:sz w:val="22"/>
          <w:szCs w:val="22"/>
          <w:lang w:eastAsia="en-GB"/>
          <w14:ligatures w14:val="none"/>
        </w:rPr>
        <w:lastRenderedPageBreak/>
        <w:t>In the United Kingdom, interventions for child poverty function suggesting a more comprehensive policy response to long-standing socioeconomic disadvantage. Targeted school-based programs including breakfast and lunch programs, holiday meal distribution, additional academic help, and after-school extracurricular meet pressing needs. Food banks, cost-of-living subsidies, and family support programs are examples of positive family and community resources that offer temporary assistance for necessities, stabilising homes under severe financial strain. Addressing the systemic causes of poverty through cost-cutting and income maximisation is given more weight in UK government child poverty programs.</w:t>
      </w:r>
      <w:r w:rsidR="005D3F60">
        <w:rPr>
          <w:rFonts w:ascii="Calibri" w:eastAsia="Times New Roman" w:hAnsi="Calibri" w:cs="Calibri"/>
          <w:color w:val="000000"/>
          <w:kern w:val="0"/>
          <w:sz w:val="22"/>
          <w:szCs w:val="22"/>
          <w:lang w:eastAsia="en-GB"/>
          <w14:ligatures w14:val="none"/>
        </w:rPr>
        <w:t xml:space="preserve"> </w:t>
      </w:r>
      <w:r w:rsidR="005D3F60" w:rsidRPr="005D3F60">
        <w:rPr>
          <w:rFonts w:ascii="Calibri" w:eastAsia="Times New Roman" w:hAnsi="Calibri" w:cs="Calibri"/>
          <w:color w:val="000000"/>
          <w:kern w:val="0"/>
          <w:sz w:val="22"/>
          <w:szCs w:val="22"/>
          <w:lang w:eastAsia="en-GB"/>
          <w14:ligatures w14:val="none"/>
        </w:rPr>
        <w:t>The goal of policies like Child Benefit, tax credits, minimum wage rises, accommodation and the introduction of free school lunches to children in Universal Credit households is to improve family incomes while reducing inevitable living expenses. Developing economic resilience by tackling debt in addition to bolstering early childhood services and food assistance is another priority of recent United Kingdom initiatives Our Children, Our Future. These measures, which are supported by intergovernmental cooperation, delegated policy coordination, and thorough examination of poverty results, aim to interrupt the intergenerational transmission of deprivation by reducing the relationship between familial circumstances and future life opportunities.</w:t>
      </w:r>
    </w:p>
    <w:p w14:paraId="3DB4B666" w14:textId="5BDDD96D" w:rsidR="004B5EE4" w:rsidRDefault="004B5EE4" w:rsidP="003C2A65">
      <w:pPr>
        <w:spacing w:before="100" w:beforeAutospacing="1" w:after="100" w:afterAutospacing="1" w:line="480" w:lineRule="auto"/>
        <w:jc w:val="both"/>
        <w:rPr>
          <w:rFonts w:ascii="Calibri" w:eastAsia="Times New Roman" w:hAnsi="Calibri" w:cs="Calibri"/>
          <w:color w:val="000000"/>
          <w:kern w:val="0"/>
          <w:sz w:val="22"/>
          <w:szCs w:val="22"/>
          <w:highlight w:val="green"/>
          <w:lang w:eastAsia="en-GB"/>
          <w14:ligatures w14:val="none"/>
        </w:rPr>
      </w:pPr>
      <w:r w:rsidRPr="004B5EE4">
        <w:rPr>
          <w:rFonts w:ascii="Calibri" w:eastAsia="Times New Roman" w:hAnsi="Calibri" w:cs="Calibri"/>
          <w:color w:val="000000"/>
          <w:kern w:val="0"/>
          <w:sz w:val="22"/>
          <w:szCs w:val="22"/>
          <w:lang w:eastAsia="en-GB"/>
          <w14:ligatures w14:val="none"/>
        </w:rPr>
        <w:t xml:space="preserve">The impact and efficacy of policy initiatives are limited by a variety of overlapping economic, institutional, and social hurdles that hinder efforts to eliminate child poverty in the United Kingdom. Due to expensive housing, daycare, and food costs experienced by low-income households are fundamentally persistent, with many parents being unable to satisfy </w:t>
      </w:r>
      <w:proofErr w:type="gramStart"/>
      <w:r w:rsidRPr="004B5EE4">
        <w:rPr>
          <w:rFonts w:ascii="Calibri" w:eastAsia="Times New Roman" w:hAnsi="Calibri" w:cs="Calibri"/>
          <w:color w:val="000000"/>
          <w:kern w:val="0"/>
          <w:sz w:val="22"/>
          <w:szCs w:val="22"/>
          <w:lang w:eastAsia="en-GB"/>
          <w14:ligatures w14:val="none"/>
        </w:rPr>
        <w:t>basic necessities</w:t>
      </w:r>
      <w:proofErr w:type="gramEnd"/>
      <w:r w:rsidRPr="004B5EE4">
        <w:rPr>
          <w:rFonts w:ascii="Calibri" w:eastAsia="Times New Roman" w:hAnsi="Calibri" w:cs="Calibri"/>
          <w:color w:val="000000"/>
          <w:kern w:val="0"/>
          <w:sz w:val="22"/>
          <w:szCs w:val="22"/>
          <w:lang w:eastAsia="en-GB"/>
          <w14:ligatures w14:val="none"/>
        </w:rPr>
        <w:t xml:space="preserve"> while working.   Reducing inequality is further hampered by insufficient welfare, since benefit levels fall short of living expenses, restrictive laws like the two-child limit, and irregular child maintenance payments result in large income disparities.</w:t>
      </w:r>
      <w:r w:rsidR="00373A84">
        <w:rPr>
          <w:rFonts w:ascii="Calibri" w:eastAsia="Times New Roman" w:hAnsi="Calibri" w:cs="Calibri"/>
          <w:color w:val="000000"/>
          <w:kern w:val="0"/>
          <w:sz w:val="22"/>
          <w:szCs w:val="22"/>
          <w:lang w:eastAsia="en-GB"/>
          <w14:ligatures w14:val="none"/>
        </w:rPr>
        <w:t xml:space="preserve"> </w:t>
      </w:r>
      <w:r w:rsidR="00373A84" w:rsidRPr="00373A84">
        <w:rPr>
          <w:rFonts w:ascii="Calibri" w:eastAsia="Times New Roman" w:hAnsi="Calibri" w:cs="Calibri"/>
          <w:color w:val="000000"/>
          <w:kern w:val="0"/>
          <w:sz w:val="22"/>
          <w:szCs w:val="22"/>
          <w:lang w:eastAsia="en-GB"/>
          <w14:ligatures w14:val="none"/>
        </w:rPr>
        <w:t xml:space="preserve">Digital exclusion exacerbates these issues by limiting access to jobs, education, and other necessities. Timely, nonjudgmental assistance is further hampered by broader socioeconomic concerns, such as the </w:t>
      </w:r>
      <w:proofErr w:type="gramStart"/>
      <w:r w:rsidR="00373A84" w:rsidRPr="00373A84">
        <w:rPr>
          <w:rFonts w:ascii="Calibri" w:eastAsia="Times New Roman" w:hAnsi="Calibri" w:cs="Calibri"/>
          <w:color w:val="000000"/>
          <w:kern w:val="0"/>
          <w:sz w:val="22"/>
          <w:szCs w:val="22"/>
          <w:lang w:eastAsia="en-GB"/>
          <w14:ligatures w14:val="none"/>
        </w:rPr>
        <w:t>cost of living</w:t>
      </w:r>
      <w:proofErr w:type="gramEnd"/>
      <w:r w:rsidR="00373A84" w:rsidRPr="00373A84">
        <w:rPr>
          <w:rFonts w:ascii="Calibri" w:eastAsia="Times New Roman" w:hAnsi="Calibri" w:cs="Calibri"/>
          <w:color w:val="000000"/>
          <w:kern w:val="0"/>
          <w:sz w:val="22"/>
          <w:szCs w:val="22"/>
          <w:lang w:eastAsia="en-GB"/>
          <w14:ligatures w14:val="none"/>
        </w:rPr>
        <w:t xml:space="preserve"> crises, short-term funding cycles, labour shortages, and the deeply ingrained stigma associated with poverty. Importantly, these obstacles reflect broader </w:t>
      </w:r>
      <w:r w:rsidR="00373A84" w:rsidRPr="00373A84">
        <w:rPr>
          <w:rFonts w:ascii="Calibri" w:eastAsia="Times New Roman" w:hAnsi="Calibri" w:cs="Calibri"/>
          <w:color w:val="000000"/>
          <w:kern w:val="0"/>
          <w:sz w:val="22"/>
          <w:szCs w:val="22"/>
          <w:lang w:eastAsia="en-GB"/>
          <w14:ligatures w14:val="none"/>
        </w:rPr>
        <w:lastRenderedPageBreak/>
        <w:t xml:space="preserve">systemic disparities and disproportionately impact Black and Asian families, separated homes, and families with disabilities. When taken as a whole, these problems with implementation show how challenging it is to reduce child poverty over a prolonged </w:t>
      </w:r>
      <w:proofErr w:type="gramStart"/>
      <w:r w:rsidR="00373A84" w:rsidRPr="00373A84">
        <w:rPr>
          <w:rFonts w:ascii="Calibri" w:eastAsia="Times New Roman" w:hAnsi="Calibri" w:cs="Calibri"/>
          <w:color w:val="000000"/>
          <w:kern w:val="0"/>
          <w:sz w:val="22"/>
          <w:szCs w:val="22"/>
          <w:lang w:eastAsia="en-GB"/>
          <w14:ligatures w14:val="none"/>
        </w:rPr>
        <w:t>period of time</w:t>
      </w:r>
      <w:proofErr w:type="gramEnd"/>
      <w:r w:rsidR="00373A84" w:rsidRPr="00373A84">
        <w:rPr>
          <w:rFonts w:ascii="Calibri" w:eastAsia="Times New Roman" w:hAnsi="Calibri" w:cs="Calibri"/>
          <w:color w:val="000000"/>
          <w:kern w:val="0"/>
          <w:sz w:val="22"/>
          <w:szCs w:val="22"/>
          <w:lang w:eastAsia="en-GB"/>
          <w14:ligatures w14:val="none"/>
        </w:rPr>
        <w:t>, especially when it comes to striking a balance between the requirement to enhance early childhood development and long-term family wellness and policies that encourage parental employment.</w:t>
      </w:r>
    </w:p>
    <w:p w14:paraId="551E1D81" w14:textId="176E3849" w:rsidR="00106192" w:rsidRDefault="00106192" w:rsidP="003C2A65">
      <w:pPr>
        <w:spacing w:before="100" w:beforeAutospacing="1" w:after="100" w:afterAutospacing="1" w:line="480" w:lineRule="auto"/>
        <w:outlineLvl w:val="1"/>
        <w:rPr>
          <w:rFonts w:ascii="Calibri" w:eastAsia="Times New Roman" w:hAnsi="Calibri" w:cs="Calibri"/>
          <w:color w:val="000000"/>
          <w:kern w:val="0"/>
          <w:sz w:val="22"/>
          <w:szCs w:val="22"/>
          <w:u w:val="single"/>
          <w:lang w:eastAsia="en-GB"/>
          <w14:ligatures w14:val="none"/>
        </w:rPr>
      </w:pPr>
      <w:r w:rsidRPr="00106192">
        <w:rPr>
          <w:rFonts w:ascii="Calibri" w:eastAsia="Times New Roman" w:hAnsi="Calibri" w:cs="Calibri"/>
          <w:color w:val="000000"/>
          <w:kern w:val="0"/>
          <w:sz w:val="22"/>
          <w:szCs w:val="22"/>
          <w:u w:val="single"/>
          <w:lang w:eastAsia="en-GB"/>
          <w14:ligatures w14:val="none"/>
        </w:rPr>
        <w:t xml:space="preserve">Slide Nine: Benefits </w:t>
      </w:r>
    </w:p>
    <w:p w14:paraId="057CAFED" w14:textId="1F854472" w:rsidR="0067704D" w:rsidRDefault="00D3491F" w:rsidP="00152E97">
      <w:pPr>
        <w:spacing w:before="100" w:beforeAutospacing="1" w:after="100" w:afterAutospacing="1" w:line="480" w:lineRule="auto"/>
        <w:jc w:val="both"/>
        <w:outlineLvl w:val="1"/>
        <w:rPr>
          <w:rFonts w:ascii="Calibri" w:eastAsia="Times New Roman" w:hAnsi="Calibri" w:cs="Calibri"/>
          <w:color w:val="000000"/>
          <w:kern w:val="0"/>
          <w:sz w:val="22"/>
          <w:szCs w:val="22"/>
          <w:lang w:eastAsia="en-GB"/>
          <w14:ligatures w14:val="none"/>
        </w:rPr>
      </w:pPr>
      <w:r w:rsidRPr="00D3491F">
        <w:rPr>
          <w:rFonts w:ascii="Calibri" w:eastAsia="Times New Roman" w:hAnsi="Calibri" w:cs="Calibri"/>
          <w:color w:val="000000"/>
          <w:kern w:val="0"/>
          <w:sz w:val="22"/>
          <w:szCs w:val="22"/>
          <w:lang w:eastAsia="en-GB"/>
          <w14:ligatures w14:val="none"/>
        </w:rPr>
        <w:t xml:space="preserve">Reducing child poverty is both an ethical responsibility and an intelligent long-term investment because it yields significant social, </w:t>
      </w:r>
      <w:r w:rsidR="005307B9" w:rsidRPr="00D3491F">
        <w:rPr>
          <w:rFonts w:ascii="Calibri" w:eastAsia="Times New Roman" w:hAnsi="Calibri" w:cs="Calibri"/>
          <w:color w:val="000000"/>
          <w:kern w:val="0"/>
          <w:sz w:val="22"/>
          <w:szCs w:val="22"/>
          <w:lang w:eastAsia="en-GB"/>
          <w14:ligatures w14:val="none"/>
        </w:rPr>
        <w:t>economic</w:t>
      </w:r>
      <w:r w:rsidRPr="00D3491F">
        <w:rPr>
          <w:rFonts w:ascii="Calibri" w:eastAsia="Times New Roman" w:hAnsi="Calibri" w:cs="Calibri"/>
          <w:color w:val="000000"/>
          <w:kern w:val="0"/>
          <w:sz w:val="22"/>
          <w:szCs w:val="22"/>
          <w:lang w:eastAsia="en-GB"/>
          <w14:ligatures w14:val="none"/>
        </w:rPr>
        <w:t xml:space="preserve">, and personal benefits. At every level, lowering childhood poverty is linked to better mental health and fewer illnesses brought on by stress, as well as lower odds of chronic disorders. By improving access to learning resources, raising participation and focus </w:t>
      </w:r>
      <w:proofErr w:type="gramStart"/>
      <w:r w:rsidRPr="00D3491F">
        <w:rPr>
          <w:rFonts w:ascii="Calibri" w:eastAsia="Times New Roman" w:hAnsi="Calibri" w:cs="Calibri"/>
          <w:color w:val="000000"/>
          <w:kern w:val="0"/>
          <w:sz w:val="22"/>
          <w:szCs w:val="22"/>
          <w:lang w:eastAsia="en-GB"/>
          <w14:ligatures w14:val="none"/>
        </w:rPr>
        <w:t>in</w:t>
      </w:r>
      <w:proofErr w:type="gramEnd"/>
      <w:r w:rsidRPr="00D3491F">
        <w:rPr>
          <w:rFonts w:ascii="Calibri" w:eastAsia="Times New Roman" w:hAnsi="Calibri" w:cs="Calibri"/>
          <w:color w:val="000000"/>
          <w:kern w:val="0"/>
          <w:sz w:val="22"/>
          <w:szCs w:val="22"/>
          <w:lang w:eastAsia="en-GB"/>
          <w14:ligatures w14:val="none"/>
        </w:rPr>
        <w:t xml:space="preserve"> class, and bolstering prospective academic and professional opportunities, also promotes educational success. These individual advantages have broader societal repercussions because addressing the underlying causes of child poverty makes communities safer by lowering crime, encouraging social inclusion, and reducing long-standing disparities.</w:t>
      </w:r>
      <w:r w:rsidR="009234BC" w:rsidRPr="009234BC">
        <w:t xml:space="preserve"> </w:t>
      </w:r>
      <w:r w:rsidR="009234BC" w:rsidRPr="009234BC">
        <w:rPr>
          <w:rFonts w:ascii="Calibri" w:eastAsia="Times New Roman" w:hAnsi="Calibri" w:cs="Calibri"/>
          <w:color w:val="000000"/>
          <w:kern w:val="0"/>
          <w:sz w:val="22"/>
          <w:szCs w:val="22"/>
          <w:lang w:eastAsia="en-GB"/>
          <w14:ligatures w14:val="none"/>
        </w:rPr>
        <w:t>According to an economic standpoint, investing in young children reduces long-term strain on government programs like medical care, social assistance, and criminal justice services whilst also boosting future workforce efficiency by producing happier, more educated, and more adaptable adults. Importantly, intergenerational cycles of disadvantaged can be broken by successful child poverty reduction, allowing for advancement in society and more equal opportunities throughout life. However, considering the significant impact of poverty on sole-parent homes, ethnic minority families, and those facing long-term financial instability, attaining these results necessitates persistent, integrated effort throughout all aspects of education, health, and economic development.   In the end, addressing child poverty is an investment in national success.</w:t>
      </w:r>
    </w:p>
    <w:p w14:paraId="7BB2A287" w14:textId="77777777" w:rsidR="00152E97" w:rsidRPr="00152E97" w:rsidRDefault="00152E97" w:rsidP="00152E97">
      <w:pPr>
        <w:spacing w:before="100" w:beforeAutospacing="1" w:after="100" w:afterAutospacing="1" w:line="480" w:lineRule="auto"/>
        <w:jc w:val="both"/>
        <w:outlineLvl w:val="1"/>
        <w:rPr>
          <w:rFonts w:ascii="Calibri" w:eastAsia="Times New Roman" w:hAnsi="Calibri" w:cs="Calibri"/>
          <w:color w:val="000000"/>
          <w:kern w:val="0"/>
          <w:sz w:val="22"/>
          <w:szCs w:val="22"/>
          <w:lang w:eastAsia="en-GB"/>
          <w14:ligatures w14:val="none"/>
        </w:rPr>
      </w:pPr>
    </w:p>
    <w:p w14:paraId="12170D80" w14:textId="77777777" w:rsidR="0067704D" w:rsidRDefault="0067704D"/>
    <w:p w14:paraId="55B564B1" w14:textId="7F56AC8A" w:rsidR="00400A27" w:rsidRDefault="00400A27">
      <w:r>
        <w:t>References:</w:t>
      </w:r>
    </w:p>
    <w:p w14:paraId="58DDB696" w14:textId="77777777" w:rsidR="00152E97" w:rsidRDefault="00152E97" w:rsidP="00400A27">
      <w:pPr>
        <w:pStyle w:val="NormalWeb"/>
        <w:spacing w:before="0" w:beforeAutospacing="0" w:after="0" w:afterAutospacing="0" w:line="480" w:lineRule="atLeast"/>
        <w:ind w:left="720" w:hanging="720"/>
        <w:rPr>
          <w:color w:val="000000"/>
        </w:rPr>
      </w:pPr>
      <w:r>
        <w:rPr>
          <w:color w:val="000000"/>
        </w:rPr>
        <w:t>Bessell, Sharon. “Rethinking Child Poverty.”</w:t>
      </w:r>
      <w:r>
        <w:rPr>
          <w:rStyle w:val="apple-converted-space"/>
          <w:rFonts w:eastAsiaTheme="majorEastAsia"/>
          <w:color w:val="000000"/>
        </w:rPr>
        <w:t> </w:t>
      </w:r>
      <w:r>
        <w:rPr>
          <w:i/>
          <w:iCs/>
          <w:color w:val="000000"/>
        </w:rPr>
        <w:t>Journal of Human Development and Capabilities</w:t>
      </w:r>
      <w:r>
        <w:rPr>
          <w:color w:val="000000"/>
        </w:rPr>
        <w:t>, vol. 23, no. 4, 22 Apr. 2021, pp. 1–23, www.tandfonline.com/doi/full/10.1080/19452829.2021.1911969, https://doi.org/10.1080/19452829.2021.1911969. Accessed 2026.</w:t>
      </w:r>
    </w:p>
    <w:p w14:paraId="4CB27541" w14:textId="77777777" w:rsidR="00152E97" w:rsidRDefault="00152E97" w:rsidP="00400A27">
      <w:pPr>
        <w:pStyle w:val="NormalWeb"/>
        <w:spacing w:before="0" w:beforeAutospacing="0" w:after="0" w:afterAutospacing="0" w:line="480" w:lineRule="atLeast"/>
        <w:ind w:left="720" w:hanging="720"/>
        <w:rPr>
          <w:color w:val="000000"/>
        </w:rPr>
      </w:pPr>
      <w:r>
        <w:rPr>
          <w:color w:val="000000"/>
        </w:rPr>
        <w:t>D</w:t>
      </w:r>
      <w:r>
        <w:rPr>
          <w:color w:val="000000"/>
        </w:rPr>
        <w:t xml:space="preserve">e la </w:t>
      </w:r>
      <w:proofErr w:type="spellStart"/>
      <w:r>
        <w:rPr>
          <w:color w:val="000000"/>
        </w:rPr>
        <w:t>Rasilla</w:t>
      </w:r>
      <w:proofErr w:type="spellEnd"/>
      <w:r>
        <w:rPr>
          <w:color w:val="000000"/>
        </w:rPr>
        <w:t>, Pablo, et al. “Closing the Loop: Enhancing Local Monitoring of Child Poverty to Leave No Child Behind.”</w:t>
      </w:r>
      <w:r>
        <w:rPr>
          <w:rStyle w:val="apple-converted-space"/>
          <w:rFonts w:eastAsiaTheme="majorEastAsia"/>
          <w:color w:val="000000"/>
        </w:rPr>
        <w:t> </w:t>
      </w:r>
      <w:r>
        <w:rPr>
          <w:i/>
          <w:iCs/>
          <w:color w:val="000000"/>
        </w:rPr>
        <w:t>Children</w:t>
      </w:r>
      <w:r>
        <w:rPr>
          <w:color w:val="000000"/>
        </w:rPr>
        <w:t xml:space="preserve">, vol. 11, no. 1, 1 Jan. 2024, p. 67, www.mdpi.com/2227-9067/11/1/67, </w:t>
      </w:r>
      <w:hyperlink r:id="rId5" w:history="1">
        <w:r w:rsidRPr="00546EF1">
          <w:rPr>
            <w:rStyle w:val="Hyperlink"/>
          </w:rPr>
          <w:t>https://doi.org/10.3390/children11010067</w:t>
        </w:r>
      </w:hyperlink>
      <w:r>
        <w:rPr>
          <w:color w:val="000000"/>
        </w:rPr>
        <w:t>.</w:t>
      </w:r>
    </w:p>
    <w:p w14:paraId="75491381" w14:textId="77777777" w:rsidR="00152E97" w:rsidRDefault="00152E97" w:rsidP="000306BE">
      <w:pPr>
        <w:pStyle w:val="NormalWeb"/>
        <w:spacing w:before="0" w:beforeAutospacing="0" w:after="0" w:afterAutospacing="0" w:line="480" w:lineRule="atLeast"/>
        <w:ind w:left="720" w:hanging="720"/>
        <w:rPr>
          <w:color w:val="000000"/>
        </w:rPr>
      </w:pPr>
      <w:r>
        <w:rPr>
          <w:color w:val="000000"/>
        </w:rPr>
        <w:t>Hayre, Jatinder, and Allyson M. Pollock. “Children in Poverty: Time for Action to Address Rising Inequalities in the United Kingdom.”</w:t>
      </w:r>
      <w:r>
        <w:rPr>
          <w:rStyle w:val="apple-converted-space"/>
          <w:rFonts w:eastAsiaTheme="majorEastAsia"/>
          <w:color w:val="000000"/>
        </w:rPr>
        <w:t> </w:t>
      </w:r>
      <w:r>
        <w:rPr>
          <w:i/>
          <w:iCs/>
          <w:color w:val="000000"/>
        </w:rPr>
        <w:t>Poverty &amp; Public Policy</w:t>
      </w:r>
      <w:r>
        <w:rPr>
          <w:color w:val="000000"/>
        </w:rPr>
        <w:t>, vol. 14, no. 4, 5 Dec. 2022, https://doi.org/10.1002/pop4.353.</w:t>
      </w:r>
    </w:p>
    <w:p w14:paraId="0F7E345A" w14:textId="77777777" w:rsidR="00152E97" w:rsidRDefault="00152E97" w:rsidP="00624386">
      <w:pPr>
        <w:pStyle w:val="NormalWeb"/>
        <w:spacing w:before="0" w:beforeAutospacing="0" w:after="0" w:afterAutospacing="0" w:line="480" w:lineRule="atLeast"/>
        <w:ind w:left="720" w:hanging="720"/>
        <w:rPr>
          <w:color w:val="000000"/>
        </w:rPr>
      </w:pPr>
      <w:r>
        <w:rPr>
          <w:color w:val="000000"/>
        </w:rPr>
        <w:t>Russell, Helen, et al.</w:t>
      </w:r>
      <w:r>
        <w:rPr>
          <w:rStyle w:val="apple-converted-space"/>
          <w:rFonts w:eastAsiaTheme="majorEastAsia"/>
          <w:color w:val="000000"/>
        </w:rPr>
        <w:t> </w:t>
      </w:r>
      <w:r>
        <w:rPr>
          <w:i/>
          <w:iCs/>
          <w:color w:val="000000"/>
        </w:rPr>
        <w:t>Child Poverty on the Island of Ireland</w:t>
      </w:r>
      <w:r>
        <w:rPr>
          <w:color w:val="000000"/>
        </w:rPr>
        <w:t>. 1 Jan. 2025. Accessed 5 Jan. 2026.</w:t>
      </w:r>
    </w:p>
    <w:p w14:paraId="77AB172A" w14:textId="77777777" w:rsidR="00152E97" w:rsidRDefault="00152E97" w:rsidP="000306BE">
      <w:pPr>
        <w:pStyle w:val="NormalWeb"/>
        <w:spacing w:before="0" w:beforeAutospacing="0" w:after="0" w:afterAutospacing="0" w:line="480" w:lineRule="atLeast"/>
        <w:ind w:left="720" w:hanging="720"/>
        <w:rPr>
          <w:color w:val="000000"/>
        </w:rPr>
      </w:pPr>
      <w:r>
        <w:rPr>
          <w:color w:val="000000"/>
        </w:rPr>
        <w:t>Shanks, Rachel, and Stephen J. McKinney. “Cost and Affordability of School Uniform and Child Poverty.”</w:t>
      </w:r>
      <w:r>
        <w:rPr>
          <w:rStyle w:val="apple-converted-space"/>
          <w:rFonts w:eastAsiaTheme="majorEastAsia"/>
          <w:color w:val="000000"/>
        </w:rPr>
        <w:t> </w:t>
      </w:r>
      <w:r>
        <w:rPr>
          <w:i/>
          <w:iCs/>
          <w:color w:val="000000"/>
        </w:rPr>
        <w:t>Scottish Educational Review</w:t>
      </w:r>
      <w:r>
        <w:rPr>
          <w:color w:val="000000"/>
        </w:rPr>
        <w:t xml:space="preserve">, vol. 54, no. 1, 20 Sept. 2022, pp. 1–23, aura.abdn.ac.uk/bitstream/handle/2164/19234/Shanks_etal_SER_Cost_and_Affordability_VOR.pdf, </w:t>
      </w:r>
      <w:hyperlink r:id="rId6" w:history="1">
        <w:r w:rsidRPr="00546EF1">
          <w:rPr>
            <w:rStyle w:val="Hyperlink"/>
          </w:rPr>
          <w:t>https://doi.org/10.1163/27730840-54010003</w:t>
        </w:r>
      </w:hyperlink>
      <w:r>
        <w:rPr>
          <w:color w:val="000000"/>
        </w:rPr>
        <w:t>.</w:t>
      </w:r>
    </w:p>
    <w:p w14:paraId="79A4A87B" w14:textId="77777777" w:rsidR="00152E97" w:rsidRDefault="00152E97" w:rsidP="00400A27">
      <w:pPr>
        <w:pStyle w:val="NormalWeb"/>
        <w:spacing w:before="0" w:beforeAutospacing="0" w:after="0" w:afterAutospacing="0" w:line="480" w:lineRule="atLeast"/>
        <w:ind w:left="720" w:hanging="720"/>
        <w:rPr>
          <w:color w:val="000000"/>
        </w:rPr>
      </w:pPr>
      <w:r>
        <w:rPr>
          <w:color w:val="000000"/>
        </w:rPr>
        <w:t>Thomas, Margaret M.C., and Jane Waldfogel. “What Kind of “Poverty” Predicts CPS Contact: Income, Material Hardship, and Differences among Racialized Groups.”</w:t>
      </w:r>
      <w:r>
        <w:rPr>
          <w:rStyle w:val="apple-converted-space"/>
          <w:rFonts w:eastAsiaTheme="majorEastAsia"/>
          <w:color w:val="000000"/>
        </w:rPr>
        <w:t> </w:t>
      </w:r>
      <w:r>
        <w:rPr>
          <w:i/>
          <w:iCs/>
          <w:color w:val="000000"/>
        </w:rPr>
        <w:t>Children and Youth Services Review</w:t>
      </w:r>
      <w:r>
        <w:rPr>
          <w:color w:val="000000"/>
        </w:rPr>
        <w:t>, vol. 136, May 2022, p. 106400, https://doi.org/10.1016/j.childyouth.2022.106400.</w:t>
      </w:r>
    </w:p>
    <w:p w14:paraId="3CE06B0C" w14:textId="77777777" w:rsidR="00152E97" w:rsidRDefault="00152E97" w:rsidP="00152E97">
      <w:pPr>
        <w:pStyle w:val="NormalWeb"/>
        <w:spacing w:before="0" w:beforeAutospacing="0" w:after="0" w:afterAutospacing="0" w:line="480" w:lineRule="atLeast"/>
        <w:ind w:left="720" w:hanging="720"/>
        <w:rPr>
          <w:color w:val="000000"/>
        </w:rPr>
      </w:pPr>
      <w:r>
        <w:rPr>
          <w:color w:val="000000"/>
        </w:rPr>
        <w:t xml:space="preserve">United Kingdom Government </w:t>
      </w:r>
      <w:r>
        <w:rPr>
          <w:color w:val="000000"/>
        </w:rPr>
        <w:t>for, Department. “Child Poverty Strategy.”</w:t>
      </w:r>
      <w:r>
        <w:rPr>
          <w:rStyle w:val="apple-converted-space"/>
          <w:rFonts w:eastAsiaTheme="majorEastAsia"/>
          <w:color w:val="000000"/>
        </w:rPr>
        <w:t> </w:t>
      </w:r>
      <w:r>
        <w:rPr>
          <w:i/>
          <w:iCs/>
          <w:color w:val="000000"/>
        </w:rPr>
        <w:t>GOV.UK</w:t>
      </w:r>
      <w:r>
        <w:rPr>
          <w:color w:val="000000"/>
        </w:rPr>
        <w:t>, 5 Dec. 2025, www.gov.uk/government/collections/child-poverty-strategy.</w:t>
      </w:r>
    </w:p>
    <w:p w14:paraId="4286D1EA" w14:textId="77777777" w:rsidR="00152E97" w:rsidRDefault="00152E97" w:rsidP="000306BE">
      <w:pPr>
        <w:pStyle w:val="NormalWeb"/>
        <w:spacing w:before="0" w:beforeAutospacing="0" w:after="0" w:afterAutospacing="0" w:line="480" w:lineRule="atLeast"/>
        <w:ind w:left="720" w:hanging="720"/>
        <w:rPr>
          <w:color w:val="000000"/>
        </w:rPr>
      </w:pPr>
    </w:p>
    <w:p w14:paraId="1D43FD34" w14:textId="77777777" w:rsidR="00400A27" w:rsidRDefault="00400A27" w:rsidP="00400A27">
      <w:pPr>
        <w:pStyle w:val="NormalWeb"/>
        <w:spacing w:before="0" w:beforeAutospacing="0" w:after="0" w:afterAutospacing="0" w:line="480" w:lineRule="atLeast"/>
        <w:ind w:left="720" w:hanging="720"/>
        <w:rPr>
          <w:color w:val="000000"/>
        </w:rPr>
      </w:pPr>
    </w:p>
    <w:p w14:paraId="40448D3C" w14:textId="77777777" w:rsidR="00400A27" w:rsidRDefault="00400A27" w:rsidP="00400A27"/>
    <w:sectPr w:rsidR="00400A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71C87"/>
    <w:multiLevelType w:val="multilevel"/>
    <w:tmpl w:val="41F0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21395"/>
    <w:multiLevelType w:val="multilevel"/>
    <w:tmpl w:val="E9342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81C51"/>
    <w:multiLevelType w:val="multilevel"/>
    <w:tmpl w:val="135A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397AB2"/>
    <w:multiLevelType w:val="multilevel"/>
    <w:tmpl w:val="869C7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4726D0"/>
    <w:multiLevelType w:val="multilevel"/>
    <w:tmpl w:val="7E040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C04A86"/>
    <w:multiLevelType w:val="multilevel"/>
    <w:tmpl w:val="6350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D534BB"/>
    <w:multiLevelType w:val="multilevel"/>
    <w:tmpl w:val="3EF0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15CC5"/>
    <w:multiLevelType w:val="multilevel"/>
    <w:tmpl w:val="69C4F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450853"/>
    <w:multiLevelType w:val="multilevel"/>
    <w:tmpl w:val="25C8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B5140A"/>
    <w:multiLevelType w:val="multilevel"/>
    <w:tmpl w:val="F7B4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1E34FC"/>
    <w:multiLevelType w:val="multilevel"/>
    <w:tmpl w:val="B3D69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77046A"/>
    <w:multiLevelType w:val="multilevel"/>
    <w:tmpl w:val="2A627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2B081D"/>
    <w:multiLevelType w:val="multilevel"/>
    <w:tmpl w:val="C330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5947AA"/>
    <w:multiLevelType w:val="multilevel"/>
    <w:tmpl w:val="2AA6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4C42C3"/>
    <w:multiLevelType w:val="multilevel"/>
    <w:tmpl w:val="0070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7815E3"/>
    <w:multiLevelType w:val="multilevel"/>
    <w:tmpl w:val="9012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BF3E33"/>
    <w:multiLevelType w:val="multilevel"/>
    <w:tmpl w:val="D0A85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C13A2D"/>
    <w:multiLevelType w:val="multilevel"/>
    <w:tmpl w:val="3358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DC2C9E"/>
    <w:multiLevelType w:val="hybridMultilevel"/>
    <w:tmpl w:val="CAA25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CB7A4E"/>
    <w:multiLevelType w:val="multilevel"/>
    <w:tmpl w:val="8F66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2056D9"/>
    <w:multiLevelType w:val="multilevel"/>
    <w:tmpl w:val="F488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1724696">
    <w:abstractNumId w:val="7"/>
  </w:num>
  <w:num w:numId="2" w16cid:durableId="895315874">
    <w:abstractNumId w:val="10"/>
  </w:num>
  <w:num w:numId="3" w16cid:durableId="218513024">
    <w:abstractNumId w:val="8"/>
  </w:num>
  <w:num w:numId="4" w16cid:durableId="43070197">
    <w:abstractNumId w:val="1"/>
  </w:num>
  <w:num w:numId="5" w16cid:durableId="1286547867">
    <w:abstractNumId w:val="5"/>
  </w:num>
  <w:num w:numId="6" w16cid:durableId="1220282101">
    <w:abstractNumId w:val="13"/>
  </w:num>
  <w:num w:numId="7" w16cid:durableId="2137216541">
    <w:abstractNumId w:val="11"/>
  </w:num>
  <w:num w:numId="8" w16cid:durableId="777413807">
    <w:abstractNumId w:val="12"/>
  </w:num>
  <w:num w:numId="9" w16cid:durableId="1081950292">
    <w:abstractNumId w:val="14"/>
  </w:num>
  <w:num w:numId="10" w16cid:durableId="1017121004">
    <w:abstractNumId w:val="20"/>
  </w:num>
  <w:num w:numId="11" w16cid:durableId="393701975">
    <w:abstractNumId w:val="9"/>
  </w:num>
  <w:num w:numId="12" w16cid:durableId="662199906">
    <w:abstractNumId w:val="2"/>
  </w:num>
  <w:num w:numId="13" w16cid:durableId="2050296805">
    <w:abstractNumId w:val="19"/>
  </w:num>
  <w:num w:numId="14" w16cid:durableId="2104304337">
    <w:abstractNumId w:val="17"/>
  </w:num>
  <w:num w:numId="15" w16cid:durableId="982466317">
    <w:abstractNumId w:val="6"/>
  </w:num>
  <w:num w:numId="16" w16cid:durableId="474952590">
    <w:abstractNumId w:val="15"/>
  </w:num>
  <w:num w:numId="17" w16cid:durableId="1806964251">
    <w:abstractNumId w:val="4"/>
  </w:num>
  <w:num w:numId="18" w16cid:durableId="1611087277">
    <w:abstractNumId w:val="3"/>
  </w:num>
  <w:num w:numId="19" w16cid:durableId="1873111288">
    <w:abstractNumId w:val="0"/>
  </w:num>
  <w:num w:numId="20" w16cid:durableId="888490349">
    <w:abstractNumId w:val="16"/>
  </w:num>
  <w:num w:numId="21" w16cid:durableId="14649299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C4"/>
    <w:rsid w:val="000306BE"/>
    <w:rsid w:val="000B1124"/>
    <w:rsid w:val="0010020D"/>
    <w:rsid w:val="00106192"/>
    <w:rsid w:val="00135DED"/>
    <w:rsid w:val="00152E97"/>
    <w:rsid w:val="001A7FD5"/>
    <w:rsid w:val="001E3676"/>
    <w:rsid w:val="00200935"/>
    <w:rsid w:val="00240814"/>
    <w:rsid w:val="0026095B"/>
    <w:rsid w:val="00265ED0"/>
    <w:rsid w:val="002D58EB"/>
    <w:rsid w:val="002F421F"/>
    <w:rsid w:val="00310B5A"/>
    <w:rsid w:val="00373A84"/>
    <w:rsid w:val="003C2A65"/>
    <w:rsid w:val="003F60C4"/>
    <w:rsid w:val="00400A27"/>
    <w:rsid w:val="00412F86"/>
    <w:rsid w:val="004275D8"/>
    <w:rsid w:val="00444F49"/>
    <w:rsid w:val="004A2B50"/>
    <w:rsid w:val="004B5EE4"/>
    <w:rsid w:val="005020C6"/>
    <w:rsid w:val="005307B9"/>
    <w:rsid w:val="00565633"/>
    <w:rsid w:val="005B5A8B"/>
    <w:rsid w:val="005D3F60"/>
    <w:rsid w:val="00605114"/>
    <w:rsid w:val="00624386"/>
    <w:rsid w:val="00672C07"/>
    <w:rsid w:val="0067583E"/>
    <w:rsid w:val="0067704D"/>
    <w:rsid w:val="00677529"/>
    <w:rsid w:val="00683C23"/>
    <w:rsid w:val="006C6E07"/>
    <w:rsid w:val="006D3929"/>
    <w:rsid w:val="006E2812"/>
    <w:rsid w:val="006F57DD"/>
    <w:rsid w:val="00715BC4"/>
    <w:rsid w:val="007A3158"/>
    <w:rsid w:val="007F1042"/>
    <w:rsid w:val="007F1848"/>
    <w:rsid w:val="00860C54"/>
    <w:rsid w:val="009214D5"/>
    <w:rsid w:val="009234BC"/>
    <w:rsid w:val="0092476E"/>
    <w:rsid w:val="0094736F"/>
    <w:rsid w:val="00970FAD"/>
    <w:rsid w:val="009B0697"/>
    <w:rsid w:val="009B150B"/>
    <w:rsid w:val="009B787F"/>
    <w:rsid w:val="009D1E4A"/>
    <w:rsid w:val="009E1AF2"/>
    <w:rsid w:val="009E4700"/>
    <w:rsid w:val="00A509D0"/>
    <w:rsid w:val="00A6399D"/>
    <w:rsid w:val="00A9666F"/>
    <w:rsid w:val="00AA1E0D"/>
    <w:rsid w:val="00B14898"/>
    <w:rsid w:val="00BB7A8D"/>
    <w:rsid w:val="00BC48CB"/>
    <w:rsid w:val="00C112AE"/>
    <w:rsid w:val="00CA27B4"/>
    <w:rsid w:val="00CB73BC"/>
    <w:rsid w:val="00D3491F"/>
    <w:rsid w:val="00D87BED"/>
    <w:rsid w:val="00D95942"/>
    <w:rsid w:val="00E07856"/>
    <w:rsid w:val="00E412E1"/>
    <w:rsid w:val="00E5351A"/>
    <w:rsid w:val="00E609A6"/>
    <w:rsid w:val="00E767A1"/>
    <w:rsid w:val="00E82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864B62"/>
  <w15:chartTrackingRefBased/>
  <w15:docId w15:val="{6B62D19B-5EBC-BF46-ADAE-C98E1A608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B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5B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B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B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B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BC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BC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BC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BC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5B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B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B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B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B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B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B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BC4"/>
    <w:rPr>
      <w:rFonts w:eastAsiaTheme="majorEastAsia" w:cstheme="majorBidi"/>
      <w:color w:val="272727" w:themeColor="text1" w:themeTint="D8"/>
    </w:rPr>
  </w:style>
  <w:style w:type="paragraph" w:styleId="Title">
    <w:name w:val="Title"/>
    <w:basedOn w:val="Normal"/>
    <w:next w:val="Normal"/>
    <w:link w:val="TitleChar"/>
    <w:uiPriority w:val="10"/>
    <w:qFormat/>
    <w:rsid w:val="00715BC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B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BC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B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B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15BC4"/>
    <w:rPr>
      <w:i/>
      <w:iCs/>
      <w:color w:val="404040" w:themeColor="text1" w:themeTint="BF"/>
    </w:rPr>
  </w:style>
  <w:style w:type="paragraph" w:styleId="ListParagraph">
    <w:name w:val="List Paragraph"/>
    <w:basedOn w:val="Normal"/>
    <w:uiPriority w:val="34"/>
    <w:qFormat/>
    <w:rsid w:val="00715BC4"/>
    <w:pPr>
      <w:ind w:left="720"/>
      <w:contextualSpacing/>
    </w:pPr>
  </w:style>
  <w:style w:type="character" w:styleId="IntenseEmphasis">
    <w:name w:val="Intense Emphasis"/>
    <w:basedOn w:val="DefaultParagraphFont"/>
    <w:uiPriority w:val="21"/>
    <w:qFormat/>
    <w:rsid w:val="00715BC4"/>
    <w:rPr>
      <w:i/>
      <w:iCs/>
      <w:color w:val="0F4761" w:themeColor="accent1" w:themeShade="BF"/>
    </w:rPr>
  </w:style>
  <w:style w:type="paragraph" w:styleId="IntenseQuote">
    <w:name w:val="Intense Quote"/>
    <w:basedOn w:val="Normal"/>
    <w:next w:val="Normal"/>
    <w:link w:val="IntenseQuoteChar"/>
    <w:uiPriority w:val="30"/>
    <w:qFormat/>
    <w:rsid w:val="00715B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BC4"/>
    <w:rPr>
      <w:i/>
      <w:iCs/>
      <w:color w:val="0F4761" w:themeColor="accent1" w:themeShade="BF"/>
    </w:rPr>
  </w:style>
  <w:style w:type="character" w:styleId="IntenseReference">
    <w:name w:val="Intense Reference"/>
    <w:basedOn w:val="DefaultParagraphFont"/>
    <w:uiPriority w:val="32"/>
    <w:qFormat/>
    <w:rsid w:val="00715BC4"/>
    <w:rPr>
      <w:b/>
      <w:bCs/>
      <w:smallCaps/>
      <w:color w:val="0F4761" w:themeColor="accent1" w:themeShade="BF"/>
      <w:spacing w:val="5"/>
    </w:rPr>
  </w:style>
  <w:style w:type="character" w:styleId="Strong">
    <w:name w:val="Strong"/>
    <w:basedOn w:val="DefaultParagraphFont"/>
    <w:uiPriority w:val="22"/>
    <w:qFormat/>
    <w:rsid w:val="002D58EB"/>
    <w:rPr>
      <w:b/>
      <w:bCs/>
    </w:rPr>
  </w:style>
  <w:style w:type="paragraph" w:styleId="NormalWeb">
    <w:name w:val="Normal (Web)"/>
    <w:basedOn w:val="Normal"/>
    <w:uiPriority w:val="99"/>
    <w:unhideWhenUsed/>
    <w:rsid w:val="002D58E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D58EB"/>
    <w:rPr>
      <w:i/>
      <w:iCs/>
    </w:rPr>
  </w:style>
  <w:style w:type="character" w:customStyle="1" w:styleId="apple-converted-space">
    <w:name w:val="apple-converted-space"/>
    <w:basedOn w:val="DefaultParagraphFont"/>
    <w:rsid w:val="00400A27"/>
  </w:style>
  <w:style w:type="character" w:styleId="Hyperlink">
    <w:name w:val="Hyperlink"/>
    <w:basedOn w:val="DefaultParagraphFont"/>
    <w:uiPriority w:val="99"/>
    <w:unhideWhenUsed/>
    <w:rsid w:val="00400A27"/>
    <w:rPr>
      <w:color w:val="467886" w:themeColor="hyperlink"/>
      <w:u w:val="single"/>
    </w:rPr>
  </w:style>
  <w:style w:type="character" w:styleId="UnresolvedMention">
    <w:name w:val="Unresolved Mention"/>
    <w:basedOn w:val="DefaultParagraphFont"/>
    <w:uiPriority w:val="99"/>
    <w:semiHidden/>
    <w:unhideWhenUsed/>
    <w:rsid w:val="00400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63/27730840-54010003" TargetMode="External"/><Relationship Id="rId5" Type="http://schemas.openxmlformats.org/officeDocument/2006/relationships/hyperlink" Target="https://doi.org/10.3390/children1101006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8</Pages>
  <Words>2619</Words>
  <Characters>14930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Sutton</dc:creator>
  <cp:keywords/>
  <dc:description/>
  <cp:lastModifiedBy>Anwen Sutton</cp:lastModifiedBy>
  <cp:revision>70</cp:revision>
  <dcterms:created xsi:type="dcterms:W3CDTF">2026-01-13T19:58:00Z</dcterms:created>
  <dcterms:modified xsi:type="dcterms:W3CDTF">2026-01-17T23:37:00Z</dcterms:modified>
</cp:coreProperties>
</file>