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7531A" w14:textId="5A11F129" w:rsidR="006B6C86" w:rsidRDefault="006B6C86" w:rsidP="006B6C86">
      <w:pPr>
        <w:spacing w:after="0" w:line="240" w:lineRule="auto"/>
        <w:rPr>
          <w:rFonts w:ascii="Arial" w:hAnsi="Arial" w:cs="Arial"/>
          <w:color w:val="000000" w:themeColor="text1"/>
        </w:rPr>
      </w:pPr>
      <w:r>
        <w:rPr>
          <w:rFonts w:ascii="Arial" w:hAnsi="Arial" w:cs="Arial"/>
          <w:color w:val="000000" w:themeColor="text1"/>
        </w:rPr>
        <w:t>Module title: Independent Project (LCBB6014)</w:t>
      </w:r>
    </w:p>
    <w:p w14:paraId="0AB206DC" w14:textId="1AD5E185" w:rsidR="006B6C86" w:rsidRPr="006B6C86" w:rsidRDefault="006B6C86" w:rsidP="006B6C86">
      <w:pPr>
        <w:spacing w:after="0" w:line="240" w:lineRule="auto"/>
        <w:rPr>
          <w:rFonts w:ascii="Arial" w:hAnsi="Arial" w:cs="Arial"/>
          <w:color w:val="000000" w:themeColor="text1"/>
        </w:rPr>
      </w:pPr>
      <w:r>
        <w:rPr>
          <w:rFonts w:ascii="Arial" w:hAnsi="Arial" w:cs="Arial"/>
          <w:color w:val="000000" w:themeColor="text1"/>
        </w:rPr>
        <w:t xml:space="preserve">Student name: Vlad Constantin Barsan </w:t>
      </w:r>
    </w:p>
    <w:p w14:paraId="3BC5D99A" w14:textId="2A13E2D6" w:rsidR="00D93020" w:rsidRDefault="00D93020" w:rsidP="007E3126">
      <w:pPr>
        <w:spacing w:after="0" w:line="240" w:lineRule="auto"/>
        <w:rPr>
          <w:rFonts w:ascii="Arial" w:hAnsi="Arial" w:cs="Arial"/>
          <w:color w:val="000000" w:themeColor="text1"/>
        </w:rPr>
      </w:pPr>
    </w:p>
    <w:p w14:paraId="0D983818" w14:textId="77777777" w:rsidR="007E3126" w:rsidRDefault="007E3126" w:rsidP="007E3126">
      <w:pPr>
        <w:spacing w:after="0" w:line="240" w:lineRule="auto"/>
        <w:rPr>
          <w:rFonts w:ascii="Arial" w:hAnsi="Arial" w:cs="Arial"/>
          <w:color w:val="000000" w:themeColor="text1"/>
        </w:rPr>
      </w:pPr>
    </w:p>
    <w:p w14:paraId="2F0A5C05" w14:textId="77777777" w:rsidR="007E3126" w:rsidRPr="007E3126" w:rsidRDefault="007E3126" w:rsidP="007E3126">
      <w:pPr>
        <w:spacing w:after="0" w:line="240" w:lineRule="auto"/>
        <w:rPr>
          <w:rFonts w:ascii="Arial" w:hAnsi="Arial" w:cs="Arial"/>
          <w:color w:val="000000" w:themeColor="text1"/>
        </w:rPr>
      </w:pPr>
    </w:p>
    <w:p w14:paraId="15B72D09" w14:textId="05490482" w:rsidR="00D93020" w:rsidRPr="006B6C86" w:rsidRDefault="00D93020" w:rsidP="00D93020">
      <w:pPr>
        <w:spacing w:after="0" w:line="240" w:lineRule="auto"/>
        <w:jc w:val="center"/>
        <w:rPr>
          <w:rFonts w:ascii="Arial" w:hAnsi="Arial" w:cs="Arial"/>
          <w:b/>
          <w:bCs/>
          <w:color w:val="000000" w:themeColor="text1"/>
        </w:rPr>
      </w:pPr>
      <w:r w:rsidRPr="006B6C86">
        <w:rPr>
          <w:rFonts w:ascii="Arial" w:hAnsi="Arial" w:cs="Arial"/>
          <w:b/>
          <w:bCs/>
          <w:color w:val="000000" w:themeColor="text1"/>
        </w:rPr>
        <w:t xml:space="preserve">Project Proposal Structure </w:t>
      </w:r>
    </w:p>
    <w:p w14:paraId="48B510E3" w14:textId="1FD4D1D3" w:rsidR="00D93020" w:rsidRPr="006B6C86" w:rsidRDefault="00D93020" w:rsidP="000805C8">
      <w:pPr>
        <w:spacing w:after="0" w:line="240" w:lineRule="auto"/>
        <w:rPr>
          <w:rFonts w:ascii="Arial" w:hAnsi="Arial" w:cs="Arial"/>
          <w:b/>
          <w:bCs/>
          <w:color w:val="000000" w:themeColor="text1"/>
        </w:rPr>
      </w:pPr>
    </w:p>
    <w:p w14:paraId="54750154"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Research Title:</w:t>
      </w:r>
    </w:p>
    <w:p w14:paraId="27C0C809"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b/>
          <w:bCs/>
          <w:kern w:val="0"/>
          <w:lang w:eastAsia="en-GB"/>
          <w14:ligatures w14:val="none"/>
        </w:rPr>
        <w:t>Assessing the Impact of BYD’s Market Entry on the UK Automotive Industry: Competitive Dynamics, Consumer Adoption, and Strategic Response</w:t>
      </w:r>
    </w:p>
    <w:p w14:paraId="29C6D6EA" w14:textId="729076D7"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 xml:space="preserve"> Introduction and Background</w:t>
      </w:r>
    </w:p>
    <w:p w14:paraId="4C2F9A16"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The expansion of Chinese electric vehicle (EV) manufacturers into Europe has accelerated significantly in recent years, reshaping competitive dynamics across the automotive sector. Among these firms, </w:t>
      </w:r>
      <w:r w:rsidRPr="006B6C86">
        <w:rPr>
          <w:rFonts w:ascii="Arial" w:eastAsia="Times New Roman" w:hAnsi="Arial" w:cs="Arial"/>
          <w:b/>
          <w:bCs/>
          <w:kern w:val="0"/>
          <w:lang w:eastAsia="en-GB"/>
          <w14:ligatures w14:val="none"/>
        </w:rPr>
        <w:t>BYD (Build Your Dreams)</w:t>
      </w:r>
      <w:r w:rsidRPr="006B6C86">
        <w:rPr>
          <w:rFonts w:ascii="Arial" w:eastAsia="Times New Roman" w:hAnsi="Arial" w:cs="Arial"/>
          <w:kern w:val="0"/>
          <w:lang w:eastAsia="en-GB"/>
          <w14:ligatures w14:val="none"/>
        </w:rPr>
        <w:t xml:space="preserve"> has emerged as one of the most disruptive entrants due to its vertically integrated production model, cost leadership, and advanced battery technologies (de Sousa, 2024). BYD’s entry into the UK automotive industry in 2023–2024 represents a major strategic shift, challenging incumbent manufacturers such as Ford, Volkswagen, and Stellantis, who face pressure to accelerate electrification while maintaining profitability.</w:t>
      </w:r>
    </w:p>
    <w:p w14:paraId="593717FB"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The UK market is characterised by high regulatory standards, strong consumer expectations, and established brand loyalty. However, rising EV adoption, government incentives, and increasing price sensitivity create favourable conditions for BYD’s competitive disruption (Berezina, 2024). As Chinese EVs gain traction across Europe, BYD’s entry is expected to influence consumer behaviour, competitive positioning, and strategic decision</w:t>
      </w:r>
      <w:r w:rsidRPr="006B6C86">
        <w:rPr>
          <w:rFonts w:ascii="Arial" w:eastAsia="Times New Roman" w:hAnsi="Arial" w:cs="Arial"/>
          <w:kern w:val="0"/>
          <w:lang w:eastAsia="en-GB"/>
          <w14:ligatures w14:val="none"/>
        </w:rPr>
        <w:noBreakHyphen/>
        <w:t>making among incumbent firms.</w:t>
      </w:r>
    </w:p>
    <w:p w14:paraId="319FD7CB"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a. Research Aim</w:t>
      </w:r>
    </w:p>
    <w:p w14:paraId="5C2657E4"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To assess the impact of BYD’s market entry on the UK automotive industry, focusing on competitive dynamics, consumer adoption, and strategic responses from incumbent manufacturers.</w:t>
      </w:r>
    </w:p>
    <w:p w14:paraId="4606BB2A"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b. Research Objectives</w:t>
      </w:r>
    </w:p>
    <w:p w14:paraId="0B472555" w14:textId="77777777" w:rsidR="006B6C86" w:rsidRPr="006B6C86" w:rsidRDefault="006B6C86" w:rsidP="006B6C86">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To analyse BYD’s market entry strategy and competitive positioning within the UK automotive sector.</w:t>
      </w:r>
    </w:p>
    <w:p w14:paraId="436FF702" w14:textId="77777777" w:rsidR="006B6C86" w:rsidRPr="006B6C86" w:rsidRDefault="006B6C86" w:rsidP="006B6C86">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To examine how UK consumers perceive and adopt BYD vehicles compared with established brands.</w:t>
      </w:r>
    </w:p>
    <w:p w14:paraId="3963EC5B" w14:textId="77777777" w:rsidR="006B6C86" w:rsidRPr="006B6C86" w:rsidRDefault="006B6C86" w:rsidP="006B6C86">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To evaluate strategic responses implemented by incumbent UK and European automotive manufacturers.</w:t>
      </w:r>
    </w:p>
    <w:p w14:paraId="496F36B9" w14:textId="77777777" w:rsidR="006B6C86" w:rsidRDefault="006B6C86" w:rsidP="006B6C86">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To propose a conceptual framework explaining competitive disruption caused by new EV entrants.</w:t>
      </w:r>
    </w:p>
    <w:p w14:paraId="78A50FA1" w14:textId="77777777" w:rsidR="007E3126" w:rsidRPr="006B6C86" w:rsidRDefault="007E3126" w:rsidP="007E3126">
      <w:pPr>
        <w:spacing w:before="100" w:beforeAutospacing="1" w:after="100" w:afterAutospacing="1" w:line="240" w:lineRule="auto"/>
        <w:ind w:left="720"/>
        <w:rPr>
          <w:rFonts w:ascii="Arial" w:eastAsia="Times New Roman" w:hAnsi="Arial" w:cs="Arial"/>
          <w:kern w:val="0"/>
          <w:lang w:eastAsia="en-GB"/>
          <w14:ligatures w14:val="none"/>
        </w:rPr>
      </w:pPr>
    </w:p>
    <w:p w14:paraId="4A9344FA"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lastRenderedPageBreak/>
        <w:t>c. Research Questions</w:t>
      </w:r>
    </w:p>
    <w:p w14:paraId="0ECA08A2" w14:textId="77777777" w:rsidR="006B6C86" w:rsidRPr="006B6C86" w:rsidRDefault="006B6C86" w:rsidP="006B6C86">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How has BYD’s entry influenced competitive dynamics in the UK automotive industry?</w:t>
      </w:r>
    </w:p>
    <w:p w14:paraId="77B9F236" w14:textId="77777777" w:rsidR="006B6C86" w:rsidRPr="006B6C86" w:rsidRDefault="006B6C86" w:rsidP="006B6C86">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What factors shape consumer adoption of BYD vehicles in the UK?</w:t>
      </w:r>
    </w:p>
    <w:p w14:paraId="338DE6C5" w14:textId="77777777" w:rsidR="006B6C86" w:rsidRPr="006B6C86" w:rsidRDefault="006B6C86" w:rsidP="006B6C86">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How are incumbent manufacturers responding strategically to BYD’s market penetration?</w:t>
      </w:r>
    </w:p>
    <w:p w14:paraId="65DAF5CC" w14:textId="56521B95"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 xml:space="preserve"> Literature Review</w:t>
      </w:r>
    </w:p>
    <w:p w14:paraId="1C1471F9"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Recent literature highlights BYD’s rapid internationalisation and disruptive business model. Gaertner (2025) argues that BYD’s vertically integrated value chain — spanning battery production, semiconductor manufacturing, and EV assembly — enables cost advantages that European manufacturers struggle to match. This aligns with Wang, Chi and Tian (2025), who describe BYD’s overseas expansion as an “ecological symbiosis” model that integrates technological innovation with competitive market behaviour.</w:t>
      </w:r>
    </w:p>
    <w:p w14:paraId="57650F49"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Berezina (2024) emphasises the growing competitiveness of Chinese EVs in Europe, noting that BYD’s pricing strategy and logistics efficiency allow it to penetrate markets with lower consumer switching costs. Angeletti (2025) further identifies managerial challenges for European firms, including supply chain restructuring and accelerated electrification.</w:t>
      </w:r>
    </w:p>
    <w:p w14:paraId="5B083557"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Studies on consumer adoption indicate that EV purchasing decisions are influenced by price, perceived reliability, charging infrastructure, and brand trust (Gaccione, 2024). BYD’s challenge lies in overcoming limited brand recognition in the UK while leveraging affordability and technological differentiation.</w:t>
      </w:r>
    </w:p>
    <w:p w14:paraId="64F331EE"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Strategic responses from incumbents include increased investment in battery technology, partnerships with Chinese suppliers, and repositioning of EV product lines (Krause Llorente, 2024). Xin (2025) highlights BYD’s distinctive internationalisation path, suggesting that its entry forces incumbents to reconsider globalisation strategies and competitive priorities.</w:t>
      </w:r>
    </w:p>
    <w:p w14:paraId="60CF63CE" w14:textId="25BF4965"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Theoretical Framework</w:t>
      </w:r>
    </w:p>
    <w:p w14:paraId="0F34C8B4"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Two theoretical frameworks are relevant to this study.</w:t>
      </w:r>
    </w:p>
    <w:p w14:paraId="77046652"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Disruptive Innovation Theory (Christensen, 1997)</w:t>
      </w:r>
    </w:p>
    <w:p w14:paraId="7ED65C2F" w14:textId="77777777" w:rsid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This theory explains how new entrants with cost</w:t>
      </w:r>
      <w:r w:rsidRPr="006B6C86">
        <w:rPr>
          <w:rFonts w:ascii="Arial" w:eastAsia="Times New Roman" w:hAnsi="Arial" w:cs="Arial"/>
          <w:kern w:val="0"/>
          <w:lang w:eastAsia="en-GB"/>
          <w14:ligatures w14:val="none"/>
        </w:rPr>
        <w:noBreakHyphen/>
        <w:t>efficient technologies disrupt established markets. BYD’s affordable EVs and integrated production align with characteristics of disruptive innovation, enabling it to challenge incumbents through price and technological differentiation (Gaertner, 2025).</w:t>
      </w:r>
    </w:p>
    <w:p w14:paraId="3ED698A8" w14:textId="77777777" w:rsidR="007E3126" w:rsidRDefault="007E3126" w:rsidP="006B6C86">
      <w:pPr>
        <w:spacing w:before="100" w:beforeAutospacing="1" w:after="100" w:afterAutospacing="1" w:line="240" w:lineRule="auto"/>
        <w:rPr>
          <w:rFonts w:ascii="Arial" w:eastAsia="Times New Roman" w:hAnsi="Arial" w:cs="Arial"/>
          <w:kern w:val="0"/>
          <w:lang w:eastAsia="en-GB"/>
          <w14:ligatures w14:val="none"/>
        </w:rPr>
      </w:pPr>
    </w:p>
    <w:p w14:paraId="4661A7AC" w14:textId="77777777" w:rsidR="007E3126" w:rsidRPr="006B6C86" w:rsidRDefault="007E3126" w:rsidP="006B6C86">
      <w:pPr>
        <w:spacing w:before="100" w:beforeAutospacing="1" w:after="100" w:afterAutospacing="1" w:line="240" w:lineRule="auto"/>
        <w:rPr>
          <w:rFonts w:ascii="Arial" w:eastAsia="Times New Roman" w:hAnsi="Arial" w:cs="Arial"/>
          <w:kern w:val="0"/>
          <w:lang w:eastAsia="en-GB"/>
          <w14:ligatures w14:val="none"/>
        </w:rPr>
      </w:pPr>
    </w:p>
    <w:p w14:paraId="009B75C8"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lastRenderedPageBreak/>
        <w:t>Porter’s Five Forces (Porter, 1980)</w:t>
      </w:r>
    </w:p>
    <w:p w14:paraId="67023320"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This framework helps assess competitive pressures, including threat of new entrants, supplier power, buyer power, substitutes, and industry rivalry. BYD’s entry increases rivalry and shifts buyer power due to lower</w:t>
      </w:r>
      <w:r w:rsidRPr="006B6C86">
        <w:rPr>
          <w:rFonts w:ascii="Arial" w:eastAsia="Times New Roman" w:hAnsi="Arial" w:cs="Arial"/>
          <w:kern w:val="0"/>
          <w:lang w:eastAsia="en-GB"/>
          <w14:ligatures w14:val="none"/>
        </w:rPr>
        <w:noBreakHyphen/>
        <w:t>cost alternatives (Berezina, 2024).</w:t>
      </w:r>
    </w:p>
    <w:p w14:paraId="5A7038AD"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Proposed Framework</w:t>
      </w:r>
    </w:p>
    <w:p w14:paraId="1E3B394A"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A hybrid model combining </w:t>
      </w:r>
      <w:r w:rsidRPr="006B6C86">
        <w:rPr>
          <w:rFonts w:ascii="Arial" w:eastAsia="Times New Roman" w:hAnsi="Arial" w:cs="Arial"/>
          <w:b/>
          <w:bCs/>
          <w:kern w:val="0"/>
          <w:lang w:eastAsia="en-GB"/>
          <w14:ligatures w14:val="none"/>
        </w:rPr>
        <w:t>Disruptive Innovation Theory</w:t>
      </w:r>
      <w:r w:rsidRPr="006B6C86">
        <w:rPr>
          <w:rFonts w:ascii="Arial" w:eastAsia="Times New Roman" w:hAnsi="Arial" w:cs="Arial"/>
          <w:kern w:val="0"/>
          <w:lang w:eastAsia="en-GB"/>
          <w14:ligatures w14:val="none"/>
        </w:rPr>
        <w:t xml:space="preserve"> and </w:t>
      </w:r>
      <w:r w:rsidRPr="006B6C86">
        <w:rPr>
          <w:rFonts w:ascii="Arial" w:eastAsia="Times New Roman" w:hAnsi="Arial" w:cs="Arial"/>
          <w:b/>
          <w:bCs/>
          <w:kern w:val="0"/>
          <w:lang w:eastAsia="en-GB"/>
          <w14:ligatures w14:val="none"/>
        </w:rPr>
        <w:t>Market Entry Strategy Analysis</w:t>
      </w:r>
      <w:r w:rsidRPr="006B6C86">
        <w:rPr>
          <w:rFonts w:ascii="Arial" w:eastAsia="Times New Roman" w:hAnsi="Arial" w:cs="Arial"/>
          <w:kern w:val="0"/>
          <w:lang w:eastAsia="en-GB"/>
          <w14:ligatures w14:val="none"/>
        </w:rPr>
        <w:t xml:space="preserve"> will be used to evaluate how BYD’s technological capabilities and pricing strategy reshape competitive dynamics and consumer behaviour.</w:t>
      </w:r>
    </w:p>
    <w:p w14:paraId="611189B2" w14:textId="6B81B5D7"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 xml:space="preserve"> Research Methodology</w:t>
      </w:r>
    </w:p>
    <w:p w14:paraId="78DC6C3E"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a. Research Philosophy</w:t>
      </w:r>
    </w:p>
    <w:p w14:paraId="3B318D05"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A </w:t>
      </w:r>
      <w:r w:rsidRPr="006B6C86">
        <w:rPr>
          <w:rFonts w:ascii="Arial" w:eastAsia="Times New Roman" w:hAnsi="Arial" w:cs="Arial"/>
          <w:b/>
          <w:bCs/>
          <w:kern w:val="0"/>
          <w:lang w:eastAsia="en-GB"/>
          <w14:ligatures w14:val="none"/>
        </w:rPr>
        <w:t>pragmatist philosophy</w:t>
      </w:r>
      <w:r w:rsidRPr="006B6C86">
        <w:rPr>
          <w:rFonts w:ascii="Arial" w:eastAsia="Times New Roman" w:hAnsi="Arial" w:cs="Arial"/>
          <w:kern w:val="0"/>
          <w:lang w:eastAsia="en-GB"/>
          <w14:ligatures w14:val="none"/>
        </w:rPr>
        <w:t xml:space="preserve"> will be adopted, allowing integration of qualitative and quantitative methods to understand both strategic industry changes and consumer perceptions (Saunders, Lewis &amp; Thornhill, 2019).</w:t>
      </w:r>
    </w:p>
    <w:p w14:paraId="76FBD473"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b. Research Approach</w:t>
      </w:r>
    </w:p>
    <w:p w14:paraId="3612459A"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A </w:t>
      </w:r>
      <w:r w:rsidRPr="006B6C86">
        <w:rPr>
          <w:rFonts w:ascii="Arial" w:eastAsia="Times New Roman" w:hAnsi="Arial" w:cs="Arial"/>
          <w:b/>
          <w:bCs/>
          <w:kern w:val="0"/>
          <w:lang w:eastAsia="en-GB"/>
          <w14:ligatures w14:val="none"/>
        </w:rPr>
        <w:t>mixed</w:t>
      </w:r>
      <w:r w:rsidRPr="006B6C86">
        <w:rPr>
          <w:rFonts w:ascii="Arial" w:eastAsia="Times New Roman" w:hAnsi="Arial" w:cs="Arial"/>
          <w:b/>
          <w:bCs/>
          <w:kern w:val="0"/>
          <w:lang w:eastAsia="en-GB"/>
          <w14:ligatures w14:val="none"/>
        </w:rPr>
        <w:noBreakHyphen/>
        <w:t>methods approach</w:t>
      </w:r>
      <w:r w:rsidRPr="006B6C86">
        <w:rPr>
          <w:rFonts w:ascii="Arial" w:eastAsia="Times New Roman" w:hAnsi="Arial" w:cs="Arial"/>
          <w:kern w:val="0"/>
          <w:lang w:eastAsia="en-GB"/>
          <w14:ligatures w14:val="none"/>
        </w:rPr>
        <w:t xml:space="preserve"> will be used, combining thematic analysis of industry reports with quantitative consumer survey data.</w:t>
      </w:r>
    </w:p>
    <w:p w14:paraId="7604E84E"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c. Research Design</w:t>
      </w:r>
    </w:p>
    <w:p w14:paraId="3550DD7D"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An </w:t>
      </w:r>
      <w:r w:rsidRPr="006B6C86">
        <w:rPr>
          <w:rFonts w:ascii="Arial" w:eastAsia="Times New Roman" w:hAnsi="Arial" w:cs="Arial"/>
          <w:b/>
          <w:bCs/>
          <w:kern w:val="0"/>
          <w:lang w:eastAsia="en-GB"/>
          <w14:ligatures w14:val="none"/>
        </w:rPr>
        <w:t>exploratory research design</w:t>
      </w:r>
      <w:r w:rsidRPr="006B6C86">
        <w:rPr>
          <w:rFonts w:ascii="Arial" w:eastAsia="Times New Roman" w:hAnsi="Arial" w:cs="Arial"/>
          <w:kern w:val="0"/>
          <w:lang w:eastAsia="en-GB"/>
          <w14:ligatures w14:val="none"/>
        </w:rPr>
        <w:t xml:space="preserve"> is appropriate for emerging phenomena such as new market entrants (Creswell &amp; Creswell, 2018).</w:t>
      </w:r>
    </w:p>
    <w:p w14:paraId="7A4DE6A3"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d. Population &amp; Sampling</w:t>
      </w:r>
    </w:p>
    <w:p w14:paraId="19960071"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The population includes:</w:t>
      </w:r>
    </w:p>
    <w:p w14:paraId="2A9BA108" w14:textId="77777777" w:rsidR="006B6C86" w:rsidRPr="006B6C86" w:rsidRDefault="006B6C86" w:rsidP="006B6C86">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UK automotive consumers (EV and non</w:t>
      </w:r>
      <w:r w:rsidRPr="006B6C86">
        <w:rPr>
          <w:rFonts w:ascii="Arial" w:eastAsia="Times New Roman" w:hAnsi="Arial" w:cs="Arial"/>
          <w:kern w:val="0"/>
          <w:lang w:eastAsia="en-GB"/>
          <w14:ligatures w14:val="none"/>
        </w:rPr>
        <w:noBreakHyphen/>
        <w:t>EV buyers)</w:t>
      </w:r>
    </w:p>
    <w:p w14:paraId="2F7D694D" w14:textId="77777777" w:rsidR="006B6C86" w:rsidRPr="006B6C86" w:rsidRDefault="006B6C86" w:rsidP="006B6C86">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Industry professionals (managers, analysts, dealership representatives)</w:t>
      </w:r>
    </w:p>
    <w:p w14:paraId="793D8E0E" w14:textId="77777777" w:rsid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A </w:t>
      </w:r>
      <w:r w:rsidRPr="006B6C86">
        <w:rPr>
          <w:rFonts w:ascii="Arial" w:eastAsia="Times New Roman" w:hAnsi="Arial" w:cs="Arial"/>
          <w:b/>
          <w:bCs/>
          <w:kern w:val="0"/>
          <w:lang w:eastAsia="en-GB"/>
          <w14:ligatures w14:val="none"/>
        </w:rPr>
        <w:t>purposive sampling</w:t>
      </w:r>
      <w:r w:rsidRPr="006B6C86">
        <w:rPr>
          <w:rFonts w:ascii="Arial" w:eastAsia="Times New Roman" w:hAnsi="Arial" w:cs="Arial"/>
          <w:kern w:val="0"/>
          <w:lang w:eastAsia="en-GB"/>
          <w14:ligatures w14:val="none"/>
        </w:rPr>
        <w:t xml:space="preserve"> strategy will select participants with relevant knowledge or experience.</w:t>
      </w:r>
    </w:p>
    <w:p w14:paraId="367E32F8" w14:textId="77777777" w:rsidR="00F915D9" w:rsidRPr="006B6C86" w:rsidRDefault="00F915D9" w:rsidP="006B6C86">
      <w:pPr>
        <w:spacing w:before="100" w:beforeAutospacing="1" w:after="100" w:afterAutospacing="1" w:line="240" w:lineRule="auto"/>
        <w:rPr>
          <w:rFonts w:ascii="Arial" w:eastAsia="Times New Roman" w:hAnsi="Arial" w:cs="Arial"/>
          <w:kern w:val="0"/>
          <w:lang w:eastAsia="en-GB"/>
          <w14:ligatures w14:val="none"/>
        </w:rPr>
      </w:pPr>
    </w:p>
    <w:p w14:paraId="497F9C2E"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e. Data Collection</w:t>
      </w:r>
    </w:p>
    <w:p w14:paraId="319155DC" w14:textId="77777777" w:rsidR="006B6C86" w:rsidRPr="006B6C86" w:rsidRDefault="006B6C86" w:rsidP="007E3126">
      <w:pPr>
        <w:spacing w:before="100" w:beforeAutospacing="1" w:after="100" w:afterAutospacing="1" w:line="240" w:lineRule="auto"/>
        <w:ind w:left="720"/>
        <w:rPr>
          <w:rFonts w:ascii="Arial" w:eastAsia="Times New Roman" w:hAnsi="Arial" w:cs="Arial"/>
          <w:kern w:val="0"/>
          <w:lang w:eastAsia="en-GB"/>
          <w14:ligatures w14:val="none"/>
        </w:rPr>
      </w:pPr>
      <w:r w:rsidRPr="006B6C86">
        <w:rPr>
          <w:rFonts w:ascii="Arial" w:eastAsia="Times New Roman" w:hAnsi="Arial" w:cs="Arial"/>
          <w:b/>
          <w:bCs/>
          <w:kern w:val="0"/>
          <w:lang w:eastAsia="en-GB"/>
          <w14:ligatures w14:val="none"/>
        </w:rPr>
        <w:t>Secondary data:</w:t>
      </w:r>
      <w:r w:rsidRPr="006B6C86">
        <w:rPr>
          <w:rFonts w:ascii="Arial" w:eastAsia="Times New Roman" w:hAnsi="Arial" w:cs="Arial"/>
          <w:kern w:val="0"/>
          <w:lang w:eastAsia="en-GB"/>
          <w14:ligatures w14:val="none"/>
        </w:rPr>
        <w:t xml:space="preserve"> Academic literature, industry reports, market analyses, and Google Scholar sources identified above.</w:t>
      </w:r>
    </w:p>
    <w:p w14:paraId="2F979457"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lastRenderedPageBreak/>
        <w:t>f. Data Analysis</w:t>
      </w:r>
    </w:p>
    <w:p w14:paraId="6522A904"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Quantitative data will be analysed using descriptive statistics and correlation analysis. Qualitative interview data will undergo thematic coding to identify patterns related to competitive disruption and strategic response (Braun &amp; Clarke, 2006).</w:t>
      </w:r>
    </w:p>
    <w:p w14:paraId="7DBAEF5E"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g. Ethical Considerations</w:t>
      </w:r>
    </w:p>
    <w:p w14:paraId="077DDF17"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Participants will provide informed consent. Data will be anonymised and stored securely. The study will comply with UWTSD ethical guidelines and avoid any conflict of interest.</w:t>
      </w:r>
    </w:p>
    <w:p w14:paraId="02E4253D" w14:textId="1407FEDB"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Expected Contribution</w:t>
      </w:r>
    </w:p>
    <w:p w14:paraId="05754B43"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a. Theoretical Contribution</w:t>
      </w:r>
    </w:p>
    <w:p w14:paraId="7FD5025C"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The study will extend disruptive innovation theory by applying it to Chinese EV entrants in the UK market, offering insights into how cost</w:t>
      </w:r>
      <w:r w:rsidRPr="006B6C86">
        <w:rPr>
          <w:rFonts w:ascii="Arial" w:eastAsia="Times New Roman" w:hAnsi="Arial" w:cs="Arial"/>
          <w:kern w:val="0"/>
          <w:lang w:eastAsia="en-GB"/>
          <w14:ligatures w14:val="none"/>
        </w:rPr>
        <w:noBreakHyphen/>
        <w:t>driven innovation reshapes mature automotive industries (Christensen, 1997).</w:t>
      </w:r>
    </w:p>
    <w:p w14:paraId="29C87D06"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b. Practical Contribution</w:t>
      </w:r>
    </w:p>
    <w:p w14:paraId="0B71123E"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Findings will help UK automotive firms understand consumer perceptions of BYD and identify strategic responses to maintain competitiveness (Angeletti, 2025).</w:t>
      </w:r>
    </w:p>
    <w:p w14:paraId="0BD59DCF" w14:textId="77777777" w:rsidR="006B6C86" w:rsidRPr="006B6C86" w:rsidRDefault="006B6C86" w:rsidP="006B6C8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6B6C86">
        <w:rPr>
          <w:rFonts w:ascii="Arial" w:eastAsia="Times New Roman" w:hAnsi="Arial" w:cs="Arial"/>
          <w:b/>
          <w:bCs/>
          <w:kern w:val="0"/>
          <w:sz w:val="27"/>
          <w:szCs w:val="27"/>
          <w:lang w:eastAsia="en-GB"/>
          <w14:ligatures w14:val="none"/>
        </w:rPr>
        <w:t>c. Policy Contribution</w:t>
      </w:r>
    </w:p>
    <w:p w14:paraId="1D13B40A"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Insights may support UK policymakers in evaluating the impact of foreign EV entrants on domestic industry resilience and sustainability goals (Berezina, 2024).</w:t>
      </w:r>
    </w:p>
    <w:p w14:paraId="17EEB30F" w14:textId="2ECE5F63"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Limitations</w:t>
      </w:r>
    </w:p>
    <w:p w14:paraId="3B580E9B"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Potential limitations include:</w:t>
      </w:r>
    </w:p>
    <w:p w14:paraId="3C352713" w14:textId="77777777" w:rsidR="006B6C86" w:rsidRPr="006B6C86" w:rsidRDefault="006B6C86" w:rsidP="006B6C86">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Small sample size for interviews</w:t>
      </w:r>
    </w:p>
    <w:p w14:paraId="5E28EAC7" w14:textId="77777777" w:rsidR="006B6C86" w:rsidRPr="006B6C86" w:rsidRDefault="006B6C86" w:rsidP="006B6C86">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Self</w:t>
      </w:r>
      <w:r w:rsidRPr="006B6C86">
        <w:rPr>
          <w:rFonts w:ascii="Arial" w:eastAsia="Times New Roman" w:hAnsi="Arial" w:cs="Arial"/>
          <w:kern w:val="0"/>
          <w:lang w:eastAsia="en-GB"/>
          <w14:ligatures w14:val="none"/>
        </w:rPr>
        <w:noBreakHyphen/>
        <w:t>reported consumer perceptions</w:t>
      </w:r>
    </w:p>
    <w:p w14:paraId="62C3BD31" w14:textId="77777777" w:rsidR="006B6C86" w:rsidRPr="006B6C86" w:rsidRDefault="006B6C86" w:rsidP="006B6C86">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Sector</w:t>
      </w:r>
      <w:r w:rsidRPr="006B6C86">
        <w:rPr>
          <w:rFonts w:ascii="Arial" w:eastAsia="Times New Roman" w:hAnsi="Arial" w:cs="Arial"/>
          <w:kern w:val="0"/>
          <w:lang w:eastAsia="en-GB"/>
          <w14:ligatures w14:val="none"/>
        </w:rPr>
        <w:noBreakHyphen/>
        <w:t>specific focus on EVs</w:t>
      </w:r>
    </w:p>
    <w:p w14:paraId="0A3DE608" w14:textId="77777777" w:rsidR="006B6C86" w:rsidRPr="006B6C86" w:rsidRDefault="006B6C86" w:rsidP="006B6C86">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Rapidly evolving market conditions that may affect generalisability (Gaertner, 2025)</w:t>
      </w:r>
    </w:p>
    <w:p w14:paraId="03AE8399" w14:textId="3D91AABF"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Proposed Timeframe (Gantt Chart)</w:t>
      </w:r>
    </w:p>
    <w:tbl>
      <w:tblPr>
        <w:tblW w:w="9454" w:type="dxa"/>
        <w:tblCellSpacing w:w="15" w:type="dxa"/>
        <w:tblCellMar>
          <w:top w:w="15" w:type="dxa"/>
          <w:left w:w="15" w:type="dxa"/>
          <w:bottom w:w="15" w:type="dxa"/>
          <w:right w:w="15" w:type="dxa"/>
        </w:tblCellMar>
        <w:tblLook w:val="04A0" w:firstRow="1" w:lastRow="0" w:firstColumn="1" w:lastColumn="0" w:noHBand="0" w:noVBand="1"/>
      </w:tblPr>
      <w:tblGrid>
        <w:gridCol w:w="3002"/>
        <w:gridCol w:w="1402"/>
        <w:gridCol w:w="829"/>
        <w:gridCol w:w="1402"/>
        <w:gridCol w:w="1402"/>
        <w:gridCol w:w="1417"/>
      </w:tblGrid>
      <w:tr w:rsidR="006B6C86" w:rsidRPr="006B6C86" w14:paraId="6598224C" w14:textId="77777777" w:rsidTr="006B6C86">
        <w:trPr>
          <w:trHeight w:val="370"/>
          <w:tblHeader/>
          <w:tblCellSpacing w:w="15" w:type="dxa"/>
        </w:trPr>
        <w:tc>
          <w:tcPr>
            <w:tcW w:w="0" w:type="auto"/>
            <w:vAlign w:val="center"/>
            <w:hideMark/>
          </w:tcPr>
          <w:p w14:paraId="58FB2B05"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Activity</w:t>
            </w:r>
          </w:p>
        </w:tc>
        <w:tc>
          <w:tcPr>
            <w:tcW w:w="0" w:type="auto"/>
            <w:vAlign w:val="center"/>
            <w:hideMark/>
          </w:tcPr>
          <w:p w14:paraId="36AE3FA0"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Aug</w:t>
            </w:r>
          </w:p>
        </w:tc>
        <w:tc>
          <w:tcPr>
            <w:tcW w:w="0" w:type="auto"/>
            <w:vAlign w:val="center"/>
            <w:hideMark/>
          </w:tcPr>
          <w:p w14:paraId="55CBAAAD"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Sep</w:t>
            </w:r>
          </w:p>
        </w:tc>
        <w:tc>
          <w:tcPr>
            <w:tcW w:w="0" w:type="auto"/>
            <w:vAlign w:val="center"/>
            <w:hideMark/>
          </w:tcPr>
          <w:p w14:paraId="015F889E"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Oct</w:t>
            </w:r>
          </w:p>
        </w:tc>
        <w:tc>
          <w:tcPr>
            <w:tcW w:w="0" w:type="auto"/>
            <w:vAlign w:val="center"/>
            <w:hideMark/>
          </w:tcPr>
          <w:p w14:paraId="4908B9BD"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Nov</w:t>
            </w:r>
          </w:p>
        </w:tc>
        <w:tc>
          <w:tcPr>
            <w:tcW w:w="0" w:type="auto"/>
            <w:vAlign w:val="center"/>
            <w:hideMark/>
          </w:tcPr>
          <w:p w14:paraId="6ECA652B"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Dec</w:t>
            </w:r>
          </w:p>
        </w:tc>
      </w:tr>
      <w:tr w:rsidR="006B6C86" w:rsidRPr="006B6C86" w14:paraId="07AD67B1" w14:textId="77777777" w:rsidTr="006B6C86">
        <w:trPr>
          <w:trHeight w:val="370"/>
          <w:tblCellSpacing w:w="15" w:type="dxa"/>
        </w:trPr>
        <w:tc>
          <w:tcPr>
            <w:tcW w:w="0" w:type="auto"/>
            <w:vAlign w:val="center"/>
            <w:hideMark/>
          </w:tcPr>
          <w:p w14:paraId="1868AB3B"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Proposal Development</w:t>
            </w:r>
          </w:p>
        </w:tc>
        <w:tc>
          <w:tcPr>
            <w:tcW w:w="0" w:type="auto"/>
            <w:vAlign w:val="center"/>
            <w:hideMark/>
          </w:tcPr>
          <w:p w14:paraId="027DC650"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2E2D904E" w14:textId="77777777" w:rsidR="006B6C86" w:rsidRPr="006B6C86" w:rsidRDefault="006B6C86" w:rsidP="006B6C86">
            <w:pPr>
              <w:spacing w:after="0" w:line="240" w:lineRule="auto"/>
              <w:rPr>
                <w:rFonts w:ascii="Arial" w:eastAsia="Times New Roman" w:hAnsi="Arial" w:cs="Arial"/>
                <w:kern w:val="0"/>
                <w:lang w:eastAsia="en-GB"/>
                <w14:ligatures w14:val="none"/>
              </w:rPr>
            </w:pPr>
          </w:p>
        </w:tc>
        <w:tc>
          <w:tcPr>
            <w:tcW w:w="0" w:type="auto"/>
            <w:vAlign w:val="center"/>
            <w:hideMark/>
          </w:tcPr>
          <w:p w14:paraId="2505BE62"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68656900"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157A1612"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r>
      <w:tr w:rsidR="006B6C86" w:rsidRPr="006B6C86" w14:paraId="0106B6F8" w14:textId="77777777" w:rsidTr="006B6C86">
        <w:trPr>
          <w:trHeight w:val="359"/>
          <w:tblCellSpacing w:w="15" w:type="dxa"/>
        </w:trPr>
        <w:tc>
          <w:tcPr>
            <w:tcW w:w="0" w:type="auto"/>
            <w:vAlign w:val="center"/>
            <w:hideMark/>
          </w:tcPr>
          <w:p w14:paraId="226F98CA"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Literature Review</w:t>
            </w:r>
          </w:p>
        </w:tc>
        <w:tc>
          <w:tcPr>
            <w:tcW w:w="0" w:type="auto"/>
            <w:vAlign w:val="center"/>
            <w:hideMark/>
          </w:tcPr>
          <w:p w14:paraId="2E454CA9"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339AA99D"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4F69CB0B" w14:textId="77777777" w:rsidR="006B6C86" w:rsidRPr="006B6C86" w:rsidRDefault="006B6C86" w:rsidP="006B6C86">
            <w:pPr>
              <w:spacing w:after="0" w:line="240" w:lineRule="auto"/>
              <w:rPr>
                <w:rFonts w:ascii="Arial" w:eastAsia="Times New Roman" w:hAnsi="Arial" w:cs="Arial"/>
                <w:kern w:val="0"/>
                <w:lang w:eastAsia="en-GB"/>
                <w14:ligatures w14:val="none"/>
              </w:rPr>
            </w:pPr>
          </w:p>
        </w:tc>
        <w:tc>
          <w:tcPr>
            <w:tcW w:w="0" w:type="auto"/>
            <w:vAlign w:val="center"/>
            <w:hideMark/>
          </w:tcPr>
          <w:p w14:paraId="289F4B20"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0211D435"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r>
      <w:tr w:rsidR="006B6C86" w:rsidRPr="006B6C86" w14:paraId="045A30F8" w14:textId="77777777" w:rsidTr="006B6C86">
        <w:trPr>
          <w:trHeight w:val="370"/>
          <w:tblCellSpacing w:w="15" w:type="dxa"/>
        </w:trPr>
        <w:tc>
          <w:tcPr>
            <w:tcW w:w="0" w:type="auto"/>
            <w:vAlign w:val="center"/>
            <w:hideMark/>
          </w:tcPr>
          <w:p w14:paraId="79A60708"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lastRenderedPageBreak/>
              <w:t>Methodology Design</w:t>
            </w:r>
          </w:p>
        </w:tc>
        <w:tc>
          <w:tcPr>
            <w:tcW w:w="0" w:type="auto"/>
            <w:vAlign w:val="center"/>
            <w:hideMark/>
          </w:tcPr>
          <w:p w14:paraId="7168C4EB"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p>
        </w:tc>
        <w:tc>
          <w:tcPr>
            <w:tcW w:w="0" w:type="auto"/>
            <w:vAlign w:val="center"/>
            <w:hideMark/>
          </w:tcPr>
          <w:p w14:paraId="5B5764AE"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42BE440C" w14:textId="77777777" w:rsidR="006B6C86" w:rsidRPr="006B6C86" w:rsidRDefault="006B6C86" w:rsidP="006B6C86">
            <w:pPr>
              <w:spacing w:after="0" w:line="240" w:lineRule="auto"/>
              <w:rPr>
                <w:rFonts w:ascii="Arial" w:eastAsia="Times New Roman" w:hAnsi="Arial" w:cs="Arial"/>
                <w:kern w:val="0"/>
                <w:lang w:eastAsia="en-GB"/>
                <w14:ligatures w14:val="none"/>
              </w:rPr>
            </w:pPr>
          </w:p>
        </w:tc>
        <w:tc>
          <w:tcPr>
            <w:tcW w:w="0" w:type="auto"/>
            <w:vAlign w:val="center"/>
            <w:hideMark/>
          </w:tcPr>
          <w:p w14:paraId="18455C39"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37EFC4B5"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r>
      <w:tr w:rsidR="006B6C86" w:rsidRPr="006B6C86" w14:paraId="5F293890" w14:textId="77777777" w:rsidTr="006B6C86">
        <w:trPr>
          <w:trHeight w:val="370"/>
          <w:tblCellSpacing w:w="15" w:type="dxa"/>
        </w:trPr>
        <w:tc>
          <w:tcPr>
            <w:tcW w:w="0" w:type="auto"/>
            <w:vAlign w:val="center"/>
            <w:hideMark/>
          </w:tcPr>
          <w:p w14:paraId="13154C13"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Data Collection</w:t>
            </w:r>
          </w:p>
        </w:tc>
        <w:tc>
          <w:tcPr>
            <w:tcW w:w="0" w:type="auto"/>
            <w:vAlign w:val="center"/>
            <w:hideMark/>
          </w:tcPr>
          <w:p w14:paraId="33142E4C"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p>
        </w:tc>
        <w:tc>
          <w:tcPr>
            <w:tcW w:w="0" w:type="auto"/>
            <w:vAlign w:val="center"/>
            <w:hideMark/>
          </w:tcPr>
          <w:p w14:paraId="2840F8B2"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5F918B65"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6D9D8D83"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504AC30A" w14:textId="77777777" w:rsidR="006B6C86" w:rsidRPr="006B6C86" w:rsidRDefault="006B6C86" w:rsidP="006B6C86">
            <w:pPr>
              <w:spacing w:after="0" w:line="240" w:lineRule="auto"/>
              <w:rPr>
                <w:rFonts w:ascii="Arial" w:eastAsia="Times New Roman" w:hAnsi="Arial" w:cs="Arial"/>
                <w:kern w:val="0"/>
                <w:lang w:eastAsia="en-GB"/>
                <w14:ligatures w14:val="none"/>
              </w:rPr>
            </w:pPr>
          </w:p>
        </w:tc>
      </w:tr>
      <w:tr w:rsidR="006B6C86" w:rsidRPr="006B6C86" w14:paraId="64D46E75" w14:textId="77777777" w:rsidTr="006B6C86">
        <w:trPr>
          <w:trHeight w:val="370"/>
          <w:tblCellSpacing w:w="15" w:type="dxa"/>
        </w:trPr>
        <w:tc>
          <w:tcPr>
            <w:tcW w:w="0" w:type="auto"/>
            <w:vAlign w:val="center"/>
            <w:hideMark/>
          </w:tcPr>
          <w:p w14:paraId="4B6BD5A9"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Data Analysis</w:t>
            </w:r>
          </w:p>
        </w:tc>
        <w:tc>
          <w:tcPr>
            <w:tcW w:w="0" w:type="auto"/>
            <w:vAlign w:val="center"/>
            <w:hideMark/>
          </w:tcPr>
          <w:p w14:paraId="02F09D13"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p>
        </w:tc>
        <w:tc>
          <w:tcPr>
            <w:tcW w:w="0" w:type="auto"/>
            <w:vAlign w:val="center"/>
            <w:hideMark/>
          </w:tcPr>
          <w:p w14:paraId="63C68BDC"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52F06C56"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6C7901EC"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c>
          <w:tcPr>
            <w:tcW w:w="0" w:type="auto"/>
            <w:vAlign w:val="center"/>
            <w:hideMark/>
          </w:tcPr>
          <w:p w14:paraId="794B9D0A"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r>
      <w:tr w:rsidR="006B6C86" w:rsidRPr="006B6C86" w14:paraId="2C234C0E" w14:textId="77777777" w:rsidTr="006B6C86">
        <w:trPr>
          <w:trHeight w:val="370"/>
          <w:tblCellSpacing w:w="15" w:type="dxa"/>
        </w:trPr>
        <w:tc>
          <w:tcPr>
            <w:tcW w:w="0" w:type="auto"/>
            <w:vAlign w:val="center"/>
            <w:hideMark/>
          </w:tcPr>
          <w:p w14:paraId="449E7903"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r w:rsidRPr="006B6C86">
              <w:rPr>
                <w:rFonts w:ascii="Arial" w:eastAsia="Times New Roman" w:hAnsi="Arial" w:cs="Arial"/>
                <w:b/>
                <w:bCs/>
                <w:kern w:val="0"/>
                <w:lang w:eastAsia="en-GB"/>
                <w14:ligatures w14:val="none"/>
              </w:rPr>
              <w:t>Writing &amp; Revision</w:t>
            </w:r>
          </w:p>
        </w:tc>
        <w:tc>
          <w:tcPr>
            <w:tcW w:w="0" w:type="auto"/>
            <w:vAlign w:val="center"/>
            <w:hideMark/>
          </w:tcPr>
          <w:p w14:paraId="0E954142" w14:textId="77777777" w:rsidR="006B6C86" w:rsidRPr="006B6C86" w:rsidRDefault="006B6C86" w:rsidP="006B6C86">
            <w:pPr>
              <w:spacing w:after="0" w:line="240" w:lineRule="auto"/>
              <w:jc w:val="center"/>
              <w:rPr>
                <w:rFonts w:ascii="Arial" w:eastAsia="Times New Roman" w:hAnsi="Arial" w:cs="Arial"/>
                <w:b/>
                <w:bCs/>
                <w:kern w:val="0"/>
                <w:lang w:eastAsia="en-GB"/>
                <w14:ligatures w14:val="none"/>
              </w:rPr>
            </w:pPr>
          </w:p>
        </w:tc>
        <w:tc>
          <w:tcPr>
            <w:tcW w:w="0" w:type="auto"/>
            <w:vAlign w:val="center"/>
            <w:hideMark/>
          </w:tcPr>
          <w:p w14:paraId="0EF53A4D"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70CA4DB9"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1C14A36D" w14:textId="77777777" w:rsidR="006B6C86" w:rsidRPr="006B6C86" w:rsidRDefault="006B6C86" w:rsidP="006B6C86">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5ECE51C1" w14:textId="77777777" w:rsidR="006B6C86" w:rsidRPr="006B6C86" w:rsidRDefault="006B6C86" w:rsidP="006B6C86">
            <w:pPr>
              <w:spacing w:after="0"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w:t>
            </w:r>
          </w:p>
        </w:tc>
      </w:tr>
    </w:tbl>
    <w:p w14:paraId="74194572" w14:textId="77777777"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612980FD" w14:textId="5B1399B0"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t xml:space="preserve"> Conclusion</w:t>
      </w:r>
    </w:p>
    <w:p w14:paraId="104643D4" w14:textId="77777777" w:rsid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BYD’s entry into the UK automotive sector represents a major shift in competitive dynamics, driven by technological innovation, cost leadership, and strategic internationalisation. This research will provide a structured analysis of how BYD influences consumer adoption, incumbent strategies, and broader industry transformation. The findings will contribute to academic understanding and practical decision</w:t>
      </w:r>
      <w:r w:rsidRPr="006B6C86">
        <w:rPr>
          <w:rFonts w:ascii="Arial" w:eastAsia="Times New Roman" w:hAnsi="Arial" w:cs="Arial"/>
          <w:kern w:val="0"/>
          <w:lang w:eastAsia="en-GB"/>
          <w14:ligatures w14:val="none"/>
        </w:rPr>
        <w:noBreakHyphen/>
        <w:t>making within the rapidly evolving EV landscape.</w:t>
      </w:r>
    </w:p>
    <w:p w14:paraId="60D9FE5F"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7975FCC0"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25C717F1"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0EB639AF"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5DBEE4EA"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424925AB"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5770138D"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168970A3"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3807D06B"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315A5C7D"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3D278178"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75726687"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2B7DC276"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38ABD3D5" w14:textId="77777777" w:rsidR="00CA793E"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19FC65A8" w14:textId="77777777" w:rsidR="00CA793E" w:rsidRPr="006B6C86" w:rsidRDefault="00CA793E" w:rsidP="006B6C86">
      <w:pPr>
        <w:spacing w:before="100" w:beforeAutospacing="1" w:after="100" w:afterAutospacing="1" w:line="240" w:lineRule="auto"/>
        <w:rPr>
          <w:rFonts w:ascii="Arial" w:eastAsia="Times New Roman" w:hAnsi="Arial" w:cs="Arial"/>
          <w:kern w:val="0"/>
          <w:lang w:eastAsia="en-GB"/>
          <w14:ligatures w14:val="none"/>
        </w:rPr>
      </w:pPr>
    </w:p>
    <w:p w14:paraId="72A4CE4A" w14:textId="6C43F972" w:rsidR="006B6C86" w:rsidRPr="006B6C86" w:rsidRDefault="006B6C86" w:rsidP="006B6C86">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B6C86">
        <w:rPr>
          <w:rFonts w:ascii="Arial" w:eastAsia="Times New Roman" w:hAnsi="Arial" w:cs="Arial"/>
          <w:b/>
          <w:bCs/>
          <w:kern w:val="0"/>
          <w:sz w:val="36"/>
          <w:szCs w:val="36"/>
          <w:lang w:eastAsia="en-GB"/>
          <w14:ligatures w14:val="none"/>
        </w:rPr>
        <w:lastRenderedPageBreak/>
        <w:t xml:space="preserve"> References</w:t>
      </w:r>
    </w:p>
    <w:p w14:paraId="6706DEB3"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Angeletti, E. (2025) </w:t>
      </w:r>
      <w:r w:rsidRPr="006B6C86">
        <w:rPr>
          <w:rFonts w:ascii="Arial" w:eastAsia="Times New Roman" w:hAnsi="Arial" w:cs="Arial"/>
          <w:i/>
          <w:iCs/>
          <w:kern w:val="0"/>
          <w:lang w:eastAsia="en-GB"/>
          <w14:ligatures w14:val="none"/>
        </w:rPr>
        <w:t>The Electric Transition in the Automotive Sector: Managerial Challenges and Market Responses in Europe and Italy</w:t>
      </w:r>
      <w:r w:rsidRPr="006B6C86">
        <w:rPr>
          <w:rFonts w:ascii="Arial" w:eastAsia="Times New Roman" w:hAnsi="Arial" w:cs="Arial"/>
          <w:kern w:val="0"/>
          <w:lang w:eastAsia="en-GB"/>
          <w14:ligatures w14:val="none"/>
        </w:rPr>
        <w:t xml:space="preserve">. Available at: </w:t>
      </w:r>
      <w:hyperlink r:id="rId5" w:history="1">
        <w:r w:rsidRPr="006B6C86">
          <w:rPr>
            <w:rFonts w:ascii="Arial" w:eastAsia="Times New Roman" w:hAnsi="Arial" w:cs="Arial"/>
            <w:color w:val="0000FF"/>
            <w:kern w:val="0"/>
            <w:u w:val="single"/>
            <w:lang w:eastAsia="en-GB"/>
            <w14:ligatures w14:val="none"/>
          </w:rPr>
          <w:t>https://tesi.univpm.it</w:t>
        </w:r>
      </w:hyperlink>
      <w:r w:rsidRPr="006B6C86">
        <w:rPr>
          <w:rFonts w:ascii="Arial" w:eastAsia="Times New Roman" w:hAnsi="Arial" w:cs="Arial"/>
          <w:kern w:val="0"/>
          <w:lang w:eastAsia="en-GB"/>
          <w14:ligatures w14:val="none"/>
        </w:rPr>
        <w:t>.</w:t>
      </w:r>
    </w:p>
    <w:p w14:paraId="0D9A7590"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Berezina, P. (2024) </w:t>
      </w:r>
      <w:r w:rsidRPr="006B6C86">
        <w:rPr>
          <w:rFonts w:ascii="Arial" w:eastAsia="Times New Roman" w:hAnsi="Arial" w:cs="Arial"/>
          <w:i/>
          <w:iCs/>
          <w:kern w:val="0"/>
          <w:lang w:eastAsia="en-GB"/>
          <w14:ligatures w14:val="none"/>
        </w:rPr>
        <w:t>The Electric Revolution from China: Impact of Chinese Electric Vehicles on Logistics and Market in Europe</w:t>
      </w:r>
      <w:r w:rsidRPr="006B6C86">
        <w:rPr>
          <w:rFonts w:ascii="Arial" w:eastAsia="Times New Roman" w:hAnsi="Arial" w:cs="Arial"/>
          <w:kern w:val="0"/>
          <w:lang w:eastAsia="en-GB"/>
          <w14:ligatures w14:val="none"/>
        </w:rPr>
        <w:t xml:space="preserve">. Available at: </w:t>
      </w:r>
      <w:hyperlink r:id="rId6" w:history="1">
        <w:r w:rsidRPr="006B6C86">
          <w:rPr>
            <w:rFonts w:ascii="Arial" w:eastAsia="Times New Roman" w:hAnsi="Arial" w:cs="Arial"/>
            <w:color w:val="0000FF"/>
            <w:kern w:val="0"/>
            <w:u w:val="single"/>
            <w:lang w:eastAsia="en-GB"/>
            <w14:ligatures w14:val="none"/>
          </w:rPr>
          <w:t>https://theseus.fi</w:t>
        </w:r>
      </w:hyperlink>
      <w:r w:rsidRPr="006B6C86">
        <w:rPr>
          <w:rFonts w:ascii="Arial" w:eastAsia="Times New Roman" w:hAnsi="Arial" w:cs="Arial"/>
          <w:kern w:val="0"/>
          <w:lang w:eastAsia="en-GB"/>
          <w14:ligatures w14:val="none"/>
        </w:rPr>
        <w:t>.</w:t>
      </w:r>
    </w:p>
    <w:p w14:paraId="799CC470"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Braun, V. and Clarke, V. (2006) ‘Using thematic analysis in psychology’, </w:t>
      </w:r>
      <w:r w:rsidRPr="006B6C86">
        <w:rPr>
          <w:rFonts w:ascii="Arial" w:eastAsia="Times New Roman" w:hAnsi="Arial" w:cs="Arial"/>
          <w:i/>
          <w:iCs/>
          <w:kern w:val="0"/>
          <w:lang w:eastAsia="en-GB"/>
          <w14:ligatures w14:val="none"/>
        </w:rPr>
        <w:t>Qualitative Research in Psychology</w:t>
      </w:r>
      <w:r w:rsidRPr="006B6C86">
        <w:rPr>
          <w:rFonts w:ascii="Arial" w:eastAsia="Times New Roman" w:hAnsi="Arial" w:cs="Arial"/>
          <w:kern w:val="0"/>
          <w:lang w:eastAsia="en-GB"/>
          <w14:ligatures w14:val="none"/>
        </w:rPr>
        <w:t>, 3(2), pp. 77–101.</w:t>
      </w:r>
    </w:p>
    <w:p w14:paraId="0E29068F"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Christensen, C. (1997) </w:t>
      </w:r>
      <w:r w:rsidRPr="006B6C86">
        <w:rPr>
          <w:rFonts w:ascii="Arial" w:eastAsia="Times New Roman" w:hAnsi="Arial" w:cs="Arial"/>
          <w:i/>
          <w:iCs/>
          <w:kern w:val="0"/>
          <w:lang w:eastAsia="en-GB"/>
          <w14:ligatures w14:val="none"/>
        </w:rPr>
        <w:t>The Innovator’s Dilemma</w:t>
      </w:r>
      <w:r w:rsidRPr="006B6C86">
        <w:rPr>
          <w:rFonts w:ascii="Arial" w:eastAsia="Times New Roman" w:hAnsi="Arial" w:cs="Arial"/>
          <w:kern w:val="0"/>
          <w:lang w:eastAsia="en-GB"/>
          <w14:ligatures w14:val="none"/>
        </w:rPr>
        <w:t>. Harvard Business School Press.</w:t>
      </w:r>
    </w:p>
    <w:p w14:paraId="56ED57D1"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Creswell, J. and Creswell, D. (2018) </w:t>
      </w:r>
      <w:r w:rsidRPr="006B6C86">
        <w:rPr>
          <w:rFonts w:ascii="Arial" w:eastAsia="Times New Roman" w:hAnsi="Arial" w:cs="Arial"/>
          <w:i/>
          <w:iCs/>
          <w:kern w:val="0"/>
          <w:lang w:eastAsia="en-GB"/>
          <w14:ligatures w14:val="none"/>
        </w:rPr>
        <w:t>Research Design: Qualitative, Quantitative and Mixed Methods Approaches</w:t>
      </w:r>
      <w:r w:rsidRPr="006B6C86">
        <w:rPr>
          <w:rFonts w:ascii="Arial" w:eastAsia="Times New Roman" w:hAnsi="Arial" w:cs="Arial"/>
          <w:kern w:val="0"/>
          <w:lang w:eastAsia="en-GB"/>
          <w14:ligatures w14:val="none"/>
        </w:rPr>
        <w:t>. Sage.</w:t>
      </w:r>
    </w:p>
    <w:p w14:paraId="6A4ECBC8"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de Sousa, C.D.M. (2024) </w:t>
      </w:r>
      <w:r w:rsidRPr="006B6C86">
        <w:rPr>
          <w:rFonts w:ascii="Arial" w:eastAsia="Times New Roman" w:hAnsi="Arial" w:cs="Arial"/>
          <w:i/>
          <w:iCs/>
          <w:kern w:val="0"/>
          <w:lang w:eastAsia="en-GB"/>
          <w14:ligatures w14:val="none"/>
        </w:rPr>
        <w:t>Electric Vehicle Manufacturer BYD Expansion into Europe: A Case Study</w:t>
      </w:r>
      <w:r w:rsidRPr="006B6C86">
        <w:rPr>
          <w:rFonts w:ascii="Arial" w:eastAsia="Times New Roman" w:hAnsi="Arial" w:cs="Arial"/>
          <w:kern w:val="0"/>
          <w:lang w:eastAsia="en-GB"/>
          <w14:ligatures w14:val="none"/>
        </w:rPr>
        <w:t>. ProQuest.</w:t>
      </w:r>
    </w:p>
    <w:p w14:paraId="6BECB635"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Gaertner, L. (2025) </w:t>
      </w:r>
      <w:r w:rsidRPr="006B6C86">
        <w:rPr>
          <w:rFonts w:ascii="Arial" w:eastAsia="Times New Roman" w:hAnsi="Arial" w:cs="Arial"/>
          <w:i/>
          <w:iCs/>
          <w:kern w:val="0"/>
          <w:lang w:eastAsia="en-GB"/>
          <w14:ligatures w14:val="none"/>
        </w:rPr>
        <w:t>How German Automakers Must Adapt to Stay Competitive Against BYD’s Strategic Approach Across the Automotive Value Chain</w:t>
      </w:r>
      <w:r w:rsidRPr="006B6C86">
        <w:rPr>
          <w:rFonts w:ascii="Arial" w:eastAsia="Times New Roman" w:hAnsi="Arial" w:cs="Arial"/>
          <w:kern w:val="0"/>
          <w:lang w:eastAsia="en-GB"/>
          <w14:ligatures w14:val="none"/>
        </w:rPr>
        <w:t>. ProQuest.</w:t>
      </w:r>
    </w:p>
    <w:p w14:paraId="73170770"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Gaccione, V. (2024) </w:t>
      </w:r>
      <w:r w:rsidRPr="006B6C86">
        <w:rPr>
          <w:rFonts w:ascii="Arial" w:eastAsia="Times New Roman" w:hAnsi="Arial" w:cs="Arial"/>
          <w:i/>
          <w:iCs/>
          <w:kern w:val="0"/>
          <w:lang w:eastAsia="en-GB"/>
          <w14:ligatures w14:val="none"/>
        </w:rPr>
        <w:t>Driving Change: Technological, Strategic and Economic Shifts in the Automotive Industry</w:t>
      </w:r>
      <w:r w:rsidRPr="006B6C86">
        <w:rPr>
          <w:rFonts w:ascii="Arial" w:eastAsia="Times New Roman" w:hAnsi="Arial" w:cs="Arial"/>
          <w:kern w:val="0"/>
          <w:lang w:eastAsia="en-GB"/>
          <w14:ligatures w14:val="none"/>
        </w:rPr>
        <w:t>. unitesi.unive.it.</w:t>
      </w:r>
    </w:p>
    <w:p w14:paraId="55853B03"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Krause Llorente, P. (2024) </w:t>
      </w:r>
      <w:r w:rsidRPr="006B6C86">
        <w:rPr>
          <w:rFonts w:ascii="Arial" w:eastAsia="Times New Roman" w:hAnsi="Arial" w:cs="Arial"/>
          <w:i/>
          <w:iCs/>
          <w:kern w:val="0"/>
          <w:lang w:eastAsia="en-GB"/>
          <w14:ligatures w14:val="none"/>
        </w:rPr>
        <w:t>Strategic Analysis of European OEMs and the Shift to Electric Vehicles</w:t>
      </w:r>
      <w:r w:rsidRPr="006B6C86">
        <w:rPr>
          <w:rFonts w:ascii="Arial" w:eastAsia="Times New Roman" w:hAnsi="Arial" w:cs="Arial"/>
          <w:kern w:val="0"/>
          <w:lang w:eastAsia="en-GB"/>
          <w14:ligatures w14:val="none"/>
        </w:rPr>
        <w:t>. docta.ucm.es.</w:t>
      </w:r>
    </w:p>
    <w:p w14:paraId="7335CE82"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Porter, M. (1980) </w:t>
      </w:r>
      <w:r w:rsidRPr="006B6C86">
        <w:rPr>
          <w:rFonts w:ascii="Arial" w:eastAsia="Times New Roman" w:hAnsi="Arial" w:cs="Arial"/>
          <w:i/>
          <w:iCs/>
          <w:kern w:val="0"/>
          <w:lang w:eastAsia="en-GB"/>
          <w14:ligatures w14:val="none"/>
        </w:rPr>
        <w:t>Competitive Strategy</w:t>
      </w:r>
      <w:r w:rsidRPr="006B6C86">
        <w:rPr>
          <w:rFonts w:ascii="Arial" w:eastAsia="Times New Roman" w:hAnsi="Arial" w:cs="Arial"/>
          <w:kern w:val="0"/>
          <w:lang w:eastAsia="en-GB"/>
          <w14:ligatures w14:val="none"/>
        </w:rPr>
        <w:t>. Free Press.</w:t>
      </w:r>
    </w:p>
    <w:p w14:paraId="72404B0F"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Saunders, M., Lewis, P. and Thornhill, A. (2019) </w:t>
      </w:r>
      <w:r w:rsidRPr="006B6C86">
        <w:rPr>
          <w:rFonts w:ascii="Arial" w:eastAsia="Times New Roman" w:hAnsi="Arial" w:cs="Arial"/>
          <w:i/>
          <w:iCs/>
          <w:kern w:val="0"/>
          <w:lang w:eastAsia="en-GB"/>
          <w14:ligatures w14:val="none"/>
        </w:rPr>
        <w:t>Research Methods for Business Students</w:t>
      </w:r>
      <w:r w:rsidRPr="006B6C86">
        <w:rPr>
          <w:rFonts w:ascii="Arial" w:eastAsia="Times New Roman" w:hAnsi="Arial" w:cs="Arial"/>
          <w:kern w:val="0"/>
          <w:lang w:eastAsia="en-GB"/>
          <w14:ligatures w14:val="none"/>
        </w:rPr>
        <w:t>. Pearson.</w:t>
      </w:r>
    </w:p>
    <w:p w14:paraId="278C65C7"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Wang, X., Chi, Y. and Tian, L. (2025) </w:t>
      </w:r>
      <w:r w:rsidRPr="006B6C86">
        <w:rPr>
          <w:rFonts w:ascii="Arial" w:eastAsia="Times New Roman" w:hAnsi="Arial" w:cs="Arial"/>
          <w:i/>
          <w:iCs/>
          <w:kern w:val="0"/>
          <w:lang w:eastAsia="en-GB"/>
          <w14:ligatures w14:val="none"/>
        </w:rPr>
        <w:t>Decoding the Ecological Symbiosis of NEV Enterprises Overseas: A Competitiveness Model Approach</w:t>
      </w:r>
      <w:r w:rsidRPr="006B6C86">
        <w:rPr>
          <w:rFonts w:ascii="Arial" w:eastAsia="Times New Roman" w:hAnsi="Arial" w:cs="Arial"/>
          <w:kern w:val="0"/>
          <w:lang w:eastAsia="en-GB"/>
          <w14:ligatures w14:val="none"/>
        </w:rPr>
        <w:t>. ResearchGate.</w:t>
      </w:r>
    </w:p>
    <w:p w14:paraId="5029495A" w14:textId="77777777" w:rsidR="006B6C86" w:rsidRPr="006B6C86" w:rsidRDefault="006B6C86" w:rsidP="006B6C86">
      <w:pPr>
        <w:spacing w:before="100" w:beforeAutospacing="1" w:after="100" w:afterAutospacing="1" w:line="240" w:lineRule="auto"/>
        <w:rPr>
          <w:rFonts w:ascii="Arial" w:eastAsia="Times New Roman" w:hAnsi="Arial" w:cs="Arial"/>
          <w:kern w:val="0"/>
          <w:lang w:eastAsia="en-GB"/>
          <w14:ligatures w14:val="none"/>
        </w:rPr>
      </w:pPr>
      <w:r w:rsidRPr="006B6C86">
        <w:rPr>
          <w:rFonts w:ascii="Arial" w:eastAsia="Times New Roman" w:hAnsi="Arial" w:cs="Arial"/>
          <w:kern w:val="0"/>
          <w:lang w:eastAsia="en-GB"/>
          <w14:ligatures w14:val="none"/>
        </w:rPr>
        <w:t xml:space="preserve">Xin, C. (2025) ‘From China to the World: BYD’s Distinctive Path to Internationalisation in the NEV Market’, </w:t>
      </w:r>
      <w:r w:rsidRPr="006B6C86">
        <w:rPr>
          <w:rFonts w:ascii="Arial" w:eastAsia="Times New Roman" w:hAnsi="Arial" w:cs="Arial"/>
          <w:i/>
          <w:iCs/>
          <w:kern w:val="0"/>
          <w:lang w:eastAsia="en-GB"/>
          <w14:ligatures w14:val="none"/>
        </w:rPr>
        <w:t>Journal of Asian Management Studies</w:t>
      </w:r>
      <w:r w:rsidRPr="006B6C86">
        <w:rPr>
          <w:rFonts w:ascii="Arial" w:eastAsia="Times New Roman" w:hAnsi="Arial" w:cs="Arial"/>
          <w:kern w:val="0"/>
          <w:lang w:eastAsia="en-GB"/>
          <w14:ligatures w14:val="none"/>
        </w:rPr>
        <w:t>.</w:t>
      </w:r>
    </w:p>
    <w:p w14:paraId="7C832519" w14:textId="77777777" w:rsidR="000805C8" w:rsidRPr="006B6C86" w:rsidRDefault="000805C8" w:rsidP="000805C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0F0C5D65" w14:textId="77777777" w:rsidR="000805C8" w:rsidRPr="006B6C86" w:rsidRDefault="000805C8" w:rsidP="000805C8">
      <w:pPr>
        <w:pStyle w:val="NormalWeb"/>
        <w:ind w:left="720" w:firstLine="360"/>
        <w:rPr>
          <w:rFonts w:ascii="Arial" w:hAnsi="Arial" w:cs="Arial"/>
        </w:rPr>
      </w:pPr>
    </w:p>
    <w:p w14:paraId="558688BB" w14:textId="77777777" w:rsidR="000805C8" w:rsidRPr="006B6C86" w:rsidRDefault="000805C8" w:rsidP="000805C8">
      <w:pPr>
        <w:spacing w:after="0" w:line="240" w:lineRule="auto"/>
        <w:ind w:left="1080"/>
        <w:rPr>
          <w:rFonts w:ascii="Arial" w:hAnsi="Arial" w:cs="Arial"/>
        </w:rPr>
      </w:pPr>
    </w:p>
    <w:p w14:paraId="557563C7" w14:textId="77777777" w:rsidR="000805C8" w:rsidRPr="006B6C86" w:rsidRDefault="000805C8" w:rsidP="000805C8">
      <w:pPr>
        <w:spacing w:after="0" w:line="240" w:lineRule="auto"/>
        <w:rPr>
          <w:rFonts w:ascii="Arial" w:hAnsi="Arial" w:cs="Arial"/>
        </w:rPr>
      </w:pPr>
    </w:p>
    <w:p w14:paraId="294C5E51" w14:textId="77777777" w:rsidR="000805C8" w:rsidRPr="006B6C86" w:rsidRDefault="000805C8" w:rsidP="000805C8">
      <w:pPr>
        <w:spacing w:after="0" w:line="240" w:lineRule="auto"/>
        <w:rPr>
          <w:rFonts w:ascii="Arial" w:hAnsi="Arial" w:cs="Arial"/>
          <w:color w:val="000000" w:themeColor="text1"/>
        </w:rPr>
      </w:pPr>
    </w:p>
    <w:p w14:paraId="464DDDA5" w14:textId="77777777" w:rsidR="000805C8" w:rsidRPr="006B6C86" w:rsidRDefault="000805C8" w:rsidP="000805C8">
      <w:pPr>
        <w:spacing w:after="0" w:line="240" w:lineRule="auto"/>
        <w:rPr>
          <w:rFonts w:ascii="Arial" w:hAnsi="Arial" w:cs="Arial"/>
          <w:color w:val="000000" w:themeColor="text1"/>
        </w:rPr>
      </w:pPr>
    </w:p>
    <w:p w14:paraId="1B03C656" w14:textId="77777777" w:rsidR="000805C8" w:rsidRPr="006B6C86" w:rsidRDefault="000805C8" w:rsidP="000805C8">
      <w:pPr>
        <w:spacing w:after="0" w:line="240" w:lineRule="auto"/>
        <w:rPr>
          <w:rFonts w:ascii="Arial" w:hAnsi="Arial" w:cs="Arial"/>
          <w:color w:val="000000" w:themeColor="text1"/>
        </w:rPr>
      </w:pPr>
    </w:p>
    <w:p w14:paraId="791B95AB" w14:textId="77777777" w:rsidR="000805C8" w:rsidRPr="006B6C86" w:rsidRDefault="000805C8" w:rsidP="000805C8">
      <w:pPr>
        <w:spacing w:after="0" w:line="240" w:lineRule="auto"/>
        <w:rPr>
          <w:rFonts w:ascii="Arial" w:hAnsi="Arial" w:cs="Arial"/>
          <w:color w:val="000000" w:themeColor="text1"/>
        </w:rPr>
      </w:pPr>
    </w:p>
    <w:p w14:paraId="506277BB" w14:textId="77777777" w:rsidR="000805C8" w:rsidRPr="006B6C86" w:rsidRDefault="000805C8" w:rsidP="000805C8">
      <w:pPr>
        <w:spacing w:after="0" w:line="240" w:lineRule="auto"/>
        <w:rPr>
          <w:rFonts w:ascii="Arial" w:hAnsi="Arial" w:cs="Arial"/>
          <w:color w:val="000000" w:themeColor="text1"/>
        </w:rPr>
      </w:pPr>
    </w:p>
    <w:p w14:paraId="211A1D2F" w14:textId="77777777" w:rsidR="000805C8" w:rsidRPr="006B6C86" w:rsidRDefault="000805C8" w:rsidP="000805C8">
      <w:pPr>
        <w:spacing w:after="0" w:line="240" w:lineRule="auto"/>
        <w:rPr>
          <w:rFonts w:ascii="Arial" w:hAnsi="Arial" w:cs="Arial"/>
          <w:color w:val="000000" w:themeColor="text1"/>
        </w:rPr>
      </w:pPr>
    </w:p>
    <w:p w14:paraId="48F86C0C" w14:textId="77777777" w:rsidR="000805C8" w:rsidRPr="006B6C86" w:rsidRDefault="000805C8" w:rsidP="000805C8">
      <w:pPr>
        <w:spacing w:after="0" w:line="240" w:lineRule="auto"/>
        <w:rPr>
          <w:rFonts w:ascii="Arial" w:hAnsi="Arial" w:cs="Arial"/>
          <w:color w:val="000000" w:themeColor="text1"/>
        </w:rPr>
      </w:pPr>
    </w:p>
    <w:p w14:paraId="63C51C56" w14:textId="77777777" w:rsidR="000805C8" w:rsidRPr="006B6C86" w:rsidRDefault="000805C8" w:rsidP="000805C8">
      <w:pPr>
        <w:spacing w:after="0" w:line="240" w:lineRule="auto"/>
        <w:rPr>
          <w:rFonts w:ascii="Arial" w:hAnsi="Arial" w:cs="Arial"/>
          <w:color w:val="000000" w:themeColor="text1"/>
        </w:rPr>
      </w:pPr>
    </w:p>
    <w:p w14:paraId="6905929D" w14:textId="77777777" w:rsidR="000805C8" w:rsidRPr="006B6C86" w:rsidRDefault="000805C8" w:rsidP="000805C8">
      <w:pPr>
        <w:spacing w:after="0" w:line="240" w:lineRule="auto"/>
        <w:ind w:left="720"/>
        <w:rPr>
          <w:rFonts w:ascii="Arial" w:hAnsi="Arial" w:cs="Arial"/>
          <w:b/>
          <w:bCs/>
          <w:color w:val="000000" w:themeColor="text1"/>
        </w:rPr>
      </w:pPr>
    </w:p>
    <w:p w14:paraId="635A4F48" w14:textId="77777777" w:rsidR="000805C8" w:rsidRPr="006B6C86" w:rsidRDefault="000805C8" w:rsidP="000805C8">
      <w:pPr>
        <w:spacing w:after="0" w:line="240" w:lineRule="auto"/>
        <w:ind w:left="720"/>
        <w:rPr>
          <w:rFonts w:ascii="Arial" w:hAnsi="Arial" w:cs="Arial"/>
          <w:b/>
          <w:bCs/>
          <w:color w:val="000000" w:themeColor="text1"/>
        </w:rPr>
      </w:pPr>
    </w:p>
    <w:p w14:paraId="33C710C8" w14:textId="77777777" w:rsidR="000805C8" w:rsidRPr="006B6C86" w:rsidRDefault="000805C8" w:rsidP="000805C8">
      <w:pPr>
        <w:spacing w:after="0" w:line="240" w:lineRule="auto"/>
        <w:rPr>
          <w:rFonts w:ascii="Arial" w:hAnsi="Arial" w:cs="Arial"/>
          <w:b/>
          <w:bCs/>
          <w:color w:val="000000" w:themeColor="text1"/>
        </w:rPr>
      </w:pPr>
    </w:p>
    <w:p w14:paraId="6ED37E08" w14:textId="77777777" w:rsidR="004278A6" w:rsidRPr="006B6C86" w:rsidRDefault="004278A6" w:rsidP="004278A6">
      <w:pPr>
        <w:pStyle w:val="ListParagraph"/>
        <w:spacing w:after="0" w:line="240" w:lineRule="auto"/>
        <w:rPr>
          <w:rFonts w:ascii="Arial" w:hAnsi="Arial" w:cs="Arial"/>
          <w:b/>
          <w:bCs/>
          <w:color w:val="000000" w:themeColor="text1"/>
        </w:rPr>
      </w:pPr>
    </w:p>
    <w:p w14:paraId="034408A2" w14:textId="6E1FFAD5" w:rsidR="004278A6" w:rsidRPr="006B6C86" w:rsidRDefault="004278A6" w:rsidP="00D93020">
      <w:pPr>
        <w:pStyle w:val="ListParagraph"/>
        <w:numPr>
          <w:ilvl w:val="0"/>
          <w:numId w:val="1"/>
        </w:numPr>
        <w:spacing w:after="0" w:line="240" w:lineRule="auto"/>
        <w:rPr>
          <w:rFonts w:ascii="Arial" w:hAnsi="Arial" w:cs="Arial"/>
          <w:b/>
          <w:bCs/>
          <w:color w:val="000000" w:themeColor="text1"/>
        </w:rPr>
      </w:pPr>
      <w:r w:rsidRPr="006B6C86">
        <w:rPr>
          <w:rFonts w:ascii="Arial" w:hAnsi="Arial" w:cs="Arial"/>
          <w:b/>
          <w:bCs/>
          <w:color w:val="000000" w:themeColor="text1"/>
        </w:rPr>
        <w:t xml:space="preserve"> </w:t>
      </w:r>
    </w:p>
    <w:sectPr w:rsidR="004278A6" w:rsidRPr="006B6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D13BE"/>
    <w:multiLevelType w:val="multilevel"/>
    <w:tmpl w:val="417C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51B38"/>
    <w:multiLevelType w:val="multilevel"/>
    <w:tmpl w:val="F1748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D84ADA"/>
    <w:multiLevelType w:val="multilevel"/>
    <w:tmpl w:val="9FE49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BA6B3D"/>
    <w:multiLevelType w:val="multilevel"/>
    <w:tmpl w:val="94A4F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1E0D11"/>
    <w:multiLevelType w:val="hybridMultilevel"/>
    <w:tmpl w:val="62723A9E"/>
    <w:lvl w:ilvl="0" w:tplc="B2CA93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A6B17DB"/>
    <w:multiLevelType w:val="multilevel"/>
    <w:tmpl w:val="BDA4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3E1981"/>
    <w:multiLevelType w:val="multilevel"/>
    <w:tmpl w:val="1F5C7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866337"/>
    <w:multiLevelType w:val="multilevel"/>
    <w:tmpl w:val="177C7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500D2B"/>
    <w:multiLevelType w:val="multilevel"/>
    <w:tmpl w:val="B7001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FC46E3"/>
    <w:multiLevelType w:val="multilevel"/>
    <w:tmpl w:val="5FF82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F32A7C"/>
    <w:multiLevelType w:val="multilevel"/>
    <w:tmpl w:val="2948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BB7A40"/>
    <w:multiLevelType w:val="multilevel"/>
    <w:tmpl w:val="5C5EF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3295F"/>
    <w:multiLevelType w:val="multilevel"/>
    <w:tmpl w:val="ABE4E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5624F1"/>
    <w:multiLevelType w:val="hybridMultilevel"/>
    <w:tmpl w:val="CC6CFC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5F436C"/>
    <w:multiLevelType w:val="multilevel"/>
    <w:tmpl w:val="7CBA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32032D"/>
    <w:multiLevelType w:val="multilevel"/>
    <w:tmpl w:val="1100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AC55B7"/>
    <w:multiLevelType w:val="multilevel"/>
    <w:tmpl w:val="4F20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7930A2"/>
    <w:multiLevelType w:val="multilevel"/>
    <w:tmpl w:val="FB80F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2E538E"/>
    <w:multiLevelType w:val="multilevel"/>
    <w:tmpl w:val="525A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205136">
    <w:abstractNumId w:val="13"/>
  </w:num>
  <w:num w:numId="2" w16cid:durableId="1761562287">
    <w:abstractNumId w:val="4"/>
  </w:num>
  <w:num w:numId="3" w16cid:durableId="1301885984">
    <w:abstractNumId w:val="14"/>
  </w:num>
  <w:num w:numId="4" w16cid:durableId="104081185">
    <w:abstractNumId w:val="16"/>
  </w:num>
  <w:num w:numId="5" w16cid:durableId="1702054106">
    <w:abstractNumId w:val="15"/>
  </w:num>
  <w:num w:numId="6" w16cid:durableId="386537791">
    <w:abstractNumId w:val="2"/>
  </w:num>
  <w:num w:numId="7" w16cid:durableId="1675183135">
    <w:abstractNumId w:val="6"/>
  </w:num>
  <w:num w:numId="8" w16cid:durableId="1712531743">
    <w:abstractNumId w:val="5"/>
  </w:num>
  <w:num w:numId="9" w16cid:durableId="637036493">
    <w:abstractNumId w:val="12"/>
  </w:num>
  <w:num w:numId="10" w16cid:durableId="650714521">
    <w:abstractNumId w:val="17"/>
  </w:num>
  <w:num w:numId="11" w16cid:durableId="745880986">
    <w:abstractNumId w:val="9"/>
  </w:num>
  <w:num w:numId="12" w16cid:durableId="342556713">
    <w:abstractNumId w:val="18"/>
  </w:num>
  <w:num w:numId="13" w16cid:durableId="1758941100">
    <w:abstractNumId w:val="11"/>
  </w:num>
  <w:num w:numId="14" w16cid:durableId="1869444436">
    <w:abstractNumId w:val="8"/>
  </w:num>
  <w:num w:numId="15" w16cid:durableId="1881353882">
    <w:abstractNumId w:val="3"/>
  </w:num>
  <w:num w:numId="16" w16cid:durableId="662515946">
    <w:abstractNumId w:val="0"/>
  </w:num>
  <w:num w:numId="17" w16cid:durableId="110561261">
    <w:abstractNumId w:val="10"/>
  </w:num>
  <w:num w:numId="18" w16cid:durableId="136072070">
    <w:abstractNumId w:val="7"/>
  </w:num>
  <w:num w:numId="19" w16cid:durableId="2056662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020"/>
    <w:rsid w:val="000805C8"/>
    <w:rsid w:val="004278A6"/>
    <w:rsid w:val="00442ED3"/>
    <w:rsid w:val="005E2C55"/>
    <w:rsid w:val="00663E9C"/>
    <w:rsid w:val="006B6C86"/>
    <w:rsid w:val="006E4147"/>
    <w:rsid w:val="007E3126"/>
    <w:rsid w:val="009E0868"/>
    <w:rsid w:val="00A22227"/>
    <w:rsid w:val="00BF551C"/>
    <w:rsid w:val="00CA793E"/>
    <w:rsid w:val="00D93020"/>
    <w:rsid w:val="00DA01DE"/>
    <w:rsid w:val="00DA36C2"/>
    <w:rsid w:val="00F72A0D"/>
    <w:rsid w:val="00F915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67DC9"/>
  <w15:chartTrackingRefBased/>
  <w15:docId w15:val="{CA648D39-B2CB-4961-8D2C-BB6ECB894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0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30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30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30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30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0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0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0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0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0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30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30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30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30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0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0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0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020"/>
    <w:rPr>
      <w:rFonts w:eastAsiaTheme="majorEastAsia" w:cstheme="majorBidi"/>
      <w:color w:val="272727" w:themeColor="text1" w:themeTint="D8"/>
    </w:rPr>
  </w:style>
  <w:style w:type="paragraph" w:styleId="Title">
    <w:name w:val="Title"/>
    <w:basedOn w:val="Normal"/>
    <w:next w:val="Normal"/>
    <w:link w:val="TitleChar"/>
    <w:uiPriority w:val="10"/>
    <w:qFormat/>
    <w:rsid w:val="00D930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0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0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0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020"/>
    <w:pPr>
      <w:spacing w:before="160"/>
      <w:jc w:val="center"/>
    </w:pPr>
    <w:rPr>
      <w:i/>
      <w:iCs/>
      <w:color w:val="404040" w:themeColor="text1" w:themeTint="BF"/>
    </w:rPr>
  </w:style>
  <w:style w:type="character" w:customStyle="1" w:styleId="QuoteChar">
    <w:name w:val="Quote Char"/>
    <w:basedOn w:val="DefaultParagraphFont"/>
    <w:link w:val="Quote"/>
    <w:uiPriority w:val="29"/>
    <w:rsid w:val="00D93020"/>
    <w:rPr>
      <w:i/>
      <w:iCs/>
      <w:color w:val="404040" w:themeColor="text1" w:themeTint="BF"/>
    </w:rPr>
  </w:style>
  <w:style w:type="paragraph" w:styleId="ListParagraph">
    <w:name w:val="List Paragraph"/>
    <w:basedOn w:val="Normal"/>
    <w:uiPriority w:val="34"/>
    <w:qFormat/>
    <w:rsid w:val="00D93020"/>
    <w:pPr>
      <w:ind w:left="720"/>
      <w:contextualSpacing/>
    </w:pPr>
  </w:style>
  <w:style w:type="character" w:styleId="IntenseEmphasis">
    <w:name w:val="Intense Emphasis"/>
    <w:basedOn w:val="DefaultParagraphFont"/>
    <w:uiPriority w:val="21"/>
    <w:qFormat/>
    <w:rsid w:val="00D93020"/>
    <w:rPr>
      <w:i/>
      <w:iCs/>
      <w:color w:val="0F4761" w:themeColor="accent1" w:themeShade="BF"/>
    </w:rPr>
  </w:style>
  <w:style w:type="paragraph" w:styleId="IntenseQuote">
    <w:name w:val="Intense Quote"/>
    <w:basedOn w:val="Normal"/>
    <w:next w:val="Normal"/>
    <w:link w:val="IntenseQuoteChar"/>
    <w:uiPriority w:val="30"/>
    <w:qFormat/>
    <w:rsid w:val="00D930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020"/>
    <w:rPr>
      <w:i/>
      <w:iCs/>
      <w:color w:val="0F4761" w:themeColor="accent1" w:themeShade="BF"/>
    </w:rPr>
  </w:style>
  <w:style w:type="character" w:styleId="IntenseReference">
    <w:name w:val="Intense Reference"/>
    <w:basedOn w:val="DefaultParagraphFont"/>
    <w:uiPriority w:val="32"/>
    <w:qFormat/>
    <w:rsid w:val="00D93020"/>
    <w:rPr>
      <w:b/>
      <w:bCs/>
      <w:smallCaps/>
      <w:color w:val="0F4761" w:themeColor="accent1" w:themeShade="BF"/>
      <w:spacing w:val="5"/>
    </w:rPr>
  </w:style>
  <w:style w:type="paragraph" w:styleId="NormalWeb">
    <w:name w:val="Normal (Web)"/>
    <w:basedOn w:val="Normal"/>
    <w:uiPriority w:val="99"/>
    <w:semiHidden/>
    <w:unhideWhenUsed/>
    <w:rsid w:val="000805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805C8"/>
    <w:rPr>
      <w:b/>
      <w:bCs/>
    </w:rPr>
  </w:style>
  <w:style w:type="table" w:styleId="MediumList2-Accent1">
    <w:name w:val="Medium List 2 Accent 1"/>
    <w:basedOn w:val="TableNormal"/>
    <w:uiPriority w:val="66"/>
    <w:rsid w:val="000805C8"/>
    <w:pPr>
      <w:spacing w:after="0" w:line="240" w:lineRule="auto"/>
    </w:pPr>
    <w:rPr>
      <w:rFonts w:asciiTheme="majorHAnsi" w:eastAsiaTheme="majorEastAsia" w:hAnsiTheme="majorHAnsi" w:cstheme="majorBidi"/>
      <w:color w:val="000000" w:themeColor="text1"/>
      <w:kern w:val="0"/>
      <w:sz w:val="22"/>
      <w:szCs w:val="22"/>
      <w:lang w:eastAsia="en-GB"/>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seus.fi" TargetMode="External"/><Relationship Id="rId5" Type="http://schemas.openxmlformats.org/officeDocument/2006/relationships/hyperlink" Target="https://tesi.univpm.i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1417</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vlad barsan</cp:lastModifiedBy>
  <cp:revision>8</cp:revision>
  <dcterms:created xsi:type="dcterms:W3CDTF">2026-07-31T18:30:00Z</dcterms:created>
  <dcterms:modified xsi:type="dcterms:W3CDTF">2026-08-18T18:15:00Z</dcterms:modified>
</cp:coreProperties>
</file>