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82298" w14:textId="77777777" w:rsidR="00DD5969" w:rsidRDefault="00DD5969" w:rsidP="00DD5969">
      <w:pPr>
        <w:spacing w:before="212"/>
        <w:jc w:val="center"/>
        <w:rPr>
          <w:rFonts w:ascii="Arial"/>
          <w:b/>
          <w:sz w:val="56"/>
        </w:rPr>
      </w:pPr>
      <w:bookmarkStart w:id="0" w:name="_Hlk191910285"/>
      <w:bookmarkEnd w:id="0"/>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797CD767" w:rsidR="00DD5969" w:rsidRPr="00C86756" w:rsidRDefault="00DD5969" w:rsidP="00DD5969">
      <w:pPr>
        <w:spacing w:before="212"/>
        <w:rPr>
          <w:rFonts w:ascii="Arial"/>
          <w:b/>
          <w:sz w:val="48"/>
          <w:szCs w:val="48"/>
        </w:rPr>
      </w:pPr>
      <w:r w:rsidRPr="00C86756">
        <w:rPr>
          <w:rFonts w:ascii="Arial"/>
          <w:b/>
          <w:sz w:val="48"/>
          <w:szCs w:val="48"/>
        </w:rPr>
        <w:t>MODULE CODE:</w:t>
      </w:r>
      <w:r w:rsidR="0000375B" w:rsidRPr="00C86756">
        <w:rPr>
          <w:rFonts w:ascii="Arial"/>
          <w:b/>
          <w:sz w:val="48"/>
          <w:szCs w:val="48"/>
        </w:rPr>
        <w:t>ECAD401</w:t>
      </w:r>
      <w:r w:rsidR="00C86756">
        <w:rPr>
          <w:rFonts w:ascii="Arial"/>
          <w:b/>
          <w:sz w:val="48"/>
          <w:szCs w:val="48"/>
        </w:rPr>
        <w:t>5</w:t>
      </w:r>
    </w:p>
    <w:p w14:paraId="5051A2D5" w14:textId="77777777" w:rsidR="00347EA1" w:rsidRPr="00C86756" w:rsidRDefault="00347EA1" w:rsidP="00DD5969">
      <w:pPr>
        <w:spacing w:before="212"/>
        <w:rPr>
          <w:rFonts w:ascii="Arial"/>
          <w:b/>
          <w:sz w:val="48"/>
          <w:szCs w:val="48"/>
        </w:rPr>
      </w:pPr>
    </w:p>
    <w:p w14:paraId="7681432B" w14:textId="283DD584" w:rsidR="00DD5969" w:rsidRPr="00DD5969" w:rsidRDefault="00DD5969" w:rsidP="00DD5969">
      <w:pPr>
        <w:spacing w:before="3"/>
        <w:rPr>
          <w:rFonts w:ascii="Arial"/>
          <w:b/>
          <w:sz w:val="48"/>
          <w:szCs w:val="48"/>
        </w:rPr>
      </w:pPr>
      <w:r w:rsidRPr="00DD5969">
        <w:rPr>
          <w:rFonts w:ascii="Arial"/>
          <w:b/>
          <w:sz w:val="48"/>
          <w:szCs w:val="48"/>
        </w:rPr>
        <w:t>STUDENT NAME:</w:t>
      </w:r>
      <w:r w:rsidR="007D530A">
        <w:rPr>
          <w:rFonts w:ascii="Arial"/>
          <w:b/>
          <w:sz w:val="48"/>
          <w:szCs w:val="48"/>
        </w:rPr>
        <w:t xml:space="preserve"> Eleri Rees</w:t>
      </w:r>
    </w:p>
    <w:p w14:paraId="0D16D138" w14:textId="77777777" w:rsidR="00DD5969" w:rsidRPr="00DD5969" w:rsidRDefault="00DD5969" w:rsidP="00DD5969">
      <w:pPr>
        <w:spacing w:before="3"/>
        <w:rPr>
          <w:rFonts w:ascii="Arial"/>
          <w:b/>
          <w:sz w:val="48"/>
          <w:szCs w:val="48"/>
        </w:rPr>
      </w:pPr>
    </w:p>
    <w:p w14:paraId="18107AFF" w14:textId="2D7A9BD8"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7D530A">
        <w:rPr>
          <w:rFonts w:ascii="Arial"/>
          <w:b/>
          <w:sz w:val="48"/>
          <w:szCs w:val="48"/>
        </w:rPr>
        <w:t xml:space="preserve"> </w:t>
      </w:r>
      <w:r w:rsidR="007D530A">
        <w:rPr>
          <w:rFonts w:ascii="Arial"/>
          <w:b/>
          <w:sz w:val="48"/>
          <w:szCs w:val="48"/>
        </w:rPr>
        <w:tab/>
        <w:t>2403953</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4C9C9B74" w14:textId="32AE2462" w:rsidR="00B103B9" w:rsidRPr="00E243A8" w:rsidRDefault="00B103B9" w:rsidP="00DD5969">
      <w:pPr>
        <w:rPr>
          <w:b/>
          <w:bCs/>
          <w:sz w:val="32"/>
          <w:szCs w:val="32"/>
          <w:u w:val="single"/>
        </w:rPr>
      </w:pPr>
      <w:r w:rsidRPr="00E243A8">
        <w:rPr>
          <w:b/>
          <w:bCs/>
          <w:sz w:val="32"/>
          <w:szCs w:val="32"/>
          <w:u w:val="single"/>
        </w:rPr>
        <w:lastRenderedPageBreak/>
        <w:t>AI Acknowledgement</w:t>
      </w:r>
    </w:p>
    <w:p w14:paraId="5A38292B" w14:textId="77777777" w:rsidR="00B103B9" w:rsidRDefault="00B103B9" w:rsidP="00DD5969"/>
    <w:p w14:paraId="13035154" w14:textId="77777777" w:rsidR="007D530A" w:rsidRDefault="007D530A" w:rsidP="007D530A">
      <w:r>
        <w:t xml:space="preserve">I confirm that I have not used any AI tools in the research and creation of this </w:t>
      </w:r>
    </w:p>
    <w:p w14:paraId="0153C7EE" w14:textId="77777777" w:rsidR="007D530A" w:rsidRDefault="007D530A" w:rsidP="007D530A">
      <w:r>
        <w:t xml:space="preserve">I acknowledge the use of Grammarly www.grammarly.com on 11/02/25 to check spelling and grammar. I used the prompt(s): </w:t>
      </w:r>
    </w:p>
    <w:p w14:paraId="0629A2B9" w14:textId="77777777" w:rsidR="007D530A" w:rsidRDefault="007D530A" w:rsidP="007D530A">
      <w:r>
        <w:t>1. check spelling and grammar</w:t>
      </w:r>
    </w:p>
    <w:p w14:paraId="06543B99" w14:textId="77777777" w:rsidR="007D530A" w:rsidRDefault="007D530A" w:rsidP="007D530A">
      <w:r>
        <w:t xml:space="preserve">I confirm that I have not presented any AI generated text as my own work. </w:t>
      </w:r>
    </w:p>
    <w:p w14:paraId="36D1742B" w14:textId="586B7D07" w:rsidR="0000375B" w:rsidRDefault="007D530A">
      <w:pPr>
        <w:rPr>
          <w:sz w:val="16"/>
          <w:szCs w:val="16"/>
        </w:rPr>
      </w:pPr>
      <w:r>
        <w:t xml:space="preserve">I confirm that I have copies of my drafts, notes, and other resources I used before and after the use of AI tools which I may be asked to provide in evidence. </w:t>
      </w:r>
    </w:p>
    <w:p w14:paraId="5154171D" w14:textId="77777777" w:rsidR="0000375B" w:rsidRDefault="0000375B">
      <w:pPr>
        <w:rPr>
          <w:b/>
          <w:bCs/>
        </w:rPr>
      </w:pPr>
      <w:r w:rsidRPr="0000375B">
        <w:rPr>
          <w:b/>
          <w:bCs/>
        </w:rPr>
        <w:t>Targets from my previous assignment</w:t>
      </w:r>
    </w:p>
    <w:p w14:paraId="17A7A376" w14:textId="77777777" w:rsidR="0000375B" w:rsidRDefault="0000375B">
      <w:pPr>
        <w:rPr>
          <w:b/>
          <w:bCs/>
        </w:rPr>
      </w:pPr>
    </w:p>
    <w:tbl>
      <w:tblPr>
        <w:tblStyle w:val="TableGrid"/>
        <w:tblW w:w="0" w:type="auto"/>
        <w:tblLook w:val="04A0" w:firstRow="1" w:lastRow="0" w:firstColumn="1" w:lastColumn="0" w:noHBand="0" w:noVBand="1"/>
      </w:tblPr>
      <w:tblGrid>
        <w:gridCol w:w="4508"/>
        <w:gridCol w:w="4508"/>
      </w:tblGrid>
      <w:tr w:rsidR="0000375B" w14:paraId="551E84E1" w14:textId="77777777" w:rsidTr="0000375B">
        <w:tc>
          <w:tcPr>
            <w:tcW w:w="4508" w:type="dxa"/>
          </w:tcPr>
          <w:p w14:paraId="672FF086" w14:textId="6A0E023B" w:rsidR="0000375B" w:rsidRPr="0000375B" w:rsidRDefault="0000375B" w:rsidP="00DD5969">
            <w:pPr>
              <w:rPr>
                <w:b/>
                <w:bCs/>
              </w:rPr>
            </w:pPr>
            <w:r w:rsidRPr="0000375B">
              <w:rPr>
                <w:b/>
                <w:bCs/>
              </w:rPr>
              <w:t>Target</w:t>
            </w:r>
          </w:p>
        </w:tc>
        <w:tc>
          <w:tcPr>
            <w:tcW w:w="4508" w:type="dxa"/>
          </w:tcPr>
          <w:p w14:paraId="352B31B4" w14:textId="3C8264E3" w:rsidR="0000375B" w:rsidRPr="0000375B" w:rsidRDefault="0000375B" w:rsidP="00DD5969">
            <w:pPr>
              <w:rPr>
                <w:b/>
                <w:bCs/>
              </w:rPr>
            </w:pPr>
            <w:r w:rsidRPr="0000375B">
              <w:rPr>
                <w:b/>
                <w:bCs/>
              </w:rPr>
              <w:t>How I have addressed it in this work</w:t>
            </w:r>
          </w:p>
        </w:tc>
      </w:tr>
      <w:tr w:rsidR="0000375B" w14:paraId="0DC71ABF" w14:textId="77777777" w:rsidTr="0000375B">
        <w:tc>
          <w:tcPr>
            <w:tcW w:w="4508" w:type="dxa"/>
          </w:tcPr>
          <w:p w14:paraId="52EB84A3" w14:textId="77777777" w:rsidR="0000375B" w:rsidRDefault="0000375B" w:rsidP="00DD5969">
            <w:pPr>
              <w:rPr>
                <w:sz w:val="16"/>
                <w:szCs w:val="16"/>
              </w:rPr>
            </w:pPr>
          </w:p>
          <w:p w14:paraId="76BEE28D" w14:textId="77777777" w:rsidR="0000375B" w:rsidRDefault="0000375B" w:rsidP="00DD5969">
            <w:pPr>
              <w:rPr>
                <w:sz w:val="16"/>
                <w:szCs w:val="16"/>
              </w:rPr>
            </w:pPr>
          </w:p>
          <w:p w14:paraId="0EDC9850" w14:textId="77777777" w:rsidR="0000375B" w:rsidRDefault="0000375B" w:rsidP="00DD5969">
            <w:pPr>
              <w:rPr>
                <w:sz w:val="16"/>
                <w:szCs w:val="16"/>
              </w:rPr>
            </w:pPr>
          </w:p>
        </w:tc>
        <w:tc>
          <w:tcPr>
            <w:tcW w:w="4508" w:type="dxa"/>
          </w:tcPr>
          <w:p w14:paraId="3FCBF01B" w14:textId="77777777" w:rsidR="0000375B" w:rsidRDefault="0000375B" w:rsidP="00DD5969">
            <w:pPr>
              <w:rPr>
                <w:sz w:val="16"/>
                <w:szCs w:val="16"/>
              </w:rPr>
            </w:pPr>
          </w:p>
        </w:tc>
      </w:tr>
      <w:tr w:rsidR="0000375B" w14:paraId="2411A5A2" w14:textId="77777777" w:rsidTr="0000375B">
        <w:tc>
          <w:tcPr>
            <w:tcW w:w="4508" w:type="dxa"/>
          </w:tcPr>
          <w:p w14:paraId="4A120529" w14:textId="77777777" w:rsidR="0000375B" w:rsidRDefault="0000375B" w:rsidP="00DD5969">
            <w:pPr>
              <w:rPr>
                <w:sz w:val="16"/>
                <w:szCs w:val="16"/>
              </w:rPr>
            </w:pPr>
          </w:p>
          <w:p w14:paraId="73ED8D37" w14:textId="77777777" w:rsidR="0000375B" w:rsidRDefault="0000375B" w:rsidP="00DD5969">
            <w:pPr>
              <w:rPr>
                <w:sz w:val="16"/>
                <w:szCs w:val="16"/>
              </w:rPr>
            </w:pPr>
          </w:p>
          <w:p w14:paraId="2A59CA2F" w14:textId="77777777" w:rsidR="0000375B" w:rsidRDefault="0000375B" w:rsidP="00DD5969">
            <w:pPr>
              <w:rPr>
                <w:sz w:val="16"/>
                <w:szCs w:val="16"/>
              </w:rPr>
            </w:pPr>
          </w:p>
        </w:tc>
        <w:tc>
          <w:tcPr>
            <w:tcW w:w="4508" w:type="dxa"/>
          </w:tcPr>
          <w:p w14:paraId="51AE3AC6" w14:textId="77777777" w:rsidR="0000375B" w:rsidRDefault="0000375B" w:rsidP="00DD5969">
            <w:pPr>
              <w:rPr>
                <w:sz w:val="16"/>
                <w:szCs w:val="16"/>
              </w:rPr>
            </w:pPr>
          </w:p>
        </w:tc>
      </w:tr>
      <w:tr w:rsidR="0000375B" w14:paraId="7E9C0FF5" w14:textId="77777777" w:rsidTr="0000375B">
        <w:tc>
          <w:tcPr>
            <w:tcW w:w="4508" w:type="dxa"/>
          </w:tcPr>
          <w:p w14:paraId="31E1404E" w14:textId="77777777" w:rsidR="0000375B" w:rsidRDefault="0000375B" w:rsidP="00DD5969">
            <w:pPr>
              <w:rPr>
                <w:sz w:val="16"/>
                <w:szCs w:val="16"/>
              </w:rPr>
            </w:pPr>
          </w:p>
          <w:p w14:paraId="49C39DFD" w14:textId="77777777" w:rsidR="0000375B" w:rsidRDefault="0000375B" w:rsidP="00DD5969">
            <w:pPr>
              <w:rPr>
                <w:sz w:val="16"/>
                <w:szCs w:val="16"/>
              </w:rPr>
            </w:pPr>
          </w:p>
          <w:p w14:paraId="540BFA50" w14:textId="77777777" w:rsidR="0000375B" w:rsidRDefault="0000375B" w:rsidP="00DD5969">
            <w:pPr>
              <w:rPr>
                <w:sz w:val="16"/>
                <w:szCs w:val="16"/>
              </w:rPr>
            </w:pPr>
          </w:p>
        </w:tc>
        <w:tc>
          <w:tcPr>
            <w:tcW w:w="4508" w:type="dxa"/>
          </w:tcPr>
          <w:p w14:paraId="6A8EAD52" w14:textId="77777777" w:rsidR="0000375B" w:rsidRDefault="0000375B" w:rsidP="00DD5969">
            <w:pPr>
              <w:rPr>
                <w:sz w:val="16"/>
                <w:szCs w:val="16"/>
              </w:rPr>
            </w:pPr>
          </w:p>
        </w:tc>
      </w:tr>
    </w:tbl>
    <w:p w14:paraId="7F589502" w14:textId="77777777" w:rsidR="000C541C" w:rsidRDefault="000C541C" w:rsidP="00DD5969">
      <w:pPr>
        <w:rPr>
          <w:sz w:val="16"/>
          <w:szCs w:val="16"/>
        </w:rPr>
      </w:pPr>
    </w:p>
    <w:p w14:paraId="2C0C87DB" w14:textId="77777777" w:rsidR="00EB28ED" w:rsidRPr="004F209C" w:rsidRDefault="00EB28ED" w:rsidP="006E50C4">
      <w:pPr>
        <w:spacing w:line="276" w:lineRule="auto"/>
        <w:rPr>
          <w:rFonts w:ascii="Arial" w:hAnsi="Arial" w:cs="Arial"/>
          <w:b/>
          <w:bCs/>
          <w:u w:val="single"/>
        </w:rPr>
      </w:pPr>
      <w:r w:rsidRPr="004F209C">
        <w:rPr>
          <w:rFonts w:ascii="Arial" w:hAnsi="Arial" w:cs="Arial"/>
          <w:b/>
          <w:bCs/>
          <w:u w:val="single"/>
        </w:rPr>
        <w:t>Demonstrate how cross curricular teaching and learning can influence in depth skills and understanding. Underpin this with reference to relevant research, a detailed lesson plan and an enhanced provision material.</w:t>
      </w:r>
    </w:p>
    <w:p w14:paraId="0228767F" w14:textId="4F145A3E" w:rsidR="007D530A" w:rsidRPr="00CD7581" w:rsidRDefault="007D530A" w:rsidP="006E50C4">
      <w:pPr>
        <w:spacing w:line="276" w:lineRule="auto"/>
        <w:rPr>
          <w:rFonts w:ascii="Arial" w:hAnsi="Arial" w:cs="Arial"/>
          <w:b/>
          <w:bCs/>
          <w:u w:val="single"/>
        </w:rPr>
      </w:pPr>
      <w:r w:rsidRPr="00CD7581">
        <w:rPr>
          <w:rFonts w:ascii="Arial" w:hAnsi="Arial" w:cs="Arial"/>
          <w:b/>
          <w:bCs/>
          <w:u w:val="single"/>
        </w:rPr>
        <w:t>Introduction</w:t>
      </w:r>
    </w:p>
    <w:p w14:paraId="6556A393" w14:textId="77777777" w:rsidR="007D530A" w:rsidRPr="00CD7581" w:rsidRDefault="007D530A" w:rsidP="006E50C4">
      <w:pPr>
        <w:spacing w:line="276" w:lineRule="auto"/>
        <w:rPr>
          <w:rFonts w:ascii="Arial" w:hAnsi="Arial" w:cs="Arial"/>
          <w:sz w:val="22"/>
          <w:szCs w:val="22"/>
        </w:rPr>
      </w:pPr>
      <w:r w:rsidRPr="00CD7581">
        <w:rPr>
          <w:rFonts w:ascii="Arial" w:hAnsi="Arial" w:cs="Arial"/>
          <w:sz w:val="22"/>
          <w:szCs w:val="22"/>
        </w:rPr>
        <w:t>This essay will discuss the opportunities and challenges of cross-curricular teaching, linking it to the Curriculum for Wales. It will also discuss an enhanced task and its links to cross-curricular teaching along with what can be beneficial and what challenges there can be. It will further discuss why it is essential and how it provides skills and understanding for children’s learning.</w:t>
      </w:r>
    </w:p>
    <w:p w14:paraId="47CE3C82" w14:textId="77777777" w:rsidR="007D530A" w:rsidRPr="00CD7581" w:rsidRDefault="007D530A" w:rsidP="006E50C4">
      <w:pPr>
        <w:spacing w:line="276" w:lineRule="auto"/>
        <w:rPr>
          <w:rFonts w:ascii="Arial" w:hAnsi="Arial" w:cs="Arial"/>
          <w:sz w:val="22"/>
          <w:szCs w:val="22"/>
        </w:rPr>
      </w:pPr>
      <w:r w:rsidRPr="00CD7581">
        <w:rPr>
          <w:rFonts w:ascii="Arial" w:hAnsi="Arial" w:cs="Arial"/>
          <w:sz w:val="22"/>
          <w:szCs w:val="22"/>
        </w:rPr>
        <w:t>The Curriculum for Wales (2022a) states that pedagogy was central to curriculum development. Therefore, it is important to include the four purposes and the twelve pedagogical principles in the planning of lessons and the classroom to support the children’s learning while providing consistent learning opportunities. The twelve pedagogical principles link to cross-curricular teaching when the teacher can use the setting and resources that use children's previous experiences and knowledge to engage them in future activities.</w:t>
      </w:r>
    </w:p>
    <w:p w14:paraId="4DF42C9B" w14:textId="77777777" w:rsidR="007D530A" w:rsidRPr="00CD7581" w:rsidRDefault="007D530A" w:rsidP="006E50C4">
      <w:pPr>
        <w:spacing w:line="276" w:lineRule="auto"/>
        <w:rPr>
          <w:rFonts w:ascii="Arial" w:hAnsi="Arial" w:cs="Arial"/>
          <w:b/>
          <w:bCs/>
          <w:sz w:val="22"/>
          <w:szCs w:val="22"/>
          <w:u w:val="single"/>
        </w:rPr>
      </w:pPr>
      <w:r w:rsidRPr="00CD7581">
        <w:rPr>
          <w:rFonts w:ascii="Arial" w:hAnsi="Arial" w:cs="Arial"/>
          <w:sz w:val="22"/>
          <w:szCs w:val="22"/>
        </w:rPr>
        <w:t xml:space="preserve">Cross-curricular teaching provides opportunities for the teacher to support different areas of learning during the same activity. This could include maths, literacy, and expressive arts or allow the teacher to include other areas of learning in the class. Teaching cross-curricular </w:t>
      </w:r>
      <w:r w:rsidRPr="00CD7581">
        <w:rPr>
          <w:rFonts w:ascii="Arial" w:hAnsi="Arial" w:cs="Arial"/>
          <w:sz w:val="22"/>
          <w:szCs w:val="22"/>
        </w:rPr>
        <w:lastRenderedPageBreak/>
        <w:t>activities can benefit the children's learning because they can develop different skills in different areas, thus allowing them to connect and link to various topics in the future.</w:t>
      </w:r>
    </w:p>
    <w:p w14:paraId="2B6006EF" w14:textId="77777777" w:rsidR="007D530A" w:rsidRPr="00CD7581" w:rsidRDefault="007D530A" w:rsidP="006E50C4">
      <w:pPr>
        <w:spacing w:line="276" w:lineRule="auto"/>
        <w:rPr>
          <w:rFonts w:ascii="Arial" w:hAnsi="Arial" w:cs="Arial"/>
          <w:sz w:val="22"/>
          <w:szCs w:val="22"/>
        </w:rPr>
      </w:pPr>
      <w:r w:rsidRPr="00CD7581">
        <w:rPr>
          <w:rFonts w:ascii="Arial" w:hAnsi="Arial" w:cs="Arial"/>
          <w:sz w:val="22"/>
          <w:szCs w:val="22"/>
        </w:rPr>
        <w:t>Barnes (2018, p.22) states that cross-curricular learning happens when the child’s developed skills in different learning areas are used to learn a new understanding through experiences, problems or questions. Rowley and Cooper (2009, p. 2) suggest that teachers search for meaningful links between the subjects while still considering the unique way of thinking involved. They should also consider the children’s real-life experiences and how they can help them relate to what they are learning.</w:t>
      </w:r>
    </w:p>
    <w:p w14:paraId="1DF6C363" w14:textId="77777777" w:rsidR="007D530A" w:rsidRPr="00CD7581" w:rsidRDefault="007D530A" w:rsidP="006E50C4">
      <w:pPr>
        <w:spacing w:line="276" w:lineRule="auto"/>
        <w:rPr>
          <w:rFonts w:ascii="Arial" w:hAnsi="Arial" w:cs="Arial"/>
          <w:b/>
          <w:bCs/>
          <w:u w:val="single"/>
        </w:rPr>
      </w:pPr>
      <w:r w:rsidRPr="00CD7581">
        <w:rPr>
          <w:rFonts w:ascii="Arial" w:hAnsi="Arial" w:cs="Arial"/>
          <w:b/>
          <w:bCs/>
          <w:u w:val="single"/>
        </w:rPr>
        <w:t>Main body</w:t>
      </w:r>
    </w:p>
    <w:p w14:paraId="1EB26829" w14:textId="77777777" w:rsidR="007D530A" w:rsidRPr="00CD7581" w:rsidRDefault="007D530A" w:rsidP="006E50C4">
      <w:pPr>
        <w:spacing w:line="276" w:lineRule="auto"/>
        <w:rPr>
          <w:rFonts w:ascii="Arial" w:hAnsi="Arial" w:cs="Arial"/>
          <w:b/>
          <w:bCs/>
          <w:sz w:val="22"/>
          <w:szCs w:val="22"/>
          <w:u w:val="single"/>
        </w:rPr>
      </w:pPr>
      <w:r w:rsidRPr="00CD7581">
        <w:rPr>
          <w:rFonts w:ascii="Arial" w:hAnsi="Arial" w:cs="Arial"/>
          <w:sz w:val="22"/>
          <w:szCs w:val="22"/>
        </w:rPr>
        <w:t>The literacy, numeracy and digital competency framework is compulsory. It applies to all learners across the years as it provides opportunities throughout the curriculum for the learners to develop life-long skills in the four purposes, which can then be passed on to the learners to adapt and succeed in the modern world. (Welsh government, 2022b)</w:t>
      </w:r>
    </w:p>
    <w:p w14:paraId="3D52B367" w14:textId="77777777" w:rsidR="007D530A" w:rsidRPr="00CD7581" w:rsidRDefault="007D530A" w:rsidP="006E50C4">
      <w:pPr>
        <w:spacing w:line="276" w:lineRule="auto"/>
        <w:rPr>
          <w:rFonts w:ascii="Arial" w:hAnsi="Arial" w:cs="Arial"/>
          <w:sz w:val="22"/>
          <w:szCs w:val="22"/>
        </w:rPr>
      </w:pPr>
      <w:r w:rsidRPr="00CD7581">
        <w:rPr>
          <w:rFonts w:ascii="Arial" w:hAnsi="Arial" w:cs="Arial"/>
          <w:sz w:val="22"/>
          <w:szCs w:val="22"/>
        </w:rPr>
        <w:t xml:space="preserve">Many opportunities and challenges can influence cross-curricular teaching. Hattie (2012, p. 25) suggests that experienced teachers can understand where links across subjects can be made. These links can then be introduced to the children as new knowledge while encouraging them to support themselves with prior knowledge of the subjects. This can be an opportunity for cross-curricular teaching because children can link to what was previously learnt to support their future learning. This is because when the lesson was taught with cross-curricular teaching, the lesson may have included a topic or aspect the child was interested in. This could suggest that the child would pay more active attention and participate, leading to the child developing a greater understanding. </w:t>
      </w:r>
    </w:p>
    <w:p w14:paraId="28B94D56" w14:textId="77777777" w:rsidR="007D530A" w:rsidRPr="00CD7581" w:rsidRDefault="007D530A" w:rsidP="006E50C4">
      <w:pPr>
        <w:spacing w:line="276" w:lineRule="auto"/>
        <w:rPr>
          <w:rFonts w:ascii="Arial" w:hAnsi="Arial" w:cs="Arial"/>
          <w:sz w:val="22"/>
          <w:szCs w:val="22"/>
        </w:rPr>
      </w:pPr>
      <w:r w:rsidRPr="00CD7581">
        <w:rPr>
          <w:rFonts w:ascii="Arial" w:hAnsi="Arial" w:cs="Arial"/>
          <w:sz w:val="22"/>
          <w:szCs w:val="22"/>
        </w:rPr>
        <w:t>However, some areas of learning may not fit together, creating a complicated task for the children to carry out and benefit from. When this happens, it will not benefit the children’s learning; they may struggle to understand what they are asked to complete. Spooner and Woodcock (2013, p.1) describe that many children were struggling to listen to instructions and follow the task set for them. They discuss this further, stating that this lack of ability to listen and focus is affecting the children's learning in areas across the curriculum, but also mention that the impact of the child not being able to focus can make it more difficult for the rest of the class to listen. If the children cannot make the connections and links to different topics in the future, it may be likely the children will struggle academically as they do not have a foundational understanding of the subjects being taught.</w:t>
      </w:r>
    </w:p>
    <w:p w14:paraId="67D8AAB1" w14:textId="77777777" w:rsidR="007D530A" w:rsidRPr="00CD7581" w:rsidRDefault="007D530A" w:rsidP="006E50C4">
      <w:pPr>
        <w:spacing w:line="276" w:lineRule="auto"/>
        <w:rPr>
          <w:rFonts w:ascii="Arial" w:hAnsi="Arial" w:cs="Arial"/>
          <w:sz w:val="22"/>
          <w:szCs w:val="22"/>
        </w:rPr>
      </w:pPr>
      <w:r w:rsidRPr="00CD7581">
        <w:rPr>
          <w:rFonts w:ascii="Arial" w:hAnsi="Arial" w:cs="Arial"/>
          <w:sz w:val="22"/>
          <w:szCs w:val="22"/>
        </w:rPr>
        <w:t>Kelly (2015, p.6) comments that although cross-curricular teaching benefits children's learning, some subjects may be too similar to each other to be considered cross-curricular teaching. Although it may be beneficial for developing a deeper understanding, it may not support different skill areas.</w:t>
      </w:r>
    </w:p>
    <w:p w14:paraId="7E1928F4" w14:textId="77777777" w:rsidR="007D530A" w:rsidRPr="00CD7581" w:rsidRDefault="007D530A" w:rsidP="006E50C4">
      <w:pPr>
        <w:spacing w:line="276" w:lineRule="auto"/>
        <w:rPr>
          <w:rFonts w:ascii="Arial" w:hAnsi="Arial" w:cs="Arial"/>
          <w:sz w:val="22"/>
          <w:szCs w:val="22"/>
        </w:rPr>
      </w:pPr>
      <w:r w:rsidRPr="00CD7581">
        <w:rPr>
          <w:rFonts w:ascii="Arial" w:hAnsi="Arial" w:cs="Arial"/>
          <w:sz w:val="22"/>
          <w:szCs w:val="22"/>
        </w:rPr>
        <w:t xml:space="preserve">The Welsh Government (2016) introduced the aim for children's digital competency skills to be fully integrated throughout children’s learning. Suggesting that when implementing the use of technology into the lesson will support the development of children’s digital skills to be able to apply them in real-world situations. Barrett </w:t>
      </w:r>
      <w:r w:rsidRPr="00CD7581">
        <w:rPr>
          <w:rFonts w:ascii="Arial" w:hAnsi="Arial" w:cs="Arial"/>
          <w:i/>
          <w:iCs/>
          <w:sz w:val="22"/>
          <w:szCs w:val="22"/>
        </w:rPr>
        <w:t xml:space="preserve">et al </w:t>
      </w:r>
      <w:r w:rsidRPr="00CD7581">
        <w:rPr>
          <w:rFonts w:ascii="Arial" w:hAnsi="Arial" w:cs="Arial"/>
          <w:sz w:val="22"/>
          <w:szCs w:val="22"/>
        </w:rPr>
        <w:t>(2019, p. 9) suggest that flexibility and adapting when using technology to support children’s learning can provide various learning opportunities and experiences. However, they further discussed that there is a need for teacher-student interactions because technology can be distracting from in-person engagement.</w:t>
      </w:r>
    </w:p>
    <w:p w14:paraId="264524FC" w14:textId="77777777" w:rsidR="007D530A" w:rsidRPr="00CD7581" w:rsidRDefault="007D530A" w:rsidP="006E50C4">
      <w:pPr>
        <w:spacing w:line="276" w:lineRule="auto"/>
        <w:rPr>
          <w:rFonts w:ascii="Arial" w:hAnsi="Arial" w:cs="Arial"/>
          <w:sz w:val="22"/>
          <w:szCs w:val="22"/>
        </w:rPr>
      </w:pPr>
      <w:r w:rsidRPr="00CD7581">
        <w:rPr>
          <w:rFonts w:ascii="Arial" w:hAnsi="Arial" w:cs="Arial"/>
          <w:sz w:val="22"/>
          <w:szCs w:val="22"/>
        </w:rPr>
        <w:lastRenderedPageBreak/>
        <w:t xml:space="preserve">Goldan, Loreman, and Lambrecht (2022, p. 1) suggest that a lack of resources in the setting may affect teachers' confidence in their ability to create effective lessons and inclusive environments. Although cross-curricular teaching can support other aspects of the child, such as their teamwork skills and patience, the teacher may be unable to create an effective environment to support this. It may be because the teacher does not have access to resources that can support this. Maffea (2020, p. 1) further suggests that if teachers have a lack of resources this can hinder the children’s fullest potential for learning. </w:t>
      </w:r>
    </w:p>
    <w:p w14:paraId="45A89344" w14:textId="77777777" w:rsidR="007D530A" w:rsidRPr="00CD7581" w:rsidRDefault="007D530A" w:rsidP="006E50C4">
      <w:pPr>
        <w:spacing w:line="276" w:lineRule="auto"/>
        <w:rPr>
          <w:rFonts w:ascii="Arial" w:hAnsi="Arial" w:cs="Arial"/>
          <w:sz w:val="22"/>
          <w:szCs w:val="22"/>
        </w:rPr>
      </w:pPr>
      <w:r w:rsidRPr="00CD7581">
        <w:rPr>
          <w:rFonts w:ascii="Arial" w:hAnsi="Arial" w:cs="Arial"/>
          <w:sz w:val="22"/>
          <w:szCs w:val="22"/>
        </w:rPr>
        <w:t xml:space="preserve">Chesworth (2018, p. 5) suggests that a child’s interests can be influenced by their home life but are also influenced by their peers. This is that it is not just the individual minds of the children that fully determine their interests but their peer's interests. Suggesting that viewing another peer participate in an activity may gain the child’s interest in participating too. And vice versa; seeing others unwilling to participate could cause the child to become unwilling to do as they have seen their peer's opinion of the activity without participating first. This suggests that if the child does not hold an interest in the activity, they may be resistant to it, which could disturb their learning and possibly other students too. </w:t>
      </w:r>
    </w:p>
    <w:p w14:paraId="6F2668A0" w14:textId="77777777" w:rsidR="007D530A" w:rsidRPr="00CD7581" w:rsidRDefault="007D530A" w:rsidP="006E50C4">
      <w:pPr>
        <w:spacing w:line="276" w:lineRule="auto"/>
        <w:rPr>
          <w:rFonts w:ascii="Arial" w:hAnsi="Arial" w:cs="Arial"/>
          <w:sz w:val="22"/>
          <w:szCs w:val="22"/>
        </w:rPr>
      </w:pPr>
      <w:r w:rsidRPr="00CD7581">
        <w:rPr>
          <w:rFonts w:ascii="Arial" w:hAnsi="Arial" w:cs="Arial"/>
          <w:sz w:val="22"/>
          <w:szCs w:val="22"/>
        </w:rPr>
        <w:t xml:space="preserve">Appendix A presents a Lesson plan relating to Saint David's Day; during this enhanced provision, the children will have the opportunity to create a card with the design of a daffodil or a leek on the front. On the inside of the card, a message will be written in Welsh or English, saying "Happy Saint David's Day" or “Dydd gwyl Dewi hapus” to whoever they want to write it to. When the children are making a design on the front of the card, there will be a range of materials that the children can use; this will range from the card, textile cardboard, mesh and fabric. The written message will be completed on the computers and printed out and stuck onto the card by the children; see Appendix B for an example. </w:t>
      </w:r>
    </w:p>
    <w:p w14:paraId="2F88A28F" w14:textId="77777777" w:rsidR="007D530A" w:rsidRPr="00CD7581" w:rsidRDefault="007D530A" w:rsidP="006E50C4">
      <w:pPr>
        <w:spacing w:line="276" w:lineRule="auto"/>
        <w:rPr>
          <w:rFonts w:ascii="Arial" w:hAnsi="Arial" w:cs="Arial"/>
          <w:sz w:val="22"/>
          <w:szCs w:val="22"/>
        </w:rPr>
      </w:pPr>
      <w:r w:rsidRPr="00CD7581">
        <w:rPr>
          <w:rFonts w:ascii="Arial" w:hAnsi="Arial" w:cs="Arial"/>
          <w:sz w:val="22"/>
          <w:szCs w:val="22"/>
        </w:rPr>
        <w:t xml:space="preserve">In Appendix A, the lesson plan addresses multiple areas of learning: Expressive Art, Numeracy, Digital Competency, Language Literacy, Communication, and Humanities. A different aspect of the enhanced provision meets each area. This enhanced provision meets the standards of the digital competency framework and the literacy and numeracy framework. This is because the children will complete a simple piece of work and also be able to design their sentence page that can include pictures, different colours, and borders (Digital Competency Framework, 2022c). </w:t>
      </w:r>
    </w:p>
    <w:p w14:paraId="27D11919" w14:textId="77777777" w:rsidR="007D530A" w:rsidRPr="00CD7581" w:rsidRDefault="007D530A" w:rsidP="006E50C4">
      <w:pPr>
        <w:spacing w:line="276" w:lineRule="auto"/>
        <w:rPr>
          <w:rFonts w:ascii="Arial" w:hAnsi="Arial" w:cs="Arial"/>
          <w:sz w:val="22"/>
          <w:szCs w:val="22"/>
        </w:rPr>
      </w:pPr>
      <w:r w:rsidRPr="00CD7581">
        <w:rPr>
          <w:rFonts w:ascii="Arial" w:hAnsi="Arial" w:cs="Arial"/>
          <w:sz w:val="22"/>
          <w:szCs w:val="22"/>
        </w:rPr>
        <w:t>To meet the literacy, language and communication framework, the lesson will support children’s bilingual writing skills as well as their communication skills. This will be met with the children demonstrating their ability to listen to multi-step instruction through pictures and verbal instructions, as well as their ability to complete the writing portion of the task by showing a developed understanding of sentence structure (Literacy, Language and Communication Framework, 2022d).</w:t>
      </w:r>
    </w:p>
    <w:p w14:paraId="1BBCA30F" w14:textId="77777777" w:rsidR="007D530A" w:rsidRPr="00CD7581" w:rsidRDefault="007D530A" w:rsidP="006E50C4">
      <w:pPr>
        <w:spacing w:line="276" w:lineRule="auto"/>
        <w:rPr>
          <w:rFonts w:ascii="Arial" w:hAnsi="Arial" w:cs="Arial"/>
          <w:sz w:val="22"/>
          <w:szCs w:val="22"/>
        </w:rPr>
      </w:pPr>
      <w:r w:rsidRPr="00CD7581">
        <w:rPr>
          <w:rFonts w:ascii="Arial" w:hAnsi="Arial" w:cs="Arial"/>
          <w:sz w:val="22"/>
          <w:szCs w:val="22"/>
        </w:rPr>
        <w:t>To meet the numeracy framework, the enhanced provision will support the children’s counting, recognition, and replication of patterns (Numeracy Framework 2022e). When supporting children who need additional support, the enhanced provision can be adapted to have the children count out and cut six petals for the flower, including the leaves. For more able and talented children, the provision can be adapted to provide the challenge of having to fold and cut out the pattern they want with the support of visual aids.</w:t>
      </w:r>
    </w:p>
    <w:p w14:paraId="2EC83B29" w14:textId="77777777" w:rsidR="007D530A" w:rsidRPr="00CD7581" w:rsidRDefault="007D530A" w:rsidP="006E50C4">
      <w:pPr>
        <w:spacing w:line="276" w:lineRule="auto"/>
        <w:rPr>
          <w:rFonts w:ascii="Arial" w:hAnsi="Arial" w:cs="Arial"/>
          <w:sz w:val="22"/>
          <w:szCs w:val="22"/>
        </w:rPr>
      </w:pPr>
      <w:r w:rsidRPr="00CD7581">
        <w:rPr>
          <w:rFonts w:ascii="Arial" w:hAnsi="Arial" w:cs="Arial"/>
          <w:sz w:val="22"/>
          <w:szCs w:val="22"/>
        </w:rPr>
        <w:t xml:space="preserve">This enhanced task also meets some of the four pedagogical purposes, which would be supporting the children to gain a deeper understanding of their Welsh heritage. During the </w:t>
      </w:r>
      <w:r w:rsidRPr="00CD7581">
        <w:rPr>
          <w:rFonts w:ascii="Arial" w:hAnsi="Arial" w:cs="Arial"/>
          <w:sz w:val="22"/>
          <w:szCs w:val="22"/>
        </w:rPr>
        <w:lastRenderedPageBreak/>
        <w:t>enhanced task, there will be discussions about the traditions that are typical for the day as well as providing the children the opportunity to share any traditions their family may participate in to celebrate the day. This enhanced activity also engages the students to use their previous knowledge to build upon when meeting new subjects to apply them to different areas (Welsh Government, 2022f).</w:t>
      </w:r>
    </w:p>
    <w:p w14:paraId="52925D06" w14:textId="77777777" w:rsidR="007D530A" w:rsidRPr="00CD7581" w:rsidRDefault="007D530A" w:rsidP="006E50C4">
      <w:pPr>
        <w:spacing w:line="276" w:lineRule="auto"/>
        <w:rPr>
          <w:rFonts w:ascii="Arial" w:hAnsi="Arial" w:cs="Arial"/>
          <w:sz w:val="22"/>
          <w:szCs w:val="22"/>
        </w:rPr>
      </w:pPr>
      <w:r w:rsidRPr="00CD7581">
        <w:rPr>
          <w:rFonts w:ascii="Arial" w:hAnsi="Arial" w:cs="Arial"/>
          <w:sz w:val="22"/>
          <w:szCs w:val="22"/>
        </w:rPr>
        <w:t xml:space="preserve">Gaul and Issartel (2015, p.1) summarise that poor fine motor skills development can affect children’s future learning. During this enhanced provision, some children may face challenges completing this activity. This could be that the child struggles to hold the scissors or is left-handed, which would mean that support and left-handed scissors must be provided so the children can also complete the task. Global Education Therapy and Fowler (2022) suggest that it is important to engage children in activities that support their fine motor skills, which in turn support their growth and development. </w:t>
      </w:r>
    </w:p>
    <w:p w14:paraId="540793CF" w14:textId="77777777" w:rsidR="007D530A" w:rsidRPr="00CD7581" w:rsidRDefault="007D530A" w:rsidP="006E50C4">
      <w:pPr>
        <w:spacing w:line="276" w:lineRule="auto"/>
        <w:rPr>
          <w:rFonts w:ascii="Arial" w:hAnsi="Arial" w:cs="Arial"/>
          <w:sz w:val="22"/>
          <w:szCs w:val="22"/>
        </w:rPr>
      </w:pPr>
      <w:r w:rsidRPr="00CD7581">
        <w:rPr>
          <w:rFonts w:ascii="Arial" w:hAnsi="Arial" w:cs="Arial"/>
          <w:sz w:val="22"/>
          <w:szCs w:val="22"/>
        </w:rPr>
        <w:t>Another way that this task may be challenging is if the instructions are not clearly explained. It may be confusing to follow the multi-step plan, and this could possibly mean that some children miss some of the instructions. To support this, these children can be provided a template of the flowers or leeks. However, there may be some children who do not find this task challenging enough to enhance their learnt skills, so to accommodate these challenges, such as being able to follow verbal instructions and limited support, may create the opportunity for the children to support their own independent learning to further this the children who are more able and talented can be tasked with creating the daffodils and leeks by folding and cutting rather than template provided to children who may struggle.</w:t>
      </w:r>
    </w:p>
    <w:p w14:paraId="41BE43DE" w14:textId="77777777" w:rsidR="007D530A" w:rsidRPr="00CD7581" w:rsidRDefault="007D530A" w:rsidP="006E50C4">
      <w:pPr>
        <w:spacing w:line="276" w:lineRule="auto"/>
        <w:rPr>
          <w:rFonts w:ascii="Arial" w:hAnsi="Arial" w:cs="Arial"/>
          <w:b/>
          <w:bCs/>
          <w:sz w:val="22"/>
          <w:szCs w:val="22"/>
          <w:u w:val="single"/>
        </w:rPr>
      </w:pPr>
      <w:r w:rsidRPr="00CD7581">
        <w:rPr>
          <w:rFonts w:ascii="Arial" w:hAnsi="Arial" w:cs="Arial"/>
          <w:b/>
          <w:bCs/>
          <w:sz w:val="22"/>
          <w:szCs w:val="22"/>
          <w:u w:val="single"/>
        </w:rPr>
        <w:t>Conclusion</w:t>
      </w:r>
    </w:p>
    <w:p w14:paraId="3B3E630E" w14:textId="77777777" w:rsidR="007D530A" w:rsidRPr="00CD7581" w:rsidRDefault="007D530A" w:rsidP="006E50C4">
      <w:pPr>
        <w:spacing w:line="276" w:lineRule="auto"/>
        <w:rPr>
          <w:rFonts w:ascii="Arial" w:hAnsi="Arial" w:cs="Arial"/>
          <w:sz w:val="22"/>
          <w:szCs w:val="22"/>
        </w:rPr>
      </w:pPr>
      <w:r w:rsidRPr="00CD7581">
        <w:rPr>
          <w:rFonts w:ascii="Arial" w:hAnsi="Arial" w:cs="Arial"/>
          <w:sz w:val="22"/>
          <w:szCs w:val="22"/>
        </w:rPr>
        <w:t>To conclude this essay, cross-curricular teaching can greatly benefit children's learning and development. This can be seen by the range of opportunities it provides for the teacher when teaching different topics in the class while using children’s previously learnt knowledge to support their understanding of new information. However, there can be some challenges when teaching is cross-curricular, such as a lack of resources preventing the teacher from creating an activity across different areas of learning.</w:t>
      </w:r>
    </w:p>
    <w:p w14:paraId="636AEDE5" w14:textId="77777777" w:rsidR="007D530A" w:rsidRPr="00CD7581" w:rsidRDefault="007D530A" w:rsidP="006E50C4">
      <w:pPr>
        <w:spacing w:line="276" w:lineRule="auto"/>
        <w:rPr>
          <w:rFonts w:ascii="Arial" w:hAnsi="Arial" w:cs="Arial"/>
          <w:sz w:val="22"/>
          <w:szCs w:val="22"/>
        </w:rPr>
      </w:pPr>
      <w:r w:rsidRPr="00CD7581">
        <w:rPr>
          <w:rFonts w:ascii="Arial" w:hAnsi="Arial" w:cs="Arial"/>
          <w:sz w:val="22"/>
          <w:szCs w:val="22"/>
        </w:rPr>
        <w:t>Cross-curricular teaching can influence what is taught. It could be assumed that it enables the teacher to gain more insight into what areas of learning can be linked, and it may be easier to teach children who struggle with individual areas. It also provides the teacher with the chance to create new activities and lesson plans that could be more beneficial for the children’s learning. It can also affect other aspects of school for the child, as when the children are beginning to develop the skill of linking back to topics, future learning and real-life experiences can be more easily processed and understood.</w:t>
      </w:r>
    </w:p>
    <w:p w14:paraId="183553EB" w14:textId="77777777" w:rsidR="007D530A" w:rsidRPr="00CD7581" w:rsidRDefault="007D530A" w:rsidP="006E50C4">
      <w:pPr>
        <w:spacing w:line="276" w:lineRule="auto"/>
        <w:rPr>
          <w:rFonts w:ascii="Arial" w:hAnsi="Arial" w:cs="Arial"/>
          <w:sz w:val="22"/>
          <w:szCs w:val="22"/>
        </w:rPr>
      </w:pPr>
      <w:r w:rsidRPr="00CD7581">
        <w:rPr>
          <w:rFonts w:ascii="Arial" w:hAnsi="Arial" w:cs="Arial"/>
          <w:sz w:val="22"/>
          <w:szCs w:val="22"/>
        </w:rPr>
        <w:t>This form of teaching can help the teachers develop their own practice and their professional growth. With this, the teacher should be able to reflect more effectively on how their activities with the children have been going as well as if they are seeing an improvement in their student's development, which they should be able to conclude and evaluate if their practice is beneficial or if there are areas that they need to develop to become effective. (Professional Standards Wales, 2020)</w:t>
      </w:r>
    </w:p>
    <w:p w14:paraId="50E11D29" w14:textId="77777777" w:rsidR="007D530A" w:rsidRPr="00CD7581" w:rsidRDefault="007D530A" w:rsidP="006E50C4">
      <w:pPr>
        <w:spacing w:line="276" w:lineRule="auto"/>
        <w:rPr>
          <w:rFonts w:ascii="Arial" w:hAnsi="Arial" w:cs="Arial"/>
          <w:b/>
          <w:bCs/>
          <w:u w:val="single"/>
        </w:rPr>
      </w:pPr>
      <w:r w:rsidRPr="00CD7581">
        <w:rPr>
          <w:rFonts w:ascii="Arial" w:hAnsi="Arial" w:cs="Arial"/>
          <w:b/>
          <w:bCs/>
          <w:u w:val="single"/>
        </w:rPr>
        <w:t xml:space="preserve">Reference List </w:t>
      </w:r>
    </w:p>
    <w:p w14:paraId="67288FF9" w14:textId="77777777" w:rsidR="007D530A" w:rsidRPr="00CD7581" w:rsidRDefault="007D530A" w:rsidP="006E50C4">
      <w:pPr>
        <w:pStyle w:val="NormalWeb"/>
        <w:spacing w:before="0" w:beforeAutospacing="0" w:after="240" w:afterAutospacing="0" w:line="276" w:lineRule="auto"/>
        <w:rPr>
          <w:rFonts w:ascii="Arial" w:hAnsi="Arial" w:cs="Arial"/>
          <w:sz w:val="22"/>
          <w:szCs w:val="22"/>
        </w:rPr>
      </w:pPr>
      <w:r w:rsidRPr="00CD7581">
        <w:rPr>
          <w:rFonts w:ascii="Arial" w:hAnsi="Arial" w:cs="Arial"/>
          <w:sz w:val="22"/>
          <w:szCs w:val="22"/>
        </w:rPr>
        <w:t xml:space="preserve">Barnes, J. (2018). </w:t>
      </w:r>
      <w:r w:rsidRPr="00CD7581">
        <w:rPr>
          <w:rFonts w:ascii="Arial" w:hAnsi="Arial" w:cs="Arial"/>
          <w:i/>
          <w:iCs/>
          <w:sz w:val="22"/>
          <w:szCs w:val="22"/>
        </w:rPr>
        <w:t>Applying Cross-Curricular Approaches Creatively</w:t>
      </w:r>
      <w:r w:rsidRPr="00CD7581">
        <w:rPr>
          <w:rFonts w:ascii="Arial" w:hAnsi="Arial" w:cs="Arial"/>
          <w:sz w:val="22"/>
          <w:szCs w:val="22"/>
        </w:rPr>
        <w:t>. Milton Routledge.</w:t>
      </w:r>
    </w:p>
    <w:p w14:paraId="1A283ABF" w14:textId="77777777" w:rsidR="007D530A" w:rsidRPr="00CD7581" w:rsidRDefault="007D530A" w:rsidP="006E50C4">
      <w:pPr>
        <w:pStyle w:val="NormalWeb"/>
        <w:spacing w:before="0" w:beforeAutospacing="0" w:after="240" w:afterAutospacing="0" w:line="276" w:lineRule="auto"/>
        <w:rPr>
          <w:rFonts w:ascii="Arial" w:hAnsi="Arial" w:cs="Arial"/>
          <w:sz w:val="22"/>
          <w:szCs w:val="22"/>
        </w:rPr>
      </w:pPr>
      <w:r w:rsidRPr="00CD7581">
        <w:rPr>
          <w:rFonts w:ascii="Arial" w:hAnsi="Arial" w:cs="Arial"/>
          <w:sz w:val="22"/>
          <w:szCs w:val="22"/>
        </w:rPr>
        <w:lastRenderedPageBreak/>
        <w:t xml:space="preserve">Barrett, P., Treves, A., Shmis, T., Ambasz, D. and Ustinova, M. (2019). </w:t>
      </w:r>
      <w:r w:rsidRPr="00CD7581">
        <w:rPr>
          <w:rFonts w:ascii="Arial" w:hAnsi="Arial" w:cs="Arial"/>
          <w:i/>
          <w:iCs/>
          <w:sz w:val="22"/>
          <w:szCs w:val="22"/>
        </w:rPr>
        <w:t>The impact of school infrastructure on learning : a synthesis of the evidence</w:t>
      </w:r>
      <w:r w:rsidRPr="00CD7581">
        <w:rPr>
          <w:rFonts w:ascii="Arial" w:hAnsi="Arial" w:cs="Arial"/>
          <w:sz w:val="22"/>
          <w:szCs w:val="22"/>
        </w:rPr>
        <w:t xml:space="preserve">. Washington, D.C.: World Bank Group. Available at: </w:t>
      </w:r>
      <w:hyperlink r:id="rId5" w:history="1">
        <w:r w:rsidRPr="00CD7581">
          <w:rPr>
            <w:rStyle w:val="Hyperlink"/>
            <w:rFonts w:ascii="Arial" w:eastAsiaTheme="majorEastAsia" w:hAnsi="Arial" w:cs="Arial"/>
            <w:sz w:val="22"/>
            <w:szCs w:val="22"/>
          </w:rPr>
          <w:t>https://files.eric.ed.gov/fulltext/ED604388.pdf</w:t>
        </w:r>
      </w:hyperlink>
      <w:r w:rsidRPr="00CD7581">
        <w:rPr>
          <w:rFonts w:ascii="Arial" w:hAnsi="Arial" w:cs="Arial"/>
          <w:sz w:val="22"/>
          <w:szCs w:val="22"/>
        </w:rPr>
        <w:t xml:space="preserve"> [Accessed 25 Feb. 2025].</w:t>
      </w:r>
    </w:p>
    <w:p w14:paraId="14626B76" w14:textId="77777777" w:rsidR="007D530A" w:rsidRPr="00CD7581" w:rsidRDefault="007D530A" w:rsidP="006E50C4">
      <w:pPr>
        <w:pStyle w:val="NormalWeb"/>
        <w:spacing w:before="0" w:beforeAutospacing="0" w:after="240" w:afterAutospacing="0" w:line="276" w:lineRule="auto"/>
        <w:rPr>
          <w:rFonts w:ascii="Arial" w:hAnsi="Arial" w:cs="Arial"/>
          <w:sz w:val="22"/>
          <w:szCs w:val="22"/>
        </w:rPr>
      </w:pPr>
      <w:r w:rsidRPr="00CD7581">
        <w:rPr>
          <w:rFonts w:ascii="Arial" w:hAnsi="Arial" w:cs="Arial"/>
          <w:sz w:val="22"/>
          <w:szCs w:val="22"/>
        </w:rPr>
        <w:t xml:space="preserve">Chesworth, L. (2018). Theorising young children’s interests: making connections and in-the-moment happenings. </w:t>
      </w:r>
      <w:r w:rsidRPr="00CD7581">
        <w:rPr>
          <w:rFonts w:ascii="Arial" w:hAnsi="Arial" w:cs="Arial"/>
          <w:i/>
          <w:iCs/>
          <w:sz w:val="22"/>
          <w:szCs w:val="22"/>
        </w:rPr>
        <w:t>Learning, Culture and Social Interaction</w:t>
      </w:r>
      <w:r w:rsidRPr="00CD7581">
        <w:rPr>
          <w:rFonts w:ascii="Arial" w:hAnsi="Arial" w:cs="Arial"/>
          <w:sz w:val="22"/>
          <w:szCs w:val="22"/>
        </w:rPr>
        <w:t xml:space="preserve">, 23. doi:https://doi.org/10.1016/j.lcsi.2018.11.010. </w:t>
      </w:r>
    </w:p>
    <w:p w14:paraId="1EC13894" w14:textId="77777777" w:rsidR="007D530A" w:rsidRPr="00CD7581" w:rsidRDefault="007D530A" w:rsidP="006E50C4">
      <w:pPr>
        <w:pStyle w:val="NormalWeb"/>
        <w:spacing w:before="0" w:beforeAutospacing="0" w:after="240" w:afterAutospacing="0" w:line="276" w:lineRule="auto"/>
        <w:rPr>
          <w:rFonts w:ascii="Arial" w:hAnsi="Arial" w:cs="Arial"/>
          <w:sz w:val="22"/>
          <w:szCs w:val="22"/>
        </w:rPr>
      </w:pPr>
      <w:r w:rsidRPr="00CD7581">
        <w:rPr>
          <w:rFonts w:ascii="Arial" w:hAnsi="Arial" w:cs="Arial"/>
          <w:sz w:val="22"/>
          <w:szCs w:val="22"/>
        </w:rPr>
        <w:t xml:space="preserve">Gaul, D. and Issartel, J. (2015). Fine motor skill proficiency in typically developing children: On or off the maturation track? </w:t>
      </w:r>
      <w:r w:rsidRPr="00CD7581">
        <w:rPr>
          <w:rFonts w:ascii="Arial" w:hAnsi="Arial" w:cs="Arial"/>
          <w:i/>
          <w:iCs/>
          <w:sz w:val="22"/>
          <w:szCs w:val="22"/>
        </w:rPr>
        <w:t>Human Movement Science</w:t>
      </w:r>
      <w:r w:rsidRPr="00CD7581">
        <w:rPr>
          <w:rFonts w:ascii="Arial" w:hAnsi="Arial" w:cs="Arial"/>
          <w:sz w:val="22"/>
          <w:szCs w:val="22"/>
        </w:rPr>
        <w:t xml:space="preserve">, 46, pp.78–85. doi:https://doi.org/10.1016/j.humov.2015.12.011. </w:t>
      </w:r>
    </w:p>
    <w:p w14:paraId="75A44DC5" w14:textId="77777777" w:rsidR="007D530A" w:rsidRPr="00CD7581" w:rsidRDefault="007D530A" w:rsidP="006E50C4">
      <w:pPr>
        <w:pStyle w:val="NormalWeb"/>
        <w:spacing w:before="0" w:beforeAutospacing="0" w:after="240" w:afterAutospacing="0" w:line="276" w:lineRule="auto"/>
        <w:rPr>
          <w:rFonts w:ascii="Arial" w:hAnsi="Arial" w:cs="Arial"/>
          <w:sz w:val="22"/>
          <w:szCs w:val="22"/>
        </w:rPr>
      </w:pPr>
      <w:r w:rsidRPr="00CD7581">
        <w:rPr>
          <w:rFonts w:ascii="Arial" w:hAnsi="Arial" w:cs="Arial"/>
          <w:sz w:val="22"/>
          <w:szCs w:val="22"/>
        </w:rPr>
        <w:t xml:space="preserve">Global Education Therapy and Fowler, S. (2022). </w:t>
      </w:r>
      <w:r w:rsidRPr="00CD7581">
        <w:rPr>
          <w:rFonts w:ascii="Arial" w:hAnsi="Arial" w:cs="Arial"/>
          <w:i/>
          <w:iCs/>
          <w:sz w:val="22"/>
          <w:szCs w:val="22"/>
        </w:rPr>
        <w:t>The Importance of Fine Motor Skills in Child Development: A Comprehensive Guide</w:t>
      </w:r>
      <w:r w:rsidRPr="00CD7581">
        <w:rPr>
          <w:rFonts w:ascii="Arial" w:hAnsi="Arial" w:cs="Arial"/>
          <w:sz w:val="22"/>
          <w:szCs w:val="22"/>
        </w:rPr>
        <w:t xml:space="preserve">. Available at: </w:t>
      </w:r>
      <w:hyperlink r:id="rId6" w:history="1">
        <w:r w:rsidRPr="00CD7581">
          <w:rPr>
            <w:rStyle w:val="Hyperlink"/>
            <w:rFonts w:ascii="Arial" w:eastAsiaTheme="majorEastAsia" w:hAnsi="Arial" w:cs="Arial"/>
            <w:sz w:val="22"/>
            <w:szCs w:val="22"/>
          </w:rPr>
          <w:t>https://www.globaleducationtherapy.com/blog/fine-motor-skills</w:t>
        </w:r>
      </w:hyperlink>
      <w:r w:rsidRPr="00CD7581">
        <w:rPr>
          <w:rFonts w:ascii="Arial" w:hAnsi="Arial" w:cs="Arial"/>
          <w:sz w:val="22"/>
          <w:szCs w:val="22"/>
        </w:rPr>
        <w:t xml:space="preserve"> [Accessed 3 Mar. 2025].</w:t>
      </w:r>
    </w:p>
    <w:p w14:paraId="3B486DC3" w14:textId="77777777" w:rsidR="007D530A" w:rsidRPr="00CD7581" w:rsidRDefault="007D530A" w:rsidP="006E50C4">
      <w:pPr>
        <w:pStyle w:val="NormalWeb"/>
        <w:spacing w:before="0" w:beforeAutospacing="0" w:after="240" w:afterAutospacing="0" w:line="276" w:lineRule="auto"/>
        <w:rPr>
          <w:rFonts w:ascii="Arial" w:hAnsi="Arial" w:cs="Arial"/>
          <w:sz w:val="22"/>
          <w:szCs w:val="22"/>
        </w:rPr>
      </w:pPr>
      <w:r w:rsidRPr="00CD7581">
        <w:rPr>
          <w:rFonts w:ascii="Arial" w:hAnsi="Arial" w:cs="Arial"/>
          <w:sz w:val="22"/>
          <w:szCs w:val="22"/>
        </w:rPr>
        <w:t xml:space="preserve">Goldan, J., Loreman, T. and Lambrecht, J. (2020). Resources for inclusive education – impacts of funding and provision. </w:t>
      </w:r>
      <w:r w:rsidRPr="00CD7581">
        <w:rPr>
          <w:rFonts w:ascii="Arial" w:hAnsi="Arial" w:cs="Arial"/>
          <w:i/>
          <w:iCs/>
          <w:sz w:val="22"/>
          <w:szCs w:val="22"/>
        </w:rPr>
        <w:t>International Journal of Inclusive Education</w:t>
      </w:r>
      <w:r w:rsidRPr="00CD7581">
        <w:rPr>
          <w:rFonts w:ascii="Arial" w:hAnsi="Arial" w:cs="Arial"/>
          <w:sz w:val="22"/>
          <w:szCs w:val="22"/>
        </w:rPr>
        <w:t xml:space="preserve">, pp.1–3. doi:https://doi.org/10.1080/13603116.2020.1821452. </w:t>
      </w:r>
    </w:p>
    <w:p w14:paraId="64A79A98" w14:textId="77777777" w:rsidR="007D530A" w:rsidRPr="00CD7581" w:rsidRDefault="007D530A" w:rsidP="006E50C4">
      <w:pPr>
        <w:pStyle w:val="NormalWeb"/>
        <w:spacing w:before="0" w:beforeAutospacing="0" w:after="240" w:afterAutospacing="0" w:line="276" w:lineRule="auto"/>
        <w:rPr>
          <w:rFonts w:ascii="Arial" w:hAnsi="Arial" w:cs="Arial"/>
          <w:sz w:val="22"/>
          <w:szCs w:val="22"/>
        </w:rPr>
      </w:pPr>
      <w:r w:rsidRPr="00CD7581">
        <w:rPr>
          <w:rFonts w:ascii="Arial" w:hAnsi="Arial" w:cs="Arial"/>
          <w:sz w:val="22"/>
          <w:szCs w:val="22"/>
        </w:rPr>
        <w:t xml:space="preserve">Hattie, J. (2012). </w:t>
      </w:r>
      <w:r w:rsidRPr="00CD7581">
        <w:rPr>
          <w:rFonts w:ascii="Arial" w:hAnsi="Arial" w:cs="Arial"/>
          <w:i/>
          <w:iCs/>
          <w:sz w:val="22"/>
          <w:szCs w:val="22"/>
        </w:rPr>
        <w:t>Visible learning for teachers: Maximizing impact on learning</w:t>
      </w:r>
      <w:r w:rsidRPr="00CD7581">
        <w:rPr>
          <w:rFonts w:ascii="Arial" w:hAnsi="Arial" w:cs="Arial"/>
          <w:sz w:val="22"/>
          <w:szCs w:val="22"/>
        </w:rPr>
        <w:t>. London: Routledge.</w:t>
      </w:r>
    </w:p>
    <w:p w14:paraId="0CE2A15F" w14:textId="77777777" w:rsidR="007D530A" w:rsidRPr="00CD7581" w:rsidRDefault="007D530A" w:rsidP="006E50C4">
      <w:pPr>
        <w:pStyle w:val="NormalWeb"/>
        <w:spacing w:before="0" w:beforeAutospacing="0" w:after="240" w:afterAutospacing="0" w:line="276" w:lineRule="auto"/>
        <w:rPr>
          <w:rFonts w:ascii="Arial" w:hAnsi="Arial" w:cs="Arial"/>
          <w:sz w:val="22"/>
          <w:szCs w:val="22"/>
        </w:rPr>
      </w:pPr>
      <w:r w:rsidRPr="00CD7581">
        <w:rPr>
          <w:rFonts w:ascii="Arial" w:hAnsi="Arial" w:cs="Arial"/>
          <w:sz w:val="22"/>
          <w:szCs w:val="22"/>
        </w:rPr>
        <w:t xml:space="preserve">Kerry, T. (2015). </w:t>
      </w:r>
      <w:r w:rsidRPr="00CD7581">
        <w:rPr>
          <w:rFonts w:ascii="Arial" w:hAnsi="Arial" w:cs="Arial"/>
          <w:i/>
          <w:iCs/>
          <w:sz w:val="22"/>
          <w:szCs w:val="22"/>
        </w:rPr>
        <w:t>Cross-curricular Teaching in the Primary School : Planning and Facilitating Imaginative Lessons</w:t>
      </w:r>
      <w:r w:rsidRPr="00CD7581">
        <w:rPr>
          <w:rFonts w:ascii="Arial" w:hAnsi="Arial" w:cs="Arial"/>
          <w:sz w:val="22"/>
          <w:szCs w:val="22"/>
        </w:rPr>
        <w:t>. 2nd ed. London: Routledge.</w:t>
      </w:r>
    </w:p>
    <w:p w14:paraId="6D557F6B" w14:textId="77777777" w:rsidR="007D530A" w:rsidRPr="00CD7581" w:rsidRDefault="007D530A" w:rsidP="006E50C4">
      <w:pPr>
        <w:pStyle w:val="NormalWeb"/>
        <w:spacing w:before="0" w:beforeAutospacing="0" w:after="240" w:afterAutospacing="0" w:line="276" w:lineRule="auto"/>
        <w:rPr>
          <w:rFonts w:ascii="Arial" w:hAnsi="Arial" w:cs="Arial"/>
          <w:sz w:val="22"/>
          <w:szCs w:val="22"/>
        </w:rPr>
      </w:pPr>
      <w:r w:rsidRPr="00CD7581">
        <w:rPr>
          <w:rFonts w:ascii="Arial" w:hAnsi="Arial" w:cs="Arial"/>
          <w:sz w:val="22"/>
          <w:szCs w:val="22"/>
        </w:rPr>
        <w:t xml:space="preserve">Maffea, J. (2020). </w:t>
      </w:r>
      <w:r w:rsidRPr="00CD7581">
        <w:rPr>
          <w:rFonts w:ascii="Arial" w:hAnsi="Arial" w:cs="Arial"/>
          <w:i/>
          <w:iCs/>
          <w:sz w:val="22"/>
          <w:szCs w:val="22"/>
        </w:rPr>
        <w:t>Lack of Resources in Classrooms</w:t>
      </w:r>
      <w:r w:rsidRPr="00CD7581">
        <w:rPr>
          <w:rFonts w:ascii="Arial" w:hAnsi="Arial" w:cs="Arial"/>
          <w:sz w:val="22"/>
          <w:szCs w:val="22"/>
        </w:rPr>
        <w:t xml:space="preserve">. Available at: </w:t>
      </w:r>
      <w:hyperlink r:id="rId7" w:history="1">
        <w:r w:rsidRPr="00CD7581">
          <w:rPr>
            <w:rStyle w:val="Hyperlink"/>
            <w:rFonts w:ascii="Arial" w:eastAsiaTheme="majorEastAsia" w:hAnsi="Arial" w:cs="Arial"/>
            <w:sz w:val="22"/>
            <w:szCs w:val="22"/>
          </w:rPr>
          <w:t>https://research.library.kutztown.edu/cgi/viewcontent.cgi?article=1003&amp;context=wickedproblems</w:t>
        </w:r>
      </w:hyperlink>
      <w:r w:rsidRPr="00CD7581">
        <w:rPr>
          <w:rFonts w:ascii="Arial" w:hAnsi="Arial" w:cs="Arial"/>
          <w:sz w:val="22"/>
          <w:szCs w:val="22"/>
        </w:rPr>
        <w:t xml:space="preserve"> [Accessed 28 Feb. 2025].</w:t>
      </w:r>
    </w:p>
    <w:p w14:paraId="040617C6" w14:textId="77777777" w:rsidR="007D530A" w:rsidRPr="00CD7581" w:rsidRDefault="007D530A" w:rsidP="006E50C4">
      <w:pPr>
        <w:pStyle w:val="NormalWeb"/>
        <w:spacing w:before="0" w:beforeAutospacing="0" w:after="240" w:afterAutospacing="0" w:line="276" w:lineRule="auto"/>
        <w:rPr>
          <w:rFonts w:ascii="Arial" w:hAnsi="Arial" w:cs="Arial"/>
          <w:sz w:val="22"/>
          <w:szCs w:val="22"/>
        </w:rPr>
      </w:pPr>
      <w:r w:rsidRPr="00CD7581">
        <w:rPr>
          <w:rFonts w:ascii="Arial" w:hAnsi="Arial" w:cs="Arial"/>
          <w:sz w:val="22"/>
          <w:szCs w:val="22"/>
        </w:rPr>
        <w:t xml:space="preserve">Rowley, C. and Cooper, H. (2009). </w:t>
      </w:r>
      <w:r w:rsidRPr="00CD7581">
        <w:rPr>
          <w:rFonts w:ascii="Arial" w:hAnsi="Arial" w:cs="Arial"/>
          <w:i/>
          <w:iCs/>
          <w:sz w:val="22"/>
          <w:szCs w:val="22"/>
        </w:rPr>
        <w:t>Cross-curricular approaches to teaching and learning</w:t>
      </w:r>
      <w:r w:rsidRPr="00CD7581">
        <w:rPr>
          <w:rFonts w:ascii="Arial" w:hAnsi="Arial" w:cs="Arial"/>
          <w:sz w:val="22"/>
          <w:szCs w:val="22"/>
        </w:rPr>
        <w:t>. Los Angeles: Sage.</w:t>
      </w:r>
    </w:p>
    <w:p w14:paraId="78CAA99E" w14:textId="77777777" w:rsidR="007D530A" w:rsidRPr="00CD7581" w:rsidRDefault="007D530A" w:rsidP="006E50C4">
      <w:pPr>
        <w:pStyle w:val="NormalWeb"/>
        <w:spacing w:before="0" w:beforeAutospacing="0" w:after="240" w:afterAutospacing="0" w:line="276" w:lineRule="auto"/>
        <w:rPr>
          <w:rFonts w:ascii="Arial" w:hAnsi="Arial" w:cs="Arial"/>
          <w:sz w:val="22"/>
          <w:szCs w:val="22"/>
        </w:rPr>
      </w:pPr>
      <w:r w:rsidRPr="00CD7581">
        <w:rPr>
          <w:rFonts w:ascii="Arial" w:hAnsi="Arial" w:cs="Arial"/>
          <w:sz w:val="22"/>
          <w:szCs w:val="22"/>
        </w:rPr>
        <w:t xml:space="preserve">Spooner, L. and Woodcock, J. (2013). </w:t>
      </w:r>
      <w:r w:rsidRPr="00CD7581">
        <w:rPr>
          <w:rFonts w:ascii="Arial" w:hAnsi="Arial" w:cs="Arial"/>
          <w:i/>
          <w:iCs/>
          <w:sz w:val="22"/>
          <w:szCs w:val="22"/>
        </w:rPr>
        <w:t>Teaching children to listen</w:t>
      </w:r>
      <w:r w:rsidRPr="00CD7581">
        <w:rPr>
          <w:rFonts w:ascii="Arial" w:hAnsi="Arial" w:cs="Arial"/>
          <w:sz w:val="22"/>
          <w:szCs w:val="22"/>
        </w:rPr>
        <w:t>. London: Featherstone Education.</w:t>
      </w:r>
    </w:p>
    <w:p w14:paraId="11DA166D" w14:textId="77777777" w:rsidR="007D530A" w:rsidRPr="00CD7581" w:rsidRDefault="007D530A" w:rsidP="006E50C4">
      <w:pPr>
        <w:pStyle w:val="NormalWeb"/>
        <w:spacing w:before="0" w:beforeAutospacing="0" w:after="240" w:afterAutospacing="0" w:line="276" w:lineRule="auto"/>
        <w:rPr>
          <w:rFonts w:ascii="Arial" w:hAnsi="Arial" w:cs="Arial"/>
          <w:sz w:val="22"/>
          <w:szCs w:val="22"/>
        </w:rPr>
      </w:pPr>
      <w:r w:rsidRPr="00CD7581">
        <w:rPr>
          <w:rFonts w:ascii="Arial" w:hAnsi="Arial" w:cs="Arial"/>
          <w:sz w:val="22"/>
          <w:szCs w:val="22"/>
        </w:rPr>
        <w:t xml:space="preserve">Welsh Government (2016). </w:t>
      </w:r>
      <w:r w:rsidRPr="00CD7581">
        <w:rPr>
          <w:rFonts w:ascii="Arial" w:hAnsi="Arial" w:cs="Arial"/>
          <w:i/>
          <w:iCs/>
          <w:sz w:val="22"/>
          <w:szCs w:val="22"/>
        </w:rPr>
        <w:t xml:space="preserve">New term means digital skills on par with reading and maths in Welsh curriculum – Kirsty Williams. </w:t>
      </w:r>
      <w:r w:rsidRPr="00CD7581">
        <w:rPr>
          <w:rFonts w:ascii="Arial" w:hAnsi="Arial" w:cs="Arial"/>
          <w:sz w:val="22"/>
          <w:szCs w:val="22"/>
        </w:rPr>
        <w:t xml:space="preserve">Available at: </w:t>
      </w:r>
      <w:hyperlink r:id="rId8" w:history="1">
        <w:r w:rsidRPr="00CD7581">
          <w:rPr>
            <w:rStyle w:val="Hyperlink"/>
            <w:rFonts w:ascii="Arial" w:eastAsiaTheme="majorEastAsia" w:hAnsi="Arial" w:cs="Arial"/>
            <w:sz w:val="22"/>
            <w:szCs w:val="22"/>
          </w:rPr>
          <w:t>https://www.gov.wales/new-term-means-digital-skills-par-reading-and-maths-welsh-curriculum-kirsty-williams</w:t>
        </w:r>
      </w:hyperlink>
      <w:r w:rsidRPr="00CD7581">
        <w:rPr>
          <w:rFonts w:ascii="Arial" w:hAnsi="Arial" w:cs="Arial"/>
          <w:sz w:val="22"/>
          <w:szCs w:val="22"/>
        </w:rPr>
        <w:t xml:space="preserve"> [Accessed 27 Feb. 2025].</w:t>
      </w:r>
    </w:p>
    <w:p w14:paraId="769B092B" w14:textId="77777777" w:rsidR="007D530A" w:rsidRPr="00CD7581" w:rsidRDefault="007D530A" w:rsidP="006E50C4">
      <w:pPr>
        <w:pStyle w:val="NormalWeb"/>
        <w:spacing w:before="0" w:beforeAutospacing="0" w:after="240" w:afterAutospacing="0" w:line="276" w:lineRule="auto"/>
        <w:rPr>
          <w:rFonts w:ascii="Arial" w:hAnsi="Arial" w:cs="Arial"/>
          <w:sz w:val="22"/>
          <w:szCs w:val="22"/>
        </w:rPr>
      </w:pPr>
      <w:r w:rsidRPr="00CD7581">
        <w:rPr>
          <w:rFonts w:ascii="Arial" w:hAnsi="Arial" w:cs="Arial"/>
          <w:sz w:val="22"/>
          <w:szCs w:val="22"/>
        </w:rPr>
        <w:t xml:space="preserve">Welsh Government (2020). </w:t>
      </w:r>
      <w:r w:rsidRPr="00CD7581">
        <w:rPr>
          <w:rFonts w:ascii="Arial" w:hAnsi="Arial" w:cs="Arial"/>
          <w:i/>
          <w:iCs/>
          <w:sz w:val="22"/>
          <w:szCs w:val="22"/>
        </w:rPr>
        <w:t xml:space="preserve">Professional standards. </w:t>
      </w:r>
      <w:r w:rsidRPr="00CD7581">
        <w:rPr>
          <w:rFonts w:ascii="Arial" w:hAnsi="Arial" w:cs="Arial"/>
          <w:sz w:val="22"/>
          <w:szCs w:val="22"/>
        </w:rPr>
        <w:t xml:space="preserve">Available at: </w:t>
      </w:r>
      <w:hyperlink r:id="rId9" w:history="1">
        <w:r w:rsidRPr="00CD7581">
          <w:rPr>
            <w:rStyle w:val="Hyperlink"/>
            <w:rFonts w:ascii="Arial" w:eastAsiaTheme="majorEastAsia" w:hAnsi="Arial" w:cs="Arial"/>
            <w:sz w:val="22"/>
            <w:szCs w:val="22"/>
          </w:rPr>
          <w:t>https://hwb.gov.wales/professional-learning/identifying-professional-learning-needs/professional-standards</w:t>
        </w:r>
      </w:hyperlink>
      <w:r w:rsidRPr="00CD7581">
        <w:rPr>
          <w:rFonts w:ascii="Arial" w:hAnsi="Arial" w:cs="Arial"/>
          <w:sz w:val="22"/>
          <w:szCs w:val="22"/>
        </w:rPr>
        <w:t xml:space="preserve"> [Accessed 2 Mar. 2025].</w:t>
      </w:r>
    </w:p>
    <w:p w14:paraId="34BBB1F4" w14:textId="77777777" w:rsidR="007D530A" w:rsidRPr="00CD7581" w:rsidRDefault="007D530A" w:rsidP="006E50C4">
      <w:pPr>
        <w:pStyle w:val="NormalWeb"/>
        <w:spacing w:before="0" w:beforeAutospacing="0" w:after="240" w:afterAutospacing="0" w:line="276" w:lineRule="auto"/>
        <w:rPr>
          <w:rFonts w:ascii="Arial" w:hAnsi="Arial" w:cs="Arial"/>
          <w:sz w:val="22"/>
          <w:szCs w:val="22"/>
        </w:rPr>
      </w:pPr>
      <w:r w:rsidRPr="00CD7581">
        <w:rPr>
          <w:rFonts w:ascii="Arial" w:hAnsi="Arial" w:cs="Arial"/>
          <w:sz w:val="22"/>
          <w:szCs w:val="22"/>
        </w:rPr>
        <w:t xml:space="preserve">Welsh Government (2022a). </w:t>
      </w:r>
      <w:r w:rsidRPr="00CD7581">
        <w:rPr>
          <w:rFonts w:ascii="Arial" w:hAnsi="Arial" w:cs="Arial"/>
          <w:i/>
          <w:iCs/>
          <w:sz w:val="22"/>
          <w:szCs w:val="22"/>
        </w:rPr>
        <w:t>Pedagogy</w:t>
      </w:r>
      <w:r w:rsidRPr="00CD7581">
        <w:rPr>
          <w:rFonts w:ascii="Arial" w:hAnsi="Arial" w:cs="Arial"/>
          <w:sz w:val="22"/>
          <w:szCs w:val="22"/>
        </w:rPr>
        <w:t xml:space="preserve">. Available at: </w:t>
      </w:r>
      <w:hyperlink r:id="rId10" w:history="1">
        <w:r w:rsidRPr="00CD7581">
          <w:rPr>
            <w:rStyle w:val="Hyperlink"/>
            <w:rFonts w:ascii="Arial" w:eastAsiaTheme="majorEastAsia" w:hAnsi="Arial" w:cs="Arial"/>
            <w:sz w:val="22"/>
            <w:szCs w:val="22"/>
          </w:rPr>
          <w:t>https://hwb.gov.wales/curriculum-for-wales/designing-your-curriculum/pedagogy/</w:t>
        </w:r>
      </w:hyperlink>
      <w:r w:rsidRPr="00CD7581">
        <w:rPr>
          <w:rFonts w:ascii="Arial" w:hAnsi="Arial" w:cs="Arial"/>
          <w:sz w:val="22"/>
          <w:szCs w:val="22"/>
        </w:rPr>
        <w:t xml:space="preserve"> [Accessed 14 Feb. 2025].</w:t>
      </w:r>
    </w:p>
    <w:p w14:paraId="1FA6B6E2" w14:textId="77777777" w:rsidR="007D530A" w:rsidRPr="00CD7581" w:rsidRDefault="007D530A" w:rsidP="006E50C4">
      <w:pPr>
        <w:pStyle w:val="NormalWeb"/>
        <w:spacing w:before="0" w:beforeAutospacing="0" w:after="240" w:afterAutospacing="0" w:line="276" w:lineRule="auto"/>
        <w:rPr>
          <w:rFonts w:ascii="Arial" w:hAnsi="Arial" w:cs="Arial"/>
          <w:sz w:val="22"/>
          <w:szCs w:val="22"/>
        </w:rPr>
      </w:pPr>
      <w:r w:rsidRPr="00CD7581">
        <w:rPr>
          <w:rFonts w:ascii="Arial" w:hAnsi="Arial" w:cs="Arial"/>
          <w:sz w:val="22"/>
          <w:szCs w:val="22"/>
        </w:rPr>
        <w:lastRenderedPageBreak/>
        <w:t xml:space="preserve">Welsh Government (2022b). </w:t>
      </w:r>
      <w:r w:rsidRPr="00CD7581">
        <w:rPr>
          <w:rFonts w:ascii="Arial" w:hAnsi="Arial" w:cs="Arial"/>
          <w:i/>
          <w:iCs/>
          <w:sz w:val="22"/>
          <w:szCs w:val="22"/>
        </w:rPr>
        <w:t>Developing a vision for curriculum design</w:t>
      </w:r>
      <w:r w:rsidRPr="00CD7581">
        <w:rPr>
          <w:rFonts w:ascii="Arial" w:hAnsi="Arial" w:cs="Arial"/>
          <w:sz w:val="22"/>
          <w:szCs w:val="22"/>
        </w:rPr>
        <w:t xml:space="preserve">. Available at: </w:t>
      </w:r>
      <w:hyperlink r:id="rId11" w:history="1">
        <w:r w:rsidRPr="00CD7581">
          <w:rPr>
            <w:rStyle w:val="Hyperlink"/>
            <w:rFonts w:ascii="Arial" w:eastAsiaTheme="majorEastAsia" w:hAnsi="Arial" w:cs="Arial"/>
            <w:sz w:val="22"/>
            <w:szCs w:val="22"/>
          </w:rPr>
          <w:t>https://hwb.gov.wales/curriculum-for-wales/designing-your-curriculum/developing-a-vision-for-curriculum-design#cross-curricular-skills</w:t>
        </w:r>
      </w:hyperlink>
      <w:r w:rsidRPr="00CD7581">
        <w:rPr>
          <w:rFonts w:ascii="Arial" w:hAnsi="Arial" w:cs="Arial"/>
          <w:sz w:val="22"/>
          <w:szCs w:val="22"/>
        </w:rPr>
        <w:t xml:space="preserve"> [Accessed 25 Feb. 2025].</w:t>
      </w:r>
    </w:p>
    <w:p w14:paraId="59C2BC64" w14:textId="77777777" w:rsidR="007D530A" w:rsidRPr="00CD7581" w:rsidRDefault="007D530A" w:rsidP="006E50C4">
      <w:pPr>
        <w:pStyle w:val="NormalWeb"/>
        <w:spacing w:before="0" w:beforeAutospacing="0" w:after="240" w:afterAutospacing="0" w:line="276" w:lineRule="auto"/>
        <w:rPr>
          <w:rFonts w:ascii="Arial" w:hAnsi="Arial" w:cs="Arial"/>
          <w:sz w:val="22"/>
          <w:szCs w:val="22"/>
        </w:rPr>
      </w:pPr>
      <w:r w:rsidRPr="00CD7581">
        <w:rPr>
          <w:rFonts w:ascii="Arial" w:hAnsi="Arial" w:cs="Arial"/>
          <w:sz w:val="22"/>
          <w:szCs w:val="22"/>
        </w:rPr>
        <w:t xml:space="preserve">Welsh Government (2022c). </w:t>
      </w:r>
      <w:r w:rsidRPr="00CD7581">
        <w:rPr>
          <w:rFonts w:ascii="Arial" w:hAnsi="Arial" w:cs="Arial"/>
          <w:i/>
          <w:iCs/>
          <w:sz w:val="22"/>
          <w:szCs w:val="22"/>
        </w:rPr>
        <w:t>Digital Competency Framework</w:t>
      </w:r>
      <w:r w:rsidRPr="00CD7581">
        <w:rPr>
          <w:rFonts w:ascii="Arial" w:hAnsi="Arial" w:cs="Arial"/>
          <w:sz w:val="22"/>
          <w:szCs w:val="22"/>
        </w:rPr>
        <w:t xml:space="preserve">. Available at: </w:t>
      </w:r>
      <w:hyperlink r:id="rId12" w:history="1">
        <w:r w:rsidRPr="00CD7581">
          <w:rPr>
            <w:rStyle w:val="Hyperlink"/>
            <w:rFonts w:ascii="Arial" w:eastAsiaTheme="majorEastAsia" w:hAnsi="Arial" w:cs="Arial"/>
            <w:sz w:val="22"/>
            <w:szCs w:val="22"/>
          </w:rPr>
          <w:t>https://hwb.gov.wales/api/storage/d26af733-abd1-4d33-92fe-4ea8eb1d928f/dcf40620.pdf</w:t>
        </w:r>
      </w:hyperlink>
      <w:r w:rsidRPr="00CD7581">
        <w:rPr>
          <w:rFonts w:ascii="Arial" w:hAnsi="Arial" w:cs="Arial"/>
          <w:sz w:val="22"/>
          <w:szCs w:val="22"/>
        </w:rPr>
        <w:t xml:space="preserve"> [Accessed 28 Feb. 2025].</w:t>
      </w:r>
    </w:p>
    <w:p w14:paraId="1EC21C53" w14:textId="77777777" w:rsidR="007D530A" w:rsidRPr="00CD7581" w:rsidRDefault="007D530A" w:rsidP="006E50C4">
      <w:pPr>
        <w:pStyle w:val="NormalWeb"/>
        <w:spacing w:before="0" w:beforeAutospacing="0" w:after="240" w:afterAutospacing="0" w:line="276" w:lineRule="auto"/>
        <w:rPr>
          <w:rFonts w:ascii="Arial" w:hAnsi="Arial" w:cs="Arial"/>
          <w:sz w:val="22"/>
          <w:szCs w:val="22"/>
        </w:rPr>
      </w:pPr>
      <w:r w:rsidRPr="00CD7581">
        <w:rPr>
          <w:rFonts w:ascii="Arial" w:hAnsi="Arial" w:cs="Arial"/>
          <w:sz w:val="22"/>
          <w:szCs w:val="22"/>
        </w:rPr>
        <w:t xml:space="preserve">Welsh Government (2022d). </w:t>
      </w:r>
      <w:r w:rsidRPr="00CD7581">
        <w:rPr>
          <w:rFonts w:ascii="Arial" w:hAnsi="Arial" w:cs="Arial"/>
          <w:i/>
          <w:iCs/>
          <w:sz w:val="22"/>
          <w:szCs w:val="22"/>
        </w:rPr>
        <w:t>Literacy Framework</w:t>
      </w:r>
      <w:r w:rsidRPr="00CD7581">
        <w:rPr>
          <w:rFonts w:ascii="Arial" w:hAnsi="Arial" w:cs="Arial"/>
          <w:sz w:val="22"/>
          <w:szCs w:val="22"/>
        </w:rPr>
        <w:t xml:space="preserve">. Available at: </w:t>
      </w:r>
      <w:hyperlink r:id="rId13" w:history="1">
        <w:r w:rsidRPr="00CD7581">
          <w:rPr>
            <w:rStyle w:val="Hyperlink"/>
            <w:rFonts w:ascii="Arial" w:eastAsiaTheme="majorEastAsia" w:hAnsi="Arial" w:cs="Arial"/>
            <w:sz w:val="22"/>
            <w:szCs w:val="22"/>
          </w:rPr>
          <w:t>https://hwb.gov.wales/api/storage/4d852cbe-03d6-4c36-8175-c281461c8690/literacy-framework.pdf</w:t>
        </w:r>
      </w:hyperlink>
      <w:r w:rsidRPr="00CD7581">
        <w:rPr>
          <w:rFonts w:ascii="Arial" w:hAnsi="Arial" w:cs="Arial"/>
          <w:sz w:val="22"/>
          <w:szCs w:val="22"/>
        </w:rPr>
        <w:t xml:space="preserve"> [Accessed 28 Feb. 2025].</w:t>
      </w:r>
    </w:p>
    <w:p w14:paraId="17C56762" w14:textId="77777777" w:rsidR="007D530A" w:rsidRPr="00CD7581" w:rsidRDefault="007D530A" w:rsidP="006E50C4">
      <w:pPr>
        <w:pStyle w:val="NormalWeb"/>
        <w:spacing w:before="0" w:beforeAutospacing="0" w:after="240" w:afterAutospacing="0" w:line="276" w:lineRule="auto"/>
        <w:rPr>
          <w:rFonts w:ascii="Arial" w:hAnsi="Arial" w:cs="Arial"/>
          <w:sz w:val="22"/>
          <w:szCs w:val="22"/>
        </w:rPr>
      </w:pPr>
      <w:r w:rsidRPr="00CD7581">
        <w:rPr>
          <w:rFonts w:ascii="Arial" w:hAnsi="Arial" w:cs="Arial"/>
          <w:sz w:val="22"/>
          <w:szCs w:val="22"/>
        </w:rPr>
        <w:t xml:space="preserve">Welsh Government (2022e). </w:t>
      </w:r>
      <w:r w:rsidRPr="00CD7581">
        <w:rPr>
          <w:rFonts w:ascii="Arial" w:hAnsi="Arial" w:cs="Arial"/>
          <w:i/>
          <w:iCs/>
          <w:sz w:val="22"/>
          <w:szCs w:val="22"/>
        </w:rPr>
        <w:t>Numeracy Framework</w:t>
      </w:r>
      <w:r w:rsidRPr="00CD7581">
        <w:rPr>
          <w:rFonts w:ascii="Arial" w:hAnsi="Arial" w:cs="Arial"/>
          <w:sz w:val="22"/>
          <w:szCs w:val="22"/>
        </w:rPr>
        <w:t xml:space="preserve">. Available at: </w:t>
      </w:r>
      <w:hyperlink r:id="rId14" w:history="1">
        <w:r w:rsidRPr="00CD7581">
          <w:rPr>
            <w:rStyle w:val="Hyperlink"/>
            <w:rFonts w:ascii="Arial" w:eastAsiaTheme="majorEastAsia" w:hAnsi="Arial" w:cs="Arial"/>
            <w:sz w:val="22"/>
            <w:szCs w:val="22"/>
          </w:rPr>
          <w:t>https://hwb.gov.wales/api/storage/2f34d783-b4b3-4d47-8fe9-49fdb993dfce/numeracy-framework.pdf</w:t>
        </w:r>
      </w:hyperlink>
      <w:r w:rsidRPr="00CD7581">
        <w:rPr>
          <w:rFonts w:ascii="Arial" w:hAnsi="Arial" w:cs="Arial"/>
          <w:sz w:val="22"/>
          <w:szCs w:val="22"/>
        </w:rPr>
        <w:t xml:space="preserve"> [Accessed 1 Mar. 2025].</w:t>
      </w:r>
    </w:p>
    <w:p w14:paraId="0B1BDC2B" w14:textId="77777777" w:rsidR="007D530A" w:rsidRPr="00CD7581" w:rsidRDefault="007D530A" w:rsidP="006E50C4">
      <w:pPr>
        <w:pStyle w:val="NormalWeb"/>
        <w:spacing w:before="0" w:beforeAutospacing="0" w:after="240" w:afterAutospacing="0" w:line="276" w:lineRule="auto"/>
        <w:rPr>
          <w:rFonts w:ascii="Arial" w:hAnsi="Arial" w:cs="Arial"/>
          <w:sz w:val="22"/>
          <w:szCs w:val="22"/>
        </w:rPr>
      </w:pPr>
      <w:r w:rsidRPr="00CD7581">
        <w:rPr>
          <w:rFonts w:ascii="Arial" w:hAnsi="Arial" w:cs="Arial"/>
          <w:sz w:val="22"/>
          <w:szCs w:val="22"/>
        </w:rPr>
        <w:t xml:space="preserve">Welsh Government (2022f). </w:t>
      </w:r>
      <w:r w:rsidRPr="00CD7581">
        <w:rPr>
          <w:rFonts w:ascii="Arial" w:hAnsi="Arial" w:cs="Arial"/>
          <w:i/>
          <w:iCs/>
          <w:sz w:val="22"/>
          <w:szCs w:val="22"/>
        </w:rPr>
        <w:t>Developing a vision for curriculum design</w:t>
      </w:r>
      <w:r w:rsidRPr="00CD7581">
        <w:rPr>
          <w:rFonts w:ascii="Arial" w:hAnsi="Arial" w:cs="Arial"/>
          <w:sz w:val="22"/>
          <w:szCs w:val="22"/>
        </w:rPr>
        <w:t xml:space="preserve">. Available at: </w:t>
      </w:r>
      <w:hyperlink r:id="rId15" w:history="1">
        <w:r w:rsidRPr="00CD7581">
          <w:rPr>
            <w:rStyle w:val="Hyperlink"/>
            <w:rFonts w:ascii="Arial" w:eastAsiaTheme="majorEastAsia" w:hAnsi="Arial" w:cs="Arial"/>
            <w:sz w:val="22"/>
            <w:szCs w:val="22"/>
          </w:rPr>
          <w:t>https://hwb.gov.wales/curriculum-for-wales/designing-your-curriculum/developing-a-vision-for-curriculum-design/#curriculum-design-and-the-four-purposes</w:t>
        </w:r>
      </w:hyperlink>
      <w:r w:rsidRPr="00CD7581">
        <w:rPr>
          <w:rFonts w:ascii="Arial" w:hAnsi="Arial" w:cs="Arial"/>
          <w:sz w:val="22"/>
          <w:szCs w:val="22"/>
        </w:rPr>
        <w:t xml:space="preserve"> [Accessed 2 Mar. 2025].</w:t>
      </w:r>
    </w:p>
    <w:p w14:paraId="7260F90D" w14:textId="3A1FB488" w:rsidR="00FD364A" w:rsidRDefault="007D530A" w:rsidP="007D530A">
      <w:pPr>
        <w:rPr>
          <w:rFonts w:ascii="Arial" w:hAnsi="Arial" w:cs="Arial"/>
          <w:b/>
          <w:bCs/>
          <w:u w:val="single"/>
        </w:rPr>
      </w:pPr>
      <w:r w:rsidRPr="0085114A">
        <w:rPr>
          <w:rFonts w:ascii="Arial" w:hAnsi="Arial" w:cs="Arial"/>
          <w:b/>
          <w:bCs/>
          <w:u w:val="single"/>
        </w:rPr>
        <w:lastRenderedPageBreak/>
        <w:t xml:space="preserve">Appendix A </w:t>
      </w:r>
      <w:r w:rsidRPr="00F92D26">
        <w:rPr>
          <w:rFonts w:ascii="Arial" w:hAnsi="Arial" w:cs="Arial"/>
          <w:b/>
          <w:bCs/>
          <w:u w:val="single"/>
        </w:rPr>
        <w:drawing>
          <wp:inline distT="0" distB="0" distL="0" distR="0" wp14:anchorId="3C9E652F" wp14:editId="239C885A">
            <wp:extent cx="5731510" cy="3755390"/>
            <wp:effectExtent l="0" t="0" r="2540" b="0"/>
            <wp:docPr id="2" name="Picture 2" descr="A close-up of a medical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medical form&#10;&#10;Description automatically generated"/>
                    <pic:cNvPicPr/>
                  </pic:nvPicPr>
                  <pic:blipFill>
                    <a:blip r:embed="rId16"/>
                    <a:stretch>
                      <a:fillRect/>
                    </a:stretch>
                  </pic:blipFill>
                  <pic:spPr>
                    <a:xfrm>
                      <a:off x="0" y="0"/>
                      <a:ext cx="5731510" cy="3755390"/>
                    </a:xfrm>
                    <a:prstGeom prst="rect">
                      <a:avLst/>
                    </a:prstGeom>
                  </pic:spPr>
                </pic:pic>
              </a:graphicData>
            </a:graphic>
          </wp:inline>
        </w:drawing>
      </w:r>
      <w:r w:rsidRPr="00DC4284">
        <w:rPr>
          <w:rFonts w:ascii="Arial" w:hAnsi="Arial" w:cs="Arial"/>
          <w:b/>
          <w:bCs/>
          <w:u w:val="single"/>
        </w:rPr>
        <w:drawing>
          <wp:inline distT="0" distB="0" distL="0" distR="0" wp14:anchorId="4727BB16" wp14:editId="5A412564">
            <wp:extent cx="5731510" cy="3484245"/>
            <wp:effectExtent l="0" t="0" r="2540" b="1905"/>
            <wp:docPr id="3" name="Picture 3" descr="A blue and white pag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ue and white page with text&#10;&#10;Description automatically generated"/>
                    <pic:cNvPicPr/>
                  </pic:nvPicPr>
                  <pic:blipFill>
                    <a:blip r:embed="rId17"/>
                    <a:stretch>
                      <a:fillRect/>
                    </a:stretch>
                  </pic:blipFill>
                  <pic:spPr>
                    <a:xfrm>
                      <a:off x="0" y="0"/>
                      <a:ext cx="5731510" cy="3484245"/>
                    </a:xfrm>
                    <a:prstGeom prst="rect">
                      <a:avLst/>
                    </a:prstGeom>
                  </pic:spPr>
                </pic:pic>
              </a:graphicData>
            </a:graphic>
          </wp:inline>
        </w:drawing>
      </w:r>
    </w:p>
    <w:p w14:paraId="49DDC2B8" w14:textId="77777777" w:rsidR="008F0FB9" w:rsidRDefault="008F0FB9" w:rsidP="007D530A">
      <w:pPr>
        <w:rPr>
          <w:rFonts w:ascii="Arial" w:hAnsi="Arial" w:cs="Arial"/>
          <w:b/>
          <w:bCs/>
          <w:u w:val="single"/>
        </w:rPr>
      </w:pPr>
    </w:p>
    <w:p w14:paraId="5249D90B" w14:textId="77777777" w:rsidR="00FD364A" w:rsidRDefault="00FD364A" w:rsidP="007D530A">
      <w:pPr>
        <w:rPr>
          <w:rFonts w:ascii="Arial" w:hAnsi="Arial" w:cs="Arial"/>
          <w:b/>
          <w:bCs/>
          <w:u w:val="single"/>
        </w:rPr>
      </w:pPr>
    </w:p>
    <w:p w14:paraId="1DAF5099" w14:textId="77777777" w:rsidR="00FD364A" w:rsidRDefault="00FD364A" w:rsidP="007D530A">
      <w:pPr>
        <w:rPr>
          <w:rFonts w:ascii="Arial" w:hAnsi="Arial" w:cs="Arial"/>
          <w:b/>
          <w:bCs/>
          <w:u w:val="single"/>
        </w:rPr>
      </w:pPr>
    </w:p>
    <w:p w14:paraId="3128B541" w14:textId="5A365FCB" w:rsidR="00FD364A" w:rsidRDefault="00FD364A" w:rsidP="007D530A">
      <w:pPr>
        <w:rPr>
          <w:rFonts w:ascii="Arial" w:hAnsi="Arial" w:cs="Arial"/>
          <w:b/>
          <w:bCs/>
          <w:u w:val="single"/>
        </w:rPr>
      </w:pPr>
      <w:r w:rsidRPr="001045D9">
        <w:rPr>
          <w:rFonts w:ascii="Arial" w:hAnsi="Arial" w:cs="Arial"/>
          <w:b/>
          <w:bCs/>
          <w:u w:val="single"/>
        </w:rPr>
        <w:lastRenderedPageBreak/>
        <w:drawing>
          <wp:inline distT="0" distB="0" distL="0" distR="0" wp14:anchorId="7305CB6E" wp14:editId="4561632E">
            <wp:extent cx="5731510" cy="1354455"/>
            <wp:effectExtent l="0" t="0" r="2540" b="0"/>
            <wp:docPr id="5" name="Picture 5"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text&#10;&#10;Description automatically generated"/>
                    <pic:cNvPicPr/>
                  </pic:nvPicPr>
                  <pic:blipFill>
                    <a:blip r:embed="rId18"/>
                    <a:stretch>
                      <a:fillRect/>
                    </a:stretch>
                  </pic:blipFill>
                  <pic:spPr>
                    <a:xfrm>
                      <a:off x="0" y="0"/>
                      <a:ext cx="5731510" cy="1354455"/>
                    </a:xfrm>
                    <a:prstGeom prst="rect">
                      <a:avLst/>
                    </a:prstGeom>
                  </pic:spPr>
                </pic:pic>
              </a:graphicData>
            </a:graphic>
          </wp:inline>
        </w:drawing>
      </w:r>
    </w:p>
    <w:p w14:paraId="283A6B6F" w14:textId="77777777" w:rsidR="00FD364A" w:rsidRDefault="00FD364A" w:rsidP="007D530A">
      <w:pPr>
        <w:rPr>
          <w:rFonts w:ascii="Arial" w:hAnsi="Arial" w:cs="Arial"/>
          <w:b/>
          <w:bCs/>
          <w:u w:val="single"/>
        </w:rPr>
      </w:pPr>
    </w:p>
    <w:p w14:paraId="7C871E2F" w14:textId="6BD6BDC0" w:rsidR="00FD364A" w:rsidRDefault="00732000" w:rsidP="007D530A">
      <w:pPr>
        <w:rPr>
          <w:rFonts w:ascii="Arial" w:hAnsi="Arial" w:cs="Arial"/>
          <w:b/>
          <w:bCs/>
          <w:u w:val="single"/>
        </w:rPr>
      </w:pPr>
      <w:r w:rsidRPr="0085114A">
        <w:rPr>
          <w:rFonts w:ascii="Arial" w:hAnsi="Arial" w:cs="Arial"/>
          <w:b/>
          <w:bCs/>
          <w:u w:val="single"/>
        </w:rPr>
        <w:t xml:space="preserve">Appendix </w:t>
      </w:r>
      <w:r>
        <w:rPr>
          <w:rFonts w:ascii="Arial" w:hAnsi="Arial" w:cs="Arial"/>
          <w:b/>
          <w:bCs/>
          <w:u w:val="single"/>
        </w:rPr>
        <w:t>B</w:t>
      </w:r>
    </w:p>
    <w:p w14:paraId="6FBF6787" w14:textId="5697117F" w:rsidR="008F0FB9" w:rsidRDefault="008F0FB9" w:rsidP="007D530A">
      <w:pPr>
        <w:rPr>
          <w:rFonts w:ascii="Arial" w:hAnsi="Arial" w:cs="Arial"/>
          <w:b/>
          <w:bCs/>
          <w:u w:val="single"/>
        </w:rPr>
      </w:pPr>
      <w:r w:rsidRPr="00165C7F">
        <w:rPr>
          <w:rFonts w:ascii="Arial" w:hAnsi="Arial" w:cs="Arial"/>
          <w:b/>
          <w:bCs/>
          <w:noProof/>
          <w:lang w:val="fr-FR"/>
        </w:rPr>
        <w:drawing>
          <wp:inline distT="0" distB="0" distL="0" distR="0" wp14:anchorId="557CED6B" wp14:editId="34AD0F44">
            <wp:extent cx="3395291" cy="2546398"/>
            <wp:effectExtent l="5080" t="0" r="1270" b="1270"/>
            <wp:docPr id="1" name="Picture 1" descr="A white box with a flowe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white box with a flower on i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3425680" cy="2569189"/>
                    </a:xfrm>
                    <a:prstGeom prst="rect">
                      <a:avLst/>
                    </a:prstGeom>
                  </pic:spPr>
                </pic:pic>
              </a:graphicData>
            </a:graphic>
          </wp:inline>
        </w:drawing>
      </w:r>
    </w:p>
    <w:p w14:paraId="460D60F2" w14:textId="77777777" w:rsidR="008F0FB9" w:rsidRDefault="008F0FB9" w:rsidP="007D530A">
      <w:pPr>
        <w:rPr>
          <w:rFonts w:ascii="Arial" w:hAnsi="Arial" w:cs="Arial"/>
          <w:b/>
          <w:bCs/>
          <w:u w:val="single"/>
        </w:rPr>
      </w:pPr>
    </w:p>
    <w:p w14:paraId="6D59FB4F" w14:textId="7F447236" w:rsidR="00622BD6" w:rsidRDefault="00622BD6" w:rsidP="007D530A">
      <w:pPr>
        <w:rPr>
          <w:rFonts w:ascii="Arial" w:hAnsi="Arial" w:cs="Arial"/>
          <w:b/>
          <w:bCs/>
          <w:u w:val="single"/>
        </w:rPr>
      </w:pPr>
    </w:p>
    <w:p w14:paraId="62219001" w14:textId="44C96D66" w:rsidR="007D530A" w:rsidRPr="00622BD6" w:rsidRDefault="007D530A" w:rsidP="007D530A">
      <w:pPr>
        <w:rPr>
          <w:rFonts w:ascii="Arial" w:hAnsi="Arial" w:cs="Arial"/>
          <w:b/>
          <w:bCs/>
          <w:u w:val="single"/>
        </w:rPr>
      </w:pPr>
    </w:p>
    <w:p w14:paraId="5D1288CF" w14:textId="77777777" w:rsidR="0000375B" w:rsidRDefault="0000375B" w:rsidP="0000375B">
      <w:pPr>
        <w:rPr>
          <w:b/>
          <w:bCs/>
        </w:rPr>
      </w:pPr>
    </w:p>
    <w:p w14:paraId="3729DB03" w14:textId="77777777" w:rsidR="0000375B" w:rsidRPr="0000375B" w:rsidRDefault="0000375B" w:rsidP="0000375B"/>
    <w:p w14:paraId="00FCD18B" w14:textId="77777777" w:rsidR="000C541C" w:rsidRDefault="000C541C" w:rsidP="00DD5969">
      <w:pPr>
        <w:rPr>
          <w:sz w:val="16"/>
          <w:szCs w:val="16"/>
        </w:rPr>
      </w:pPr>
    </w:p>
    <w:p w14:paraId="6EA9A853" w14:textId="77777777" w:rsidR="0000375B" w:rsidRDefault="0000375B" w:rsidP="00DD5969">
      <w:pPr>
        <w:rPr>
          <w:sz w:val="16"/>
          <w:szCs w:val="16"/>
        </w:rPr>
      </w:pPr>
    </w:p>
    <w:p w14:paraId="32F37250" w14:textId="77777777" w:rsidR="0000375B" w:rsidRPr="00B103B9" w:rsidRDefault="0000375B" w:rsidP="00DD5969">
      <w:pPr>
        <w:rPr>
          <w:sz w:val="16"/>
          <w:szCs w:val="16"/>
        </w:rPr>
      </w:pPr>
    </w:p>
    <w:sectPr w:rsidR="0000375B"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A2E17"/>
    <w:rsid w:val="000A470F"/>
    <w:rsid w:val="000A5027"/>
    <w:rsid w:val="000C144A"/>
    <w:rsid w:val="000C541C"/>
    <w:rsid w:val="000C68CB"/>
    <w:rsid w:val="000D5B34"/>
    <w:rsid w:val="0010406A"/>
    <w:rsid w:val="001118FB"/>
    <w:rsid w:val="00115538"/>
    <w:rsid w:val="00135DD1"/>
    <w:rsid w:val="001819DF"/>
    <w:rsid w:val="001B086C"/>
    <w:rsid w:val="001C6E70"/>
    <w:rsid w:val="00262DC1"/>
    <w:rsid w:val="002C05B1"/>
    <w:rsid w:val="002F243A"/>
    <w:rsid w:val="00301906"/>
    <w:rsid w:val="00302BB1"/>
    <w:rsid w:val="003341DF"/>
    <w:rsid w:val="00347EA1"/>
    <w:rsid w:val="00382546"/>
    <w:rsid w:val="003A709B"/>
    <w:rsid w:val="003D223A"/>
    <w:rsid w:val="00417AB6"/>
    <w:rsid w:val="004D474C"/>
    <w:rsid w:val="00533EF6"/>
    <w:rsid w:val="00536CFB"/>
    <w:rsid w:val="00543F5E"/>
    <w:rsid w:val="00584970"/>
    <w:rsid w:val="005B783A"/>
    <w:rsid w:val="005F42D0"/>
    <w:rsid w:val="005F7C42"/>
    <w:rsid w:val="00622BD6"/>
    <w:rsid w:val="0062310A"/>
    <w:rsid w:val="00664B16"/>
    <w:rsid w:val="006B52C3"/>
    <w:rsid w:val="006E50C4"/>
    <w:rsid w:val="007203C3"/>
    <w:rsid w:val="00732000"/>
    <w:rsid w:val="007352C0"/>
    <w:rsid w:val="00743752"/>
    <w:rsid w:val="00792314"/>
    <w:rsid w:val="007D3AE1"/>
    <w:rsid w:val="007D530A"/>
    <w:rsid w:val="007E01E0"/>
    <w:rsid w:val="00803155"/>
    <w:rsid w:val="00840BEE"/>
    <w:rsid w:val="00851EDB"/>
    <w:rsid w:val="008F0FB9"/>
    <w:rsid w:val="008F1086"/>
    <w:rsid w:val="009060A0"/>
    <w:rsid w:val="0091355A"/>
    <w:rsid w:val="00917008"/>
    <w:rsid w:val="00935B8D"/>
    <w:rsid w:val="009B164A"/>
    <w:rsid w:val="00A23D6E"/>
    <w:rsid w:val="00AD7313"/>
    <w:rsid w:val="00AE2AA9"/>
    <w:rsid w:val="00AE3307"/>
    <w:rsid w:val="00B028A8"/>
    <w:rsid w:val="00B103B9"/>
    <w:rsid w:val="00B51B61"/>
    <w:rsid w:val="00B724BB"/>
    <w:rsid w:val="00BB6BB9"/>
    <w:rsid w:val="00BE2A35"/>
    <w:rsid w:val="00BE3554"/>
    <w:rsid w:val="00C129B8"/>
    <w:rsid w:val="00C24461"/>
    <w:rsid w:val="00C2550A"/>
    <w:rsid w:val="00C4699D"/>
    <w:rsid w:val="00C86756"/>
    <w:rsid w:val="00CD7581"/>
    <w:rsid w:val="00CF32AC"/>
    <w:rsid w:val="00D24ADF"/>
    <w:rsid w:val="00D26517"/>
    <w:rsid w:val="00DC55F3"/>
    <w:rsid w:val="00DD5969"/>
    <w:rsid w:val="00E10797"/>
    <w:rsid w:val="00E20FD6"/>
    <w:rsid w:val="00E243A8"/>
    <w:rsid w:val="00E6747C"/>
    <w:rsid w:val="00E8649A"/>
    <w:rsid w:val="00EA0B9A"/>
    <w:rsid w:val="00EA15D1"/>
    <w:rsid w:val="00EA6220"/>
    <w:rsid w:val="00EB28ED"/>
    <w:rsid w:val="00EB344B"/>
    <w:rsid w:val="00EC1771"/>
    <w:rsid w:val="00F061D3"/>
    <w:rsid w:val="00F76910"/>
    <w:rsid w:val="00F8089C"/>
    <w:rsid w:val="00FD36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D530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D530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new-term-means-digital-skills-par-reading-and-maths-welsh-curriculum-kirsty-williams" TargetMode="External"/><Relationship Id="rId13" Type="http://schemas.openxmlformats.org/officeDocument/2006/relationships/hyperlink" Target="https://hwb.gov.wales/api/storage/4d852cbe-03d6-4c36-8175-c281461c8690/literacy-framework.pdf" TargetMode="External"/><Relationship Id="rId18" Type="http://schemas.openxmlformats.org/officeDocument/2006/relationships/image" Target="media/image4.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research.library.kutztown.edu/cgi/viewcontent.cgi?article=1003&amp;context=wickedproblems" TargetMode="External"/><Relationship Id="rId12" Type="http://schemas.openxmlformats.org/officeDocument/2006/relationships/hyperlink" Target="https://hwb.gov.wales/api/storage/d26af733-abd1-4d33-92fe-4ea8eb1d928f/dcf40620.pdf" TargetMode="External"/><Relationship Id="rId17" Type="http://schemas.openxmlformats.org/officeDocument/2006/relationships/image" Target="media/image3.png"/><Relationship Id="rId2" Type="http://schemas.openxmlformats.org/officeDocument/2006/relationships/settings" Target="settings.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lobaleducationtherapy.com/blog/fine-motor-skills" TargetMode="External"/><Relationship Id="rId11" Type="http://schemas.openxmlformats.org/officeDocument/2006/relationships/hyperlink" Target="https://hwb.gov.wales/curriculum-for-wales/designing-your-curriculum/developing-a-vision-for-curriculum-design#cross-curricular-skills" TargetMode="External"/><Relationship Id="rId5" Type="http://schemas.openxmlformats.org/officeDocument/2006/relationships/hyperlink" Target="https://files.eric.ed.gov/fulltext/ED604388.pdf" TargetMode="External"/><Relationship Id="rId15" Type="http://schemas.openxmlformats.org/officeDocument/2006/relationships/hyperlink" Target="https://hwb.gov.wales/curriculum-for-wales/designing-your-curriculum/developing-a-vision-for-curriculum-design/#curriculum-design-and-the-four-purposes" TargetMode="External"/><Relationship Id="rId10" Type="http://schemas.openxmlformats.org/officeDocument/2006/relationships/hyperlink" Target="https://hwb.gov.wales/curriculum-for-wales/designing-your-curriculum/pedagogy/" TargetMode="External"/><Relationship Id="rId19" Type="http://schemas.openxmlformats.org/officeDocument/2006/relationships/image" Target="media/image5.png"/><Relationship Id="rId4" Type="http://schemas.openxmlformats.org/officeDocument/2006/relationships/image" Target="media/image1.png"/><Relationship Id="rId9" Type="http://schemas.openxmlformats.org/officeDocument/2006/relationships/hyperlink" Target="https://hwb.gov.wales/professional-learning/identifying-professional-learning-needs/professional-standards" TargetMode="External"/><Relationship Id="rId14" Type="http://schemas.openxmlformats.org/officeDocument/2006/relationships/hyperlink" Target="https://hwb.gov.wales/api/storage/2f34d783-b4b3-4d47-8fe9-49fdb993dfce/numeracy-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2574</Words>
  <Characters>15268</Characters>
  <Application>Microsoft Office Word</Application>
  <DocSecurity>0</DocSecurity>
  <Lines>288</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Eleri Rees</cp:lastModifiedBy>
  <cp:revision>13</cp:revision>
  <dcterms:created xsi:type="dcterms:W3CDTF">2025-03-03T16:00:00Z</dcterms:created>
  <dcterms:modified xsi:type="dcterms:W3CDTF">2025-03-03T16:12:00Z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811ceee7806863c504177a7a162ac6d1733007c5d9e2e9672b7f1ca05a73f116</vt:lpwstr>
  </property>
</Properties>
</file>