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00" w:line="360" w:lineRule="auto"/>
        <w:jc w:val="both"/>
        <w:rPr>
          <w:rFonts w:ascii="Times New Roman" w:cs="Times New Roman" w:eastAsia="Times New Roman" w:hAnsi="Times New Roman"/>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r>
          </w:hyperlink>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Case study</w:t>
            </w:r>
          </w:hyperlink>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Analysis</w:t>
            </w:r>
          </w:hyperlink>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Evaluation</w:t>
            </w:r>
          </w:hyperlink>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r>
          </w:hyperlink>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w:t>
            </w:r>
          </w:hyperlink>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pStyle w:val="Heading1"/>
        <w:spacing w:after="200" w:line="360" w:lineRule="auto"/>
        <w:jc w:val="both"/>
        <w:rPr>
          <w:rFonts w:ascii="Times New Roman" w:cs="Times New Roman" w:eastAsia="Times New Roman" w:hAnsi="Times New Roman"/>
        </w:rPr>
      </w:pPr>
      <w:bookmarkStart w:colFirst="0" w:colLast="0" w:name="_heading=h.30j0zll" w:id="1"/>
      <w:bookmarkEnd w:id="1"/>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40"/>
          <w:szCs w:val="40"/>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spacing w:after="20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Introduction </w:t>
      </w:r>
    </w:p>
    <w:p w:rsidR="00000000" w:rsidDel="00000000" w:rsidP="00000000" w:rsidRDefault="00000000" w:rsidRPr="00000000" w14:paraId="0000000E">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capacity of the parent to supervise, nurse and care for their children may be badly affected by factors like family violence, parental drugs and alcohol, parental mental illness and intellectual disabilities. This lack of surveillance can expose children and young children to severe bodily damage, as well as environmental neglect (</w:t>
      </w:r>
      <w:r w:rsidDel="00000000" w:rsidR="00000000" w:rsidRPr="00000000">
        <w:rPr>
          <w:rFonts w:ascii="Times New Roman" w:cs="Times New Roman" w:eastAsia="Times New Roman" w:hAnsi="Times New Roman"/>
          <w:color w:val="222222"/>
          <w:sz w:val="24"/>
          <w:szCs w:val="24"/>
          <w:highlight w:val="white"/>
          <w:rtl w:val="0"/>
        </w:rPr>
        <w:t xml:space="preserve">Jacob and Marlais,2021</w:t>
      </w:r>
      <w:r w:rsidDel="00000000" w:rsidR="00000000" w:rsidRPr="00000000">
        <w:rPr>
          <w:rFonts w:ascii="Times New Roman" w:cs="Times New Roman" w:eastAsia="Times New Roman" w:hAnsi="Times New Roman"/>
          <w:sz w:val="24"/>
          <w:szCs w:val="24"/>
          <w:rtl w:val="0"/>
        </w:rPr>
        <w:t xml:space="preserve">). The vulnerability may be described as situations when a family's requirements cannot be satisfied from its resources or kith. Family relationships and services can contribute significantly to the welfare of the children and the family. This essay will discuss the families unit case study from Norfolk. Holly is a 37-year-old woman, single parent, and a mother of three (Sarah 13, mark 9 and kylie,2). The local government reported the family to the unit. The children had a safeguard scheme for children. The provincial government sets out what measures a family must take to improve how their children are cared for via emotional abuse and neglect. The factors detected regarding the vulnerability are that Holly was addicted to alcohol and has not taken or nurtured. On the estate, the family was both the culprit and the victim of anti-social behaviours, and the children's attendance was close to zero.</w:t>
      </w:r>
    </w:p>
    <w:p w:rsidR="00000000" w:rsidDel="00000000" w:rsidP="00000000" w:rsidRDefault="00000000" w:rsidRPr="00000000" w14:paraId="0000000F">
      <w:pPr>
        <w:rPr>
          <w:rFonts w:ascii="Times New Roman" w:cs="Times New Roman" w:eastAsia="Times New Roman" w:hAnsi="Times New Roman"/>
          <w:sz w:val="32"/>
          <w:szCs w:val="32"/>
        </w:rPr>
      </w:pPr>
      <w:bookmarkStart w:colFirst="0" w:colLast="0" w:name="_heading=h.3znysh7" w:id="3"/>
      <w:bookmarkEnd w:id="3"/>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2"/>
        <w:spacing w:after="20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Case study </w:t>
      </w:r>
    </w:p>
    <w:p w:rsidR="00000000" w:rsidDel="00000000" w:rsidP="00000000" w:rsidRDefault="00000000" w:rsidRPr="00000000" w14:paraId="00000011">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families unit case study is from Norfolk, Holly, 37 by age, single parent and a mother of three, Sarah, age 13, mark age 9 and Kylie, age 2. The local government reported the family to the unit. A child safety strategy was in place for children. The provincial government sets out what measures families must take steps to enhance their children's lives cared for via emotional abuse and neglect. The factor identified in the case study is followed. Domestic violence in the family has been seen and experienced for a long time. Holly experienced alcohol problems and panic attacks, and anxiety. She also had some past abusive relationships, which lead to these anti-social behaviours. She had weak problem-solving abilities and found it difficult for children to establish acceptable limits. The family was the offender and the victim of antisocial behaviours, and school students were lacking. </w:t>
      </w:r>
    </w:p>
    <w:p w:rsidR="00000000" w:rsidDel="00000000" w:rsidP="00000000" w:rsidRDefault="00000000" w:rsidRPr="00000000" w14:paraId="00000012">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government provided specific policies to address this type of behaviour and help to overcome vulnerable situations. According to the United Nations Convention on the Rights of the Child (UNCRC), Article 4 protects the rights. All reasonable efforts must be taken by governments to ensure that children's rights are acknowledged, protected, and fulfilled. When a country ratifies the Convention, it undertakes to review its laws concerning children (</w:t>
      </w:r>
      <w:r w:rsidDel="00000000" w:rsidR="00000000" w:rsidRPr="00000000">
        <w:rPr>
          <w:rFonts w:ascii="Times New Roman" w:cs="Times New Roman" w:eastAsia="Times New Roman" w:hAnsi="Times New Roman"/>
          <w:color w:val="222222"/>
          <w:sz w:val="24"/>
          <w:szCs w:val="24"/>
          <w:highlight w:val="white"/>
          <w:rtl w:val="0"/>
        </w:rPr>
        <w:t xml:space="preserve">Bengtsson,2017</w:t>
      </w:r>
      <w:r w:rsidDel="00000000" w:rsidR="00000000" w:rsidRPr="00000000">
        <w:rPr>
          <w:rFonts w:ascii="Times New Roman" w:cs="Times New Roman" w:eastAsia="Times New Roman" w:hAnsi="Times New Roman"/>
          <w:sz w:val="24"/>
          <w:szCs w:val="24"/>
          <w:rtl w:val="0"/>
        </w:rPr>
        <w:t xml:space="preserve">). This includes assessing their socioeconomic, legislative, health, and educational institutions, as well as the budgets allocated to these services. Therefore, governments must make all necessary efforts to ensure that the Convention's minimum requirements are satisfied in these areas. They must assist families in safeguarding children's rights and creating an environment where they can develop and achieve their full potential (</w:t>
      </w:r>
      <w:r w:rsidDel="00000000" w:rsidR="00000000" w:rsidRPr="00000000">
        <w:rPr>
          <w:rFonts w:ascii="Times New Roman" w:cs="Times New Roman" w:eastAsia="Times New Roman" w:hAnsi="Times New Roman"/>
          <w:color w:val="222222"/>
          <w:sz w:val="24"/>
          <w:szCs w:val="24"/>
          <w:highlight w:val="white"/>
          <w:rtl w:val="0"/>
        </w:rPr>
        <w:t xml:space="preserve">Alderson,2017</w:t>
      </w:r>
      <w:r w:rsidDel="00000000" w:rsidR="00000000" w:rsidRPr="00000000">
        <w:rPr>
          <w:rFonts w:ascii="Times New Roman" w:cs="Times New Roman" w:eastAsia="Times New Roman" w:hAnsi="Times New Roman"/>
          <w:sz w:val="24"/>
          <w:szCs w:val="24"/>
          <w:rtl w:val="0"/>
        </w:rPr>
        <w:t xml:space="preserve">). This may include amending current laws or enacting new ones in some cases. Such legal changes are not imposed but rather result from the same process that any legislation in a country goes through when it is made or modified. All children and young people have the right to survive and grow, according to Article 6 of the UNCRC. It states that the government should do everything possible to prevent children and young people from suffering (</w:t>
      </w:r>
      <w:r w:rsidDel="00000000" w:rsidR="00000000" w:rsidRPr="00000000">
        <w:rPr>
          <w:rFonts w:ascii="Times New Roman" w:cs="Times New Roman" w:eastAsia="Times New Roman" w:hAnsi="Times New Roman"/>
          <w:color w:val="222222"/>
          <w:sz w:val="24"/>
          <w:szCs w:val="24"/>
          <w:highlight w:val="white"/>
          <w:rtl w:val="0"/>
        </w:rPr>
        <w:t xml:space="preserve">Murray,2019</w:t>
      </w:r>
      <w:r w:rsidDel="00000000" w:rsidR="00000000" w:rsidRPr="00000000">
        <w:rPr>
          <w:rFonts w:ascii="Times New Roman" w:cs="Times New Roman" w:eastAsia="Times New Roman" w:hAnsi="Times New Roman"/>
          <w:sz w:val="24"/>
          <w:szCs w:val="24"/>
          <w:rtl w:val="0"/>
        </w:rPr>
        <w:t xml:space="preserve">). This article also states that children and adolescents should be allowed to grow up in environments that do not compromise their physical and mental health.</w:t>
      </w:r>
    </w:p>
    <w:p w:rsidR="00000000" w:rsidDel="00000000" w:rsidP="00000000" w:rsidRDefault="00000000" w:rsidRPr="00000000" w14:paraId="00000013">
      <w:pPr>
        <w:pStyle w:val="Heading2"/>
        <w:spacing w:after="200" w:line="360" w:lineRule="auto"/>
        <w:jc w:val="both"/>
        <w:rPr>
          <w:rFonts w:ascii="Times New Roman" w:cs="Times New Roman" w:eastAsia="Times New Roman" w:hAnsi="Times New Roman"/>
        </w:rPr>
      </w:pPr>
      <w:bookmarkStart w:colFirst="0" w:colLast="0" w:name="_heading=h.2et92p0" w:id="4"/>
      <w:bookmarkEnd w:id="4"/>
      <w:r w:rsidDel="00000000" w:rsidR="00000000" w:rsidRPr="00000000">
        <w:rPr>
          <w:rFonts w:ascii="Times New Roman" w:cs="Times New Roman" w:eastAsia="Times New Roman" w:hAnsi="Times New Roman"/>
          <w:rtl w:val="0"/>
        </w:rPr>
        <w:t xml:space="preserve">Analysis </w:t>
      </w:r>
    </w:p>
    <w:p w:rsidR="00000000" w:rsidDel="00000000" w:rsidP="00000000" w:rsidRDefault="00000000" w:rsidRPr="00000000" w14:paraId="00000014">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Familie unit has worked closely with the family for 11 months and has significantly improved the antisocial behaviour of the family, which has prompted them to relocate to their homes. Holly received assistance in leaving a violent relationship. Holly stopped her anti-social behaviour and realised why she was always entangled in harmful situations after working on comprehending the consequences of her actions. Holly received assistance and direction for the children's boundaries and enhanced her childhood. Following school mediation to handle bullying, Sarah's school participation rose from 65 per cent to 96 per cent. Sarah takes dancing classes, and Mark was in a dramatic course, helping her increase trust and self-esteem. Holly was also relieved to access her youngest child Kylie to obtain a preschool. </w:t>
      </w:r>
    </w:p>
    <w:p w:rsidR="00000000" w:rsidDel="00000000" w:rsidP="00000000" w:rsidRDefault="00000000" w:rsidRPr="00000000" w14:paraId="00000015">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work practice in the United Kingdom has traditionally been based on legislation and public policy concerning children, families and individuals. As this framework develops, new working and innovation methods based on evidence are needed to suit people's needs and specific situations. Strength-based practice is the process of collaboration between the service-supporter and the supporting individuals to work together to decide the result based on the strengths and assets of the individual (</w:t>
      </w:r>
      <w:r w:rsidDel="00000000" w:rsidR="00000000" w:rsidRPr="00000000">
        <w:rPr>
          <w:rFonts w:ascii="Times New Roman" w:cs="Times New Roman" w:eastAsia="Times New Roman" w:hAnsi="Times New Roman"/>
          <w:color w:val="222222"/>
          <w:sz w:val="24"/>
          <w:szCs w:val="24"/>
          <w:highlight w:val="white"/>
          <w:rtl w:val="0"/>
        </w:rPr>
        <w:t xml:space="preserve">Swartz,2017</w:t>
      </w:r>
      <w:r w:rsidDel="00000000" w:rsidR="00000000" w:rsidRPr="00000000">
        <w:rPr>
          <w:rFonts w:ascii="Times New Roman" w:cs="Times New Roman" w:eastAsia="Times New Roman" w:hAnsi="Times New Roman"/>
          <w:sz w:val="24"/>
          <w:szCs w:val="24"/>
          <w:rtl w:val="0"/>
        </w:rPr>
        <w:t xml:space="preserve">). It focuses mainly on the quality of the interaction between those who provide support and supporters and the components that the support seeker significantly contributes. In Holly’s case, the professional used this similar approach to leave behind her past experiences and was given support to set boundaries with her kid and leave her violent relationship (</w:t>
      </w:r>
      <w:r w:rsidDel="00000000" w:rsidR="00000000" w:rsidRPr="00000000">
        <w:rPr>
          <w:rFonts w:ascii="Times New Roman" w:cs="Times New Roman" w:eastAsia="Times New Roman" w:hAnsi="Times New Roman"/>
          <w:color w:val="222222"/>
          <w:sz w:val="24"/>
          <w:szCs w:val="24"/>
          <w:highlight w:val="white"/>
          <w:rtl w:val="0"/>
        </w:rPr>
        <w:t xml:space="preserve">Fortune,2018</w:t>
      </w:r>
      <w:r w:rsidDel="00000000" w:rsidR="00000000" w:rsidRPr="00000000">
        <w:rPr>
          <w:rFonts w:ascii="Times New Roman" w:cs="Times New Roman" w:eastAsia="Times New Roman" w:hAnsi="Times New Roman"/>
          <w:sz w:val="24"/>
          <w:szCs w:val="24"/>
          <w:rtl w:val="0"/>
        </w:rPr>
        <w:t xml:space="preserve">). A significant catalyst for change was the adoption of the Care Act in 2014. The Act underlines that SBAs are one of the main concepts of co-production, preventive and personalisation in connection to evaluations and treatments. </w:t>
      </w:r>
    </w:p>
    <w:p w:rsidR="00000000" w:rsidDel="00000000" w:rsidP="00000000" w:rsidRDefault="00000000" w:rsidRPr="00000000" w14:paraId="00000016">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a fundamental move from a deficit understanding of children and young people as 'problems of being' to being 'on promise' – constructive agents of life changes – was mirrored in the emerging political and legislative process addressed here (</w:t>
      </w:r>
      <w:r w:rsidDel="00000000" w:rsidR="00000000" w:rsidRPr="00000000">
        <w:rPr>
          <w:rFonts w:ascii="Times New Roman" w:cs="Times New Roman" w:eastAsia="Times New Roman" w:hAnsi="Times New Roman"/>
          <w:color w:val="222222"/>
          <w:sz w:val="24"/>
          <w:szCs w:val="24"/>
          <w:highlight w:val="white"/>
          <w:rtl w:val="0"/>
        </w:rPr>
        <w:t xml:space="preserve">Swartz,2017</w:t>
      </w:r>
      <w:r w:rsidDel="00000000" w:rsidR="00000000" w:rsidRPr="00000000">
        <w:rPr>
          <w:rFonts w:ascii="Times New Roman" w:cs="Times New Roman" w:eastAsia="Times New Roman" w:hAnsi="Times New Roman"/>
          <w:sz w:val="24"/>
          <w:szCs w:val="24"/>
          <w:rtl w:val="0"/>
        </w:rPr>
        <w:t xml:space="preserve">). An SBA on social care is founded on rights and is person-centred, and based on ethics and values. As a result, it recognises the function of the Mental Capacity Act in assisting the decision-making of young persons aged 16 and over. Individuals, families, and communities are placed at the centre of social care. It is recognised that they play an essential role in caring for children and young people that cannot be substituted exclusively by professional involvement. This involves a new way to look at people and take on the basic concept that, while they are faced with challenges, they can make suitable changes in their life if they can and are supported by them (</w:t>
      </w:r>
      <w:r w:rsidDel="00000000" w:rsidR="00000000" w:rsidRPr="00000000">
        <w:rPr>
          <w:rFonts w:ascii="Times New Roman" w:cs="Times New Roman" w:eastAsia="Times New Roman" w:hAnsi="Times New Roman"/>
          <w:color w:val="222222"/>
          <w:sz w:val="24"/>
          <w:szCs w:val="24"/>
          <w:highlight w:val="white"/>
          <w:rtl w:val="0"/>
        </w:rPr>
        <w:t xml:space="preserve">Pulla and del Villar,2020</w:t>
      </w:r>
      <w:r w:rsidDel="00000000" w:rsidR="00000000" w:rsidRPr="00000000">
        <w:rPr>
          <w:rFonts w:ascii="Times New Roman" w:cs="Times New Roman" w:eastAsia="Times New Roman" w:hAnsi="Times New Roman"/>
          <w:sz w:val="24"/>
          <w:szCs w:val="24"/>
          <w:rtl w:val="0"/>
        </w:rPr>
        <w:t xml:space="preserve">). It recognises that children and young people and their families have significant abilities and experiences essential for getting together and developing solutions. SBAs may be effective if a system-wide strategy is adopted to change to establish the vital circumstances for success. In particular, this calls for a change in the behaviours, attitudes, relationships and abilities needed to engage with people successfully and get the care they need. The session focuses on the challenges, problems and needs of individuals, their capability, family and community support, and the services and professional skills (</w:t>
      </w:r>
      <w:r w:rsidDel="00000000" w:rsidR="00000000" w:rsidRPr="00000000">
        <w:rPr>
          <w:rFonts w:ascii="Times New Roman" w:cs="Times New Roman" w:eastAsia="Times New Roman" w:hAnsi="Times New Roman"/>
          <w:color w:val="222222"/>
          <w:sz w:val="24"/>
          <w:szCs w:val="24"/>
          <w:highlight w:val="white"/>
          <w:rtl w:val="0"/>
        </w:rPr>
        <w:t xml:space="preserve">Appleton, Harrison and Mumby-Croft,2020</w:t>
      </w:r>
      <w:r w:rsidDel="00000000" w:rsidR="00000000" w:rsidRPr="00000000">
        <w:rPr>
          <w:rFonts w:ascii="Times New Roman" w:cs="Times New Roman" w:eastAsia="Times New Roman" w:hAnsi="Times New Roman"/>
          <w:sz w:val="24"/>
          <w:szCs w:val="24"/>
          <w:rtl w:val="0"/>
        </w:rPr>
        <w:t xml:space="preserve">). A comprehensive approach involves children, young people and their families alike. The method works together, based on valuable talents or assets for every member of the community. It is an entire family strategy aimed at building connections and links using one's networks. The project runs via the local coordinator, one point of contact, who works with families to develop reasonable solutions limited in time and not limited in time and minimise reliance, where feasible and implement support. To be effective in reality, the existing regulatory frameworks and local institutions are overly focused on risk prevention and compliance. A positive approach to risk and a readiness on behalf of organisations and practicers to experiment, develop and be creative are essential changes needed for SBA to be effective (</w:t>
      </w:r>
      <w:r w:rsidDel="00000000" w:rsidR="00000000" w:rsidRPr="00000000">
        <w:rPr>
          <w:rFonts w:ascii="Times New Roman" w:cs="Times New Roman" w:eastAsia="Times New Roman" w:hAnsi="Times New Roman"/>
          <w:color w:val="222222"/>
          <w:sz w:val="24"/>
          <w:szCs w:val="24"/>
          <w:highlight w:val="white"/>
          <w:rtl w:val="0"/>
        </w:rPr>
        <w:t xml:space="preserve">Pulla and del Villar,2020</w:t>
      </w:r>
      <w:r w:rsidDel="00000000" w:rsidR="00000000" w:rsidRPr="00000000">
        <w:rPr>
          <w:rFonts w:ascii="Times New Roman" w:cs="Times New Roman" w:eastAsia="Times New Roman" w:hAnsi="Times New Roman"/>
          <w:sz w:val="24"/>
          <w:szCs w:val="24"/>
          <w:rtl w:val="0"/>
        </w:rPr>
        <w:t xml:space="preserve">). The dangers of specific interventions or methods, such as conflicts produced by legal duties and statutory regulations, have to be understood simultaneously. The necessary techniques for risk management and the establishment of flexible systems for changing approaches and interventions that don't work are pragmatic and transparent. It concerns a change in viewpoint: from the perspective of practitioners and organisations to the identification of what are the most significant dangers to children, young people and their families, the rewards of dangerous action, their risk management capacity and ultimately their assistance (</w:t>
      </w:r>
      <w:r w:rsidDel="00000000" w:rsidR="00000000" w:rsidRPr="00000000">
        <w:rPr>
          <w:rFonts w:ascii="Times New Roman" w:cs="Times New Roman" w:eastAsia="Times New Roman" w:hAnsi="Times New Roman"/>
          <w:color w:val="222222"/>
          <w:sz w:val="24"/>
          <w:szCs w:val="24"/>
          <w:highlight w:val="white"/>
          <w:rtl w:val="0"/>
        </w:rPr>
        <w:t xml:space="preserve">Appleton, Harrison and Mumby-Croft,2020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pStyle w:val="Heading2"/>
        <w:spacing w:after="200" w:line="360" w:lineRule="auto"/>
        <w:jc w:val="both"/>
        <w:rPr>
          <w:rFonts w:ascii="Times New Roman" w:cs="Times New Roman" w:eastAsia="Times New Roman" w:hAnsi="Times New Roman"/>
        </w:rPr>
      </w:pPr>
      <w:bookmarkStart w:colFirst="0" w:colLast="0" w:name="_heading=h.tyjcwt" w:id="5"/>
      <w:bookmarkEnd w:id="5"/>
      <w:r w:rsidDel="00000000" w:rsidR="00000000" w:rsidRPr="00000000">
        <w:rPr>
          <w:rFonts w:ascii="Times New Roman" w:cs="Times New Roman" w:eastAsia="Times New Roman" w:hAnsi="Times New Roman"/>
          <w:rtl w:val="0"/>
        </w:rPr>
        <w:t xml:space="preserve">Evaluation </w:t>
      </w:r>
    </w:p>
    <w:p w:rsidR="00000000" w:rsidDel="00000000" w:rsidP="00000000" w:rsidRDefault="00000000" w:rsidRPr="00000000" w14:paraId="00000018">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intervention strategies help Holly a critical decrease in the anti-social behaviour of the family, which allowed them to move home. Holly had been helped to flee violence. Holly halted her anti-social behaviour and realised why she often found herself in abusive situations after understanding behavioural repercussions. Holly received assistance and direction for the children's boundaries and enhanced her childhood. Following school mediation to handle bullying, Sarah's school participation rose from 65 per cent to 96 per cent. Sarah takes dancing classes, and Mark is on a dramatic course - this has improved her and her trust. The team worked with this family for 11 months and achieved significant improvements. Most of our units are interdisciplinary with experience in various treatment methods, including psychoanalysis, cognitive behaviour therapy and systemic psychotherapy, which helped Holly overcome her fear and anxiety issues and develop critical thinking. The Local and Children's units were subject to a plan for the protection of children in the context of emotional abuses and negligence (where a local authority lays out what action the family has to do to increase the care of its children). There are several residential treatment programmes for mothers with their children described in the literature (</w:t>
      </w:r>
      <w:r w:rsidDel="00000000" w:rsidR="00000000" w:rsidRPr="00000000">
        <w:rPr>
          <w:rFonts w:ascii="Times New Roman" w:cs="Times New Roman" w:eastAsia="Times New Roman" w:hAnsi="Times New Roman"/>
          <w:color w:val="222222"/>
          <w:sz w:val="24"/>
          <w:szCs w:val="24"/>
          <w:highlight w:val="white"/>
          <w:rtl w:val="0"/>
        </w:rPr>
        <w:t xml:space="preserve">Nguyen, Palisano and Graham,2019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9">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research shows good parent and child results employing designs for pre-post assessment. Research has shown that family and parental qualification may be enhanced by integrating particular parenting programmes in drug misuse treatment. Few parenting treatments for parents who have or recover from such disturbances have been established. Nurturing Parenting Programs (NPP) and Empowering Families are two of the few group-based parenting programmes that have received excellent ratings (</w:t>
      </w:r>
      <w:r w:rsidDel="00000000" w:rsidR="00000000" w:rsidRPr="00000000">
        <w:rPr>
          <w:rFonts w:ascii="Times New Roman" w:cs="Times New Roman" w:eastAsia="Times New Roman" w:hAnsi="Times New Roman"/>
          <w:color w:val="222222"/>
          <w:sz w:val="24"/>
          <w:szCs w:val="24"/>
          <w:highlight w:val="white"/>
          <w:rtl w:val="0"/>
        </w:rPr>
        <w:t xml:space="preserve">Fortune,2018</w:t>
      </w:r>
      <w:r w:rsidDel="00000000" w:rsidR="00000000" w:rsidRPr="00000000">
        <w:rPr>
          <w:rFonts w:ascii="Times New Roman" w:cs="Times New Roman" w:eastAsia="Times New Roman" w:hAnsi="Times New Roman"/>
          <w:sz w:val="24"/>
          <w:szCs w:val="24"/>
          <w:rtl w:val="0"/>
        </w:rPr>
        <w:t xml:space="preserve">). Substance addiction and parenting are primarily addressed in Strengthening Families and the NPP for Families in Substance Abuse Treatment and Recovery. These curricula are extensively utilised in drug misuse treatment programmes across the country, typically in inpatient or outpatient settings. Both emphasise lowering parents' alcohol and drug usage while also assisting them in learning new child-rearing behaviours to replace old, potentially harmful ones. </w:t>
      </w:r>
    </w:p>
    <w:p w:rsidR="00000000" w:rsidDel="00000000" w:rsidP="00000000" w:rsidRDefault="00000000" w:rsidRPr="00000000" w14:paraId="0000001A">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context of the child, the authorities have to work in the best interest, as said in article 3 of UNCRC. When making decisions that may affect children, the best interests of the children must come first. All adults should act in the interests of the child. Adults should consider how their decisions may influence children while making decisions (</w:t>
      </w:r>
      <w:r w:rsidDel="00000000" w:rsidR="00000000" w:rsidRPr="00000000">
        <w:rPr>
          <w:rFonts w:ascii="Times New Roman" w:cs="Times New Roman" w:eastAsia="Times New Roman" w:hAnsi="Times New Roman"/>
          <w:color w:val="222222"/>
          <w:sz w:val="24"/>
          <w:szCs w:val="24"/>
          <w:highlight w:val="white"/>
          <w:rtl w:val="0"/>
        </w:rPr>
        <w:t xml:space="preserve">Fothergill,2017</w:t>
      </w:r>
      <w:r w:rsidDel="00000000" w:rsidR="00000000" w:rsidRPr="00000000">
        <w:rPr>
          <w:rFonts w:ascii="Times New Roman" w:cs="Times New Roman" w:eastAsia="Times New Roman" w:hAnsi="Times New Roman"/>
          <w:sz w:val="24"/>
          <w:szCs w:val="24"/>
          <w:rtl w:val="0"/>
        </w:rPr>
        <w:t xml:space="preserve">). This is especially true when it comes to budgets, policies, and legislators. The findings suggest that combining substance addiction treatment with a parenting intervention may be more successful in reducing parental substance use and improving parenting than substance abuse treatment alone. Before learning particular parenting skills, Holly tended to benefit the best when they acquired basic psychological coping mechanisms, such as establishing emotional regulation. </w:t>
      </w:r>
    </w:p>
    <w:p w:rsidR="00000000" w:rsidDel="00000000" w:rsidP="00000000" w:rsidRDefault="00000000" w:rsidRPr="00000000" w14:paraId="0000001B">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many parenting programmes revealed similar barriers to participation, such as a lack of transportation, hunger, unsupervised children, and stigma. Social learning theory is at the heart of effective parenting programmes in child welfare (</w:t>
      </w:r>
      <w:r w:rsidDel="00000000" w:rsidR="00000000" w:rsidRPr="00000000">
        <w:rPr>
          <w:rFonts w:ascii="Times New Roman" w:cs="Times New Roman" w:eastAsia="Times New Roman" w:hAnsi="Times New Roman"/>
          <w:color w:val="222222"/>
          <w:sz w:val="24"/>
          <w:szCs w:val="24"/>
          <w:highlight w:val="white"/>
          <w:rtl w:val="0"/>
        </w:rPr>
        <w:t xml:space="preserve">McGhee et al,2018</w:t>
      </w:r>
      <w:r w:rsidDel="00000000" w:rsidR="00000000" w:rsidRPr="00000000">
        <w:rPr>
          <w:rFonts w:ascii="Times New Roman" w:cs="Times New Roman" w:eastAsia="Times New Roman" w:hAnsi="Times New Roman"/>
          <w:sz w:val="24"/>
          <w:szCs w:val="24"/>
          <w:rtl w:val="0"/>
        </w:rPr>
        <w:t xml:space="preserve">). They encourage parents to utilise anticipatory advice and timely attention to improve their positive behaviour and, as a result, educate their children to use these skills more successfully. Positive improvements in children's behaviour, according to the idea, will reinforce parents' positive attitudes and beliefs about their children and the likelihood of successful parenting. In this case study, the social worker and team worked together, and the results were positive as the children are no longer on a child protection plan, Holly isn't abusing alcohol, and the family loves their new house (</w:t>
      </w:r>
      <w:r w:rsidDel="00000000" w:rsidR="00000000" w:rsidRPr="00000000">
        <w:rPr>
          <w:rFonts w:ascii="Times New Roman" w:cs="Times New Roman" w:eastAsia="Times New Roman" w:hAnsi="Times New Roman"/>
          <w:color w:val="222222"/>
          <w:sz w:val="24"/>
          <w:szCs w:val="24"/>
          <w:highlight w:val="white"/>
          <w:rtl w:val="0"/>
        </w:rPr>
        <w:t xml:space="preserve">Glatz et al,2020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C">
      <w:pPr>
        <w:rPr>
          <w:rFonts w:ascii="Times New Roman" w:cs="Times New Roman" w:eastAsia="Times New Roman" w:hAnsi="Times New Roman"/>
          <w:sz w:val="32"/>
          <w:szCs w:val="32"/>
        </w:rPr>
      </w:pPr>
      <w:bookmarkStart w:colFirst="0" w:colLast="0" w:name="_heading=h.3dy6vkm" w:id="6"/>
      <w:bookmarkEnd w:id="6"/>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2"/>
        <w:spacing w:after="20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Conclusion </w:t>
      </w:r>
    </w:p>
    <w:p w:rsidR="00000000" w:rsidDel="00000000" w:rsidP="00000000" w:rsidRDefault="00000000" w:rsidRPr="00000000" w14:paraId="0000001E">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statutory social work, working with children and families necessitates a high level of competence and knowledge, notably in evaluation. As part of the evaluation process, the challenges were conveyed to explain what was going on to children and eliciting facts about their experiences as families (</w:t>
      </w:r>
      <w:r w:rsidDel="00000000" w:rsidR="00000000" w:rsidRPr="00000000">
        <w:rPr>
          <w:rFonts w:ascii="Times New Roman" w:cs="Times New Roman" w:eastAsia="Times New Roman" w:hAnsi="Times New Roman"/>
          <w:color w:val="222222"/>
          <w:sz w:val="24"/>
          <w:szCs w:val="24"/>
          <w:highlight w:val="white"/>
          <w:rtl w:val="0"/>
        </w:rPr>
        <w:t xml:space="preserve">Saxe Zerden, Lombardi and Jones,2019</w:t>
      </w:r>
      <w:r w:rsidDel="00000000" w:rsidR="00000000" w:rsidRPr="00000000">
        <w:rPr>
          <w:rFonts w:ascii="Times New Roman" w:cs="Times New Roman" w:eastAsia="Times New Roman" w:hAnsi="Times New Roman"/>
          <w:sz w:val="24"/>
          <w:szCs w:val="24"/>
          <w:rtl w:val="0"/>
        </w:rPr>
        <w:t xml:space="preserve">). If children's personal experiences are to be incorporated in the evaluation process as policy demands, the employment of interpreters is essential. More study on the dynamics of multi-agency ports' safeguarding work, particularly the assessment process and systems in this setting, might assist find methods to resolve and manage tensions and disparities in practice. Given that multi-agency child, port protection is a relatively recent practice development (</w:t>
      </w:r>
      <w:r w:rsidDel="00000000" w:rsidR="00000000" w:rsidRPr="00000000">
        <w:rPr>
          <w:rFonts w:ascii="Times New Roman" w:cs="Times New Roman" w:eastAsia="Times New Roman" w:hAnsi="Times New Roman"/>
          <w:color w:val="222222"/>
          <w:sz w:val="24"/>
          <w:szCs w:val="24"/>
          <w:highlight w:val="white"/>
          <w:rtl w:val="0"/>
        </w:rPr>
        <w:t xml:space="preserve">Bengtsson,2017</w:t>
      </w:r>
      <w:r w:rsidDel="00000000" w:rsidR="00000000" w:rsidRPr="00000000">
        <w:rPr>
          <w:rFonts w:ascii="Times New Roman" w:cs="Times New Roman" w:eastAsia="Times New Roman" w:hAnsi="Times New Roman"/>
          <w:sz w:val="24"/>
          <w:szCs w:val="24"/>
          <w:rtl w:val="0"/>
        </w:rPr>
        <w:t xml:space="preserve">). It is appropriate to analyse and assess the work regarding its usefulness in generating improved child outcomes.</w:t>
      </w:r>
    </w:p>
    <w:p w:rsidR="00000000" w:rsidDel="00000000" w:rsidP="00000000" w:rsidRDefault="00000000" w:rsidRPr="00000000" w14:paraId="0000001F">
      <w:pPr>
        <w:rPr>
          <w:rFonts w:ascii="Times New Roman" w:cs="Times New Roman" w:eastAsia="Times New Roman" w:hAnsi="Times New Roman"/>
          <w:sz w:val="32"/>
          <w:szCs w:val="32"/>
        </w:rPr>
      </w:pPr>
      <w:bookmarkStart w:colFirst="0" w:colLast="0" w:name="_heading=h.1t3h5sf" w:id="7"/>
      <w:bookmarkEnd w:id="7"/>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w:t>
      </w:r>
    </w:p>
    <w:p w:rsidR="00000000" w:rsidDel="00000000" w:rsidP="00000000" w:rsidRDefault="00000000" w:rsidRPr="00000000" w14:paraId="00000021">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Jacob, H. and Marlais, M., 2021. Safeguarding children and young people requiring kidney replacement therapy: challenges and potential opportunities. </w:t>
      </w:r>
      <w:r w:rsidDel="00000000" w:rsidR="00000000" w:rsidRPr="00000000">
        <w:rPr>
          <w:rFonts w:ascii="Times New Roman" w:cs="Times New Roman" w:eastAsia="Times New Roman" w:hAnsi="Times New Roman"/>
          <w:i w:val="1"/>
          <w:color w:val="222222"/>
          <w:sz w:val="24"/>
          <w:szCs w:val="24"/>
          <w:highlight w:val="white"/>
          <w:rtl w:val="0"/>
        </w:rPr>
        <w:t xml:space="preserve">Pediatric Nephrology</w:t>
      </w:r>
      <w:r w:rsidDel="00000000" w:rsidR="00000000" w:rsidRPr="00000000">
        <w:rPr>
          <w:rFonts w:ascii="Times New Roman" w:cs="Times New Roman" w:eastAsia="Times New Roman" w:hAnsi="Times New Roman"/>
          <w:color w:val="222222"/>
          <w:sz w:val="24"/>
          <w:szCs w:val="24"/>
          <w:highlight w:val="white"/>
          <w:rtl w:val="0"/>
        </w:rPr>
        <w:t xml:space="preserve">, pp.1-9.</w:t>
      </w:r>
    </w:p>
    <w:p w:rsidR="00000000" w:rsidDel="00000000" w:rsidP="00000000" w:rsidRDefault="00000000" w:rsidRPr="00000000" w14:paraId="00000022">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Appleton, J.V., Harrison, J. and Mumby-Croft, K., 2020. Safeguarding children: a public health imperative. </w:t>
      </w:r>
      <w:r w:rsidDel="00000000" w:rsidR="00000000" w:rsidRPr="00000000">
        <w:rPr>
          <w:rFonts w:ascii="Times New Roman" w:cs="Times New Roman" w:eastAsia="Times New Roman" w:hAnsi="Times New Roman"/>
          <w:i w:val="1"/>
          <w:color w:val="222222"/>
          <w:sz w:val="24"/>
          <w:szCs w:val="24"/>
          <w:highlight w:val="white"/>
          <w:rtl w:val="0"/>
        </w:rPr>
        <w:t xml:space="preserve">Community Public Health in Policy and Practice E-Book: A Sourcebook</w:t>
      </w:r>
      <w:r w:rsidDel="00000000" w:rsidR="00000000" w:rsidRPr="00000000">
        <w:rPr>
          <w:rFonts w:ascii="Times New Roman" w:cs="Times New Roman" w:eastAsia="Times New Roman" w:hAnsi="Times New Roman"/>
          <w:color w:val="222222"/>
          <w:sz w:val="24"/>
          <w:szCs w:val="24"/>
          <w:highlight w:val="white"/>
          <w:rtl w:val="0"/>
        </w:rPr>
        <w:t xml:space="preserve">, p.263.</w:t>
      </w:r>
    </w:p>
    <w:p w:rsidR="00000000" w:rsidDel="00000000" w:rsidP="00000000" w:rsidRDefault="00000000" w:rsidRPr="00000000" w14:paraId="00000023">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Bengtsson, S., 2017. Children’s rights, educational research and the UNCRC: Past, present and future.</w:t>
      </w:r>
    </w:p>
    <w:p w:rsidR="00000000" w:rsidDel="00000000" w:rsidP="00000000" w:rsidRDefault="00000000" w:rsidRPr="00000000" w14:paraId="00000024">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Alderson, P., 2017. Children’s rights and power. </w:t>
      </w:r>
      <w:r w:rsidDel="00000000" w:rsidR="00000000" w:rsidRPr="00000000">
        <w:rPr>
          <w:rFonts w:ascii="Times New Roman" w:cs="Times New Roman" w:eastAsia="Times New Roman" w:hAnsi="Times New Roman"/>
          <w:i w:val="1"/>
          <w:color w:val="222222"/>
          <w:sz w:val="24"/>
          <w:szCs w:val="24"/>
          <w:highlight w:val="white"/>
          <w:rtl w:val="0"/>
        </w:rPr>
        <w:t xml:space="preserve">30 Years of Social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80</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25">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Murray, J., 2019. Introduction: Young children’s rights to protection. In </w:t>
      </w:r>
      <w:r w:rsidDel="00000000" w:rsidR="00000000" w:rsidRPr="00000000">
        <w:rPr>
          <w:rFonts w:ascii="Times New Roman" w:cs="Times New Roman" w:eastAsia="Times New Roman" w:hAnsi="Times New Roman"/>
          <w:i w:val="1"/>
          <w:color w:val="222222"/>
          <w:sz w:val="24"/>
          <w:szCs w:val="24"/>
          <w:highlight w:val="white"/>
          <w:rtl w:val="0"/>
        </w:rPr>
        <w:t xml:space="preserve">The Routledge International Handbook of Young Children’s Rights</w:t>
      </w:r>
      <w:r w:rsidDel="00000000" w:rsidR="00000000" w:rsidRPr="00000000">
        <w:rPr>
          <w:rFonts w:ascii="Times New Roman" w:cs="Times New Roman" w:eastAsia="Times New Roman" w:hAnsi="Times New Roman"/>
          <w:color w:val="222222"/>
          <w:sz w:val="24"/>
          <w:szCs w:val="24"/>
          <w:highlight w:val="white"/>
          <w:rtl w:val="0"/>
        </w:rPr>
        <w:t xml:space="preserve"> (pp. 79-84). Routledge.</w:t>
      </w:r>
    </w:p>
    <w:p w:rsidR="00000000" w:rsidDel="00000000" w:rsidP="00000000" w:rsidRDefault="00000000" w:rsidRPr="00000000" w14:paraId="00000026">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Nguyen, T., Palisano, R.J. and Graham, I., 2019. Perspectives and experiences with engaging youth and families in research. </w:t>
      </w:r>
      <w:r w:rsidDel="00000000" w:rsidR="00000000" w:rsidRPr="00000000">
        <w:rPr>
          <w:rFonts w:ascii="Times New Roman" w:cs="Times New Roman" w:eastAsia="Times New Roman" w:hAnsi="Times New Roman"/>
          <w:i w:val="1"/>
          <w:color w:val="222222"/>
          <w:sz w:val="24"/>
          <w:szCs w:val="24"/>
          <w:highlight w:val="white"/>
          <w:rtl w:val="0"/>
        </w:rPr>
        <w:t xml:space="preserve">Physical &amp; occupational therapy in pediatrics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39</w:t>
      </w:r>
      <w:r w:rsidDel="00000000" w:rsidR="00000000" w:rsidRPr="00000000">
        <w:rPr>
          <w:rFonts w:ascii="Times New Roman" w:cs="Times New Roman" w:eastAsia="Times New Roman" w:hAnsi="Times New Roman"/>
          <w:color w:val="222222"/>
          <w:sz w:val="24"/>
          <w:szCs w:val="24"/>
          <w:highlight w:val="white"/>
          <w:rtl w:val="0"/>
        </w:rPr>
        <w:t xml:space="preserve">(3), pp.310-323.</w:t>
      </w:r>
    </w:p>
    <w:p w:rsidR="00000000" w:rsidDel="00000000" w:rsidP="00000000" w:rsidRDefault="00000000" w:rsidRPr="00000000" w14:paraId="00000027">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Fothergill, A., 2017. Children, youth, and disaster. In </w:t>
      </w:r>
      <w:r w:rsidDel="00000000" w:rsidR="00000000" w:rsidRPr="00000000">
        <w:rPr>
          <w:rFonts w:ascii="Times New Roman" w:cs="Times New Roman" w:eastAsia="Times New Roman" w:hAnsi="Times New Roman"/>
          <w:i w:val="1"/>
          <w:color w:val="222222"/>
          <w:sz w:val="24"/>
          <w:szCs w:val="24"/>
          <w:highlight w:val="white"/>
          <w:rtl w:val="0"/>
        </w:rPr>
        <w:t xml:space="preserve">Oxford Research Encyclopedia of Natural Hazard Science</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28">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McGhee, J., Bunting, L., McCartan, C., Elliott, M., Bywaters, P. and Featherstone, B., 2018. Looking after children in the UK—convergence or divergence?. </w:t>
      </w:r>
      <w:r w:rsidDel="00000000" w:rsidR="00000000" w:rsidRPr="00000000">
        <w:rPr>
          <w:rFonts w:ascii="Times New Roman" w:cs="Times New Roman" w:eastAsia="Times New Roman" w:hAnsi="Times New Roman"/>
          <w:i w:val="1"/>
          <w:color w:val="222222"/>
          <w:sz w:val="24"/>
          <w:szCs w:val="24"/>
          <w:highlight w:val="white"/>
          <w:rtl w:val="0"/>
        </w:rPr>
        <w:t xml:space="preserve">British Journal of Social Work</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48</w:t>
      </w:r>
      <w:r w:rsidDel="00000000" w:rsidR="00000000" w:rsidRPr="00000000">
        <w:rPr>
          <w:rFonts w:ascii="Times New Roman" w:cs="Times New Roman" w:eastAsia="Times New Roman" w:hAnsi="Times New Roman"/>
          <w:color w:val="222222"/>
          <w:sz w:val="24"/>
          <w:szCs w:val="24"/>
          <w:highlight w:val="white"/>
          <w:rtl w:val="0"/>
        </w:rPr>
        <w:t xml:space="preserve">(5), pp.1176-1198.</w:t>
      </w:r>
    </w:p>
    <w:p w:rsidR="00000000" w:rsidDel="00000000" w:rsidP="00000000" w:rsidRDefault="00000000" w:rsidRPr="00000000" w14:paraId="00000029">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Glatz, T., Lippold, M., Jensen, T.M., Fosco, G.M. and Feinberg, M.E., 2020. Hostile interactions in the family: Patterns and links to youth externalizing problems.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early adolescence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40</w:t>
      </w:r>
      <w:r w:rsidDel="00000000" w:rsidR="00000000" w:rsidRPr="00000000">
        <w:rPr>
          <w:rFonts w:ascii="Times New Roman" w:cs="Times New Roman" w:eastAsia="Times New Roman" w:hAnsi="Times New Roman"/>
          <w:color w:val="222222"/>
          <w:sz w:val="24"/>
          <w:szCs w:val="24"/>
          <w:highlight w:val="white"/>
          <w:rtl w:val="0"/>
        </w:rPr>
        <w:t xml:space="preserve">(1), pp.56-82.</w:t>
      </w:r>
    </w:p>
    <w:p w:rsidR="00000000" w:rsidDel="00000000" w:rsidP="00000000" w:rsidRDefault="00000000" w:rsidRPr="00000000" w14:paraId="0000002A">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Saxe Zerden, L.D., Lombardi, B.M. and Jones, A., 2019. Social workers in integrated health care: Improving care throughout the life course. </w:t>
      </w:r>
      <w:r w:rsidDel="00000000" w:rsidR="00000000" w:rsidRPr="00000000">
        <w:rPr>
          <w:rFonts w:ascii="Times New Roman" w:cs="Times New Roman" w:eastAsia="Times New Roman" w:hAnsi="Times New Roman"/>
          <w:i w:val="1"/>
          <w:color w:val="222222"/>
          <w:sz w:val="24"/>
          <w:szCs w:val="24"/>
          <w:highlight w:val="white"/>
          <w:rtl w:val="0"/>
        </w:rPr>
        <w:t xml:space="preserve">Social Work in Health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58</w:t>
      </w:r>
      <w:r w:rsidDel="00000000" w:rsidR="00000000" w:rsidRPr="00000000">
        <w:rPr>
          <w:rFonts w:ascii="Times New Roman" w:cs="Times New Roman" w:eastAsia="Times New Roman" w:hAnsi="Times New Roman"/>
          <w:color w:val="222222"/>
          <w:sz w:val="24"/>
          <w:szCs w:val="24"/>
          <w:highlight w:val="white"/>
          <w:rtl w:val="0"/>
        </w:rPr>
        <w:t xml:space="preserve">(1), pp.142-149.</w:t>
      </w:r>
    </w:p>
    <w:p w:rsidR="00000000" w:rsidDel="00000000" w:rsidP="00000000" w:rsidRDefault="00000000" w:rsidRPr="00000000" w14:paraId="0000002B">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Fortune, C.A., 2018. The Good Lives Model: A strength-based approach for youth offenders. Aggression and violent behavior, 38, pp.21-30.</w:t>
      </w:r>
    </w:p>
    <w:p w:rsidR="00000000" w:rsidDel="00000000" w:rsidP="00000000" w:rsidRDefault="00000000" w:rsidRPr="00000000" w14:paraId="0000002C">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Pulla, V. and del Villar, E.S.M., 2020. Strength-based approach for social change. In Contemporary social work education, training and practice. Institute Social Malaysia, Ministry of Women, family and Community development.</w:t>
      </w:r>
    </w:p>
    <w:p w:rsidR="00000000" w:rsidDel="00000000" w:rsidP="00000000" w:rsidRDefault="00000000" w:rsidRPr="00000000" w14:paraId="0000002D">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Swartz, M.K., 2017. A strength-based approach to care. Journal of Pediatric Health Care, 31(1), p.1.</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EE5B5D"/>
    <w:pPr>
      <w:spacing w:after="0" w:before="240" w:line="259" w:lineRule="auto"/>
      <w:outlineLvl w:val="9"/>
    </w:pPr>
    <w:rPr>
      <w:rFonts w:asciiTheme="majorHAnsi" w:cstheme="majorBidi" w:eastAsiaTheme="majorEastAsia" w:hAnsiTheme="majorHAnsi"/>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EE5B5D"/>
    <w:pPr>
      <w:spacing w:after="100"/>
    </w:pPr>
  </w:style>
  <w:style w:type="paragraph" w:styleId="TOC2">
    <w:name w:val="toc 2"/>
    <w:basedOn w:val="Normal"/>
    <w:next w:val="Normal"/>
    <w:autoRedefine w:val="1"/>
    <w:uiPriority w:val="39"/>
    <w:unhideWhenUsed w:val="1"/>
    <w:rsid w:val="00EE5B5D"/>
    <w:pPr>
      <w:spacing w:after="100"/>
      <w:ind w:left="220"/>
    </w:pPr>
  </w:style>
  <w:style w:type="character" w:styleId="Hyperlink">
    <w:name w:val="Hyperlink"/>
    <w:basedOn w:val="DefaultParagraphFont"/>
    <w:uiPriority w:val="99"/>
    <w:unhideWhenUsed w:val="1"/>
    <w:rsid w:val="00EE5B5D"/>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6NTizeH3uePgA6ugDenI1B15oQ==">AMUW2mUdLrSzYJ8S/0ZuQjbGGN/Z1o6JK7Mis4yQZQyYAK4r3zlrWoUHSVk6MtuCusEaCxPwI78T0D4aEypH72tr1jOaiiglBPm3Z7jTbhPWJZ76LLI604FnOPo1UeAnEf3H6xWJanTeVgljt3ycPpMcEWEywwSOnVbJo4ulp3muw489UjgoVfKL62AGIBE7H2Io0Il8tXWAsBNjhTlysqyDysCfeYdyuBT105QL2SaxtMyUaJVnjjo=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2021-07-26T10:30:00Z</dcterms:created>
</cp:coreProperties>
</file>