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Times New Roman" w:hAnsi="Times New Roman" w:eastAsia="Times New Roman" w:cs="Times New Roman"/>
          <w:sz w:val="24"/>
          <w:szCs w:val="24"/>
        </w:rPr>
      </w:pPr>
    </w:p>
    <w:p>
      <w:pPr>
        <w:spacing w:line="360" w:lineRule="auto"/>
        <w:jc w:val="center"/>
        <w:rPr>
          <w:rFonts w:ascii="Times New Roman" w:hAnsi="Times New Roman" w:eastAsia="Times New Roman" w:cs="Times New Roman"/>
          <w:sz w:val="24"/>
          <w:szCs w:val="24"/>
        </w:rPr>
      </w:pPr>
    </w:p>
    <w:p>
      <w:pPr>
        <w:spacing w:line="360" w:lineRule="auto"/>
        <w:jc w:val="center"/>
        <w:rPr>
          <w:rFonts w:ascii="Times New Roman" w:hAnsi="Times New Roman" w:eastAsia="Times New Roman" w:cs="Times New Roman"/>
          <w:sz w:val="24"/>
          <w:szCs w:val="24"/>
        </w:rPr>
      </w:pPr>
    </w:p>
    <w:p>
      <w:pPr>
        <w:numPr>
          <w:ilvl w:val="-6"/>
          <w:numId w:val="0"/>
        </w:numPr>
        <w:spacing w:line="480" w:lineRule="auto"/>
        <w:ind w:left="0" w:leftChars="0"/>
        <w:jc w:val="center"/>
        <w:rPr>
          <w:rFonts w:hint="default" w:ascii="Times New Roman" w:hAnsi="Times New Roman" w:cs="Times New Roman"/>
          <w:b/>
          <w:bCs/>
          <w:sz w:val="32"/>
          <w:szCs w:val="32"/>
          <w:lang w:val="en-US"/>
        </w:rPr>
      </w:pPr>
      <w:r>
        <w:rPr>
          <w:rFonts w:hint="default" w:ascii="Times New Roman" w:hAnsi="Times New Roman" w:cs="Times New Roman"/>
          <w:b/>
          <w:bCs/>
          <w:sz w:val="32"/>
          <w:szCs w:val="32"/>
          <w:lang w:val="en-US"/>
        </w:rPr>
        <w:t>Module: Human Resource Management (LCMB7000)</w:t>
      </w:r>
      <w:bookmarkStart w:id="7" w:name="_GoBack"/>
      <w:bookmarkEnd w:id="7"/>
    </w:p>
    <w:p>
      <w:pPr>
        <w:numPr>
          <w:ilvl w:val="-6"/>
          <w:numId w:val="0"/>
        </w:numPr>
        <w:spacing w:line="480" w:lineRule="auto"/>
        <w:ind w:left="0" w:leftChars="0"/>
        <w:jc w:val="center"/>
        <w:rPr>
          <w:rFonts w:hint="default" w:ascii="Times New Roman" w:hAnsi="Times New Roman" w:cs="Times New Roman"/>
          <w:b/>
          <w:bCs/>
          <w:sz w:val="32"/>
          <w:szCs w:val="32"/>
          <w:lang w:val="en-US"/>
        </w:rPr>
      </w:pPr>
      <w:r>
        <w:rPr>
          <w:rFonts w:hint="default" w:ascii="Times New Roman" w:hAnsi="Times New Roman" w:cs="Times New Roman"/>
          <w:b/>
          <w:bCs/>
          <w:sz w:val="32"/>
          <w:szCs w:val="32"/>
          <w:lang w:val="en-US"/>
        </w:rPr>
        <w:t>Topic: A) The Current State of the Labor Market in the UK.</w:t>
      </w:r>
    </w:p>
    <w:p>
      <w:pPr>
        <w:numPr>
          <w:ilvl w:val="0"/>
          <w:numId w:val="1"/>
        </w:numPr>
        <w:spacing w:line="480" w:lineRule="auto"/>
        <w:ind w:left="0" w:leftChars="0"/>
        <w:jc w:val="center"/>
        <w:rPr>
          <w:rFonts w:hint="default" w:ascii="Times New Roman" w:hAnsi="Times New Roman" w:cs="Times New Roman"/>
          <w:b/>
          <w:bCs/>
          <w:sz w:val="32"/>
          <w:szCs w:val="32"/>
          <w:lang w:val="en-US"/>
        </w:rPr>
      </w:pPr>
      <w:r>
        <w:rPr>
          <w:rFonts w:hint="default" w:ascii="Times New Roman" w:hAnsi="Times New Roman" w:cs="Times New Roman"/>
          <w:b/>
          <w:bCs/>
          <w:sz w:val="32"/>
          <w:szCs w:val="32"/>
          <w:lang w:val="en-US"/>
        </w:rPr>
        <w:t>The Emerging Changes in Human Resourcing Strategies in the Post Covid, Post Brexit External Environment.</w:t>
      </w:r>
    </w:p>
    <w:p>
      <w:pPr>
        <w:numPr>
          <w:ilvl w:val="-6"/>
          <w:numId w:val="0"/>
        </w:numPr>
        <w:spacing w:line="480" w:lineRule="auto"/>
        <w:ind w:left="0" w:leftChars="0"/>
        <w:jc w:val="center"/>
        <w:rPr>
          <w:rFonts w:hint="default" w:ascii="Times New Roman" w:hAnsi="Times New Roman" w:cs="Times New Roman"/>
          <w:b/>
          <w:bCs/>
          <w:sz w:val="32"/>
          <w:szCs w:val="32"/>
          <w:lang w:val="en-US"/>
        </w:rPr>
      </w:pPr>
      <w:r>
        <w:rPr>
          <w:rFonts w:hint="default" w:ascii="Times New Roman" w:hAnsi="Times New Roman" w:cs="Times New Roman"/>
          <w:b/>
          <w:bCs/>
          <w:sz w:val="32"/>
          <w:szCs w:val="32"/>
          <w:lang w:val="en-US"/>
        </w:rPr>
        <w:t>Lecturer: Dr. Mushfiqur Rahman</w:t>
      </w:r>
    </w:p>
    <w:p>
      <w:pPr>
        <w:numPr>
          <w:ilvl w:val="-6"/>
          <w:numId w:val="0"/>
        </w:numPr>
        <w:spacing w:line="480" w:lineRule="auto"/>
        <w:ind w:left="0" w:leftChars="0"/>
        <w:jc w:val="center"/>
        <w:rPr>
          <w:rFonts w:hint="default" w:ascii="Times New Roman" w:hAnsi="Times New Roman" w:cs="Times New Roman"/>
          <w:b/>
          <w:bCs/>
          <w:sz w:val="32"/>
          <w:szCs w:val="32"/>
          <w:lang w:val="en-US"/>
        </w:rPr>
      </w:pPr>
      <w:r>
        <w:rPr>
          <w:rFonts w:hint="default" w:ascii="Times New Roman" w:hAnsi="Times New Roman" w:cs="Times New Roman"/>
          <w:b/>
          <w:bCs/>
          <w:sz w:val="32"/>
          <w:szCs w:val="32"/>
          <w:lang w:val="en-US"/>
        </w:rPr>
        <w:t>Student Name: Ajith Kandula</w:t>
      </w:r>
    </w:p>
    <w:p>
      <w:pPr>
        <w:numPr>
          <w:ilvl w:val="-6"/>
          <w:numId w:val="0"/>
        </w:numPr>
        <w:spacing w:line="480" w:lineRule="auto"/>
        <w:ind w:left="0" w:leftChars="0"/>
        <w:jc w:val="center"/>
        <w:rPr>
          <w:rFonts w:hint="default" w:ascii="Times New Roman" w:hAnsi="Times New Roman" w:cs="Times New Roman"/>
          <w:b/>
          <w:bCs/>
          <w:sz w:val="32"/>
          <w:szCs w:val="32"/>
          <w:lang w:val="en-US"/>
        </w:rPr>
      </w:pPr>
      <w:r>
        <w:rPr>
          <w:rFonts w:ascii="Times New Roman" w:hAnsi="Times New Roman" w:cs="Times New Roman"/>
          <w:b/>
          <w:bCs/>
          <w:sz w:val="32"/>
          <w:szCs w:val="32"/>
          <w:lang w:val="en-US"/>
        </w:rPr>
        <w:t>Student ID:</w:t>
      </w:r>
      <w:r>
        <w:rPr>
          <w:rFonts w:hint="default" w:ascii="Times New Roman" w:hAnsi="Times New Roman" w:cs="Times New Roman"/>
          <w:b/>
          <w:bCs/>
          <w:sz w:val="32"/>
          <w:szCs w:val="32"/>
          <w:lang w:val="en-US"/>
        </w:rPr>
        <w:t xml:space="preserve"> 2122120</w:t>
      </w:r>
    </w:p>
    <w:p>
      <w:pPr>
        <w:numPr>
          <w:ilvl w:val="-6"/>
          <w:numId w:val="0"/>
        </w:numPr>
        <w:spacing w:line="480" w:lineRule="auto"/>
        <w:ind w:left="0" w:leftChars="0"/>
        <w:jc w:val="center"/>
        <w:rPr>
          <w:rFonts w:ascii="Times New Roman" w:hAnsi="Times New Roman" w:eastAsia="Times New Roman" w:cs="Times New Roman"/>
          <w:b/>
          <w:bCs/>
          <w:sz w:val="32"/>
          <w:szCs w:val="32"/>
        </w:rPr>
      </w:pPr>
      <w:r>
        <w:rPr>
          <w:rFonts w:ascii="Times New Roman" w:hAnsi="Times New Roman" w:cs="Times New Roman"/>
          <w:b/>
          <w:bCs/>
          <w:sz w:val="32"/>
          <w:szCs w:val="32"/>
          <w:lang w:val="en-US"/>
        </w:rPr>
        <w:t>Name of the University:</w:t>
      </w:r>
      <w:r>
        <w:rPr>
          <w:rFonts w:hint="default" w:ascii="Times New Roman" w:hAnsi="Times New Roman" w:cs="Times New Roman"/>
          <w:b/>
          <w:bCs/>
          <w:sz w:val="32"/>
          <w:szCs w:val="32"/>
          <w:lang w:val="en-US"/>
        </w:rPr>
        <w:t xml:space="preserve"> University of Wales Trinity Saint David</w:t>
      </w:r>
    </w:p>
    <w:p>
      <w:pPr>
        <w:spacing w:line="360" w:lineRule="auto"/>
        <w:jc w:val="center"/>
        <w:rPr>
          <w:rFonts w:ascii="Times New Roman" w:hAnsi="Times New Roman" w:eastAsia="Times New Roman" w:cs="Times New Roman"/>
          <w:b/>
          <w:bCs/>
          <w:sz w:val="32"/>
          <w:szCs w:val="32"/>
        </w:rPr>
      </w:pPr>
      <w:r>
        <w:rPr>
          <w:rFonts w:ascii="SimSun" w:hAnsi="SimSun" w:eastAsia="SimSun" w:cs="SimSun"/>
          <w:sz w:val="24"/>
          <w:szCs w:val="24"/>
        </w:rPr>
        <w:drawing>
          <wp:inline distT="0" distB="0" distL="114300" distR="114300">
            <wp:extent cx="4973320" cy="3470275"/>
            <wp:effectExtent l="0" t="0" r="5080" b="9525"/>
            <wp:docPr id="3"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IMG_256"/>
                    <pic:cNvPicPr>
                      <a:picLocks noChangeAspect="1"/>
                    </pic:cNvPicPr>
                  </pic:nvPicPr>
                  <pic:blipFill>
                    <a:blip r:embed="rId7"/>
                    <a:stretch>
                      <a:fillRect/>
                    </a:stretch>
                  </pic:blipFill>
                  <pic:spPr>
                    <a:xfrm>
                      <a:off x="0" y="0"/>
                      <a:ext cx="4973320" cy="3470275"/>
                    </a:xfrm>
                    <a:prstGeom prst="rect">
                      <a:avLst/>
                    </a:prstGeom>
                    <a:noFill/>
                    <a:ln w="9525">
                      <a:noFill/>
                    </a:ln>
                  </pic:spPr>
                </pic:pic>
              </a:graphicData>
            </a:graphic>
          </wp:inline>
        </w:drawing>
      </w:r>
    </w:p>
    <w:p>
      <w:pPr>
        <w:spacing w:line="360" w:lineRule="auto"/>
        <w:jc w:val="center"/>
        <w:rPr>
          <w:rFonts w:ascii="Times New Roman" w:hAnsi="Times New Roman" w:eastAsia="Times New Roman" w:cs="Times New Roman"/>
          <w:sz w:val="24"/>
          <w:szCs w:val="24"/>
        </w:rPr>
      </w:pPr>
    </w:p>
    <w:p>
      <w:pPr>
        <w:spacing w:line="360" w:lineRule="auto"/>
        <w:jc w:val="center"/>
        <w:rPr>
          <w:rFonts w:ascii="Times New Roman" w:hAnsi="Times New Roman" w:eastAsia="Times New Roman" w:cs="Times New Roman"/>
          <w:sz w:val="24"/>
          <w:szCs w:val="24"/>
        </w:rPr>
      </w:pPr>
    </w:p>
    <w:p>
      <w:pPr>
        <w:spacing w:line="360" w:lineRule="auto"/>
        <w:jc w:val="center"/>
        <w:rPr>
          <w:rFonts w:ascii="Times New Roman" w:hAnsi="Times New Roman" w:eastAsia="Times New Roman" w:cs="Times New Roman"/>
          <w:sz w:val="24"/>
          <w:szCs w:val="24"/>
        </w:rPr>
      </w:pPr>
    </w:p>
    <w:p>
      <w:pPr>
        <w:spacing w:line="360" w:lineRule="auto"/>
        <w:jc w:val="center"/>
        <w:rPr>
          <w:rFonts w:ascii="Times New Roman" w:hAnsi="Times New Roman" w:eastAsia="Times New Roman" w:cs="Times New Roman"/>
          <w:sz w:val="24"/>
          <w:szCs w:val="24"/>
        </w:rPr>
      </w:pPr>
    </w:p>
    <w:p>
      <w:pPr>
        <w:spacing w:line="360" w:lineRule="auto"/>
        <w:jc w:val="center"/>
        <w:rPr>
          <w:rFonts w:ascii="Times New Roman" w:hAnsi="Times New Roman" w:eastAsia="Times New Roman" w:cs="Times New Roman"/>
          <w:sz w:val="24"/>
          <w:szCs w:val="24"/>
        </w:rPr>
      </w:pPr>
    </w:p>
    <w:p>
      <w:pPr>
        <w:spacing w:line="360" w:lineRule="auto"/>
        <w:jc w:val="center"/>
        <w:rPr>
          <w:rFonts w:ascii="Times New Roman" w:hAnsi="Times New Roman" w:eastAsia="Times New Roman" w:cs="Times New Roman"/>
          <w:sz w:val="24"/>
          <w:szCs w:val="24"/>
        </w:rPr>
      </w:pPr>
    </w:p>
    <w:p>
      <w:pPr>
        <w:spacing w:line="360" w:lineRule="auto"/>
        <w:jc w:val="center"/>
        <w:rPr>
          <w:rFonts w:ascii="Times New Roman" w:hAnsi="Times New Roman" w:eastAsia="Times New Roman" w:cs="Times New Roman"/>
          <w:sz w:val="24"/>
          <w:szCs w:val="24"/>
        </w:rPr>
      </w:pPr>
    </w:p>
    <w:p>
      <w:pPr>
        <w:spacing w:line="360" w:lineRule="auto"/>
        <w:jc w:val="center"/>
        <w:rPr>
          <w:rFonts w:ascii="Times New Roman" w:hAnsi="Times New Roman" w:eastAsia="Times New Roman" w:cs="Times New Roman"/>
          <w:sz w:val="24"/>
          <w:szCs w:val="24"/>
        </w:rPr>
      </w:pPr>
    </w:p>
    <w:p>
      <w:pPr>
        <w:spacing w:line="360" w:lineRule="auto"/>
        <w:jc w:val="center"/>
        <w:rPr>
          <w:rFonts w:ascii="Times New Roman" w:hAnsi="Times New Roman" w:eastAsia="Times New Roman" w:cs="Times New Roman"/>
          <w:sz w:val="24"/>
          <w:szCs w:val="24"/>
        </w:rPr>
      </w:pPr>
    </w:p>
    <w:p>
      <w:pPr>
        <w:spacing w:line="360" w:lineRule="auto"/>
        <w:jc w:val="center"/>
        <w:rPr>
          <w:rFonts w:ascii="Times New Roman" w:hAnsi="Times New Roman" w:eastAsia="Times New Roman" w:cs="Times New Roman"/>
          <w:sz w:val="24"/>
          <w:szCs w:val="24"/>
        </w:rPr>
      </w:pPr>
    </w:p>
    <w:p>
      <w:pPr>
        <w:spacing w:line="360" w:lineRule="auto"/>
        <w:jc w:val="both"/>
        <w:rPr>
          <w:rFonts w:ascii="Times New Roman" w:hAnsi="Times New Roman" w:eastAsia="Times New Roman" w:cs="Times New Roman"/>
          <w:sz w:val="24"/>
          <w:szCs w:val="24"/>
        </w:rPr>
      </w:pPr>
    </w:p>
    <w:p>
      <w:pPr>
        <w:spacing w:line="360" w:lineRule="auto"/>
        <w:jc w:val="both"/>
        <w:rPr>
          <w:rFonts w:ascii="Times New Roman" w:hAnsi="Times New Roman" w:eastAsia="Times New Roman" w:cs="Times New Roman"/>
          <w:sz w:val="24"/>
          <w:szCs w:val="24"/>
        </w:rPr>
      </w:pPr>
    </w:p>
    <w:p>
      <w:pPr>
        <w:rPr>
          <w:rFonts w:ascii="Times New Roman" w:hAnsi="Times New Roman"/>
          <w:b/>
          <w:color w:val="000000" w:themeColor="text1"/>
          <w:sz w:val="28"/>
          <w:szCs w:val="40"/>
          <w14:textFill>
            <w14:solidFill>
              <w14:schemeClr w14:val="tx1"/>
            </w14:solidFill>
          </w14:textFill>
        </w:rPr>
      </w:pPr>
    </w:p>
    <w:sdt>
      <w:sdtPr>
        <w:rPr>
          <w:rFonts w:ascii="Times New Roman" w:hAnsi="Times New Roman" w:eastAsia="Arial" w:cs="Times New Roman"/>
          <w:color w:val="000000" w:themeColor="text1"/>
          <w:sz w:val="24"/>
          <w:szCs w:val="24"/>
          <w:lang w:val="en-GB" w:eastAsia="en-IN"/>
          <w14:textFill>
            <w14:solidFill>
              <w14:schemeClr w14:val="tx1"/>
            </w14:solidFill>
          </w14:textFill>
        </w:rPr>
        <w:id w:val="-537045376"/>
        <w:docPartObj>
          <w:docPartGallery w:val="Table of Contents"/>
          <w:docPartUnique/>
        </w:docPartObj>
      </w:sdtPr>
      <w:sdtEndPr>
        <w:rPr>
          <w:rFonts w:ascii="Times New Roman" w:hAnsi="Times New Roman" w:eastAsia="Arial" w:cs="Times New Roman"/>
          <w:b/>
          <w:bCs/>
          <w:color w:val="000000" w:themeColor="text1"/>
          <w:sz w:val="24"/>
          <w:szCs w:val="24"/>
          <w:lang w:val="en-GB" w:eastAsia="en-IN"/>
          <w14:textFill>
            <w14:solidFill>
              <w14:schemeClr w14:val="tx1"/>
            </w14:solidFill>
          </w14:textFill>
        </w:rPr>
      </w:sdtEndPr>
      <w:sdtContent>
        <w:p>
          <w:pPr>
            <w:pStyle w:val="22"/>
            <w:spacing w:line="360" w:lineRule="auto"/>
            <w:jc w:val="center"/>
            <w:rPr>
              <w:rFonts w:ascii="Times New Roman" w:hAnsi="Times New Roman" w:cs="Times New Roman"/>
              <w:b/>
              <w:bCs/>
              <w:color w:val="000000" w:themeColor="text1"/>
              <w:sz w:val="28"/>
              <w:szCs w:val="28"/>
              <w14:textFill>
                <w14:solidFill>
                  <w14:schemeClr w14:val="tx1"/>
                </w14:solidFill>
              </w14:textFill>
            </w:rPr>
          </w:pPr>
          <w:r>
            <w:rPr>
              <w:rFonts w:ascii="Times New Roman" w:hAnsi="Times New Roman" w:cs="Times New Roman"/>
              <w:b/>
              <w:bCs/>
              <w:color w:val="000000" w:themeColor="text1"/>
              <w:sz w:val="28"/>
              <w:szCs w:val="28"/>
              <w14:textFill>
                <w14:solidFill>
                  <w14:schemeClr w14:val="tx1"/>
                </w14:solidFill>
              </w14:textFill>
            </w:rPr>
            <w:t>Table of Contents</w:t>
          </w:r>
        </w:p>
        <w:p>
          <w:pPr>
            <w:pStyle w:val="17"/>
            <w:tabs>
              <w:tab w:val="right" w:leader="dot" w:pos="9019"/>
            </w:tabs>
            <w:spacing w:line="360" w:lineRule="auto"/>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TOC \o "1-3" \h \z \u </w:instrText>
          </w:r>
          <w:r>
            <w:rPr>
              <w:rFonts w:ascii="Times New Roman" w:hAnsi="Times New Roman" w:cs="Times New Roman"/>
              <w:color w:val="000000" w:themeColor="text1"/>
              <w:sz w:val="24"/>
              <w:szCs w:val="24"/>
              <w14:textFill>
                <w14:solidFill>
                  <w14:schemeClr w14:val="tx1"/>
                </w14:solidFill>
              </w14:textFill>
            </w:rPr>
            <w:fldChar w:fldCharType="separate"/>
          </w:r>
          <w:r>
            <w:fldChar w:fldCharType="begin"/>
          </w:r>
          <w:r>
            <w:instrText xml:space="preserve"> HYPERLINK \l "_Toc121845575" </w:instrText>
          </w:r>
          <w:r>
            <w:fldChar w:fldCharType="separate"/>
          </w:r>
          <w:r>
            <w:rPr>
              <w:rStyle w:val="14"/>
              <w:rFonts w:ascii="Times New Roman" w:hAnsi="Times New Roman" w:cs="Times New Roman"/>
              <w:color w:val="000000" w:themeColor="text1"/>
              <w:sz w:val="24"/>
              <w:szCs w:val="24"/>
              <w14:textFill>
                <w14:solidFill>
                  <w14:schemeClr w14:val="tx1"/>
                </w14:solidFill>
              </w14:textFill>
            </w:rPr>
            <w:t>Introduction</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_Toc121845575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3</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17"/>
            <w:tabs>
              <w:tab w:val="right" w:leader="dot" w:pos="9019"/>
            </w:tabs>
            <w:spacing w:line="360" w:lineRule="auto"/>
            <w:jc w:val="both"/>
            <w:rPr>
              <w:rFonts w:hint="default" w:ascii="Times New Roman" w:hAnsi="Times New Roman" w:cs="Times New Roman"/>
              <w:color w:val="000000" w:themeColor="text1"/>
              <w:sz w:val="24"/>
              <w:szCs w:val="24"/>
              <w:lang w:val="en-US"/>
              <w14:textFill>
                <w14:solidFill>
                  <w14:schemeClr w14:val="tx1"/>
                </w14:solidFill>
              </w14:textFill>
            </w:rPr>
          </w:pPr>
          <w:r>
            <w:fldChar w:fldCharType="begin"/>
          </w:r>
          <w:r>
            <w:instrText xml:space="preserve"> HYPERLINK \l "_Toc121845576" </w:instrText>
          </w:r>
          <w:r>
            <w:fldChar w:fldCharType="separate"/>
          </w:r>
          <w:r>
            <w:rPr>
              <w:rStyle w:val="14"/>
              <w:rFonts w:ascii="Times New Roman" w:hAnsi="Times New Roman" w:cs="Times New Roman"/>
              <w:color w:val="000000" w:themeColor="text1"/>
              <w:sz w:val="24"/>
              <w:szCs w:val="24"/>
              <w14:textFill>
                <w14:solidFill>
                  <w14:schemeClr w14:val="tx1"/>
                </w14:solidFill>
              </w14:textFill>
            </w:rPr>
            <w:t>The current state of the labour market in the UK</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_Toc121845576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3</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r>
            <w:rPr>
              <w:rFonts w:hint="default" w:ascii="Times New Roman" w:hAnsi="Times New Roman" w:cs="Times New Roman"/>
              <w:color w:val="000000" w:themeColor="text1"/>
              <w:sz w:val="24"/>
              <w:szCs w:val="24"/>
              <w:lang w:val="en-US"/>
              <w14:textFill>
                <w14:solidFill>
                  <w14:schemeClr w14:val="tx1"/>
                </w14:solidFill>
              </w14:textFill>
            </w:rPr>
            <w:t>-5</w:t>
          </w:r>
        </w:p>
        <w:p>
          <w:pPr>
            <w:pStyle w:val="17"/>
            <w:tabs>
              <w:tab w:val="right" w:leader="dot" w:pos="9019"/>
            </w:tabs>
            <w:spacing w:line="360" w:lineRule="auto"/>
            <w:jc w:val="both"/>
            <w:rPr>
              <w:rFonts w:hint="default" w:ascii="Times New Roman" w:hAnsi="Times New Roman" w:cs="Times New Roman"/>
              <w:color w:val="000000" w:themeColor="text1"/>
              <w:sz w:val="24"/>
              <w:szCs w:val="24"/>
              <w:lang w:val="en-US"/>
              <w14:textFill>
                <w14:solidFill>
                  <w14:schemeClr w14:val="tx1"/>
                </w14:solidFill>
              </w14:textFill>
            </w:rPr>
          </w:pPr>
          <w:r>
            <w:fldChar w:fldCharType="begin"/>
          </w:r>
          <w:r>
            <w:instrText xml:space="preserve"> HYPERLINK \l "_Toc121845577" </w:instrText>
          </w:r>
          <w:r>
            <w:fldChar w:fldCharType="separate"/>
          </w:r>
          <w:r>
            <w:rPr>
              <w:rStyle w:val="14"/>
              <w:rFonts w:ascii="Times New Roman" w:hAnsi="Times New Roman" w:cs="Times New Roman"/>
              <w:color w:val="000000" w:themeColor="text1"/>
              <w:sz w:val="24"/>
              <w:szCs w:val="24"/>
              <w14:textFill>
                <w14:solidFill>
                  <w14:schemeClr w14:val="tx1"/>
                </w14:solidFill>
              </w14:textFill>
            </w:rPr>
            <w:t>Human Resource Strategies Post COVID-19</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_Toc121845577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5</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r>
            <w:rPr>
              <w:rFonts w:hint="default" w:ascii="Times New Roman" w:hAnsi="Times New Roman" w:cs="Times New Roman"/>
              <w:color w:val="000000" w:themeColor="text1"/>
              <w:sz w:val="24"/>
              <w:szCs w:val="24"/>
              <w:lang w:val="en-US"/>
              <w14:textFill>
                <w14:solidFill>
                  <w14:schemeClr w14:val="tx1"/>
                </w14:solidFill>
              </w14:textFill>
            </w:rPr>
            <w:t>-7</w:t>
          </w:r>
        </w:p>
        <w:p>
          <w:pPr>
            <w:pStyle w:val="17"/>
            <w:tabs>
              <w:tab w:val="right" w:leader="dot" w:pos="9019"/>
            </w:tabs>
            <w:spacing w:line="360" w:lineRule="auto"/>
            <w:jc w:val="both"/>
            <w:rPr>
              <w:rFonts w:hint="default" w:ascii="Times New Roman" w:hAnsi="Times New Roman" w:cs="Times New Roman"/>
              <w:color w:val="000000" w:themeColor="text1"/>
              <w:sz w:val="24"/>
              <w:szCs w:val="24"/>
              <w:lang w:val="en-US"/>
              <w14:textFill>
                <w14:solidFill>
                  <w14:schemeClr w14:val="tx1"/>
                </w14:solidFill>
              </w14:textFill>
            </w:rPr>
          </w:pPr>
          <w:r>
            <w:fldChar w:fldCharType="begin"/>
          </w:r>
          <w:r>
            <w:instrText xml:space="preserve"> HYPERLINK \l "_Toc121845578" </w:instrText>
          </w:r>
          <w:r>
            <w:fldChar w:fldCharType="separate"/>
          </w:r>
          <w:r>
            <w:rPr>
              <w:rStyle w:val="14"/>
              <w:rFonts w:ascii="Times New Roman" w:hAnsi="Times New Roman" w:cs="Times New Roman"/>
              <w:color w:val="000000" w:themeColor="text1"/>
              <w:sz w:val="24"/>
              <w:szCs w:val="24"/>
              <w14:textFill>
                <w14:solidFill>
                  <w14:schemeClr w14:val="tx1"/>
                </w14:solidFill>
              </w14:textFill>
            </w:rPr>
            <w:t>Human Resource Strategies Post Brexit</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_Toc121845578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7</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r>
            <w:rPr>
              <w:rFonts w:hint="default" w:ascii="Times New Roman" w:hAnsi="Times New Roman" w:cs="Times New Roman"/>
              <w:color w:val="000000" w:themeColor="text1"/>
              <w:sz w:val="24"/>
              <w:szCs w:val="24"/>
              <w:lang w:val="en-US"/>
              <w14:textFill>
                <w14:solidFill>
                  <w14:schemeClr w14:val="tx1"/>
                </w14:solidFill>
              </w14:textFill>
            </w:rPr>
            <w:t>-8</w:t>
          </w:r>
        </w:p>
        <w:p>
          <w:pPr>
            <w:pStyle w:val="17"/>
            <w:tabs>
              <w:tab w:val="right" w:leader="dot" w:pos="9019"/>
            </w:tabs>
            <w:spacing w:line="360" w:lineRule="auto"/>
            <w:jc w:val="both"/>
            <w:rPr>
              <w:rFonts w:hint="default" w:ascii="Times New Roman" w:hAnsi="Times New Roman" w:cs="Times New Roman"/>
              <w:color w:val="000000" w:themeColor="text1"/>
              <w:sz w:val="24"/>
              <w:szCs w:val="24"/>
              <w:lang w:val="en-US"/>
              <w14:textFill>
                <w14:solidFill>
                  <w14:schemeClr w14:val="tx1"/>
                </w14:solidFill>
              </w14:textFill>
            </w:rPr>
          </w:pPr>
          <w:r>
            <w:fldChar w:fldCharType="begin"/>
          </w:r>
          <w:r>
            <w:instrText xml:space="preserve"> HYPERLINK \l "_Toc121845579" </w:instrText>
          </w:r>
          <w:r>
            <w:fldChar w:fldCharType="separate"/>
          </w:r>
          <w:r>
            <w:rPr>
              <w:rStyle w:val="14"/>
              <w:rFonts w:ascii="Times New Roman" w:hAnsi="Times New Roman" w:cs="Times New Roman"/>
              <w:color w:val="000000" w:themeColor="text1"/>
              <w:sz w:val="24"/>
              <w:szCs w:val="24"/>
              <w14:textFill>
                <w14:solidFill>
                  <w14:schemeClr w14:val="tx1"/>
                </w14:solidFill>
              </w14:textFill>
            </w:rPr>
            <w:t>Recommendations</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_Toc121845579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8</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r>
            <w:rPr>
              <w:rFonts w:hint="default" w:ascii="Times New Roman" w:hAnsi="Times New Roman" w:cs="Times New Roman"/>
              <w:color w:val="000000" w:themeColor="text1"/>
              <w:sz w:val="24"/>
              <w:szCs w:val="24"/>
              <w:lang w:val="en-US"/>
              <w14:textFill>
                <w14:solidFill>
                  <w14:schemeClr w14:val="tx1"/>
                </w14:solidFill>
              </w14:textFill>
            </w:rPr>
            <w:t>-9</w:t>
          </w:r>
        </w:p>
        <w:p>
          <w:pPr>
            <w:pStyle w:val="17"/>
            <w:tabs>
              <w:tab w:val="right" w:leader="dot" w:pos="9019"/>
            </w:tabs>
            <w:spacing w:line="360" w:lineRule="auto"/>
            <w:jc w:val="both"/>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"_Toc121845580" </w:instrText>
          </w:r>
          <w:r>
            <w:fldChar w:fldCharType="separate"/>
          </w:r>
          <w:r>
            <w:rPr>
              <w:rStyle w:val="14"/>
              <w:rFonts w:ascii="Times New Roman" w:hAnsi="Times New Roman" w:cs="Times New Roman"/>
              <w:color w:val="000000" w:themeColor="text1"/>
              <w:sz w:val="24"/>
              <w:szCs w:val="24"/>
              <w14:textFill>
                <w14:solidFill>
                  <w14:schemeClr w14:val="tx1"/>
                </w14:solidFill>
              </w14:textFill>
            </w:rPr>
            <w:t>Conclusion</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_Toc121845580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9</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17"/>
            <w:tabs>
              <w:tab w:val="right" w:leader="dot" w:pos="9019"/>
            </w:tabs>
            <w:spacing w:line="360" w:lineRule="auto"/>
            <w:jc w:val="both"/>
            <w:rPr>
              <w:rFonts w:hint="default" w:ascii="Times New Roman" w:hAnsi="Times New Roman" w:cs="Times New Roman"/>
              <w:color w:val="000000" w:themeColor="text1"/>
              <w:sz w:val="24"/>
              <w:szCs w:val="24"/>
              <w:lang w:val="en-US"/>
              <w14:textFill>
                <w14:solidFill>
                  <w14:schemeClr w14:val="tx1"/>
                </w14:solidFill>
              </w14:textFill>
            </w:rPr>
          </w:pPr>
          <w:r>
            <w:fldChar w:fldCharType="begin"/>
          </w:r>
          <w:r>
            <w:instrText xml:space="preserve"> HYPERLINK \l "_Toc121845581" </w:instrText>
          </w:r>
          <w:r>
            <w:fldChar w:fldCharType="separate"/>
          </w:r>
          <w:r>
            <w:rPr>
              <w:rStyle w:val="14"/>
              <w:rFonts w:ascii="Times New Roman" w:hAnsi="Times New Roman" w:cs="Times New Roman"/>
              <w:color w:val="000000" w:themeColor="text1"/>
              <w:sz w:val="24"/>
              <w:szCs w:val="24"/>
              <w14:textFill>
                <w14:solidFill>
                  <w14:schemeClr w14:val="tx1"/>
                </w14:solidFill>
              </w14:textFill>
            </w:rPr>
            <w:t>Reference List</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_Toc121845581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10</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r>
            <w:rPr>
              <w:rFonts w:hint="default" w:ascii="Times New Roman" w:hAnsi="Times New Roman" w:cs="Times New Roman"/>
              <w:color w:val="000000" w:themeColor="text1"/>
              <w:sz w:val="24"/>
              <w:szCs w:val="24"/>
              <w:lang w:val="en-US"/>
              <w14:textFill>
                <w14:solidFill>
                  <w14:schemeClr w14:val="tx1"/>
                </w14:solidFill>
              </w14:textFill>
            </w:rPr>
            <w:t>-11</w:t>
          </w:r>
        </w:p>
        <w:p>
          <w:pPr>
            <w:spacing w:line="360" w:lineRule="auto"/>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fldChar w:fldCharType="end"/>
          </w:r>
        </w:p>
      </w:sdtContent>
    </w:sdt>
    <w:p>
      <w:pPr>
        <w:rPr>
          <w:rFonts w:ascii="Times New Roman" w:hAnsi="Times New Roman"/>
          <w:b/>
          <w:color w:val="000000" w:themeColor="text1"/>
          <w:sz w:val="28"/>
          <w:szCs w:val="40"/>
          <w14:textFill>
            <w14:solidFill>
              <w14:schemeClr w14:val="tx1"/>
            </w14:solidFill>
          </w14:textFill>
        </w:rPr>
      </w:pPr>
      <w:r>
        <w:rPr>
          <w:rFonts w:ascii="Times New Roman" w:hAnsi="Times New Roman"/>
          <w:b/>
          <w:color w:val="000000" w:themeColor="text1"/>
          <w:sz w:val="28"/>
          <w:szCs w:val="40"/>
          <w14:textFill>
            <w14:solidFill>
              <w14:schemeClr w14:val="tx1"/>
            </w14:solidFill>
          </w14:textFill>
        </w:rPr>
        <w:br w:type="page"/>
      </w:r>
    </w:p>
    <w:p>
      <w:pPr>
        <w:pStyle w:val="2"/>
        <w:rPr>
          <w:rFonts w:hint="default"/>
          <w:lang w:val="en-US"/>
        </w:rPr>
      </w:pPr>
      <w:bookmarkStart w:id="0" w:name="_Toc121845575"/>
      <w:r>
        <w:t>Introduction</w:t>
      </w:r>
      <w:bookmarkEnd w:id="0"/>
      <w:r>
        <w:rPr>
          <w:rFonts w:hint="default"/>
          <w:lang w:val="en-US"/>
        </w:rPr>
        <w:t>:</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A labour market can be defined as a platform where employees interact with each other and employers are involved in tough competition to hire the best workers for their company. Labour markets in an economy have a crucial influence on the demand and supply of labour concerning that economy. The UK's labour market is diverse and significantly influences the economy. However, the recent pandemic had a key impact on the labour market of the UK. Some of the workers have dropped out of work because of long-term illness. Experts have pointed out that before the pandemic, Britain had a high employment rate. </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Human resource strategy is seen as a roadmap that can offer solutions for the company regarding problems about the people. Human resource strategy needs to cover other important areas like talent management remuneration recruitment and corporate culture. The benefits of a Human Resource strategy are several. One of the most important is that it improves productivity and engages the employees. Unilever is a global company that operates across the world in several countries. 148, 000 employees are predicted to work for Unilever globally and others contribute to the company in an indirect way (</w:t>
      </w:r>
      <w:r>
        <w:rPr>
          <w:rFonts w:ascii="Times New Roman" w:hAnsi="Times New Roman" w:eastAsia="Times New Roman" w:cs="Times New Roman"/>
          <w:sz w:val="24"/>
          <w:szCs w:val="24"/>
          <w:highlight w:val="white"/>
        </w:rPr>
        <w:t>Unilever.com 2022)</w:t>
      </w:r>
      <w:r>
        <w:rPr>
          <w:rFonts w:ascii="Times New Roman" w:hAnsi="Times New Roman" w:eastAsia="Times New Roman" w:cs="Times New Roman"/>
          <w:sz w:val="24"/>
          <w:szCs w:val="24"/>
        </w:rPr>
        <w:t xml:space="preserve">. The company adopted a strategy of reskilling their employee's bye by making them adaptable to the skills that are useful in the future. The company has also created new models that can offer employees flexible employment options by 2030. </w:t>
      </w:r>
    </w:p>
    <w:p>
      <w:pPr>
        <w:pStyle w:val="2"/>
        <w:numPr>
          <w:ilvl w:val="0"/>
          <w:numId w:val="2"/>
        </w:numPr>
      </w:pPr>
      <w:bookmarkStart w:id="1" w:name="_Toc121845576"/>
      <w:r>
        <w:t>The current state of the labour market in the UK</w:t>
      </w:r>
      <w:bookmarkEnd w:id="1"/>
      <w:r>
        <w:rPr>
          <w:rFonts w:hint="default"/>
          <w:lang w:val="en-US"/>
        </w:rPr>
        <w:t>:</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current labour market of the UK is marked by uncertainty and has seen a significant number of employees withdrawing from their job, by reasoning that they have long-term sickness or mental health problems. This number will rise by 25% in 2019, as reported by the Office for National Statistics (ONS). The long-term illness started in 2019, before the pandemic and increased by 363,000. In August 2022, it was 2.3 million. </w:t>
      </w:r>
      <w:r>
        <w:rPr>
          <w:rFonts w:ascii="Times New Roman" w:hAnsi="Times New Roman" w:eastAsia="Times New Roman" w:cs="Times New Roman"/>
          <w:sz w:val="24"/>
          <w:szCs w:val="24"/>
          <w:highlight w:val="white"/>
        </w:rPr>
        <w:t>Abdulla (2022), commented that t</w:t>
      </w:r>
      <w:r>
        <w:rPr>
          <w:rFonts w:ascii="Times New Roman" w:hAnsi="Times New Roman" w:eastAsia="Times New Roman" w:cs="Times New Roman"/>
          <w:sz w:val="24"/>
          <w:szCs w:val="24"/>
        </w:rPr>
        <w:t xml:space="preserve">he Bank of England has expressed concern over people leaving the workforce saying that it might enhance inflation. Moreover, a majority of Britain’s workforce is ageing and they find it difficult to work. Additionally, it has been noticed that Britain is behind most of the developed nations in the post-COVID recovery stage of the labour market. It is also one of the nations that have an employment rate lower than the pre-pandemic levels. </w:t>
      </w:r>
    </w:p>
    <w:p>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114300" distB="114300" distL="114300" distR="114300">
            <wp:extent cx="4470400" cy="2470150"/>
            <wp:effectExtent l="38100" t="38100" r="44450" b="4445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referRelativeResize="0"/>
                  </pic:nvPicPr>
                  <pic:blipFill>
                    <a:blip r:embed="rId8"/>
                    <a:srcRect/>
                    <a:stretch>
                      <a:fillRect/>
                    </a:stretch>
                  </pic:blipFill>
                  <pic:spPr>
                    <a:xfrm>
                      <a:off x="0" y="0"/>
                      <a:ext cx="4470690" cy="2470310"/>
                    </a:xfrm>
                    <a:prstGeom prst="rect">
                      <a:avLst/>
                    </a:prstGeom>
                    <a:ln w="25400">
                      <a:solidFill>
                        <a:srgbClr val="000000"/>
                      </a:solidFill>
                      <a:prstDash val="solid"/>
                    </a:ln>
                  </pic:spPr>
                </pic:pic>
              </a:graphicData>
            </a:graphic>
          </wp:inline>
        </w:drawing>
      </w:r>
    </w:p>
    <w:p>
      <w:pPr>
        <w:spacing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Figure 1: Full-time workers in UK 1992-2022</w:t>
      </w:r>
    </w:p>
    <w:p>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(Source: Statista.com 2022)</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above graph traces the number of full-time workers in the region of the United Kingdom from the year of 1992 to 2022. The number of employees peaked in 2008 as seen in the graph. It was also seen to reach a high in 2019 but gradually decline after 2020. The decline can be due to the lockdown and COVID-19. During the pandemic, several people in the UK lost their jobs. </w:t>
      </w:r>
    </w:p>
    <w:p>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114300" distB="114300" distL="114300" distR="114300">
            <wp:extent cx="4070350" cy="2479675"/>
            <wp:effectExtent l="38100" t="38100" r="44450" b="34925"/>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referRelativeResize="0"/>
                  </pic:nvPicPr>
                  <pic:blipFill>
                    <a:blip r:embed="rId9"/>
                    <a:srcRect/>
                    <a:stretch>
                      <a:fillRect/>
                    </a:stretch>
                  </pic:blipFill>
                  <pic:spPr>
                    <a:xfrm>
                      <a:off x="0" y="0"/>
                      <a:ext cx="4070948" cy="2480039"/>
                    </a:xfrm>
                    <a:prstGeom prst="rect">
                      <a:avLst/>
                    </a:prstGeom>
                    <a:ln w="25400">
                      <a:solidFill>
                        <a:srgbClr val="000000"/>
                      </a:solidFill>
                      <a:prstDash val="solid"/>
                    </a:ln>
                  </pic:spPr>
                </pic:pic>
              </a:graphicData>
            </a:graphic>
          </wp:inline>
        </w:drawing>
      </w:r>
    </w:p>
    <w:p>
      <w:pPr>
        <w:spacing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Figure 2: Unemployment rate in UK 1971-2022</w:t>
      </w:r>
    </w:p>
    <w:p>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(Source: Statista.com 2022)</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above graph shows the unemployment rate in the UK from 1971 to 2022. The unemployment rate is seen to have increased in 2020 and gradually decreased in 2022. The pandemic had an adverse impact on the labour market of the UK and several people became unemployed. The unemployment rate in the UK in September 2022 was 75.5% which is lower than in February 2020. The unemployment rate in September was seen to decrease by 0.2 per cent. The rate of economic inactivity also increased by 0.2% from July to September 2022. The economic inactivity was caused by the citizens who have been safe for a long time and are still recovering in 2022. The total pay for employees fell by 2.6%. Employment rate was seen to be at a high rate in the Southwest region of the UK at 79.2% and low wasn't the Northeast region with 71.2% (</w:t>
      </w:r>
      <w:r>
        <w:rPr>
          <w:rFonts w:ascii="Times New Roman" w:hAnsi="Times New Roman" w:eastAsia="Times New Roman" w:cs="Times New Roman"/>
          <w:sz w:val="24"/>
          <w:szCs w:val="24"/>
          <w:highlight w:val="white"/>
        </w:rPr>
        <w:t>Ons.gov.uk,2022)</w:t>
      </w:r>
      <w:r>
        <w:rPr>
          <w:rFonts w:ascii="Times New Roman" w:hAnsi="Times New Roman" w:eastAsia="Times New Roman" w:cs="Times New Roman"/>
          <w:sz w:val="24"/>
          <w:szCs w:val="24"/>
        </w:rPr>
        <w:t xml:space="preserve">. The labour market of the UK has shown signs of cooling down as businesses prepare for a session. </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 report by the recruitment and Employment configuration portrays that businesses are starting to implement recruitment freezes since they were pessimistic about recruiting. As for employees they are holding back themselves from applying for new jobs. </w:t>
      </w:r>
      <w:r>
        <w:rPr>
          <w:rFonts w:ascii="Times New Roman" w:hAnsi="Times New Roman" w:eastAsia="Times New Roman" w:cs="Times New Roman"/>
          <w:sz w:val="24"/>
          <w:szCs w:val="24"/>
          <w:highlight w:val="white"/>
        </w:rPr>
        <w:t>Atkinson (2022</w:t>
      </w:r>
      <w:r>
        <w:rPr>
          <w:rFonts w:ascii="Times New Roman" w:hAnsi="Times New Roman" w:eastAsia="Times New Roman" w:cs="Times New Roman"/>
          <w:sz w:val="24"/>
          <w:szCs w:val="24"/>
        </w:rPr>
        <w:t xml:space="preserve">), noted that the stiffness of the labour market is a major concern for the Bank of England, which has increased its interest rate to stop a "wage-price spiral". The United Kingdom is expected to enter decline soon however employees are still hiring the best talent. There is difficulty in recruiting talent which is affecting the remuneration of both the public and private sectors. </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About 46% of the hiring organisations have vacancies that are hard to fill and they are mostly in the healthcare and the storage sectors (</w:t>
      </w:r>
      <w:r>
        <w:rPr>
          <w:rFonts w:ascii="Times New Roman" w:hAnsi="Times New Roman" w:eastAsia="Times New Roman" w:cs="Times New Roman"/>
          <w:sz w:val="24"/>
          <w:szCs w:val="24"/>
          <w:highlight w:val="white"/>
        </w:rPr>
        <w:t>Cipd.co.uk 2022)</w:t>
      </w:r>
      <w:r>
        <w:rPr>
          <w:rFonts w:ascii="Times New Roman" w:hAnsi="Times New Roman" w:eastAsia="Times New Roman" w:cs="Times New Roman"/>
          <w:sz w:val="24"/>
          <w:szCs w:val="24"/>
        </w:rPr>
        <w:t xml:space="preserve">. The process of upskilling is usually the most popular response for recruiting difficulties followed by a raise in pay. However, organisations have not increased the remuneration of the employees even after the training of the staff. The stagnant salary could be a reason why there is a gap in vacancies. The employment market is expected to recover, but with the increasing inflation in the country, it can become tough. The reasons for the increasing inflation are manipulated by several external factors. Michael (2022), noted that energy prices soared, cause of the war in Ukraine. </w:t>
      </w:r>
    </w:p>
    <w:p>
      <w:pPr>
        <w:pStyle w:val="2"/>
        <w:numPr>
          <w:ilvl w:val="0"/>
          <w:numId w:val="2"/>
        </w:numPr>
        <w:ind w:left="0" w:leftChars="0" w:firstLine="0" w:firstLineChars="0"/>
      </w:pPr>
      <w:bookmarkStart w:id="2" w:name="_Toc121845577"/>
      <w:r>
        <w:t>Human Resource Strategies Post COVID-19</w:t>
      </w:r>
      <w:bookmarkEnd w:id="2"/>
      <w:r>
        <w:rPr>
          <w:rFonts w:hint="default"/>
          <w:lang w:val="en-US"/>
        </w:rPr>
        <w:t>:</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importance of a “Human Resourc”e strategy is immense and can ensure that the business is working towards achieving broader goals. Strategically managing the HR resources can help the business facilitate change in the workplace and the monk's employee’s full stop. It can also help the companies to improve their operations within the company and outside it. by implementing adequate HRM policies a company can also hire a talented set of candidates. The pandemic-imposed uncertainty on the business sector and made the employees and managers stressed about the future. </w:t>
      </w:r>
    </w:p>
    <w:p>
      <w:pPr>
        <w:spacing w:line="360" w:lineRule="auto"/>
        <w:jc w:val="both"/>
        <w:rPr>
          <w:rFonts w:ascii="Times New Roman" w:hAnsi="Times New Roman" w:eastAsia="Times New Roman" w:cs="Times New Roman"/>
          <w:sz w:val="24"/>
          <w:szCs w:val="24"/>
        </w:rPr>
      </w:pP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corporate sector was faced with uncertainty, and the future looked vague for a long tiime. </w:t>
      </w:r>
      <w:r>
        <w:rPr>
          <w:rFonts w:ascii="Times New Roman" w:hAnsi="Times New Roman" w:eastAsia="Times New Roman" w:cs="Times New Roman"/>
          <w:b/>
          <w:bCs/>
          <w:sz w:val="24"/>
          <w:szCs w:val="24"/>
        </w:rPr>
        <w:t>“Human Resources Management</w:t>
      </w:r>
      <w:r>
        <w:rPr>
          <w:rFonts w:ascii="Times New Roman" w:hAnsi="Times New Roman" w:eastAsia="Times New Roman" w:cs="Times New Roman"/>
          <w:sz w:val="24"/>
          <w:szCs w:val="24"/>
        </w:rPr>
        <w:t>” operated in a crisis mode for the most part of 2020. The management had to think about ways the employees could work from home, without impacting upon their productivity. The employees were also under extra mental pressure during the work-from-home period. As the pandemic recedes, and the dust has settled, businesses are starting to adjust to the “new normal”, and the role played by the HRM department has significantly changed. The different Human Resource Strategies that could be adopted in the post-COVID situation are:</w:t>
      </w:r>
    </w:p>
    <w:p>
      <w:pPr>
        <w:numPr>
          <w:ilvl w:val="0"/>
          <w:numId w:val="3"/>
        </w:num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Include the “human” in HR</w:t>
      </w:r>
      <w:r>
        <w:rPr>
          <w:rFonts w:hint="default" w:ascii="Times New Roman" w:hAnsi="Times New Roman" w:eastAsia="Times New Roman" w:cs="Times New Roman"/>
          <w:b/>
          <w:bCs/>
          <w:sz w:val="24"/>
          <w:szCs w:val="24"/>
          <w:lang w:val="en-US"/>
        </w:rPr>
        <w:t>:</w:t>
      </w:r>
      <w:r>
        <w:rPr>
          <w:rFonts w:ascii="Times New Roman" w:hAnsi="Times New Roman" w:eastAsia="Times New Roman" w:cs="Times New Roman"/>
          <w:b/>
          <w:bCs/>
          <w:sz w:val="24"/>
          <w:szCs w:val="24"/>
        </w:rPr>
        <w:t xml:space="preserve"> </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w:t>
      </w:r>
      <w:r>
        <w:rPr>
          <w:rFonts w:ascii="Times New Roman" w:hAnsi="Times New Roman" w:eastAsia="Times New Roman" w:cs="Times New Roman"/>
          <w:b/>
          <w:bCs/>
          <w:i/>
          <w:iCs/>
          <w:sz w:val="24"/>
          <w:szCs w:val="24"/>
        </w:rPr>
        <w:t>Human Resource Department”</w:t>
      </w:r>
      <w:r>
        <w:rPr>
          <w:rFonts w:ascii="Times New Roman" w:hAnsi="Times New Roman" w:eastAsia="Times New Roman" w:cs="Times New Roman"/>
          <w:sz w:val="24"/>
          <w:szCs w:val="24"/>
        </w:rPr>
        <w:t xml:space="preserve"> needs to be most supportive towards the challenges of the employees about what they face at work and outside work. the employee should be able to sense the support that is shown by the company and this can have a positive effect on their well-being. Companies that care for their employees have realised that the mental health of the employees might improve and they need to be more empathetic. The managers are realising that the present focus of employees should be to view them as multidimensional and foster a holistic perception of them. The HRM needs to enable the employees to enhance their skills and build new skills so they can keep up with the changing business environment. The humans of the corporation should seriously be engaged with work and not feel pressured by the work. </w:t>
      </w:r>
      <w:r>
        <w:rPr>
          <w:rFonts w:ascii="Times New Roman" w:hAnsi="Times New Roman" w:eastAsia="Times New Roman" w:cs="Times New Roman"/>
          <w:color w:val="222222"/>
          <w:sz w:val="24"/>
          <w:szCs w:val="24"/>
          <w:highlight w:val="white"/>
        </w:rPr>
        <w:t xml:space="preserve">Cuandra et al (2022), commented </w:t>
      </w:r>
      <w:r>
        <w:rPr>
          <w:rFonts w:ascii="Times New Roman" w:hAnsi="Times New Roman" w:eastAsia="Times New Roman" w:cs="Times New Roman"/>
          <w:sz w:val="24"/>
          <w:szCs w:val="24"/>
        </w:rPr>
        <w:t xml:space="preserve">that the company of Unilever has created certain management teams that hold meetings twice a week. This steam meeting was aimed at interacting with the workers and knowing how they were adapting to the hybrid culture and what were the challenges they faced. </w:t>
      </w:r>
    </w:p>
    <w:p>
      <w:pPr>
        <w:numPr>
          <w:ilvl w:val="0"/>
          <w:numId w:val="3"/>
        </w:num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Becoming resilient in finances</w:t>
      </w:r>
      <w:r>
        <w:rPr>
          <w:rFonts w:hint="default" w:ascii="Times New Roman" w:hAnsi="Times New Roman" w:eastAsia="Times New Roman" w:cs="Times New Roman"/>
          <w:b/>
          <w:bCs/>
          <w:sz w:val="24"/>
          <w:szCs w:val="24"/>
          <w:lang w:val="en-US"/>
        </w:rPr>
        <w:t>:</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human resource manager needs to understand that the cause reduction program can help define the particular objectives of the company. A mix of strategic drivers can help the company reduce its cause and preserve the financial capital for crisis situations like Kuwait. The HR Teams need to be divided with the responsibility of how to save the core business and others to reduce cost and increase investment in several areas. The HR department should be able to identify the places where savings can be made and titan the expenditure of the company. </w:t>
      </w:r>
      <w:r>
        <w:rPr>
          <w:rFonts w:ascii="Times New Roman" w:hAnsi="Times New Roman" w:eastAsia="Times New Roman" w:cs="Times New Roman"/>
          <w:color w:val="222222"/>
          <w:sz w:val="24"/>
          <w:szCs w:val="24"/>
          <w:highlight w:val="white"/>
        </w:rPr>
        <w:t>Webber (2020), noted that t</w:t>
      </w:r>
      <w:r>
        <w:rPr>
          <w:rFonts w:ascii="Times New Roman" w:hAnsi="Times New Roman" w:eastAsia="Times New Roman" w:cs="Times New Roman"/>
          <w:sz w:val="24"/>
          <w:szCs w:val="24"/>
        </w:rPr>
        <w:t>he chief human resources officer of Unilever Leena Nair reflected that the pandemic had changed the organisations and propounded that the company is equipped to deal with the change in the workforce in the post-pandemic stage. The Leadership Committee of Unilever held frequent meetings to understand how to deal with the issues and move forward. The company also responded with incredulous agility to the supply chain and made sure that the customers had access to necessary products like soaps and sanitisers.</w:t>
      </w:r>
    </w:p>
    <w:p>
      <w:pPr>
        <w:numPr>
          <w:ilvl w:val="0"/>
          <w:numId w:val="3"/>
        </w:num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HR strategies catering Hybrid workforce</w:t>
      </w:r>
      <w:r>
        <w:rPr>
          <w:rFonts w:hint="default" w:ascii="Times New Roman" w:hAnsi="Times New Roman" w:eastAsia="Times New Roman" w:cs="Times New Roman"/>
          <w:b/>
          <w:bCs/>
          <w:sz w:val="24"/>
          <w:szCs w:val="24"/>
          <w:lang w:val="en-US"/>
        </w:rPr>
        <w:t>:</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post-COVID scenario has shown that remote working is here to stay. </w:t>
      </w:r>
      <w:r>
        <w:rPr>
          <w:rFonts w:ascii="Times New Roman" w:hAnsi="Times New Roman" w:eastAsia="Times New Roman" w:cs="Times New Roman"/>
          <w:color w:val="222222"/>
          <w:sz w:val="24"/>
          <w:szCs w:val="24"/>
          <w:highlight w:val="white"/>
        </w:rPr>
        <w:t>Kulik (2022</w:t>
      </w:r>
      <w:r>
        <w:rPr>
          <w:rFonts w:ascii="Times New Roman" w:hAnsi="Times New Roman" w:eastAsia="Times New Roman" w:cs="Times New Roman"/>
          <w:sz w:val="24"/>
          <w:szCs w:val="24"/>
        </w:rPr>
        <w:t xml:space="preserve">), noted that the human resource strategies needed to cater to and serve the needs of the employees who are engaged in working in hybrid situations. The Human Resource Department needs to build common ground for every employee belonging to different social, economic and cultural backgrounds. There is a growing need for tools that help in flexible collaboration. The companies need to have facilities for both in-office and hybrid work conditions. </w:t>
      </w:r>
    </w:p>
    <w:p>
      <w:pPr>
        <w:numPr>
          <w:ilvl w:val="0"/>
          <w:numId w:val="3"/>
        </w:num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Increased venues of support</w:t>
      </w:r>
      <w:r>
        <w:rPr>
          <w:rFonts w:hint="default" w:ascii="Times New Roman" w:hAnsi="Times New Roman" w:eastAsia="Times New Roman" w:cs="Times New Roman"/>
          <w:b/>
          <w:bCs/>
          <w:sz w:val="24"/>
          <w:szCs w:val="24"/>
          <w:lang w:val="en-US"/>
        </w:rPr>
        <w:t>:</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HRM department of the company needs to establish new areas of support that can satisfy the needs and solve the problems of their employees in the post-COVID scenario. </w:t>
      </w:r>
      <w:r>
        <w:rPr>
          <w:rFonts w:ascii="Times New Roman" w:hAnsi="Times New Roman" w:eastAsia="Times New Roman" w:cs="Times New Roman"/>
          <w:color w:val="222222"/>
          <w:sz w:val="24"/>
          <w:szCs w:val="24"/>
          <w:highlight w:val="white"/>
        </w:rPr>
        <w:t>Morse and Dell (2021</w:t>
      </w:r>
      <w:r>
        <w:rPr>
          <w:rFonts w:ascii="Times New Roman" w:hAnsi="Times New Roman" w:eastAsia="Times New Roman" w:cs="Times New Roman"/>
          <w:sz w:val="24"/>
          <w:szCs w:val="24"/>
        </w:rPr>
        <w:t xml:space="preserve">), noted that during COVID or after the pandemic several employees may experience mental health issues at work or in their personal life. The Human Resource Department should be aware of these challenges and open up new venues and departments which can support and enhance the employee’s talking about their problems. Employees who are going through a mental crisis may not be able to perform productively and that might have an adverse effect on the company. </w:t>
      </w:r>
    </w:p>
    <w:p>
      <w:pPr>
        <w:numPr>
          <w:ilvl w:val="0"/>
          <w:numId w:val="3"/>
        </w:num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Training to drive productivity</w:t>
      </w:r>
      <w:r>
        <w:rPr>
          <w:rFonts w:hint="default" w:ascii="Times New Roman" w:hAnsi="Times New Roman" w:eastAsia="Times New Roman" w:cs="Times New Roman"/>
          <w:b/>
          <w:bCs/>
          <w:sz w:val="24"/>
          <w:szCs w:val="24"/>
          <w:lang w:val="en-US"/>
        </w:rPr>
        <w:t>:</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During the work from the home face with the employees had to work on their computers and their performance was judged based on the efficiency with which they work at home. There might be workers who are not as comfortable with technology as others. The HR department and the manager need to train every employee in the basics of video calling and educate them on how they can contact the manager or the HR when required. </w:t>
      </w:r>
      <w:r>
        <w:rPr>
          <w:rFonts w:ascii="Times New Roman" w:hAnsi="Times New Roman" w:eastAsia="Times New Roman" w:cs="Times New Roman"/>
          <w:color w:val="222222"/>
          <w:sz w:val="24"/>
          <w:szCs w:val="24"/>
          <w:highlight w:val="white"/>
        </w:rPr>
        <w:t>Gupta and Chandna (2020</w:t>
      </w:r>
      <w:r>
        <w:rPr>
          <w:rFonts w:ascii="Times New Roman" w:hAnsi="Times New Roman" w:eastAsia="Times New Roman" w:cs="Times New Roman"/>
          <w:sz w:val="24"/>
          <w:szCs w:val="24"/>
        </w:rPr>
        <w:t>), noted that by providing adequate training the productivity of the employees will increase and business will also boom. The human resource manager should be able to realise the training programs are effective in implementing productivity among employees.</w:t>
      </w:r>
    </w:p>
    <w:p>
      <w:pPr>
        <w:pStyle w:val="2"/>
        <w:rPr>
          <w:rFonts w:hint="default"/>
          <w:lang w:val="en-US"/>
        </w:rPr>
      </w:pPr>
      <w:bookmarkStart w:id="3" w:name="_Toc121845578"/>
      <w:r>
        <w:t>Human Resource Strategies Post Brexit</w:t>
      </w:r>
      <w:bookmarkEnd w:id="3"/>
      <w:r>
        <w:t xml:space="preserve"> </w:t>
      </w:r>
      <w:r>
        <w:rPr>
          <w:rFonts w:hint="default"/>
          <w:lang w:val="en-US"/>
        </w:rPr>
        <w:t>:</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recruitment and the process of selection of workers including the lives of the working employees are said to be fundamentally affected by Brexit. The economic impact of Brexit cannot be ignored which changed the trade laws in the UK and had an impact on the rights of the workers. The event of Brexit was an unprecedented decision of the UK Government to leave the EU. </w:t>
      </w:r>
      <w:r>
        <w:rPr>
          <w:rFonts w:ascii="Times New Roman" w:hAnsi="Times New Roman" w:eastAsia="Times New Roman" w:cs="Times New Roman"/>
          <w:color w:val="222222"/>
          <w:sz w:val="24"/>
          <w:szCs w:val="24"/>
          <w:highlight w:val="white"/>
        </w:rPr>
        <w:t xml:space="preserve">Ridgway (2019), notes that </w:t>
      </w:r>
      <w:r>
        <w:rPr>
          <w:rFonts w:ascii="Times New Roman" w:hAnsi="Times New Roman" w:eastAsia="Times New Roman" w:cs="Times New Roman"/>
          <w:sz w:val="24"/>
          <w:szCs w:val="24"/>
        </w:rPr>
        <w:t xml:space="preserve">due to the nature of the event there is no particular literature that can explain what the situation of Brexit can mean for the practice of human resources. During the global pandemic, several organisations were compelled to reduce their workers. The different types of Human Resource Strategies that businesses should adopt in the aftermath of Brexit: </w:t>
      </w:r>
    </w:p>
    <w:p>
      <w:pPr>
        <w:numPr>
          <w:ilvl w:val="0"/>
          <w:numId w:val="4"/>
        </w:num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Skillset of workers</w:t>
      </w:r>
      <w:r>
        <w:rPr>
          <w:rFonts w:hint="default" w:ascii="Times New Roman" w:hAnsi="Times New Roman" w:eastAsia="Times New Roman" w:cs="Times New Roman"/>
          <w:b/>
          <w:bCs/>
          <w:sz w:val="24"/>
          <w:szCs w:val="24"/>
          <w:lang w:val="en-US"/>
        </w:rPr>
        <w:t>:</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Brexit might intensify the fight for talent and provide the need for an extra focus on the engagement strategies of employees (</w:t>
      </w:r>
      <w:r>
        <w:rPr>
          <w:rFonts w:ascii="Times New Roman" w:hAnsi="Times New Roman" w:eastAsia="Times New Roman" w:cs="Times New Roman"/>
          <w:color w:val="222222"/>
          <w:sz w:val="24"/>
          <w:szCs w:val="24"/>
          <w:highlight w:val="white"/>
        </w:rPr>
        <w:t>Dickmann and Parry 2018)</w:t>
      </w:r>
      <w:r>
        <w:rPr>
          <w:rFonts w:ascii="Times New Roman" w:hAnsi="Times New Roman" w:eastAsia="Times New Roman" w:cs="Times New Roman"/>
          <w:sz w:val="24"/>
          <w:szCs w:val="24"/>
        </w:rPr>
        <w:t xml:space="preserve">. There is a common perception in the UK that workers from the EU are not talented or skilled to fit into the UK market. However, job applicants are mostly from Europe. The organisations need to direct their focus on staff development and enhance the quality of the employees. </w:t>
      </w:r>
    </w:p>
    <w:p>
      <w:pPr>
        <w:numPr>
          <w:ilvl w:val="0"/>
          <w:numId w:val="4"/>
        </w:num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New strategies for the migrant workforce</w:t>
      </w:r>
      <w:r>
        <w:rPr>
          <w:rFonts w:hint="default" w:ascii="Times New Roman" w:hAnsi="Times New Roman" w:eastAsia="Times New Roman" w:cs="Times New Roman"/>
          <w:b/>
          <w:bCs/>
          <w:sz w:val="24"/>
          <w:szCs w:val="24"/>
          <w:lang w:val="en-US"/>
        </w:rPr>
        <w:t>:</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companies of the UK need to regulate and renew their HR strategies for the migrant population that moved from Europe to the UK. The HR department should try to understand the diverse culture of the new employees and respect their ethnic customs. </w:t>
      </w:r>
    </w:p>
    <w:p>
      <w:pPr>
        <w:numPr>
          <w:ilvl w:val="0"/>
          <w:numId w:val="4"/>
        </w:num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To support the employees of the UK and EU</w:t>
      </w:r>
      <w:r>
        <w:rPr>
          <w:rFonts w:hint="default" w:ascii="Times New Roman" w:hAnsi="Times New Roman" w:eastAsia="Times New Roman" w:cs="Times New Roman"/>
          <w:b/>
          <w:bCs/>
          <w:sz w:val="24"/>
          <w:szCs w:val="24"/>
          <w:lang w:val="en-US"/>
        </w:rPr>
        <w:t>:</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There are several companies in the UK which have their business both in the UK and in Europe. The employers should remind the employees that if they do not possess a relevant visa, they might lose their right to live and work in the United Kingdom region. Simultaneously, the British employees who presided in Europe will also have to be aware of the various conditions and documents they need to have if they want to stay in the territory. </w:t>
      </w:r>
      <w:r>
        <w:rPr>
          <w:rFonts w:ascii="Times New Roman" w:hAnsi="Times New Roman" w:eastAsia="Times New Roman" w:cs="Times New Roman"/>
          <w:color w:val="222222"/>
          <w:sz w:val="24"/>
          <w:szCs w:val="24"/>
          <w:highlight w:val="white"/>
        </w:rPr>
        <w:t>Rolfe, Runge and Hudson-Sharp (2019), commented that t</w:t>
      </w:r>
      <w:r>
        <w:rPr>
          <w:rFonts w:ascii="Times New Roman" w:hAnsi="Times New Roman" w:eastAsia="Times New Roman" w:cs="Times New Roman"/>
          <w:sz w:val="24"/>
          <w:szCs w:val="24"/>
        </w:rPr>
        <w:t>he Human Resource Department of the company needs to regulate these changes and provide support to both European and British employees with relevant information on settlement and visas and help them continue with their careers.</w:t>
      </w:r>
    </w:p>
    <w:p>
      <w:pPr>
        <w:pStyle w:val="2"/>
        <w:rPr>
          <w:rFonts w:hint="default"/>
          <w:lang w:val="en-US"/>
        </w:rPr>
      </w:pPr>
      <w:bookmarkStart w:id="4" w:name="_Toc121845579"/>
      <w:r>
        <w:t>Recommendations</w:t>
      </w:r>
      <w:bookmarkEnd w:id="4"/>
      <w:r>
        <w:rPr>
          <w:rFonts w:hint="default"/>
          <w:lang w:val="en-US"/>
        </w:rPr>
        <w:t>:</w:t>
      </w:r>
    </w:p>
    <w:p>
      <w:pPr>
        <w:numPr>
          <w:ilvl w:val="0"/>
          <w:numId w:val="5"/>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Government of the UK should be better prepared in strategically Planning and implementing their rules in the country to prepare them for another challenge like the covid-19 pandemic. In event of a crisis, the centres of government usually highlight the coordination of governmental operations. The central governments of the nation need to take responsibility and plan risk management policies that would help them deal with catastrophic situations and provide for the citizens. Moreover, the government of the United Kingdom needs to improve that healthcare structure and handset for others for any situation that might come. In addition, the government is to invest in new research and development projects that can help identify an unknown disease beforehand and prevent the loss of lives.</w:t>
      </w:r>
    </w:p>
    <w:p>
      <w:pPr>
        <w:numPr>
          <w:ilvl w:val="0"/>
          <w:numId w:val="5"/>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abrupt exit of the United Kingdom from the European Union has caused several repercussions across the country. Additionally, the Brexit event has had an adverse effect on the supply chain and the economic situation of the country full stop several companies based in Europe have now started thinking of ways and how to continue their business. The government of the UK needs to educate the citizens on how an event like Brexit has changed the lifestyle of the people and the business landscape. Moreover, the country needs to formulate new strategies that would make them independent and self-sufficient.</w:t>
      </w:r>
    </w:p>
    <w:p>
      <w:pPr>
        <w:pStyle w:val="2"/>
        <w:rPr>
          <w:rFonts w:hint="default"/>
          <w:lang w:val="en-US"/>
        </w:rPr>
      </w:pPr>
      <w:bookmarkStart w:id="5" w:name="_Toc121845580"/>
      <w:r>
        <w:t>Conclusion</w:t>
      </w:r>
      <w:bookmarkEnd w:id="5"/>
      <w:r>
        <w:rPr>
          <w:rFonts w:hint="default"/>
          <w:lang w:val="en-US"/>
        </w:rPr>
        <w:t>:</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two situations like the pandemic and Brexit have had a crucial impact on the economy of the UK. Human resource strategies should be created and renewed in a way that can support the employees of the new normal. The British company Unilever has shown how human resource strategies can be implemented and support workers and their suppliers. </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During the pandemic hybrid work was common and it is persisting after the pandemic. The human resource managers need to provide a support system that would cater to the various needs of their employees and increase the skill set of their workers. In the aftermath of Brexit, the British companies need to support their European and domestic employees through the process of settlement and verification of visas. </w:t>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br w:type="page"/>
      </w:r>
    </w:p>
    <w:p>
      <w:pPr>
        <w:pStyle w:val="2"/>
        <w:rPr>
          <w:rFonts w:hint="default"/>
          <w:lang w:val="en-US"/>
        </w:rPr>
      </w:pPr>
      <w:bookmarkStart w:id="6" w:name="_Toc121845581"/>
      <w:r>
        <w:t>Reference List</w:t>
      </w:r>
      <w:bookmarkEnd w:id="6"/>
      <w:r>
        <w:rPr>
          <w:rFonts w:hint="default"/>
          <w:lang w:val="en-US"/>
        </w:rPr>
        <w:t>:</w:t>
      </w:r>
    </w:p>
    <w:p>
      <w:pPr>
        <w:spacing w:before="240" w:line="360" w:lineRule="auto"/>
        <w:jc w:val="both"/>
        <w:rPr>
          <w:rFonts w:ascii="Times New Roman" w:hAnsi="Times New Roman" w:cs="Times New Roman"/>
          <w:color w:val="000000" w:themeColor="text1"/>
          <w:lang w:val="en-IN"/>
          <w14:textFill>
            <w14:solidFill>
              <w14:schemeClr w14:val="tx1"/>
            </w14:solidFill>
          </w14:textFill>
        </w:rPr>
      </w:pPr>
      <w:r>
        <w:rPr>
          <w:rFonts w:ascii="Times New Roman" w:hAnsi="Times New Roman" w:cs="Times New Roman"/>
          <w:color w:val="000000" w:themeColor="text1"/>
          <w:lang w:val="en-IN"/>
          <w14:textFill>
            <w14:solidFill>
              <w14:schemeClr w14:val="tx1"/>
            </w14:solidFill>
          </w14:textFill>
        </w:rPr>
        <w:t>Abdulla, 2022</w:t>
      </w:r>
      <w:r>
        <w:rPr>
          <w:rFonts w:ascii="Times New Roman" w:hAnsi="Times New Roman" w:cs="Times New Roman"/>
          <w:i/>
          <w:iCs/>
          <w:color w:val="000000" w:themeColor="text1"/>
          <w:lang w:val="en-IN"/>
          <w14:textFill>
            <w14:solidFill>
              <w14:schemeClr w14:val="tx1"/>
            </w14:solidFill>
          </w14:textFill>
        </w:rPr>
        <w:t>.Half a million UK workers drop out of workforce, citing long-term illness</w:t>
      </w:r>
      <w:r>
        <w:rPr>
          <w:rFonts w:ascii="Times New Roman" w:hAnsi="Times New Roman" w:cs="Times New Roman"/>
          <w:color w:val="000000" w:themeColor="text1"/>
          <w14:textFill>
            <w14:solidFill>
              <w14:schemeClr w14:val="tx1"/>
            </w14:solidFill>
          </w14:textFill>
        </w:rPr>
        <w:t xml:space="preserve">. Suban Abdulla. [online]  Available at: </w:t>
      </w:r>
      <w:r>
        <w:fldChar w:fldCharType="begin"/>
      </w:r>
      <w:r>
        <w:instrText xml:space="preserve"> HYPERLINK "https://www.reuters.com/markets/europe/half-million-uk-workers-drop-out-workforce-citing-long-term-illness-2022-11-10/" </w:instrText>
      </w:r>
      <w:r>
        <w:fldChar w:fldCharType="separate"/>
      </w:r>
      <w:r>
        <w:rPr>
          <w:rStyle w:val="14"/>
          <w:rFonts w:ascii="Times New Roman" w:hAnsi="Times New Roman" w:cs="Times New Roman"/>
          <w:color w:val="000000" w:themeColor="text1"/>
          <w14:textFill>
            <w14:solidFill>
              <w14:schemeClr w14:val="tx1"/>
            </w14:solidFill>
          </w14:textFill>
        </w:rPr>
        <w:t>https://www.reuters.com/markets/europe/half-million-uk-workers-drop-out-workforce-citing-long-term-illness-2022-11-10/</w:t>
      </w:r>
      <w:r>
        <w:rPr>
          <w:rStyle w:val="14"/>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t xml:space="preserve"> [Accessed on 13th December 2022].</w:t>
      </w:r>
    </w:p>
    <w:p>
      <w:pPr>
        <w:spacing w:before="240" w:line="360" w:lineRule="auto"/>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lang w:val="en-IN"/>
          <w14:textFill>
            <w14:solidFill>
              <w14:schemeClr w14:val="tx1"/>
            </w14:solidFill>
          </w14:textFill>
        </w:rPr>
        <w:t>Atkinson, 2022.</w:t>
      </w:r>
      <w:r>
        <w:rPr>
          <w:rFonts w:ascii="Times New Roman" w:hAnsi="Times New Roman" w:cs="Times New Roman"/>
          <w:i/>
          <w:iCs/>
          <w:color w:val="000000" w:themeColor="text1"/>
          <w:lang w:val="en-IN"/>
          <w14:textFill>
            <w14:solidFill>
              <w14:schemeClr w14:val="tx1"/>
            </w14:solidFill>
          </w14:textFill>
        </w:rPr>
        <w:t>UK shows labour market slowdown with recession concerns rising: Survey</w:t>
      </w:r>
      <w:r>
        <w:rPr>
          <w:rFonts w:ascii="Times New Roman" w:hAnsi="Times New Roman" w:cs="Times New Roman"/>
          <w:color w:val="000000" w:themeColor="text1"/>
          <w:lang w:val="en-IN"/>
          <w14:textFill>
            <w14:solidFill>
              <w14:schemeClr w14:val="tx1"/>
            </w14:solidFill>
          </w14:textFill>
        </w:rPr>
        <w:t>. Andrew Atkinson.</w:t>
      </w:r>
      <w:r>
        <w:rPr>
          <w:rFonts w:ascii="Times New Roman" w:hAnsi="Times New Roman" w:cs="Times New Roman"/>
          <w:color w:val="000000" w:themeColor="text1"/>
          <w14:textFill>
            <w14:solidFill>
              <w14:schemeClr w14:val="tx1"/>
            </w14:solidFill>
          </w14:textFill>
        </w:rPr>
        <w:t xml:space="preserve"> .[online]  Available at:</w:t>
      </w:r>
      <w:r>
        <w:fldChar w:fldCharType="begin"/>
      </w:r>
      <w:r>
        <w:instrText xml:space="preserve"> HYPERLINK "https://www.business-standard.com/article/international/uk-shows-labour-market-slowdown-with-recession-concerns-rising-survey-122100700139_1.html" </w:instrText>
      </w:r>
      <w:r>
        <w:fldChar w:fldCharType="separate"/>
      </w:r>
      <w:r>
        <w:rPr>
          <w:rStyle w:val="14"/>
          <w:rFonts w:ascii="Times New Roman" w:hAnsi="Times New Roman" w:cs="Times New Roman"/>
          <w:color w:val="000000" w:themeColor="text1"/>
          <w:lang w:val="en-IN"/>
          <w14:textFill>
            <w14:solidFill>
              <w14:schemeClr w14:val="tx1"/>
            </w14:solidFill>
          </w14:textFill>
        </w:rPr>
        <w:t>https://www.business-standard.com/article/international/uk-shows-labour-market-slowdown-with-recession-concerns-rising-survey-122100700139_1.html</w:t>
      </w:r>
      <w:r>
        <w:rPr>
          <w:rStyle w:val="14"/>
          <w:rFonts w:ascii="Times New Roman" w:hAnsi="Times New Roman" w:cs="Times New Roman"/>
          <w:color w:val="000000" w:themeColor="text1"/>
          <w:lang w:val="en-IN"/>
          <w14:textFill>
            <w14:solidFill>
              <w14:schemeClr w14:val="tx1"/>
            </w14:solidFill>
          </w14:textFill>
        </w:rPr>
        <w:fldChar w:fldCharType="end"/>
      </w:r>
      <w:r>
        <w:rPr>
          <w:rFonts w:ascii="Times New Roman" w:hAnsi="Times New Roman" w:cs="Times New Roman"/>
          <w:color w:val="000000" w:themeColor="text1"/>
          <w:lang w:val="en-IN"/>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[Accessed on 13th December 2022].</w:t>
      </w:r>
    </w:p>
    <w:p>
      <w:pPr>
        <w:spacing w:before="240" w:line="360" w:lineRule="auto"/>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lang w:val="en-IN"/>
          <w14:textFill>
            <w14:solidFill>
              <w14:schemeClr w14:val="tx1"/>
            </w14:solidFill>
          </w14:textFill>
        </w:rPr>
        <w:t>Cipd.co.uk, 2022.</w:t>
      </w:r>
      <w:r>
        <w:rPr>
          <w:rFonts w:ascii="Times New Roman" w:hAnsi="Times New Roman" w:cs="Times New Roman"/>
          <w:i/>
          <w:iCs/>
          <w:color w:val="000000" w:themeColor="text1"/>
          <w:lang w:val="en-IN"/>
          <w14:textFill>
            <w14:solidFill>
              <w14:schemeClr w14:val="tx1"/>
            </w14:solidFill>
          </w14:textFill>
        </w:rPr>
        <w:t xml:space="preserve"> Labour Market Outlook – Autumn 2022</w:t>
      </w:r>
      <w:r>
        <w:rPr>
          <w:rFonts w:ascii="Times New Roman" w:hAnsi="Times New Roman" w:cs="Times New Roman"/>
          <w:color w:val="000000" w:themeColor="text1"/>
          <w14:textFill>
            <w14:solidFill>
              <w14:schemeClr w14:val="tx1"/>
            </w14:solidFill>
          </w14:textFill>
        </w:rPr>
        <w:t>. [online]  Available at:</w:t>
      </w:r>
      <w:r>
        <w:rPr>
          <w:rFonts w:ascii="Times New Roman" w:hAnsi="Times New Roman" w:cs="Times New Roman"/>
          <w:color w:val="000000" w:themeColor="text1"/>
          <w:lang w:val="en-IN"/>
          <w14:textFill>
            <w14:solidFill>
              <w14:schemeClr w14:val="tx1"/>
            </w14:solidFill>
          </w14:textFill>
        </w:rPr>
        <w:t xml:space="preserve"> </w:t>
      </w:r>
      <w:r>
        <w:fldChar w:fldCharType="begin"/>
      </w:r>
      <w:r>
        <w:instrText xml:space="preserve"> HYPERLINK "https://www.cipd.co.uk/knowledge/work/trends/labour-market-outlook" \l "gref" </w:instrText>
      </w:r>
      <w:r>
        <w:fldChar w:fldCharType="separate"/>
      </w:r>
      <w:r>
        <w:rPr>
          <w:rStyle w:val="14"/>
          <w:rFonts w:ascii="Times New Roman" w:hAnsi="Times New Roman" w:cs="Times New Roman"/>
          <w:color w:val="000000" w:themeColor="text1"/>
          <w:lang w:val="en-IN"/>
          <w14:textFill>
            <w14:solidFill>
              <w14:schemeClr w14:val="tx1"/>
            </w14:solidFill>
          </w14:textFill>
        </w:rPr>
        <w:t>https://www.cipd.co.uk/knowledge/work/trends/labour-market-outlook#gref</w:t>
      </w:r>
      <w:r>
        <w:rPr>
          <w:rStyle w:val="14"/>
          <w:rFonts w:ascii="Times New Roman" w:hAnsi="Times New Roman" w:cs="Times New Roman"/>
          <w:color w:val="000000" w:themeColor="text1"/>
          <w:lang w:val="en-IN"/>
          <w14:textFill>
            <w14:solidFill>
              <w14:schemeClr w14:val="tx1"/>
            </w14:solidFill>
          </w14:textFill>
        </w:rPr>
        <w:fldChar w:fldCharType="end"/>
      </w:r>
      <w:r>
        <w:rPr>
          <w:rFonts w:ascii="Times New Roman" w:hAnsi="Times New Roman" w:cs="Times New Roman"/>
          <w:color w:val="000000" w:themeColor="text1"/>
          <w:lang w:val="en-IN"/>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[Accessed on 13th December 2022].</w:t>
      </w:r>
    </w:p>
    <w:p>
      <w:pPr>
        <w:spacing w:before="240" w:line="360" w:lineRule="auto"/>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Cuandra, F., Christina, C., Alfinda, F. and Eurico, E., 2022. Analysis of The Implementation of Operational Management at PT Unilever Indonesia Tbk Before, During, and After The Pandemi. </w:t>
      </w:r>
      <w:r>
        <w:rPr>
          <w:rFonts w:ascii="Times New Roman" w:hAnsi="Times New Roman" w:cs="Times New Roman"/>
          <w:i/>
          <w:iCs/>
          <w:color w:val="000000" w:themeColor="text1"/>
          <w14:textFill>
            <w14:solidFill>
              <w14:schemeClr w14:val="tx1"/>
            </w14:solidFill>
          </w14:textFill>
        </w:rPr>
        <w:t>American Journal of Current Education and Humanities</w:t>
      </w:r>
      <w:r>
        <w:rPr>
          <w:rFonts w:ascii="Times New Roman" w:hAnsi="Times New Roman" w:cs="Times New Roman"/>
          <w:color w:val="000000" w:themeColor="text1"/>
          <w14:textFill>
            <w14:solidFill>
              <w14:schemeClr w14:val="tx1"/>
            </w14:solidFill>
          </w14:textFill>
        </w:rPr>
        <w:t>, </w:t>
      </w:r>
      <w:r>
        <w:rPr>
          <w:rFonts w:ascii="Times New Roman" w:hAnsi="Times New Roman" w:cs="Times New Roman"/>
          <w:i/>
          <w:iCs/>
          <w:color w:val="000000" w:themeColor="text1"/>
          <w14:textFill>
            <w14:solidFill>
              <w14:schemeClr w14:val="tx1"/>
            </w14:solidFill>
          </w14:textFill>
        </w:rPr>
        <w:t>1</w:t>
      </w:r>
      <w:r>
        <w:rPr>
          <w:rFonts w:ascii="Times New Roman" w:hAnsi="Times New Roman" w:cs="Times New Roman"/>
          <w:color w:val="000000" w:themeColor="text1"/>
          <w14:textFill>
            <w14:solidFill>
              <w14:schemeClr w14:val="tx1"/>
            </w14:solidFill>
          </w14:textFill>
        </w:rPr>
        <w:t>(2), pp.64-74. Available at:</w:t>
      </w:r>
      <w:r>
        <w:rPr>
          <w:rFonts w:ascii="Times New Roman" w:hAnsi="Times New Roman" w:cs="Times New Roman"/>
          <w:color w:val="000000" w:themeColor="text1"/>
          <w:lang w:val="en-IN"/>
          <w14:textFill>
            <w14:solidFill>
              <w14:schemeClr w14:val="tx1"/>
            </w14:solidFill>
          </w14:textFill>
        </w:rPr>
        <w:t xml:space="preserve"> </w:t>
      </w:r>
      <w:r>
        <w:fldChar w:fldCharType="begin"/>
      </w:r>
      <w:r>
        <w:instrText xml:space="preserve"> HYPERLINK "https://americanjournal.us/index.php/as/article/download/6/11" </w:instrText>
      </w:r>
      <w:r>
        <w:fldChar w:fldCharType="separate"/>
      </w:r>
      <w:r>
        <w:rPr>
          <w:rStyle w:val="14"/>
          <w:rFonts w:ascii="Times New Roman" w:hAnsi="Times New Roman" w:cs="Times New Roman"/>
          <w:color w:val="000000" w:themeColor="text1"/>
          <w14:textFill>
            <w14:solidFill>
              <w14:schemeClr w14:val="tx1"/>
            </w14:solidFill>
          </w14:textFill>
        </w:rPr>
        <w:t>https://americanjournal.us/index.php/as/article/download/6/11</w:t>
      </w:r>
      <w:r>
        <w:rPr>
          <w:rStyle w:val="14"/>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t xml:space="preserve"> ]</w:t>
      </w:r>
    </w:p>
    <w:p>
      <w:pPr>
        <w:spacing w:before="240" w:line="360" w:lineRule="auto"/>
        <w:jc w:val="both"/>
        <w:rPr>
          <w:rFonts w:ascii="Times New Roman" w:hAnsi="Times New Roman" w:cs="Times New Roman"/>
          <w:b/>
          <w:bCs/>
          <w:color w:val="000000" w:themeColor="text1"/>
          <w:lang w:val="en-IN"/>
          <w14:textFill>
            <w14:solidFill>
              <w14:schemeClr w14:val="tx1"/>
            </w14:solidFill>
          </w14:textFill>
        </w:rPr>
      </w:pPr>
      <w:r>
        <w:rPr>
          <w:rFonts w:ascii="Times New Roman" w:hAnsi="Times New Roman" w:cs="Times New Roman"/>
          <w:color w:val="000000" w:themeColor="text1"/>
          <w14:textFill>
            <w14:solidFill>
              <w14:schemeClr w14:val="tx1"/>
            </w14:solidFill>
          </w14:textFill>
        </w:rPr>
        <w:t>Dickmann, M. and Parry, E., 2018. Migration: Managing macro talent management at the country and city level. In </w:t>
      </w:r>
      <w:r>
        <w:rPr>
          <w:rFonts w:ascii="Times New Roman" w:hAnsi="Times New Roman" w:cs="Times New Roman"/>
          <w:i/>
          <w:iCs/>
          <w:color w:val="000000" w:themeColor="text1"/>
          <w14:textFill>
            <w14:solidFill>
              <w14:schemeClr w14:val="tx1"/>
            </w14:solidFill>
          </w14:textFill>
        </w:rPr>
        <w:t>Macro talent management in emerging and emergent markets</w:t>
      </w:r>
      <w:r>
        <w:rPr>
          <w:rFonts w:ascii="Times New Roman" w:hAnsi="Times New Roman" w:cs="Times New Roman"/>
          <w:color w:val="000000" w:themeColor="text1"/>
          <w14:textFill>
            <w14:solidFill>
              <w14:schemeClr w14:val="tx1"/>
            </w14:solidFill>
          </w14:textFill>
        </w:rPr>
        <w:t> (pp. 173-192). Routledge. Available at:</w:t>
      </w:r>
      <w:r>
        <w:rPr>
          <w:rFonts w:ascii="Times New Roman" w:hAnsi="Times New Roman" w:cs="Times New Roman"/>
          <w:color w:val="000000" w:themeColor="text1"/>
          <w:lang w:val="en-IN"/>
          <w14:textFill>
            <w14:solidFill>
              <w14:schemeClr w14:val="tx1"/>
            </w14:solidFill>
          </w14:textFill>
        </w:rPr>
        <w:t xml:space="preserve"> </w:t>
      </w:r>
      <w:r>
        <w:fldChar w:fldCharType="begin"/>
      </w:r>
      <w:r>
        <w:instrText xml:space="preserve"> HYPERLINK "https://www.taylorfrancis.com/chapters/edit/10.4324/9780429469527-9/migration-michael-dickmann-emma-parry" </w:instrText>
      </w:r>
      <w:r>
        <w:fldChar w:fldCharType="separate"/>
      </w:r>
      <w:r>
        <w:rPr>
          <w:rStyle w:val="14"/>
          <w:rFonts w:ascii="Times New Roman" w:hAnsi="Times New Roman" w:cs="Times New Roman"/>
          <w:color w:val="000000" w:themeColor="text1"/>
          <w14:textFill>
            <w14:solidFill>
              <w14:schemeClr w14:val="tx1"/>
            </w14:solidFill>
          </w14:textFill>
        </w:rPr>
        <w:t>https://www.taylorfrancis.com/chapters/edit/10.4324/9780429469527-9/migration-michael-dickmann-emma-parry</w:t>
      </w:r>
      <w:r>
        <w:rPr>
          <w:rStyle w:val="14"/>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t xml:space="preserve">  ]</w:t>
      </w:r>
    </w:p>
    <w:p>
      <w:pPr>
        <w:spacing w:before="240" w:line="360" w:lineRule="auto"/>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Gupta, S. and Chandna, P., 2020. A case study concerning the 5S lean technique in a scientific equipment manufacturing company. </w:t>
      </w:r>
      <w:r>
        <w:rPr>
          <w:rFonts w:ascii="Times New Roman" w:hAnsi="Times New Roman" w:cs="Times New Roman"/>
          <w:i/>
          <w:iCs/>
          <w:color w:val="000000" w:themeColor="text1"/>
          <w14:textFill>
            <w14:solidFill>
              <w14:schemeClr w14:val="tx1"/>
            </w14:solidFill>
          </w14:textFill>
        </w:rPr>
        <w:t>Grey Systems: Theory and Application</w:t>
      </w:r>
      <w:r>
        <w:rPr>
          <w:rFonts w:ascii="Times New Roman" w:hAnsi="Times New Roman" w:cs="Times New Roman"/>
          <w:color w:val="000000" w:themeColor="text1"/>
          <w14:textFill>
            <w14:solidFill>
              <w14:schemeClr w14:val="tx1"/>
            </w14:solidFill>
          </w14:textFill>
        </w:rPr>
        <w:t>, </w:t>
      </w:r>
      <w:r>
        <w:rPr>
          <w:rFonts w:ascii="Times New Roman" w:hAnsi="Times New Roman" w:cs="Times New Roman"/>
          <w:i/>
          <w:iCs/>
          <w:color w:val="000000" w:themeColor="text1"/>
          <w14:textFill>
            <w14:solidFill>
              <w14:schemeClr w14:val="tx1"/>
            </w14:solidFill>
          </w14:textFill>
        </w:rPr>
        <w:t>10</w:t>
      </w:r>
      <w:r>
        <w:rPr>
          <w:rFonts w:ascii="Times New Roman" w:hAnsi="Times New Roman" w:cs="Times New Roman"/>
          <w:color w:val="000000" w:themeColor="text1"/>
          <w14:textFill>
            <w14:solidFill>
              <w14:schemeClr w14:val="tx1"/>
            </w14:solidFill>
          </w14:textFill>
        </w:rPr>
        <w:t>(3), pp.339-357. Available at:</w:t>
      </w:r>
      <w:r>
        <w:rPr>
          <w:rFonts w:ascii="Times New Roman" w:hAnsi="Times New Roman" w:cs="Times New Roman"/>
          <w:color w:val="000000" w:themeColor="text1"/>
          <w:lang w:val="en-IN"/>
          <w14:textFill>
            <w14:solidFill>
              <w14:schemeClr w14:val="tx1"/>
            </w14:solidFill>
          </w14:textFill>
        </w:rPr>
        <w:t xml:space="preserve"> </w:t>
      </w:r>
      <w:r>
        <w:fldChar w:fldCharType="begin"/>
      </w:r>
      <w:r>
        <w:instrText xml:space="preserve"> HYPERLINK "https://www.emerald.com/insight/content/doi/10.1108/GS-01-2020-0004/full/html" </w:instrText>
      </w:r>
      <w:r>
        <w:fldChar w:fldCharType="separate"/>
      </w:r>
      <w:r>
        <w:rPr>
          <w:rStyle w:val="14"/>
          <w:rFonts w:ascii="Times New Roman" w:hAnsi="Times New Roman" w:cs="Times New Roman"/>
          <w:color w:val="000000" w:themeColor="text1"/>
          <w14:textFill>
            <w14:solidFill>
              <w14:schemeClr w14:val="tx1"/>
            </w14:solidFill>
          </w14:textFill>
        </w:rPr>
        <w:t>https://www.emerald.com/insight/content/doi/10.1108/GS-01-2020-0004/full/html</w:t>
      </w:r>
      <w:r>
        <w:rPr>
          <w:rStyle w:val="14"/>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t>]</w:t>
      </w:r>
    </w:p>
    <w:p>
      <w:pPr>
        <w:spacing w:before="240" w:line="360" w:lineRule="auto"/>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Kulik, C.T., 2022. We need a hero: HR and the ‘next normal’workplace. </w:t>
      </w:r>
      <w:r>
        <w:rPr>
          <w:rFonts w:ascii="Times New Roman" w:hAnsi="Times New Roman" w:cs="Times New Roman"/>
          <w:i/>
          <w:iCs/>
          <w:color w:val="000000" w:themeColor="text1"/>
          <w14:textFill>
            <w14:solidFill>
              <w14:schemeClr w14:val="tx1"/>
            </w14:solidFill>
          </w14:textFill>
        </w:rPr>
        <w:t>Human Resource Management Journal</w:t>
      </w:r>
      <w:r>
        <w:rPr>
          <w:rFonts w:ascii="Times New Roman" w:hAnsi="Times New Roman" w:cs="Times New Roman"/>
          <w:color w:val="000000" w:themeColor="text1"/>
          <w14:textFill>
            <w14:solidFill>
              <w14:schemeClr w14:val="tx1"/>
            </w14:solidFill>
          </w14:textFill>
        </w:rPr>
        <w:t>, </w:t>
      </w:r>
      <w:r>
        <w:rPr>
          <w:rFonts w:ascii="Times New Roman" w:hAnsi="Times New Roman" w:cs="Times New Roman"/>
          <w:i/>
          <w:iCs/>
          <w:color w:val="000000" w:themeColor="text1"/>
          <w14:textFill>
            <w14:solidFill>
              <w14:schemeClr w14:val="tx1"/>
            </w14:solidFill>
          </w14:textFill>
        </w:rPr>
        <w:t>32</w:t>
      </w:r>
      <w:r>
        <w:rPr>
          <w:rFonts w:ascii="Times New Roman" w:hAnsi="Times New Roman" w:cs="Times New Roman"/>
          <w:color w:val="000000" w:themeColor="text1"/>
          <w14:textFill>
            <w14:solidFill>
              <w14:schemeClr w14:val="tx1"/>
            </w14:solidFill>
          </w14:textFill>
        </w:rPr>
        <w:t>(1), pp.216-231. [Available at:</w:t>
      </w:r>
      <w:r>
        <w:rPr>
          <w:rFonts w:ascii="Times New Roman" w:hAnsi="Times New Roman" w:cs="Times New Roman"/>
          <w:color w:val="000000" w:themeColor="text1"/>
          <w:lang w:val="en-IN"/>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 </w:t>
      </w:r>
      <w:r>
        <w:fldChar w:fldCharType="begin"/>
      </w:r>
      <w:r>
        <w:instrText xml:space="preserve"> HYPERLINK "https://www.ncbi.nlm.nih.gov/pmc/articles/PMC8209927/" </w:instrText>
      </w:r>
      <w:r>
        <w:fldChar w:fldCharType="separate"/>
      </w:r>
      <w:r>
        <w:rPr>
          <w:rStyle w:val="14"/>
          <w:rFonts w:ascii="Times New Roman" w:hAnsi="Times New Roman" w:cs="Times New Roman"/>
          <w:color w:val="000000" w:themeColor="text1"/>
          <w14:textFill>
            <w14:solidFill>
              <w14:schemeClr w14:val="tx1"/>
            </w14:solidFill>
          </w14:textFill>
        </w:rPr>
        <w:t>https://www.ncbi.nlm.nih.gov/pmc/articles/PMC8209927/</w:t>
      </w:r>
      <w:r>
        <w:rPr>
          <w:rStyle w:val="14"/>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t>]</w:t>
      </w:r>
    </w:p>
    <w:p>
      <w:pPr>
        <w:spacing w:before="240" w:line="360" w:lineRule="auto"/>
        <w:jc w:val="both"/>
        <w:rPr>
          <w:rFonts w:ascii="Times New Roman" w:hAnsi="Times New Roman" w:cs="Times New Roman"/>
          <w:b/>
          <w:bCs/>
          <w:color w:val="000000" w:themeColor="text1"/>
          <w:lang w:val="en-IN"/>
          <w14:textFill>
            <w14:solidFill>
              <w14:schemeClr w14:val="tx1"/>
            </w14:solidFill>
          </w14:textFill>
        </w:rPr>
      </w:pPr>
      <w:r>
        <w:rPr>
          <w:rFonts w:ascii="Times New Roman" w:hAnsi="Times New Roman" w:cs="Times New Roman"/>
          <w:color w:val="000000" w:themeColor="text1"/>
          <w:lang w:val="en-IN"/>
          <w14:textFill>
            <w14:solidFill>
              <w14:schemeClr w14:val="tx1"/>
            </w14:solidFill>
          </w14:textFill>
        </w:rPr>
        <w:t>Michael, 2022</w:t>
      </w:r>
      <w:r>
        <w:rPr>
          <w:rFonts w:ascii="Times New Roman" w:hAnsi="Times New Roman" w:cs="Times New Roman"/>
          <w:i/>
          <w:iCs/>
          <w:color w:val="000000" w:themeColor="text1"/>
          <w:lang w:val="en-IN"/>
          <w14:textFill>
            <w14:solidFill>
              <w14:schemeClr w14:val="tx1"/>
            </w14:solidFill>
          </w14:textFill>
        </w:rPr>
        <w:t>. Inflation Outlook 2023</w:t>
      </w:r>
      <w:r>
        <w:rPr>
          <w:rFonts w:ascii="Times New Roman" w:hAnsi="Times New Roman" w:cs="Times New Roman"/>
          <w:b/>
          <w:bCs/>
          <w:color w:val="000000" w:themeColor="text1"/>
          <w:lang w:val="en-IN"/>
          <w14:textFill>
            <w14:solidFill>
              <w14:schemeClr w14:val="tx1"/>
            </w14:solidFill>
          </w14:textFill>
        </w:rPr>
        <w:t>.</w:t>
      </w:r>
      <w:r>
        <w:rPr>
          <w:rFonts w:ascii="Times New Roman" w:hAnsi="Times New Roman" w:cs="Times New Roman"/>
          <w:color w:val="000000" w:themeColor="text1"/>
          <w:lang w:val="en-IN"/>
          <w14:textFill>
            <w14:solidFill>
              <w14:schemeClr w14:val="tx1"/>
            </w14:solidFill>
          </w14:textFill>
        </w:rPr>
        <w:t>Andrew Michael</w:t>
      </w:r>
      <w:r>
        <w:rPr>
          <w:rFonts w:ascii="Times New Roman" w:hAnsi="Times New Roman" w:cs="Times New Roman"/>
          <w:b/>
          <w:bCs/>
          <w:color w:val="000000" w:themeColor="text1"/>
          <w:lang w:val="en-IN"/>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[online]  Available at:</w:t>
      </w:r>
      <w:r>
        <w:fldChar w:fldCharType="begin"/>
      </w:r>
      <w:r>
        <w:instrText xml:space="preserve"> HYPERLINK "https://www.forbes.com/uk/advisor/investing/inflation-outlook-2023/" </w:instrText>
      </w:r>
      <w:r>
        <w:fldChar w:fldCharType="separate"/>
      </w:r>
      <w:r>
        <w:rPr>
          <w:rStyle w:val="14"/>
          <w:rFonts w:ascii="Times New Roman" w:hAnsi="Times New Roman" w:cs="Times New Roman"/>
          <w:color w:val="000000" w:themeColor="text1"/>
          <w14:textFill>
            <w14:solidFill>
              <w14:schemeClr w14:val="tx1"/>
            </w14:solidFill>
          </w14:textFill>
        </w:rPr>
        <w:t>https://www.forbes.com/uk/advisor/investing/inflation-outlook-2023/</w:t>
      </w:r>
      <w:r>
        <w:rPr>
          <w:rStyle w:val="14"/>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t xml:space="preserve"> [Accessed on 13th December 2022].</w:t>
      </w:r>
    </w:p>
    <w:p>
      <w:pPr>
        <w:spacing w:before="240" w:line="360" w:lineRule="auto"/>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Morse, G.A. and Dell, N.A., 2021. The well-being and perspectives of community-based behavioral health staff during the COVID-19 pandemic. </w:t>
      </w:r>
      <w:r>
        <w:rPr>
          <w:rFonts w:ascii="Times New Roman" w:hAnsi="Times New Roman" w:cs="Times New Roman"/>
          <w:i/>
          <w:iCs/>
          <w:color w:val="000000" w:themeColor="text1"/>
          <w14:textFill>
            <w14:solidFill>
              <w14:schemeClr w14:val="tx1"/>
            </w14:solidFill>
          </w14:textFill>
        </w:rPr>
        <w:t>Social Work in Health Care</w:t>
      </w:r>
      <w:r>
        <w:rPr>
          <w:rFonts w:ascii="Times New Roman" w:hAnsi="Times New Roman" w:cs="Times New Roman"/>
          <w:color w:val="000000" w:themeColor="text1"/>
          <w14:textFill>
            <w14:solidFill>
              <w14:schemeClr w14:val="tx1"/>
            </w14:solidFill>
          </w14:textFill>
        </w:rPr>
        <w:t>, </w:t>
      </w:r>
      <w:r>
        <w:rPr>
          <w:rFonts w:ascii="Times New Roman" w:hAnsi="Times New Roman" w:cs="Times New Roman"/>
          <w:i/>
          <w:iCs/>
          <w:color w:val="000000" w:themeColor="text1"/>
          <w14:textFill>
            <w14:solidFill>
              <w14:schemeClr w14:val="tx1"/>
            </w14:solidFill>
          </w14:textFill>
        </w:rPr>
        <w:t>60</w:t>
      </w:r>
      <w:r>
        <w:rPr>
          <w:rFonts w:ascii="Times New Roman" w:hAnsi="Times New Roman" w:cs="Times New Roman"/>
          <w:color w:val="000000" w:themeColor="text1"/>
          <w14:textFill>
            <w14:solidFill>
              <w14:schemeClr w14:val="tx1"/>
            </w14:solidFill>
          </w14:textFill>
        </w:rPr>
        <w:t>(2), pp.117-130. Available at:</w:t>
      </w:r>
      <w:r>
        <w:rPr>
          <w:rFonts w:ascii="Times New Roman" w:hAnsi="Times New Roman" w:cs="Times New Roman"/>
          <w:color w:val="000000" w:themeColor="text1"/>
          <w:lang w:val="en-IN"/>
          <w14:textFill>
            <w14:solidFill>
              <w14:schemeClr w14:val="tx1"/>
            </w14:solidFill>
          </w14:textFill>
        </w:rPr>
        <w:t xml:space="preserve"> </w:t>
      </w:r>
      <w:r>
        <w:fldChar w:fldCharType="begin"/>
      </w:r>
      <w:r>
        <w:instrText xml:space="preserve"> HYPERLINK "https://www.tandfonline.com/doi/abs/10.1080/00981389.2021.1904315" </w:instrText>
      </w:r>
      <w:r>
        <w:fldChar w:fldCharType="separate"/>
      </w:r>
      <w:r>
        <w:rPr>
          <w:rStyle w:val="14"/>
          <w:rFonts w:ascii="Times New Roman" w:hAnsi="Times New Roman" w:cs="Times New Roman"/>
          <w:color w:val="000000" w:themeColor="text1"/>
          <w14:textFill>
            <w14:solidFill>
              <w14:schemeClr w14:val="tx1"/>
            </w14:solidFill>
          </w14:textFill>
        </w:rPr>
        <w:t>https://www.tandfonline.com/doi/abs/10.1080/00981389.2021.1904315</w:t>
      </w:r>
      <w:r>
        <w:rPr>
          <w:rStyle w:val="14"/>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t xml:space="preserve"> ]</w:t>
      </w:r>
    </w:p>
    <w:p>
      <w:pPr>
        <w:spacing w:before="240" w:line="360" w:lineRule="auto"/>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lang w:val="en-IN"/>
          <w14:textFill>
            <w14:solidFill>
              <w14:schemeClr w14:val="tx1"/>
            </w14:solidFill>
          </w14:textFill>
        </w:rPr>
        <w:t>Ons.gov.uk, 2022</w:t>
      </w:r>
      <w:r>
        <w:rPr>
          <w:rFonts w:ascii="Times New Roman" w:hAnsi="Times New Roman" w:cs="Times New Roman"/>
          <w:i/>
          <w:iCs/>
          <w:color w:val="000000" w:themeColor="text1"/>
          <w:lang w:val="en-IN"/>
          <w14:textFill>
            <w14:solidFill>
              <w14:schemeClr w14:val="tx1"/>
            </w14:solidFill>
          </w14:textFill>
        </w:rPr>
        <w:t>.Labour market overview, UK: November 2022</w:t>
      </w:r>
      <w:r>
        <w:rPr>
          <w:rFonts w:ascii="Times New Roman" w:hAnsi="Times New Roman" w:cs="Times New Roman"/>
          <w:color w:val="000000" w:themeColor="text1"/>
          <w14:textFill>
            <w14:solidFill>
              <w14:schemeClr w14:val="tx1"/>
            </w14:solidFill>
          </w14:textFill>
        </w:rPr>
        <w:t>.[online]  Available at:</w:t>
      </w:r>
      <w:r>
        <w:fldChar w:fldCharType="begin"/>
      </w:r>
      <w:r>
        <w:instrText xml:space="preserve"> HYPERLINK "https://www.ons.gov.uk/employmentandlabourmarket/peopleinwork/employmentandemployeetypes/bulletins/uklabourmarket/november2022" </w:instrText>
      </w:r>
      <w:r>
        <w:fldChar w:fldCharType="separate"/>
      </w:r>
      <w:r>
        <w:rPr>
          <w:rStyle w:val="14"/>
          <w:rFonts w:ascii="Times New Roman" w:hAnsi="Times New Roman" w:cs="Times New Roman"/>
          <w:color w:val="000000" w:themeColor="text1"/>
          <w14:textFill>
            <w14:solidFill>
              <w14:schemeClr w14:val="tx1"/>
            </w14:solidFill>
          </w14:textFill>
        </w:rPr>
        <w:t>https://www.ons.gov.uk/employmentandlabourmarket/peopleinwork/employmentandemployeetypes/bulletins/uklabourmarket/november2022</w:t>
      </w:r>
      <w:r>
        <w:rPr>
          <w:rStyle w:val="14"/>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t xml:space="preserve"> [Accessed on 13th December 2022].</w:t>
      </w:r>
    </w:p>
    <w:p>
      <w:pPr>
        <w:spacing w:before="240" w:line="360" w:lineRule="auto"/>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Ridgway, M., 2019. Brexit: human resourcing implications. </w:t>
      </w:r>
      <w:r>
        <w:rPr>
          <w:rFonts w:ascii="Times New Roman" w:hAnsi="Times New Roman" w:cs="Times New Roman"/>
          <w:i/>
          <w:iCs/>
          <w:color w:val="000000" w:themeColor="text1"/>
          <w14:textFill>
            <w14:solidFill>
              <w14:schemeClr w14:val="tx1"/>
            </w14:solidFill>
          </w14:textFill>
        </w:rPr>
        <w:t>Employee Relations: The International Journal</w:t>
      </w:r>
      <w:r>
        <w:rPr>
          <w:rFonts w:ascii="Times New Roman" w:hAnsi="Times New Roman" w:cs="Times New Roman"/>
          <w:color w:val="000000" w:themeColor="text1"/>
          <w14:textFill>
            <w14:solidFill>
              <w14:schemeClr w14:val="tx1"/>
            </w14:solidFill>
          </w14:textFill>
        </w:rPr>
        <w:t>.pp: 1-15. [Available at:</w:t>
      </w:r>
      <w:r>
        <w:rPr>
          <w:rFonts w:ascii="Times New Roman" w:hAnsi="Times New Roman" w:cs="Times New Roman"/>
          <w:color w:val="000000" w:themeColor="text1"/>
          <w:lang w:val="en-IN"/>
          <w14:textFill>
            <w14:solidFill>
              <w14:schemeClr w14:val="tx1"/>
            </w14:solidFill>
          </w14:textFill>
        </w:rPr>
        <w:t xml:space="preserve"> </w:t>
      </w:r>
      <w:r>
        <w:fldChar w:fldCharType="begin"/>
      </w:r>
      <w:r>
        <w:instrText xml:space="preserve"> HYPERLINK "http://irep.ntu.ac.uk/id/eprint/36824/1/14067_Ridgeway.PDF" </w:instrText>
      </w:r>
      <w:r>
        <w:fldChar w:fldCharType="separate"/>
      </w:r>
      <w:r>
        <w:rPr>
          <w:rStyle w:val="14"/>
          <w:rFonts w:ascii="Times New Roman" w:hAnsi="Times New Roman" w:cs="Times New Roman"/>
          <w:color w:val="000000" w:themeColor="text1"/>
          <w14:textFill>
            <w14:solidFill>
              <w14:schemeClr w14:val="tx1"/>
            </w14:solidFill>
          </w14:textFill>
        </w:rPr>
        <w:t>http://irep.ntu.ac.uk/id/eprint/36824/1/14067_Ridgeway.PDF</w:t>
      </w:r>
      <w:r>
        <w:rPr>
          <w:rStyle w:val="14"/>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t xml:space="preserve"> ]</w:t>
      </w:r>
    </w:p>
    <w:p>
      <w:pPr>
        <w:spacing w:before="240" w:line="360" w:lineRule="auto"/>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Rolfe, H., Runge, J. and Hudson-Sharp, N., 2019. Immigration policy from post-war to post-Brexit: How new immigration policy can reconcile public attitudes and employer preferences. </w:t>
      </w:r>
      <w:r>
        <w:rPr>
          <w:rFonts w:ascii="Times New Roman" w:hAnsi="Times New Roman" w:cs="Times New Roman"/>
          <w:i/>
          <w:iCs/>
          <w:color w:val="000000" w:themeColor="text1"/>
          <w14:textFill>
            <w14:solidFill>
              <w14:schemeClr w14:val="tx1"/>
            </w14:solidFill>
          </w14:textFill>
        </w:rPr>
        <w:t>National Institute Economic Review</w:t>
      </w:r>
      <w:r>
        <w:rPr>
          <w:rFonts w:ascii="Times New Roman" w:hAnsi="Times New Roman" w:cs="Times New Roman"/>
          <w:color w:val="000000" w:themeColor="text1"/>
          <w14:textFill>
            <w14:solidFill>
              <w14:schemeClr w14:val="tx1"/>
            </w14:solidFill>
          </w14:textFill>
        </w:rPr>
        <w:t>, </w:t>
      </w:r>
      <w:r>
        <w:rPr>
          <w:rFonts w:ascii="Times New Roman" w:hAnsi="Times New Roman" w:cs="Times New Roman"/>
          <w:i/>
          <w:iCs/>
          <w:color w:val="000000" w:themeColor="text1"/>
          <w14:textFill>
            <w14:solidFill>
              <w14:schemeClr w14:val="tx1"/>
            </w14:solidFill>
          </w14:textFill>
        </w:rPr>
        <w:t>248</w:t>
      </w:r>
      <w:r>
        <w:rPr>
          <w:rFonts w:ascii="Times New Roman" w:hAnsi="Times New Roman" w:cs="Times New Roman"/>
          <w:color w:val="000000" w:themeColor="text1"/>
          <w14:textFill>
            <w14:solidFill>
              <w14:schemeClr w14:val="tx1"/>
            </w14:solidFill>
          </w14:textFill>
        </w:rPr>
        <w:t>, pp.R5-R16. [Available at:</w:t>
      </w:r>
      <w:r>
        <w:rPr>
          <w:rFonts w:ascii="Times New Roman" w:hAnsi="Times New Roman" w:cs="Times New Roman"/>
          <w:color w:val="000000" w:themeColor="text1"/>
          <w:lang w:val="en-IN"/>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 </w:t>
      </w:r>
      <w:r>
        <w:fldChar w:fldCharType="begin"/>
      </w:r>
      <w:r>
        <w:instrText xml:space="preserve"> HYPERLINK "https://www.academia.edu/download/66894170/002795011924800109.pdf" </w:instrText>
      </w:r>
      <w:r>
        <w:fldChar w:fldCharType="separate"/>
      </w:r>
      <w:r>
        <w:rPr>
          <w:rStyle w:val="14"/>
          <w:rFonts w:ascii="Times New Roman" w:hAnsi="Times New Roman" w:cs="Times New Roman"/>
          <w:color w:val="000000" w:themeColor="text1"/>
          <w14:textFill>
            <w14:solidFill>
              <w14:schemeClr w14:val="tx1"/>
            </w14:solidFill>
          </w14:textFill>
        </w:rPr>
        <w:t>https://www.academia.edu/download/66894170/002795011924800109.pdf</w:t>
      </w:r>
      <w:r>
        <w:rPr>
          <w:rStyle w:val="14"/>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t xml:space="preserve"> ]</w:t>
      </w:r>
    </w:p>
    <w:p>
      <w:pPr>
        <w:spacing w:before="240" w:line="360" w:lineRule="auto"/>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Statista.com 2022</w:t>
      </w:r>
      <w:r>
        <w:rPr>
          <w:rFonts w:ascii="Times New Roman" w:hAnsi="Times New Roman" w:cs="Times New Roman"/>
          <w:i/>
          <w:iCs/>
          <w:color w:val="000000" w:themeColor="text1"/>
          <w14:textFill>
            <w14:solidFill>
              <w14:schemeClr w14:val="tx1"/>
            </w14:solidFill>
          </w14:textFill>
        </w:rPr>
        <w:t>.Number of full-time workers in the United Kingdom from May 1992 to September 2022</w:t>
      </w:r>
      <w:r>
        <w:rPr>
          <w:rFonts w:ascii="Times New Roman" w:hAnsi="Times New Roman" w:cs="Times New Roman"/>
          <w:color w:val="000000" w:themeColor="text1"/>
          <w14:textFill>
            <w14:solidFill>
              <w14:schemeClr w14:val="tx1"/>
            </w14:solidFill>
          </w14:textFill>
        </w:rPr>
        <w:t xml:space="preserve">.[online]  Available at: </w:t>
      </w:r>
      <w:r>
        <w:fldChar w:fldCharType="begin"/>
      </w:r>
      <w:r>
        <w:instrText xml:space="preserve"> HYPERLINK "https://www.statista.com/statistics/1119783/full-time-workers-in-the-uk/" </w:instrText>
      </w:r>
      <w:r>
        <w:fldChar w:fldCharType="separate"/>
      </w:r>
      <w:r>
        <w:rPr>
          <w:rStyle w:val="14"/>
          <w:rFonts w:ascii="Times New Roman" w:hAnsi="Times New Roman" w:cs="Times New Roman"/>
          <w:color w:val="000000" w:themeColor="text1"/>
          <w:lang w:val="en-IN"/>
          <w14:textFill>
            <w14:solidFill>
              <w14:schemeClr w14:val="tx1"/>
            </w14:solidFill>
          </w14:textFill>
        </w:rPr>
        <w:t>https://www.statista.com/statistics/1119783/full-time-workers-in-the-uk/</w:t>
      </w:r>
      <w:r>
        <w:rPr>
          <w:rStyle w:val="14"/>
          <w:rFonts w:ascii="Times New Roman" w:hAnsi="Times New Roman" w:cs="Times New Roman"/>
          <w:color w:val="000000" w:themeColor="text1"/>
          <w:lang w:val="en-IN"/>
          <w14:textFill>
            <w14:solidFill>
              <w14:schemeClr w14:val="tx1"/>
            </w14:solidFill>
          </w14:textFill>
        </w:rPr>
        <w:fldChar w:fldCharType="end"/>
      </w:r>
      <w:r>
        <w:rPr>
          <w:rFonts w:ascii="Times New Roman" w:hAnsi="Times New Roman" w:cs="Times New Roman"/>
          <w:color w:val="000000" w:themeColor="text1"/>
          <w:lang w:val="en-IN"/>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[Accessed on 13th December 2022].</w:t>
      </w:r>
    </w:p>
    <w:p>
      <w:pPr>
        <w:spacing w:before="240" w:line="360" w:lineRule="auto"/>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Statista.com 2022</w:t>
      </w:r>
      <w:r>
        <w:rPr>
          <w:rFonts w:ascii="Times New Roman" w:hAnsi="Times New Roman" w:cs="Times New Roman"/>
          <w:i/>
          <w:iCs/>
          <w:color w:val="000000" w:themeColor="text1"/>
          <w14:textFill>
            <w14:solidFill>
              <w14:schemeClr w14:val="tx1"/>
            </w14:solidFill>
          </w14:textFill>
        </w:rPr>
        <w:t>.Unemployment rate in the United Kingdom from March 1971 to September 2022</w:t>
      </w:r>
      <w:r>
        <w:rPr>
          <w:rFonts w:ascii="Times New Roman" w:hAnsi="Times New Roman" w:cs="Times New Roman"/>
          <w:color w:val="000000" w:themeColor="text1"/>
          <w14:textFill>
            <w14:solidFill>
              <w14:schemeClr w14:val="tx1"/>
            </w14:solidFill>
          </w14:textFill>
        </w:rPr>
        <w:t xml:space="preserve">.[online]  Available at: </w:t>
      </w:r>
      <w:r>
        <w:fldChar w:fldCharType="begin"/>
      </w:r>
      <w:r>
        <w:instrText xml:space="preserve"> HYPERLINK "https://www.statista.com/statistics/279898/unemployment-rate-in-the-united-kingdom-uk/" </w:instrText>
      </w:r>
      <w:r>
        <w:fldChar w:fldCharType="separate"/>
      </w:r>
      <w:r>
        <w:rPr>
          <w:rStyle w:val="14"/>
          <w:rFonts w:ascii="Times New Roman" w:hAnsi="Times New Roman" w:cs="Times New Roman"/>
          <w:color w:val="000000" w:themeColor="text1"/>
          <w:lang w:val="en-IN"/>
          <w14:textFill>
            <w14:solidFill>
              <w14:schemeClr w14:val="tx1"/>
            </w14:solidFill>
          </w14:textFill>
        </w:rPr>
        <w:t>https://www.statista.com/statistics/279898/unemployment-rate-in-the-united-kingdom-uk/</w:t>
      </w:r>
      <w:r>
        <w:rPr>
          <w:rStyle w:val="14"/>
          <w:rFonts w:ascii="Times New Roman" w:hAnsi="Times New Roman" w:cs="Times New Roman"/>
          <w:color w:val="000000" w:themeColor="text1"/>
          <w:lang w:val="en-IN"/>
          <w14:textFill>
            <w14:solidFill>
              <w14:schemeClr w14:val="tx1"/>
            </w14:solidFill>
          </w14:textFill>
        </w:rPr>
        <w:fldChar w:fldCharType="end"/>
      </w:r>
      <w:r>
        <w:rPr>
          <w:rFonts w:ascii="Times New Roman" w:hAnsi="Times New Roman" w:cs="Times New Roman"/>
          <w:color w:val="000000" w:themeColor="text1"/>
          <w:lang w:val="en-IN"/>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[Accessed on 13th December 2022].</w:t>
      </w:r>
    </w:p>
    <w:p>
      <w:pPr>
        <w:spacing w:before="240" w:line="360" w:lineRule="auto"/>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lang w:val="en-IN"/>
          <w14:textFill>
            <w14:solidFill>
              <w14:schemeClr w14:val="tx1"/>
            </w14:solidFill>
          </w14:textFill>
        </w:rPr>
        <w:t>Unilever.com, 2022.</w:t>
      </w:r>
      <w:r>
        <w:rPr>
          <w:rFonts w:ascii="Times New Roman" w:hAnsi="Times New Roman" w:cs="Times New Roman"/>
          <w:i/>
          <w:iCs/>
          <w:color w:val="000000" w:themeColor="text1"/>
          <w:lang w:val="en-IN"/>
          <w14:textFill>
            <w14:solidFill>
              <w14:schemeClr w14:val="tx1"/>
            </w14:solidFill>
          </w14:textFill>
        </w:rPr>
        <w:t>Strategy and goals</w:t>
      </w:r>
      <w:r>
        <w:rPr>
          <w:rFonts w:ascii="Times New Roman" w:hAnsi="Times New Roman" w:cs="Times New Roman"/>
          <w:color w:val="000000" w:themeColor="text1"/>
          <w14:textFill>
            <w14:solidFill>
              <w14:schemeClr w14:val="tx1"/>
            </w14:solidFill>
          </w14:textFill>
        </w:rPr>
        <w:t xml:space="preserve">.[online]  Available at: </w:t>
      </w:r>
      <w:r>
        <w:fldChar w:fldCharType="begin"/>
      </w:r>
      <w:r>
        <w:instrText xml:space="preserve"> HYPERLINK "https://www.unilever.com/planet-and-society/future-of-work/strategy-and-goals/" </w:instrText>
      </w:r>
      <w:r>
        <w:fldChar w:fldCharType="separate"/>
      </w:r>
      <w:r>
        <w:rPr>
          <w:rStyle w:val="14"/>
          <w:rFonts w:ascii="Times New Roman" w:hAnsi="Times New Roman" w:cs="Times New Roman"/>
          <w:color w:val="000000" w:themeColor="text1"/>
          <w14:textFill>
            <w14:solidFill>
              <w14:schemeClr w14:val="tx1"/>
            </w14:solidFill>
          </w14:textFill>
        </w:rPr>
        <w:t>https://www.unilever.com/planet-and-society/future-of-work/strategy-and-goals/</w:t>
      </w:r>
      <w:r>
        <w:rPr>
          <w:rStyle w:val="14"/>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t xml:space="preserve"> [Accessed on 13th December 2022].</w:t>
      </w:r>
    </w:p>
    <w:p>
      <w:pPr>
        <w:spacing w:before="240" w:line="360" w:lineRule="auto"/>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Webber, A., 2020. Unilever: wellbeing has to start with local culture chanqe. </w:t>
      </w:r>
      <w:r>
        <w:rPr>
          <w:rFonts w:ascii="Times New Roman" w:hAnsi="Times New Roman" w:cs="Times New Roman"/>
          <w:i/>
          <w:iCs/>
          <w:color w:val="000000" w:themeColor="text1"/>
          <w14:textFill>
            <w14:solidFill>
              <w14:schemeClr w14:val="tx1"/>
            </w14:solidFill>
          </w14:textFill>
        </w:rPr>
        <w:t>Occupational Health &amp; Wellbeing</w:t>
      </w:r>
      <w:r>
        <w:rPr>
          <w:rFonts w:ascii="Times New Roman" w:hAnsi="Times New Roman" w:cs="Times New Roman"/>
          <w:color w:val="000000" w:themeColor="text1"/>
          <w14:textFill>
            <w14:solidFill>
              <w14:schemeClr w14:val="tx1"/>
            </w14:solidFill>
          </w14:textFill>
        </w:rPr>
        <w:t>, </w:t>
      </w:r>
      <w:r>
        <w:rPr>
          <w:rFonts w:ascii="Times New Roman" w:hAnsi="Times New Roman" w:cs="Times New Roman"/>
          <w:i/>
          <w:iCs/>
          <w:color w:val="000000" w:themeColor="text1"/>
          <w14:textFill>
            <w14:solidFill>
              <w14:schemeClr w14:val="tx1"/>
            </w14:solidFill>
          </w14:textFill>
        </w:rPr>
        <w:t>72</w:t>
      </w:r>
      <w:r>
        <w:rPr>
          <w:rFonts w:ascii="Times New Roman" w:hAnsi="Times New Roman" w:cs="Times New Roman"/>
          <w:color w:val="000000" w:themeColor="text1"/>
          <w14:textFill>
            <w14:solidFill>
              <w14:schemeClr w14:val="tx1"/>
            </w14:solidFill>
          </w14:textFill>
        </w:rPr>
        <w:t>(12), pp.12-14. Available at:</w:t>
      </w:r>
      <w:r>
        <w:rPr>
          <w:rFonts w:ascii="Times New Roman" w:hAnsi="Times New Roman" w:cs="Times New Roman"/>
          <w:color w:val="000000" w:themeColor="text1"/>
          <w:lang w:val="en-IN"/>
          <w14:textFill>
            <w14:solidFill>
              <w14:schemeClr w14:val="tx1"/>
            </w14:solidFill>
          </w14:textFill>
        </w:rPr>
        <w:t xml:space="preserve"> </w:t>
      </w:r>
      <w:r>
        <w:fldChar w:fldCharType="begin"/>
      </w:r>
      <w:r>
        <w:instrText xml:space="preserve"> HYPERLINK "https://search.proquest.com/openview/300777ee7c7a12ad18be1709b9110653/1?pq-origsite=gscholar&amp;cbl=49149" </w:instrText>
      </w:r>
      <w:r>
        <w:fldChar w:fldCharType="separate"/>
      </w:r>
      <w:r>
        <w:rPr>
          <w:rStyle w:val="14"/>
          <w:rFonts w:ascii="Times New Roman" w:hAnsi="Times New Roman" w:cs="Times New Roman"/>
          <w:color w:val="000000" w:themeColor="text1"/>
          <w14:textFill>
            <w14:solidFill>
              <w14:schemeClr w14:val="tx1"/>
            </w14:solidFill>
          </w14:textFill>
        </w:rPr>
        <w:t>https://search.proquest.com/openview/300777ee7c7a12ad18be1709b9110653/1?pq-origsite=gscholar&amp;cbl=49149</w:t>
      </w:r>
      <w:r>
        <w:rPr>
          <w:rStyle w:val="14"/>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t xml:space="preserve"> ]</w:t>
      </w:r>
    </w:p>
    <w:sectPr>
      <w:footerReference r:id="rId5" w:type="default"/>
      <w:pgSz w:w="11909" w:h="16834"/>
      <w:pgMar w:top="1440" w:right="1440" w:bottom="1440" w:left="1440" w:header="720" w:footer="720" w:gutter="0"/>
      <w:pgNumType w:start="1"/>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31372019"/>
      <w:docPartObj>
        <w:docPartGallery w:val="autotext"/>
      </w:docPartObj>
    </w:sdtPr>
    <w:sdtEndPr>
      <w:rPr>
        <w:rFonts w:ascii="Times New Roman" w:hAnsi="Times New Roman" w:cs="Times New Roman"/>
      </w:rPr>
    </w:sdtEndPr>
    <w:sdtContent>
      <w:p>
        <w:pPr>
          <w:pStyle w:val="12"/>
          <w:jc w:val="right"/>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p>
    </w:sdtContent>
  </w:sdt>
  <w:p>
    <w:pPr>
      <w:pStyle w:val="1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04017B2"/>
    <w:multiLevelType w:val="singleLevel"/>
    <w:tmpl w:val="F04017B2"/>
    <w:lvl w:ilvl="0" w:tentative="0">
      <w:start w:val="2"/>
      <w:numFmt w:val="upperLetter"/>
      <w:suff w:val="space"/>
      <w:lvlText w:val="%1)"/>
      <w:lvlJc w:val="left"/>
    </w:lvl>
  </w:abstractNum>
  <w:abstractNum w:abstractNumId="1">
    <w:nsid w:val="0FD50265"/>
    <w:multiLevelType w:val="multilevel"/>
    <w:tmpl w:val="0FD50265"/>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2">
    <w:nsid w:val="1AE61C56"/>
    <w:multiLevelType w:val="multilevel"/>
    <w:tmpl w:val="1AE61C56"/>
    <w:lvl w:ilvl="0" w:tentative="0">
      <w:start w:val="1"/>
      <w:numFmt w:val="decimal"/>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righ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righ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right"/>
      <w:pPr>
        <w:ind w:left="6480" w:hanging="360"/>
      </w:pPr>
      <w:rPr>
        <w:u w:val="none"/>
      </w:rPr>
    </w:lvl>
  </w:abstractNum>
  <w:abstractNum w:abstractNumId="3">
    <w:nsid w:val="501B597B"/>
    <w:multiLevelType w:val="multilevel"/>
    <w:tmpl w:val="501B597B"/>
    <w:lvl w:ilvl="0" w:tentative="0">
      <w:start w:val="1"/>
      <w:numFmt w:val="decimal"/>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righ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righ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right"/>
      <w:pPr>
        <w:ind w:left="6480" w:hanging="360"/>
      </w:pPr>
      <w:rPr>
        <w:u w:val="none"/>
      </w:rPr>
    </w:lvl>
  </w:abstractNum>
  <w:abstractNum w:abstractNumId="4">
    <w:nsid w:val="51DF5E29"/>
    <w:multiLevelType w:val="singleLevel"/>
    <w:tmpl w:val="51DF5E29"/>
    <w:lvl w:ilvl="0" w:tentative="0">
      <w:start w:val="1"/>
      <w:numFmt w:val="upperLetter"/>
      <w:suff w:val="space"/>
      <w:lvlText w:val="%1)"/>
      <w:lvlJc w:val="left"/>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6"/>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EFB"/>
    <w:rsid w:val="00470AED"/>
    <w:rsid w:val="006650FA"/>
    <w:rsid w:val="009E3F54"/>
    <w:rsid w:val="00CD0F5C"/>
    <w:rsid w:val="00D35EFB"/>
    <w:rsid w:val="00E42021"/>
    <w:rsid w:val="0A774FA2"/>
    <w:rsid w:val="0FD35CCB"/>
    <w:rsid w:val="1A0E67E1"/>
    <w:rsid w:val="26790F46"/>
    <w:rsid w:val="439922EF"/>
    <w:rsid w:val="72DA7C2B"/>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GB" w:eastAsia="en-IN" w:bidi="ar-SA"/>
    </w:rPr>
  </w:style>
  <w:style w:type="paragraph" w:styleId="2">
    <w:name w:val="heading 1"/>
    <w:basedOn w:val="1"/>
    <w:next w:val="1"/>
    <w:qFormat/>
    <w:uiPriority w:val="9"/>
    <w:pPr>
      <w:keepNext/>
      <w:keepLines/>
      <w:spacing w:before="400" w:after="120"/>
      <w:outlineLvl w:val="0"/>
    </w:pPr>
    <w:rPr>
      <w:rFonts w:ascii="Times New Roman" w:hAnsi="Times New Roman"/>
      <w:b/>
      <w:color w:val="000000" w:themeColor="text1"/>
      <w:sz w:val="28"/>
      <w:szCs w:val="40"/>
      <w14:textFill>
        <w14:solidFill>
          <w14:schemeClr w14:val="tx1"/>
        </w14:solidFill>
      </w14:textFill>
    </w:rPr>
  </w:style>
  <w:style w:type="paragraph" w:styleId="3">
    <w:name w:val="heading 2"/>
    <w:basedOn w:val="1"/>
    <w:next w:val="1"/>
    <w:semiHidden/>
    <w:unhideWhenUsed/>
    <w:qFormat/>
    <w:uiPriority w:val="9"/>
    <w:pPr>
      <w:keepNext/>
      <w:keepLines/>
      <w:spacing w:before="360" w:after="120"/>
      <w:outlineLvl w:val="1"/>
    </w:pPr>
    <w:rPr>
      <w:sz w:val="32"/>
      <w:szCs w:val="32"/>
    </w:rPr>
  </w:style>
  <w:style w:type="paragraph" w:styleId="4">
    <w:name w:val="heading 3"/>
    <w:basedOn w:val="1"/>
    <w:next w:val="1"/>
    <w:semiHidden/>
    <w:unhideWhenUsed/>
    <w:qFormat/>
    <w:uiPriority w:val="9"/>
    <w:pPr>
      <w:keepNext/>
      <w:keepLines/>
      <w:spacing w:before="320" w:after="80"/>
      <w:outlineLvl w:val="2"/>
    </w:pPr>
    <w:rPr>
      <w:color w:val="434343"/>
      <w:sz w:val="28"/>
      <w:szCs w:val="28"/>
    </w:rPr>
  </w:style>
  <w:style w:type="paragraph" w:styleId="5">
    <w:name w:val="heading 4"/>
    <w:basedOn w:val="1"/>
    <w:next w:val="1"/>
    <w:semiHidden/>
    <w:unhideWhenUsed/>
    <w:qFormat/>
    <w:uiPriority w:val="9"/>
    <w:pPr>
      <w:keepNext/>
      <w:keepLines/>
      <w:spacing w:before="280" w:after="80"/>
      <w:outlineLvl w:val="3"/>
    </w:pPr>
    <w:rPr>
      <w:color w:val="666666"/>
      <w:sz w:val="24"/>
      <w:szCs w:val="24"/>
    </w:rPr>
  </w:style>
  <w:style w:type="paragraph" w:styleId="6">
    <w:name w:val="heading 5"/>
    <w:basedOn w:val="1"/>
    <w:next w:val="1"/>
    <w:semiHidden/>
    <w:unhideWhenUsed/>
    <w:qFormat/>
    <w:uiPriority w:val="9"/>
    <w:pPr>
      <w:keepNext/>
      <w:keepLines/>
      <w:spacing w:before="240" w:after="80"/>
      <w:outlineLvl w:val="4"/>
    </w:pPr>
    <w:rPr>
      <w:color w:val="666666"/>
    </w:rPr>
  </w:style>
  <w:style w:type="paragraph" w:styleId="7">
    <w:name w:val="heading 6"/>
    <w:basedOn w:val="1"/>
    <w:next w:val="1"/>
    <w:semiHidden/>
    <w:unhideWhenUsed/>
    <w:qFormat/>
    <w:uiPriority w:val="9"/>
    <w:pPr>
      <w:keepNext/>
      <w:keepLines/>
      <w:spacing w:before="240" w:after="80"/>
      <w:outlineLvl w:val="5"/>
    </w:pPr>
    <w:rPr>
      <w:i/>
      <w:color w:val="666666"/>
    </w:rPr>
  </w:style>
  <w:style w:type="character" w:default="1" w:styleId="8">
    <w:name w:val="Default Paragraph Font"/>
    <w:semiHidden/>
    <w:unhideWhenUsed/>
    <w:qFormat/>
    <w:uiPriority w:val="1"/>
  </w:style>
  <w:style w:type="table" w:default="1" w:styleId="9">
    <w:name w:val="Normal Table"/>
    <w:semiHidden/>
    <w:unhideWhenUsed/>
    <w:uiPriority w:val="99"/>
    <w:tblPr>
      <w:tblCellMar>
        <w:top w:w="0" w:type="dxa"/>
        <w:left w:w="108" w:type="dxa"/>
        <w:bottom w:w="0" w:type="dxa"/>
        <w:right w:w="108" w:type="dxa"/>
      </w:tblCellMar>
    </w:tblPr>
  </w:style>
  <w:style w:type="character" w:styleId="10">
    <w:name w:val="annotation reference"/>
    <w:basedOn w:val="8"/>
    <w:semiHidden/>
    <w:unhideWhenUsed/>
    <w:qFormat/>
    <w:uiPriority w:val="99"/>
    <w:rPr>
      <w:sz w:val="16"/>
      <w:szCs w:val="16"/>
    </w:rPr>
  </w:style>
  <w:style w:type="paragraph" w:styleId="11">
    <w:name w:val="annotation text"/>
    <w:basedOn w:val="1"/>
    <w:link w:val="18"/>
    <w:semiHidden/>
    <w:unhideWhenUsed/>
    <w:qFormat/>
    <w:uiPriority w:val="99"/>
    <w:pPr>
      <w:spacing w:line="240" w:lineRule="auto"/>
    </w:pPr>
    <w:rPr>
      <w:sz w:val="20"/>
      <w:szCs w:val="20"/>
    </w:rPr>
  </w:style>
  <w:style w:type="paragraph" w:styleId="12">
    <w:name w:val="footer"/>
    <w:basedOn w:val="1"/>
    <w:link w:val="20"/>
    <w:unhideWhenUsed/>
    <w:qFormat/>
    <w:uiPriority w:val="99"/>
    <w:pPr>
      <w:tabs>
        <w:tab w:val="center" w:pos="4513"/>
        <w:tab w:val="right" w:pos="9026"/>
      </w:tabs>
      <w:spacing w:line="240" w:lineRule="auto"/>
    </w:pPr>
  </w:style>
  <w:style w:type="paragraph" w:styleId="13">
    <w:name w:val="header"/>
    <w:basedOn w:val="1"/>
    <w:link w:val="19"/>
    <w:unhideWhenUsed/>
    <w:uiPriority w:val="99"/>
    <w:pPr>
      <w:tabs>
        <w:tab w:val="center" w:pos="4513"/>
        <w:tab w:val="right" w:pos="9026"/>
      </w:tabs>
      <w:spacing w:line="240" w:lineRule="auto"/>
    </w:pPr>
  </w:style>
  <w:style w:type="character" w:styleId="14">
    <w:name w:val="Hyperlink"/>
    <w:basedOn w:val="8"/>
    <w:unhideWhenUsed/>
    <w:uiPriority w:val="99"/>
    <w:rPr>
      <w:color w:val="0000FF" w:themeColor="hyperlink"/>
      <w:u w:val="single"/>
      <w14:textFill>
        <w14:solidFill>
          <w14:schemeClr w14:val="hlink"/>
        </w14:solidFill>
      </w14:textFill>
    </w:rPr>
  </w:style>
  <w:style w:type="paragraph" w:styleId="15">
    <w:name w:val="Subtitle"/>
    <w:basedOn w:val="1"/>
    <w:next w:val="1"/>
    <w:qFormat/>
    <w:uiPriority w:val="11"/>
    <w:pPr>
      <w:keepNext/>
      <w:keepLines/>
      <w:spacing w:after="320"/>
    </w:pPr>
    <w:rPr>
      <w:color w:val="666666"/>
      <w:sz w:val="30"/>
      <w:szCs w:val="30"/>
    </w:rPr>
  </w:style>
  <w:style w:type="paragraph" w:styleId="16">
    <w:name w:val="Title"/>
    <w:basedOn w:val="1"/>
    <w:next w:val="1"/>
    <w:qFormat/>
    <w:uiPriority w:val="10"/>
    <w:pPr>
      <w:keepNext/>
      <w:keepLines/>
      <w:spacing w:after="60"/>
    </w:pPr>
    <w:rPr>
      <w:sz w:val="52"/>
      <w:szCs w:val="52"/>
    </w:rPr>
  </w:style>
  <w:style w:type="paragraph" w:styleId="17">
    <w:name w:val="toc 1"/>
    <w:basedOn w:val="1"/>
    <w:next w:val="1"/>
    <w:unhideWhenUsed/>
    <w:qFormat/>
    <w:uiPriority w:val="39"/>
    <w:pPr>
      <w:spacing w:after="100"/>
    </w:pPr>
  </w:style>
  <w:style w:type="character" w:customStyle="1" w:styleId="18">
    <w:name w:val="Comment Text Char"/>
    <w:basedOn w:val="8"/>
    <w:link w:val="11"/>
    <w:semiHidden/>
    <w:qFormat/>
    <w:uiPriority w:val="99"/>
    <w:rPr>
      <w:sz w:val="20"/>
      <w:szCs w:val="20"/>
    </w:rPr>
  </w:style>
  <w:style w:type="character" w:customStyle="1" w:styleId="19">
    <w:name w:val="Header Char"/>
    <w:basedOn w:val="8"/>
    <w:link w:val="13"/>
    <w:uiPriority w:val="99"/>
  </w:style>
  <w:style w:type="character" w:customStyle="1" w:styleId="20">
    <w:name w:val="Footer Char"/>
    <w:basedOn w:val="8"/>
    <w:link w:val="12"/>
    <w:qFormat/>
    <w:uiPriority w:val="99"/>
  </w:style>
  <w:style w:type="character" w:customStyle="1" w:styleId="21">
    <w:name w:val="Unresolved Mention"/>
    <w:basedOn w:val="8"/>
    <w:semiHidden/>
    <w:unhideWhenUsed/>
    <w:uiPriority w:val="99"/>
    <w:rPr>
      <w:color w:val="605E5C"/>
      <w:shd w:val="clear" w:color="auto" w:fill="E1DFDD"/>
    </w:rPr>
  </w:style>
  <w:style w:type="paragraph" w:customStyle="1" w:styleId="22">
    <w:name w:val="TOC Heading"/>
    <w:basedOn w:val="2"/>
    <w:next w:val="1"/>
    <w:unhideWhenUsed/>
    <w:qFormat/>
    <w:uiPriority w:val="39"/>
    <w:pPr>
      <w:spacing w:before="240" w:after="0" w:line="259" w:lineRule="auto"/>
      <w:outlineLvl w:val="9"/>
    </w:pPr>
    <w:rPr>
      <w:rFonts w:asciiTheme="majorHAnsi" w:hAnsiTheme="majorHAnsi" w:eastAsiaTheme="majorEastAsia" w:cstheme="majorBidi"/>
      <w:b w:val="0"/>
      <w:color w:val="376092" w:themeColor="accent1" w:themeShade="BF"/>
      <w:sz w:val="32"/>
      <w:szCs w:val="32"/>
      <w:lang w:val="en-US" w:eastAsia="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066FBB-A329-480E-80D6-9EBDD82B3F33}">
  <ds:schemaRefs/>
</ds:datastoreItem>
</file>

<file path=docProps/app.xml><?xml version="1.0" encoding="utf-8"?>
<Properties xmlns="http://schemas.openxmlformats.org/officeDocument/2006/extended-properties" xmlns:vt="http://schemas.openxmlformats.org/officeDocument/2006/docPropsVTypes">
  <Template>Normal</Template>
  <Pages>11</Pages>
  <Words>3043</Words>
  <Characters>18716</Characters>
  <Lines>297</Lines>
  <Paragraphs>70</Paragraphs>
  <TotalTime>5</TotalTime>
  <ScaleCrop>false</ScaleCrop>
  <LinksUpToDate>false</LinksUpToDate>
  <CharactersWithSpaces>21689</CharactersWithSpaces>
  <Application>WPS Office_11.2.0.11214_F1E327BC-269C-435d-A152-05C5408002CA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2022-12-13T12:00:00Z</dcterms:created>
  <dc:creator>Ajith Kandula</dc:creator>
  <cp:lastModifiedBy>Hp</cp:lastModifiedBy>
  <dcterms:modified xsi:type="dcterms:W3CDTF">2023-01-04T12:12:58Z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fafbd2f177ec67f778e8a428b43b31088dbfcea2bf9834a76dab12428ad31ab3</vt:lpwstr>
  </property>
  <property fmtid="{D5CDD505-2E9C-101B-9397-08002B2CF9AE}" pid="3" name="KSOProductBuildVer">
    <vt:lpwstr>1033-11.2.0.11214</vt:lpwstr>
  </property>
  <property fmtid="{D5CDD505-2E9C-101B-9397-08002B2CF9AE}" pid="4" name="ICV">
    <vt:lpwstr>3CDB68292A6E4AF09B4AFDD7A8475634</vt:lpwstr>
  </property>
</Properties>
</file>