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130B39" w14:textId="77777777" w:rsidR="00141848" w:rsidRPr="00EB1C26" w:rsidRDefault="00615DAE" w:rsidP="00141848">
      <w:pPr>
        <w:jc w:val="center"/>
        <w:rPr>
          <w:rFonts w:cs="Arial"/>
          <w:b/>
          <w:sz w:val="32"/>
        </w:rPr>
      </w:pPr>
      <w:r w:rsidRPr="00EB1C26">
        <w:rPr>
          <w:rFonts w:cs="Arial"/>
          <w:lang w:eastAsia="en-GB"/>
        </w:rPr>
        <w:drawing>
          <wp:inline distT="0" distB="0" distL="0" distR="0" wp14:anchorId="667B7A3B" wp14:editId="2A0D0DB0">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2"/>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3381375" cy="1352550"/>
                    </a:xfrm>
                    <a:prstGeom prst="rect">
                      <a:avLst/>
                    </a:prstGeom>
                    <a:noFill/>
                  </pic:spPr>
                </pic:pic>
              </a:graphicData>
            </a:graphic>
          </wp:inline>
        </w:drawing>
      </w:r>
    </w:p>
    <w:p w14:paraId="71A25E99" w14:textId="77777777" w:rsidR="00141848" w:rsidRDefault="00141848" w:rsidP="003B3D1F">
      <w:pPr>
        <w:rPr>
          <w:rFonts w:cs="Arial"/>
          <w:b/>
          <w:sz w:val="28"/>
        </w:rPr>
      </w:pPr>
    </w:p>
    <w:p w14:paraId="7D140C10" w14:textId="77777777" w:rsidR="00141848" w:rsidRPr="00A938BB" w:rsidRDefault="00615DAE" w:rsidP="00141848">
      <w:pPr>
        <w:jc w:val="center"/>
        <w:rPr>
          <w:rFonts w:cs="Arial"/>
          <w:b/>
          <w:sz w:val="28"/>
          <w:szCs w:val="28"/>
        </w:rPr>
      </w:pPr>
      <w:r w:rsidRPr="00A938BB">
        <w:rPr>
          <w:rFonts w:cs="Arial"/>
          <w:b/>
          <w:sz w:val="28"/>
          <w:szCs w:val="28"/>
        </w:rPr>
        <w:t>Module Name: Marketing Management</w:t>
      </w:r>
    </w:p>
    <w:p w14:paraId="051FC504" w14:textId="77777777" w:rsidR="00141848" w:rsidRPr="00A938BB" w:rsidRDefault="00615DAE" w:rsidP="003B3D1F">
      <w:pPr>
        <w:jc w:val="center"/>
        <w:rPr>
          <w:rFonts w:cs="Arial"/>
          <w:b/>
          <w:sz w:val="28"/>
          <w:szCs w:val="28"/>
        </w:rPr>
      </w:pPr>
      <w:r w:rsidRPr="00A938BB">
        <w:rPr>
          <w:rFonts w:cs="Arial"/>
          <w:b/>
          <w:sz w:val="28"/>
          <w:szCs w:val="28"/>
        </w:rPr>
        <w:t>Module Code: LCMB7024</w:t>
      </w:r>
    </w:p>
    <w:p w14:paraId="2ED5E007" w14:textId="77777777" w:rsidR="00141848" w:rsidRPr="00A938BB" w:rsidRDefault="00141848" w:rsidP="00141848">
      <w:pPr>
        <w:jc w:val="center"/>
        <w:rPr>
          <w:rFonts w:cs="Arial"/>
          <w:b/>
          <w:sz w:val="28"/>
          <w:szCs w:val="28"/>
        </w:rPr>
      </w:pPr>
    </w:p>
    <w:p w14:paraId="5E004183" w14:textId="77777777" w:rsidR="00141848" w:rsidRPr="00A938BB" w:rsidRDefault="00615DAE" w:rsidP="00141848">
      <w:pPr>
        <w:jc w:val="center"/>
        <w:rPr>
          <w:rFonts w:cs="Arial"/>
          <w:b/>
          <w:sz w:val="28"/>
          <w:szCs w:val="28"/>
        </w:rPr>
      </w:pPr>
      <w:r w:rsidRPr="00A938BB">
        <w:rPr>
          <w:rFonts w:cs="Arial"/>
          <w:b/>
          <w:sz w:val="28"/>
          <w:szCs w:val="28"/>
        </w:rPr>
        <w:t>Name: Abdullah Al Mamun PAVEL</w:t>
      </w:r>
    </w:p>
    <w:p w14:paraId="4ADE17AE" w14:textId="77777777" w:rsidR="00141848" w:rsidRPr="00A938BB" w:rsidRDefault="00615DAE" w:rsidP="00141848">
      <w:pPr>
        <w:jc w:val="center"/>
        <w:rPr>
          <w:rFonts w:cs="Arial"/>
          <w:b/>
          <w:sz w:val="28"/>
          <w:szCs w:val="28"/>
        </w:rPr>
      </w:pPr>
      <w:r w:rsidRPr="00A938BB">
        <w:rPr>
          <w:rFonts w:cs="Arial"/>
          <w:b/>
          <w:sz w:val="28"/>
          <w:szCs w:val="28"/>
        </w:rPr>
        <w:t>Student ID: 2528449</w:t>
      </w:r>
    </w:p>
    <w:p w14:paraId="453F46ED" w14:textId="77777777" w:rsidR="00141848" w:rsidRPr="00A938BB" w:rsidRDefault="00141848" w:rsidP="00141848">
      <w:pPr>
        <w:jc w:val="center"/>
        <w:rPr>
          <w:rFonts w:cs="Arial"/>
          <w:sz w:val="28"/>
          <w:szCs w:val="28"/>
        </w:rPr>
      </w:pPr>
    </w:p>
    <w:p w14:paraId="2790CE56" w14:textId="77777777" w:rsidR="00141848" w:rsidRPr="00A938BB" w:rsidRDefault="00141848" w:rsidP="00141848">
      <w:pPr>
        <w:jc w:val="center"/>
        <w:rPr>
          <w:rFonts w:cs="Arial"/>
          <w:sz w:val="28"/>
          <w:szCs w:val="28"/>
        </w:rPr>
      </w:pPr>
    </w:p>
    <w:p w14:paraId="6DF218CF" w14:textId="3118268E" w:rsidR="00141848" w:rsidRPr="00A938BB" w:rsidRDefault="00A938BB" w:rsidP="00A938BB">
      <w:pPr>
        <w:jc w:val="center"/>
        <w:rPr>
          <w:rFonts w:cs="Arial"/>
          <w:b/>
          <w:bCs/>
          <w:sz w:val="28"/>
          <w:szCs w:val="28"/>
        </w:rPr>
      </w:pPr>
      <w:r w:rsidRPr="00A938BB">
        <w:rPr>
          <w:rFonts w:cs="Arial"/>
          <w:b/>
          <w:bCs/>
          <w:sz w:val="28"/>
          <w:szCs w:val="28"/>
        </w:rPr>
        <w:t>Portfolio Title: Brand Development Strategy of Alibaba “TrustPass”</w:t>
      </w:r>
    </w:p>
    <w:p w14:paraId="7BAEBDD9" w14:textId="77777777" w:rsidR="00141848" w:rsidRPr="00A938BB" w:rsidRDefault="00141848" w:rsidP="00141848">
      <w:pPr>
        <w:rPr>
          <w:rFonts w:cs="Arial"/>
          <w:b/>
          <w:sz w:val="28"/>
          <w:szCs w:val="28"/>
        </w:rPr>
      </w:pPr>
    </w:p>
    <w:p w14:paraId="79B62963" w14:textId="77777777" w:rsidR="00141848" w:rsidRPr="00A938BB" w:rsidRDefault="00141848" w:rsidP="00141848">
      <w:pPr>
        <w:jc w:val="center"/>
        <w:rPr>
          <w:rFonts w:cs="Arial"/>
          <w:b/>
          <w:sz w:val="28"/>
          <w:szCs w:val="28"/>
        </w:rPr>
      </w:pPr>
    </w:p>
    <w:p w14:paraId="5C5EA908" w14:textId="77777777" w:rsidR="00141848" w:rsidRDefault="00615DAE" w:rsidP="00141848">
      <w:pPr>
        <w:jc w:val="center"/>
        <w:rPr>
          <w:rFonts w:cs="Arial"/>
          <w:b/>
          <w:sz w:val="28"/>
          <w:szCs w:val="28"/>
        </w:rPr>
      </w:pPr>
      <w:r w:rsidRPr="00A938BB">
        <w:rPr>
          <w:rFonts w:cs="Arial"/>
          <w:b/>
          <w:sz w:val="28"/>
          <w:szCs w:val="28"/>
        </w:rPr>
        <w:t>Tutor Name: Dr Mohammed Tariq</w:t>
      </w:r>
    </w:p>
    <w:p w14:paraId="7B847987" w14:textId="77777777" w:rsidR="00A30684" w:rsidRDefault="00A30684" w:rsidP="00141848">
      <w:pPr>
        <w:jc w:val="center"/>
        <w:rPr>
          <w:rFonts w:cs="Arial"/>
          <w:b/>
          <w:sz w:val="28"/>
          <w:szCs w:val="28"/>
        </w:rPr>
      </w:pPr>
    </w:p>
    <w:p w14:paraId="73EF5675" w14:textId="77777777" w:rsidR="00A30684" w:rsidRDefault="00A30684" w:rsidP="00141848">
      <w:pPr>
        <w:jc w:val="center"/>
        <w:rPr>
          <w:rFonts w:cs="Arial"/>
          <w:b/>
          <w:sz w:val="28"/>
          <w:szCs w:val="28"/>
        </w:rPr>
      </w:pPr>
    </w:p>
    <w:p w14:paraId="5DC722E1" w14:textId="1B305999" w:rsidR="00A30684" w:rsidRPr="00A938BB" w:rsidRDefault="00A30684" w:rsidP="00141848">
      <w:pPr>
        <w:jc w:val="center"/>
        <w:rPr>
          <w:rFonts w:cs="Arial"/>
          <w:b/>
          <w:sz w:val="28"/>
          <w:szCs w:val="28"/>
        </w:rPr>
      </w:pPr>
      <w:r>
        <w:rPr>
          <w:rFonts w:cs="Arial"/>
          <w:b/>
          <w:sz w:val="28"/>
          <w:szCs w:val="28"/>
        </w:rPr>
        <w:t>Word Count: 27</w:t>
      </w:r>
      <w:r w:rsidR="0083226B">
        <w:rPr>
          <w:rFonts w:cs="Arial"/>
          <w:b/>
          <w:sz w:val="28"/>
          <w:szCs w:val="28"/>
        </w:rPr>
        <w:t>25</w:t>
      </w:r>
    </w:p>
    <w:p w14:paraId="368791AA" w14:textId="77777777" w:rsidR="00AE21C4" w:rsidRDefault="00AE21C4" w:rsidP="00141848">
      <w:pPr>
        <w:jc w:val="center"/>
        <w:rPr>
          <w:rFonts w:cs="Arial"/>
          <w:b/>
          <w:sz w:val="32"/>
        </w:rPr>
      </w:pPr>
    </w:p>
    <w:p w14:paraId="55130F2A" w14:textId="77777777" w:rsidR="0083226B" w:rsidRDefault="0083226B">
      <w:r>
        <w:br w:type="page"/>
      </w:r>
    </w:p>
    <w:p w14:paraId="5223829C" w14:textId="77777777" w:rsidR="0083226B" w:rsidRPr="004D2FFA" w:rsidRDefault="0083226B" w:rsidP="0083226B">
      <w:pPr>
        <w:rPr>
          <w:b/>
          <w:bCs/>
          <w:color w:val="4472C4" w:themeColor="accent1"/>
          <w:sz w:val="28"/>
          <w:szCs w:val="22"/>
        </w:rPr>
      </w:pPr>
      <w:r w:rsidRPr="004D2FFA">
        <w:rPr>
          <w:b/>
          <w:bCs/>
          <w:color w:val="4472C4" w:themeColor="accent1"/>
          <w:sz w:val="28"/>
          <w:szCs w:val="22"/>
        </w:rPr>
        <w:lastRenderedPageBreak/>
        <w:t>AI Use Acknowledgement</w:t>
      </w:r>
    </w:p>
    <w:p w14:paraId="09EC06F8" w14:textId="41A7B0D4" w:rsidR="00EC178C" w:rsidRDefault="0083226B" w:rsidP="0083226B">
      <w:bookmarkStart w:id="0" w:name="_Toc228207895"/>
      <w:bookmarkStart w:id="1" w:name="_Toc228207999"/>
      <w:bookmarkStart w:id="2" w:name="_Toc228212729"/>
      <w:r>
        <w:drawing>
          <wp:inline distT="0" distB="0" distL="0" distR="0" wp14:anchorId="0F1B7EAA" wp14:editId="2CD701EC">
            <wp:extent cx="5943600" cy="74358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743585"/>
                    </a:xfrm>
                    <a:prstGeom prst="rect">
                      <a:avLst/>
                    </a:prstGeom>
                  </pic:spPr>
                </pic:pic>
              </a:graphicData>
            </a:graphic>
          </wp:inline>
        </w:drawing>
      </w:r>
      <w:bookmarkEnd w:id="0"/>
      <w:bookmarkEnd w:id="1"/>
      <w:bookmarkEnd w:id="2"/>
      <w:r>
        <w:br w:type="page"/>
      </w:r>
    </w:p>
    <w:sdt>
      <w:sdtPr>
        <w:rPr>
          <w:rFonts w:ascii="Arial" w:eastAsia="Arial" w:hAnsi="Arial" w:cs="Times New Roman"/>
          <w:noProof/>
          <w:color w:val="auto"/>
          <w:sz w:val="24"/>
          <w:szCs w:val="20"/>
          <w:lang w:val="en-GB"/>
        </w:rPr>
        <w:id w:val="-173184575"/>
        <w:docPartObj>
          <w:docPartGallery w:val="Table of Contents"/>
          <w:docPartUnique/>
        </w:docPartObj>
      </w:sdtPr>
      <w:sdtEndPr>
        <w:rPr>
          <w:b/>
          <w:bCs/>
        </w:rPr>
      </w:sdtEndPr>
      <w:sdtContent>
        <w:p w14:paraId="213761BD" w14:textId="1D314E4D" w:rsidR="002A2D00" w:rsidRDefault="002A2D00">
          <w:pPr>
            <w:pStyle w:val="TOCHeading"/>
          </w:pPr>
          <w:r>
            <w:t>Table of Contents</w:t>
          </w:r>
        </w:p>
        <w:p w14:paraId="59807C61" w14:textId="1CB646A0" w:rsidR="0083226B" w:rsidRDefault="002A2D00">
          <w:pPr>
            <w:pStyle w:val="TOC1"/>
            <w:tabs>
              <w:tab w:val="right" w:leader="dot" w:pos="9017"/>
            </w:tabs>
            <w:rPr>
              <w:rFonts w:asciiTheme="minorHAnsi" w:eastAsiaTheme="minorEastAsia" w:hAnsiTheme="minorHAnsi" w:cstheme="minorBidi"/>
              <w:kern w:val="2"/>
              <w:szCs w:val="24"/>
              <w:lang w:val="en-US"/>
              <w14:ligatures w14:val="standardContextual"/>
            </w:rPr>
          </w:pPr>
          <w:r>
            <w:fldChar w:fldCharType="begin"/>
          </w:r>
          <w:r>
            <w:instrText xml:space="preserve"> TOC \o "1-3" \h \z \u </w:instrText>
          </w:r>
          <w:r>
            <w:fldChar w:fldCharType="separate"/>
          </w:r>
          <w:hyperlink w:anchor="_Toc228218562" w:history="1">
            <w:r w:rsidR="0083226B" w:rsidRPr="00E86689">
              <w:rPr>
                <w:rStyle w:val="Hyperlink"/>
              </w:rPr>
              <w:t>Introduction</w:t>
            </w:r>
            <w:r w:rsidR="0083226B">
              <w:rPr>
                <w:webHidden/>
              </w:rPr>
              <w:tab/>
            </w:r>
            <w:r w:rsidR="0083226B">
              <w:rPr>
                <w:webHidden/>
              </w:rPr>
              <w:fldChar w:fldCharType="begin"/>
            </w:r>
            <w:r w:rsidR="0083226B">
              <w:rPr>
                <w:webHidden/>
              </w:rPr>
              <w:instrText xml:space="preserve"> PAGEREF _Toc228218562 \h </w:instrText>
            </w:r>
            <w:r w:rsidR="0083226B">
              <w:rPr>
                <w:webHidden/>
              </w:rPr>
            </w:r>
            <w:r w:rsidR="0083226B">
              <w:rPr>
                <w:webHidden/>
              </w:rPr>
              <w:fldChar w:fldCharType="separate"/>
            </w:r>
            <w:r w:rsidR="0083226B">
              <w:rPr>
                <w:webHidden/>
              </w:rPr>
              <w:t>4</w:t>
            </w:r>
            <w:r w:rsidR="0083226B">
              <w:rPr>
                <w:webHidden/>
              </w:rPr>
              <w:fldChar w:fldCharType="end"/>
            </w:r>
          </w:hyperlink>
        </w:p>
        <w:p w14:paraId="3130791E" w14:textId="4140057C" w:rsidR="0083226B" w:rsidRDefault="00615DAE">
          <w:pPr>
            <w:pStyle w:val="TOC1"/>
            <w:tabs>
              <w:tab w:val="right" w:leader="dot" w:pos="9017"/>
            </w:tabs>
            <w:rPr>
              <w:rFonts w:asciiTheme="minorHAnsi" w:eastAsiaTheme="minorEastAsia" w:hAnsiTheme="minorHAnsi" w:cstheme="minorBidi"/>
              <w:kern w:val="2"/>
              <w:szCs w:val="24"/>
              <w:lang w:val="en-US"/>
              <w14:ligatures w14:val="standardContextual"/>
            </w:rPr>
          </w:pPr>
          <w:hyperlink w:anchor="_Toc228218563" w:history="1">
            <w:r w:rsidR="0083226B" w:rsidRPr="00E86689">
              <w:rPr>
                <w:rStyle w:val="Hyperlink"/>
                <w:lang w:val="en-US"/>
              </w:rPr>
              <w:t>Element 1: Brand Extension Poster Presentation</w:t>
            </w:r>
            <w:r w:rsidR="0083226B">
              <w:rPr>
                <w:webHidden/>
              </w:rPr>
              <w:tab/>
            </w:r>
            <w:r w:rsidR="0083226B">
              <w:rPr>
                <w:webHidden/>
              </w:rPr>
              <w:fldChar w:fldCharType="begin"/>
            </w:r>
            <w:r w:rsidR="0083226B">
              <w:rPr>
                <w:webHidden/>
              </w:rPr>
              <w:instrText xml:space="preserve"> PAGEREF _Toc228218563 \h </w:instrText>
            </w:r>
            <w:r w:rsidR="0083226B">
              <w:rPr>
                <w:webHidden/>
              </w:rPr>
            </w:r>
            <w:r w:rsidR="0083226B">
              <w:rPr>
                <w:webHidden/>
              </w:rPr>
              <w:fldChar w:fldCharType="separate"/>
            </w:r>
            <w:r w:rsidR="0083226B">
              <w:rPr>
                <w:webHidden/>
              </w:rPr>
              <w:t>5</w:t>
            </w:r>
            <w:r w:rsidR="0083226B">
              <w:rPr>
                <w:webHidden/>
              </w:rPr>
              <w:fldChar w:fldCharType="end"/>
            </w:r>
          </w:hyperlink>
        </w:p>
        <w:p w14:paraId="2BA3529C" w14:textId="5C4CBD55" w:rsidR="0083226B" w:rsidRDefault="00615DAE">
          <w:pPr>
            <w:pStyle w:val="TOC1"/>
            <w:tabs>
              <w:tab w:val="right" w:leader="dot" w:pos="9017"/>
            </w:tabs>
            <w:rPr>
              <w:rFonts w:asciiTheme="minorHAnsi" w:eastAsiaTheme="minorEastAsia" w:hAnsiTheme="minorHAnsi" w:cstheme="minorBidi"/>
              <w:kern w:val="2"/>
              <w:szCs w:val="24"/>
              <w:lang w:val="en-US"/>
              <w14:ligatures w14:val="standardContextual"/>
            </w:rPr>
          </w:pPr>
          <w:hyperlink w:anchor="_Toc228218564" w:history="1">
            <w:r w:rsidR="0083226B" w:rsidRPr="00E86689">
              <w:rPr>
                <w:rStyle w:val="Hyperlink"/>
              </w:rPr>
              <w:t>Element 2: Segmentation, Targeting, Differentiation, and Positioning (STDP) Analysis</w:t>
            </w:r>
            <w:r w:rsidR="0083226B">
              <w:rPr>
                <w:webHidden/>
              </w:rPr>
              <w:tab/>
            </w:r>
            <w:r w:rsidR="0083226B">
              <w:rPr>
                <w:webHidden/>
              </w:rPr>
              <w:fldChar w:fldCharType="begin"/>
            </w:r>
            <w:r w:rsidR="0083226B">
              <w:rPr>
                <w:webHidden/>
              </w:rPr>
              <w:instrText xml:space="preserve"> PAGEREF _Toc228218564 \h </w:instrText>
            </w:r>
            <w:r w:rsidR="0083226B">
              <w:rPr>
                <w:webHidden/>
              </w:rPr>
            </w:r>
            <w:r w:rsidR="0083226B">
              <w:rPr>
                <w:webHidden/>
              </w:rPr>
              <w:fldChar w:fldCharType="separate"/>
            </w:r>
            <w:r w:rsidR="0083226B">
              <w:rPr>
                <w:webHidden/>
              </w:rPr>
              <w:t>5</w:t>
            </w:r>
            <w:r w:rsidR="0083226B">
              <w:rPr>
                <w:webHidden/>
              </w:rPr>
              <w:fldChar w:fldCharType="end"/>
            </w:r>
          </w:hyperlink>
        </w:p>
        <w:p w14:paraId="33A4F4ED" w14:textId="61E32EA0" w:rsidR="0083226B" w:rsidRDefault="00615DAE">
          <w:pPr>
            <w:pStyle w:val="TOC2"/>
            <w:tabs>
              <w:tab w:val="right" w:leader="dot" w:pos="9017"/>
            </w:tabs>
            <w:rPr>
              <w:rFonts w:asciiTheme="minorHAnsi" w:eastAsiaTheme="minorEastAsia" w:hAnsiTheme="minorHAnsi" w:cstheme="minorBidi"/>
              <w:kern w:val="2"/>
              <w:szCs w:val="24"/>
              <w:lang w:val="en-US"/>
              <w14:ligatures w14:val="standardContextual"/>
            </w:rPr>
          </w:pPr>
          <w:hyperlink w:anchor="_Toc228218565" w:history="1">
            <w:r w:rsidR="0083226B" w:rsidRPr="00E86689">
              <w:rPr>
                <w:rStyle w:val="Hyperlink"/>
              </w:rPr>
              <w:t>2.1 Market Segmentation for Alibaba TrustPass</w:t>
            </w:r>
            <w:r w:rsidR="0083226B">
              <w:rPr>
                <w:webHidden/>
              </w:rPr>
              <w:tab/>
            </w:r>
            <w:r w:rsidR="0083226B">
              <w:rPr>
                <w:webHidden/>
              </w:rPr>
              <w:fldChar w:fldCharType="begin"/>
            </w:r>
            <w:r w:rsidR="0083226B">
              <w:rPr>
                <w:webHidden/>
              </w:rPr>
              <w:instrText xml:space="preserve"> PAGEREF _Toc228218565 \h </w:instrText>
            </w:r>
            <w:r w:rsidR="0083226B">
              <w:rPr>
                <w:webHidden/>
              </w:rPr>
            </w:r>
            <w:r w:rsidR="0083226B">
              <w:rPr>
                <w:webHidden/>
              </w:rPr>
              <w:fldChar w:fldCharType="separate"/>
            </w:r>
            <w:r w:rsidR="0083226B">
              <w:rPr>
                <w:webHidden/>
              </w:rPr>
              <w:t>5</w:t>
            </w:r>
            <w:r w:rsidR="0083226B">
              <w:rPr>
                <w:webHidden/>
              </w:rPr>
              <w:fldChar w:fldCharType="end"/>
            </w:r>
          </w:hyperlink>
        </w:p>
        <w:p w14:paraId="5A550229" w14:textId="5A60FF0A" w:rsidR="0083226B" w:rsidRDefault="00615DAE">
          <w:pPr>
            <w:pStyle w:val="TOC2"/>
            <w:tabs>
              <w:tab w:val="right" w:leader="dot" w:pos="9017"/>
            </w:tabs>
            <w:rPr>
              <w:rFonts w:asciiTheme="minorHAnsi" w:eastAsiaTheme="minorEastAsia" w:hAnsiTheme="minorHAnsi" w:cstheme="minorBidi"/>
              <w:kern w:val="2"/>
              <w:szCs w:val="24"/>
              <w:lang w:val="en-US"/>
              <w14:ligatures w14:val="standardContextual"/>
            </w:rPr>
          </w:pPr>
          <w:hyperlink w:anchor="_Toc228218566" w:history="1">
            <w:r w:rsidR="0083226B" w:rsidRPr="00E86689">
              <w:rPr>
                <w:rStyle w:val="Hyperlink"/>
              </w:rPr>
              <w:t>2.2Targeting Strategy of Alibaba TrustPass</w:t>
            </w:r>
            <w:r w:rsidR="0083226B">
              <w:rPr>
                <w:webHidden/>
              </w:rPr>
              <w:tab/>
            </w:r>
            <w:r w:rsidR="0083226B">
              <w:rPr>
                <w:webHidden/>
              </w:rPr>
              <w:fldChar w:fldCharType="begin"/>
            </w:r>
            <w:r w:rsidR="0083226B">
              <w:rPr>
                <w:webHidden/>
              </w:rPr>
              <w:instrText xml:space="preserve"> PAGEREF _Toc228218566 \h </w:instrText>
            </w:r>
            <w:r w:rsidR="0083226B">
              <w:rPr>
                <w:webHidden/>
              </w:rPr>
            </w:r>
            <w:r w:rsidR="0083226B">
              <w:rPr>
                <w:webHidden/>
              </w:rPr>
              <w:fldChar w:fldCharType="separate"/>
            </w:r>
            <w:r w:rsidR="0083226B">
              <w:rPr>
                <w:webHidden/>
              </w:rPr>
              <w:t>6</w:t>
            </w:r>
            <w:r w:rsidR="0083226B">
              <w:rPr>
                <w:webHidden/>
              </w:rPr>
              <w:fldChar w:fldCharType="end"/>
            </w:r>
          </w:hyperlink>
        </w:p>
        <w:p w14:paraId="0A40C57A" w14:textId="67E1B27E" w:rsidR="0083226B" w:rsidRDefault="00615DAE">
          <w:pPr>
            <w:pStyle w:val="TOC2"/>
            <w:tabs>
              <w:tab w:val="right" w:leader="dot" w:pos="9017"/>
            </w:tabs>
            <w:rPr>
              <w:rFonts w:asciiTheme="minorHAnsi" w:eastAsiaTheme="minorEastAsia" w:hAnsiTheme="minorHAnsi" w:cstheme="minorBidi"/>
              <w:kern w:val="2"/>
              <w:szCs w:val="24"/>
              <w:lang w:val="en-US"/>
              <w14:ligatures w14:val="standardContextual"/>
            </w:rPr>
          </w:pPr>
          <w:hyperlink w:anchor="_Toc228218567" w:history="1">
            <w:r w:rsidR="0083226B" w:rsidRPr="00E86689">
              <w:rPr>
                <w:rStyle w:val="Hyperlink"/>
              </w:rPr>
              <w:t>2.3 Differentiation Strategy</w:t>
            </w:r>
            <w:r w:rsidR="0083226B">
              <w:rPr>
                <w:webHidden/>
              </w:rPr>
              <w:tab/>
            </w:r>
            <w:r w:rsidR="0083226B">
              <w:rPr>
                <w:webHidden/>
              </w:rPr>
              <w:fldChar w:fldCharType="begin"/>
            </w:r>
            <w:r w:rsidR="0083226B">
              <w:rPr>
                <w:webHidden/>
              </w:rPr>
              <w:instrText xml:space="preserve"> PAGEREF _Toc228218567 \h </w:instrText>
            </w:r>
            <w:r w:rsidR="0083226B">
              <w:rPr>
                <w:webHidden/>
              </w:rPr>
            </w:r>
            <w:r w:rsidR="0083226B">
              <w:rPr>
                <w:webHidden/>
              </w:rPr>
              <w:fldChar w:fldCharType="separate"/>
            </w:r>
            <w:r w:rsidR="0083226B">
              <w:rPr>
                <w:webHidden/>
              </w:rPr>
              <w:t>7</w:t>
            </w:r>
            <w:r w:rsidR="0083226B">
              <w:rPr>
                <w:webHidden/>
              </w:rPr>
              <w:fldChar w:fldCharType="end"/>
            </w:r>
          </w:hyperlink>
        </w:p>
        <w:p w14:paraId="71E47FFB" w14:textId="2CE908BB" w:rsidR="0083226B" w:rsidRDefault="00615DAE">
          <w:pPr>
            <w:pStyle w:val="TOC2"/>
            <w:tabs>
              <w:tab w:val="right" w:leader="dot" w:pos="9017"/>
            </w:tabs>
            <w:rPr>
              <w:rFonts w:asciiTheme="minorHAnsi" w:eastAsiaTheme="minorEastAsia" w:hAnsiTheme="minorHAnsi" w:cstheme="minorBidi"/>
              <w:kern w:val="2"/>
              <w:szCs w:val="24"/>
              <w:lang w:val="en-US"/>
              <w14:ligatures w14:val="standardContextual"/>
            </w:rPr>
          </w:pPr>
          <w:hyperlink w:anchor="_Toc228218568" w:history="1">
            <w:r w:rsidR="0083226B" w:rsidRPr="00E86689">
              <w:rPr>
                <w:rStyle w:val="Hyperlink"/>
              </w:rPr>
              <w:t>2.4 Positioning Strategy</w:t>
            </w:r>
            <w:r w:rsidR="0083226B">
              <w:rPr>
                <w:webHidden/>
              </w:rPr>
              <w:tab/>
            </w:r>
            <w:r w:rsidR="0083226B">
              <w:rPr>
                <w:webHidden/>
              </w:rPr>
              <w:fldChar w:fldCharType="begin"/>
            </w:r>
            <w:r w:rsidR="0083226B">
              <w:rPr>
                <w:webHidden/>
              </w:rPr>
              <w:instrText xml:space="preserve"> PAGEREF _Toc228218568 \h </w:instrText>
            </w:r>
            <w:r w:rsidR="0083226B">
              <w:rPr>
                <w:webHidden/>
              </w:rPr>
            </w:r>
            <w:r w:rsidR="0083226B">
              <w:rPr>
                <w:webHidden/>
              </w:rPr>
              <w:fldChar w:fldCharType="separate"/>
            </w:r>
            <w:r w:rsidR="0083226B">
              <w:rPr>
                <w:webHidden/>
              </w:rPr>
              <w:t>8</w:t>
            </w:r>
            <w:r w:rsidR="0083226B">
              <w:rPr>
                <w:webHidden/>
              </w:rPr>
              <w:fldChar w:fldCharType="end"/>
            </w:r>
          </w:hyperlink>
        </w:p>
        <w:p w14:paraId="660EB5E5" w14:textId="4DA9C35F" w:rsidR="0083226B" w:rsidRDefault="00615DAE">
          <w:pPr>
            <w:pStyle w:val="TOC1"/>
            <w:tabs>
              <w:tab w:val="right" w:leader="dot" w:pos="9017"/>
            </w:tabs>
            <w:rPr>
              <w:rFonts w:asciiTheme="minorHAnsi" w:eastAsiaTheme="minorEastAsia" w:hAnsiTheme="minorHAnsi" w:cstheme="minorBidi"/>
              <w:kern w:val="2"/>
              <w:szCs w:val="24"/>
              <w:lang w:val="en-US"/>
              <w14:ligatures w14:val="standardContextual"/>
            </w:rPr>
          </w:pPr>
          <w:hyperlink w:anchor="_Toc228218569" w:history="1">
            <w:r w:rsidR="0083226B" w:rsidRPr="00E86689">
              <w:rPr>
                <w:rStyle w:val="Hyperlink"/>
              </w:rPr>
              <w:t>Element 3: Marketing Mix (4Ps) for Alibaba TrustPass</w:t>
            </w:r>
            <w:r w:rsidR="0083226B">
              <w:rPr>
                <w:webHidden/>
              </w:rPr>
              <w:tab/>
            </w:r>
            <w:r w:rsidR="0083226B">
              <w:rPr>
                <w:webHidden/>
              </w:rPr>
              <w:fldChar w:fldCharType="begin"/>
            </w:r>
            <w:r w:rsidR="0083226B">
              <w:rPr>
                <w:webHidden/>
              </w:rPr>
              <w:instrText xml:space="preserve"> PAGEREF _Toc228218569 \h </w:instrText>
            </w:r>
            <w:r w:rsidR="0083226B">
              <w:rPr>
                <w:webHidden/>
              </w:rPr>
            </w:r>
            <w:r w:rsidR="0083226B">
              <w:rPr>
                <w:webHidden/>
              </w:rPr>
              <w:fldChar w:fldCharType="separate"/>
            </w:r>
            <w:r w:rsidR="0083226B">
              <w:rPr>
                <w:webHidden/>
              </w:rPr>
              <w:t>9</w:t>
            </w:r>
            <w:r w:rsidR="0083226B">
              <w:rPr>
                <w:webHidden/>
              </w:rPr>
              <w:fldChar w:fldCharType="end"/>
            </w:r>
          </w:hyperlink>
        </w:p>
        <w:p w14:paraId="5D64F9D1" w14:textId="46C10F7F" w:rsidR="0083226B" w:rsidRDefault="00615DAE">
          <w:pPr>
            <w:pStyle w:val="TOC2"/>
            <w:tabs>
              <w:tab w:val="right" w:leader="dot" w:pos="9017"/>
            </w:tabs>
            <w:rPr>
              <w:rFonts w:asciiTheme="minorHAnsi" w:eastAsiaTheme="minorEastAsia" w:hAnsiTheme="minorHAnsi" w:cstheme="minorBidi"/>
              <w:kern w:val="2"/>
              <w:szCs w:val="24"/>
              <w:lang w:val="en-US"/>
              <w14:ligatures w14:val="standardContextual"/>
            </w:rPr>
          </w:pPr>
          <w:hyperlink w:anchor="_Toc228218570" w:history="1">
            <w:r w:rsidR="0083226B" w:rsidRPr="00E86689">
              <w:rPr>
                <w:rStyle w:val="Hyperlink"/>
              </w:rPr>
              <w:t>3.1 Product Strategy</w:t>
            </w:r>
            <w:r w:rsidR="0083226B">
              <w:rPr>
                <w:webHidden/>
              </w:rPr>
              <w:tab/>
            </w:r>
            <w:r w:rsidR="0083226B">
              <w:rPr>
                <w:webHidden/>
              </w:rPr>
              <w:fldChar w:fldCharType="begin"/>
            </w:r>
            <w:r w:rsidR="0083226B">
              <w:rPr>
                <w:webHidden/>
              </w:rPr>
              <w:instrText xml:space="preserve"> PAGEREF _Toc228218570 \h </w:instrText>
            </w:r>
            <w:r w:rsidR="0083226B">
              <w:rPr>
                <w:webHidden/>
              </w:rPr>
            </w:r>
            <w:r w:rsidR="0083226B">
              <w:rPr>
                <w:webHidden/>
              </w:rPr>
              <w:fldChar w:fldCharType="separate"/>
            </w:r>
            <w:r w:rsidR="0083226B">
              <w:rPr>
                <w:webHidden/>
              </w:rPr>
              <w:t>10</w:t>
            </w:r>
            <w:r w:rsidR="0083226B">
              <w:rPr>
                <w:webHidden/>
              </w:rPr>
              <w:fldChar w:fldCharType="end"/>
            </w:r>
          </w:hyperlink>
        </w:p>
        <w:p w14:paraId="05D0A8C9" w14:textId="7A1F321B" w:rsidR="0083226B" w:rsidRDefault="00615DAE">
          <w:pPr>
            <w:pStyle w:val="TOC2"/>
            <w:tabs>
              <w:tab w:val="right" w:leader="dot" w:pos="9017"/>
            </w:tabs>
            <w:rPr>
              <w:rFonts w:asciiTheme="minorHAnsi" w:eastAsiaTheme="minorEastAsia" w:hAnsiTheme="minorHAnsi" w:cstheme="minorBidi"/>
              <w:kern w:val="2"/>
              <w:szCs w:val="24"/>
              <w:lang w:val="en-US"/>
              <w14:ligatures w14:val="standardContextual"/>
            </w:rPr>
          </w:pPr>
          <w:hyperlink w:anchor="_Toc228218571" w:history="1">
            <w:r w:rsidR="0083226B" w:rsidRPr="00E86689">
              <w:rPr>
                <w:rStyle w:val="Hyperlink"/>
              </w:rPr>
              <w:t>3.3 Pricing Strategy</w:t>
            </w:r>
            <w:r w:rsidR="0083226B">
              <w:rPr>
                <w:webHidden/>
              </w:rPr>
              <w:tab/>
            </w:r>
            <w:r w:rsidR="0083226B">
              <w:rPr>
                <w:webHidden/>
              </w:rPr>
              <w:fldChar w:fldCharType="begin"/>
            </w:r>
            <w:r w:rsidR="0083226B">
              <w:rPr>
                <w:webHidden/>
              </w:rPr>
              <w:instrText xml:space="preserve"> PAGEREF _Toc228218571 \h </w:instrText>
            </w:r>
            <w:r w:rsidR="0083226B">
              <w:rPr>
                <w:webHidden/>
              </w:rPr>
            </w:r>
            <w:r w:rsidR="0083226B">
              <w:rPr>
                <w:webHidden/>
              </w:rPr>
              <w:fldChar w:fldCharType="separate"/>
            </w:r>
            <w:r w:rsidR="0083226B">
              <w:rPr>
                <w:webHidden/>
              </w:rPr>
              <w:t>10</w:t>
            </w:r>
            <w:r w:rsidR="0083226B">
              <w:rPr>
                <w:webHidden/>
              </w:rPr>
              <w:fldChar w:fldCharType="end"/>
            </w:r>
          </w:hyperlink>
        </w:p>
        <w:p w14:paraId="30E7E30A" w14:textId="30E1DDAA" w:rsidR="0083226B" w:rsidRDefault="00615DAE">
          <w:pPr>
            <w:pStyle w:val="TOC2"/>
            <w:tabs>
              <w:tab w:val="right" w:leader="dot" w:pos="9017"/>
            </w:tabs>
            <w:rPr>
              <w:rFonts w:asciiTheme="minorHAnsi" w:eastAsiaTheme="minorEastAsia" w:hAnsiTheme="minorHAnsi" w:cstheme="minorBidi"/>
              <w:kern w:val="2"/>
              <w:szCs w:val="24"/>
              <w:lang w:val="en-US"/>
              <w14:ligatures w14:val="standardContextual"/>
            </w:rPr>
          </w:pPr>
          <w:hyperlink w:anchor="_Toc228218572" w:history="1">
            <w:r w:rsidR="0083226B" w:rsidRPr="00E86689">
              <w:rPr>
                <w:rStyle w:val="Hyperlink"/>
              </w:rPr>
              <w:t>3.4 Place (Distribution) Strategy</w:t>
            </w:r>
            <w:r w:rsidR="0083226B">
              <w:rPr>
                <w:webHidden/>
              </w:rPr>
              <w:tab/>
            </w:r>
            <w:r w:rsidR="0083226B">
              <w:rPr>
                <w:webHidden/>
              </w:rPr>
              <w:fldChar w:fldCharType="begin"/>
            </w:r>
            <w:r w:rsidR="0083226B">
              <w:rPr>
                <w:webHidden/>
              </w:rPr>
              <w:instrText xml:space="preserve"> PAGEREF _Toc228218572 \h </w:instrText>
            </w:r>
            <w:r w:rsidR="0083226B">
              <w:rPr>
                <w:webHidden/>
              </w:rPr>
            </w:r>
            <w:r w:rsidR="0083226B">
              <w:rPr>
                <w:webHidden/>
              </w:rPr>
              <w:fldChar w:fldCharType="separate"/>
            </w:r>
            <w:r w:rsidR="0083226B">
              <w:rPr>
                <w:webHidden/>
              </w:rPr>
              <w:t>11</w:t>
            </w:r>
            <w:r w:rsidR="0083226B">
              <w:rPr>
                <w:webHidden/>
              </w:rPr>
              <w:fldChar w:fldCharType="end"/>
            </w:r>
          </w:hyperlink>
        </w:p>
        <w:p w14:paraId="4AFDBD11" w14:textId="2C2693A9" w:rsidR="0083226B" w:rsidRDefault="00615DAE">
          <w:pPr>
            <w:pStyle w:val="TOC2"/>
            <w:tabs>
              <w:tab w:val="right" w:leader="dot" w:pos="9017"/>
            </w:tabs>
            <w:rPr>
              <w:rFonts w:asciiTheme="minorHAnsi" w:eastAsiaTheme="minorEastAsia" w:hAnsiTheme="minorHAnsi" w:cstheme="minorBidi"/>
              <w:kern w:val="2"/>
              <w:szCs w:val="24"/>
              <w:lang w:val="en-US"/>
              <w14:ligatures w14:val="standardContextual"/>
            </w:rPr>
          </w:pPr>
          <w:hyperlink w:anchor="_Toc228218573" w:history="1">
            <w:r w:rsidR="0083226B" w:rsidRPr="00E86689">
              <w:rPr>
                <w:rStyle w:val="Hyperlink"/>
              </w:rPr>
              <w:t>3.4 Promotion Strategy</w:t>
            </w:r>
            <w:r w:rsidR="0083226B">
              <w:rPr>
                <w:webHidden/>
              </w:rPr>
              <w:tab/>
            </w:r>
            <w:r w:rsidR="0083226B">
              <w:rPr>
                <w:webHidden/>
              </w:rPr>
              <w:fldChar w:fldCharType="begin"/>
            </w:r>
            <w:r w:rsidR="0083226B">
              <w:rPr>
                <w:webHidden/>
              </w:rPr>
              <w:instrText xml:space="preserve"> PAGEREF _Toc228218573 \h </w:instrText>
            </w:r>
            <w:r w:rsidR="0083226B">
              <w:rPr>
                <w:webHidden/>
              </w:rPr>
            </w:r>
            <w:r w:rsidR="0083226B">
              <w:rPr>
                <w:webHidden/>
              </w:rPr>
              <w:fldChar w:fldCharType="separate"/>
            </w:r>
            <w:r w:rsidR="0083226B">
              <w:rPr>
                <w:webHidden/>
              </w:rPr>
              <w:t>12</w:t>
            </w:r>
            <w:r w:rsidR="0083226B">
              <w:rPr>
                <w:webHidden/>
              </w:rPr>
              <w:fldChar w:fldCharType="end"/>
            </w:r>
          </w:hyperlink>
        </w:p>
        <w:p w14:paraId="034B0521" w14:textId="74477568" w:rsidR="0083226B" w:rsidRDefault="00615DAE">
          <w:pPr>
            <w:pStyle w:val="TOC1"/>
            <w:tabs>
              <w:tab w:val="right" w:leader="dot" w:pos="9017"/>
            </w:tabs>
            <w:rPr>
              <w:rFonts w:asciiTheme="minorHAnsi" w:eastAsiaTheme="minorEastAsia" w:hAnsiTheme="minorHAnsi" w:cstheme="minorBidi"/>
              <w:kern w:val="2"/>
              <w:szCs w:val="24"/>
              <w:lang w:val="en-US"/>
              <w14:ligatures w14:val="standardContextual"/>
            </w:rPr>
          </w:pPr>
          <w:hyperlink w:anchor="_Toc228218574" w:history="1">
            <w:r w:rsidR="0083226B" w:rsidRPr="00E86689">
              <w:rPr>
                <w:rStyle w:val="Hyperlink"/>
              </w:rPr>
              <w:t>Conclusion</w:t>
            </w:r>
            <w:r w:rsidR="0083226B">
              <w:rPr>
                <w:webHidden/>
              </w:rPr>
              <w:tab/>
            </w:r>
            <w:r w:rsidR="0083226B">
              <w:rPr>
                <w:webHidden/>
              </w:rPr>
              <w:fldChar w:fldCharType="begin"/>
            </w:r>
            <w:r w:rsidR="0083226B">
              <w:rPr>
                <w:webHidden/>
              </w:rPr>
              <w:instrText xml:space="preserve"> PAGEREF _Toc228218574 \h </w:instrText>
            </w:r>
            <w:r w:rsidR="0083226B">
              <w:rPr>
                <w:webHidden/>
              </w:rPr>
            </w:r>
            <w:r w:rsidR="0083226B">
              <w:rPr>
                <w:webHidden/>
              </w:rPr>
              <w:fldChar w:fldCharType="separate"/>
            </w:r>
            <w:r w:rsidR="0083226B">
              <w:rPr>
                <w:webHidden/>
              </w:rPr>
              <w:t>13</w:t>
            </w:r>
            <w:r w:rsidR="0083226B">
              <w:rPr>
                <w:webHidden/>
              </w:rPr>
              <w:fldChar w:fldCharType="end"/>
            </w:r>
          </w:hyperlink>
        </w:p>
        <w:p w14:paraId="70106F32" w14:textId="08E14DE2" w:rsidR="0083226B" w:rsidRDefault="00615DAE">
          <w:pPr>
            <w:pStyle w:val="TOC1"/>
            <w:tabs>
              <w:tab w:val="right" w:leader="dot" w:pos="9017"/>
            </w:tabs>
            <w:rPr>
              <w:rFonts w:asciiTheme="minorHAnsi" w:eastAsiaTheme="minorEastAsia" w:hAnsiTheme="minorHAnsi" w:cstheme="minorBidi"/>
              <w:kern w:val="2"/>
              <w:szCs w:val="24"/>
              <w:lang w:val="en-US"/>
              <w14:ligatures w14:val="standardContextual"/>
            </w:rPr>
          </w:pPr>
          <w:hyperlink w:anchor="_Toc228218575" w:history="1">
            <w:r w:rsidR="0083226B" w:rsidRPr="00E86689">
              <w:rPr>
                <w:rStyle w:val="Hyperlink"/>
              </w:rPr>
              <w:t>Element 4: Reflection Using Gibbs Reflective Model</w:t>
            </w:r>
            <w:r w:rsidR="0083226B">
              <w:rPr>
                <w:webHidden/>
              </w:rPr>
              <w:tab/>
            </w:r>
            <w:r w:rsidR="0083226B">
              <w:rPr>
                <w:webHidden/>
              </w:rPr>
              <w:fldChar w:fldCharType="begin"/>
            </w:r>
            <w:r w:rsidR="0083226B">
              <w:rPr>
                <w:webHidden/>
              </w:rPr>
              <w:instrText xml:space="preserve"> PAGEREF _Toc228218575 \h </w:instrText>
            </w:r>
            <w:r w:rsidR="0083226B">
              <w:rPr>
                <w:webHidden/>
              </w:rPr>
            </w:r>
            <w:r w:rsidR="0083226B">
              <w:rPr>
                <w:webHidden/>
              </w:rPr>
              <w:fldChar w:fldCharType="separate"/>
            </w:r>
            <w:r w:rsidR="0083226B">
              <w:rPr>
                <w:webHidden/>
              </w:rPr>
              <w:t>14</w:t>
            </w:r>
            <w:r w:rsidR="0083226B">
              <w:rPr>
                <w:webHidden/>
              </w:rPr>
              <w:fldChar w:fldCharType="end"/>
            </w:r>
          </w:hyperlink>
        </w:p>
        <w:p w14:paraId="4186B173" w14:textId="287A089C" w:rsidR="0083226B" w:rsidRDefault="00615DAE">
          <w:pPr>
            <w:pStyle w:val="TOC2"/>
            <w:tabs>
              <w:tab w:val="right" w:leader="dot" w:pos="9017"/>
            </w:tabs>
            <w:rPr>
              <w:rFonts w:asciiTheme="minorHAnsi" w:eastAsiaTheme="minorEastAsia" w:hAnsiTheme="minorHAnsi" w:cstheme="minorBidi"/>
              <w:kern w:val="2"/>
              <w:szCs w:val="24"/>
              <w:lang w:val="en-US"/>
              <w14:ligatures w14:val="standardContextual"/>
            </w:rPr>
          </w:pPr>
          <w:hyperlink w:anchor="_Toc228218576" w:history="1">
            <w:r w:rsidR="0083226B" w:rsidRPr="00E86689">
              <w:rPr>
                <w:rStyle w:val="Hyperlink"/>
              </w:rPr>
              <w:t>4.1 Description of the Experience</w:t>
            </w:r>
            <w:r w:rsidR="0083226B">
              <w:rPr>
                <w:webHidden/>
              </w:rPr>
              <w:tab/>
            </w:r>
            <w:r w:rsidR="0083226B">
              <w:rPr>
                <w:webHidden/>
              </w:rPr>
              <w:fldChar w:fldCharType="begin"/>
            </w:r>
            <w:r w:rsidR="0083226B">
              <w:rPr>
                <w:webHidden/>
              </w:rPr>
              <w:instrText xml:space="preserve"> PAGEREF _Toc228218576 \h </w:instrText>
            </w:r>
            <w:r w:rsidR="0083226B">
              <w:rPr>
                <w:webHidden/>
              </w:rPr>
            </w:r>
            <w:r w:rsidR="0083226B">
              <w:rPr>
                <w:webHidden/>
              </w:rPr>
              <w:fldChar w:fldCharType="separate"/>
            </w:r>
            <w:r w:rsidR="0083226B">
              <w:rPr>
                <w:webHidden/>
              </w:rPr>
              <w:t>14</w:t>
            </w:r>
            <w:r w:rsidR="0083226B">
              <w:rPr>
                <w:webHidden/>
              </w:rPr>
              <w:fldChar w:fldCharType="end"/>
            </w:r>
          </w:hyperlink>
        </w:p>
        <w:p w14:paraId="675262EA" w14:textId="2BF4B76C" w:rsidR="0083226B" w:rsidRDefault="00615DAE">
          <w:pPr>
            <w:pStyle w:val="TOC2"/>
            <w:tabs>
              <w:tab w:val="right" w:leader="dot" w:pos="9017"/>
            </w:tabs>
            <w:rPr>
              <w:rFonts w:asciiTheme="minorHAnsi" w:eastAsiaTheme="minorEastAsia" w:hAnsiTheme="minorHAnsi" w:cstheme="minorBidi"/>
              <w:kern w:val="2"/>
              <w:szCs w:val="24"/>
              <w:lang w:val="en-US"/>
              <w14:ligatures w14:val="standardContextual"/>
            </w:rPr>
          </w:pPr>
          <w:hyperlink w:anchor="_Toc228218577" w:history="1">
            <w:r w:rsidR="0083226B" w:rsidRPr="00E86689">
              <w:rPr>
                <w:rStyle w:val="Hyperlink"/>
              </w:rPr>
              <w:t>4.2 Feelings</w:t>
            </w:r>
            <w:r w:rsidR="0083226B">
              <w:rPr>
                <w:webHidden/>
              </w:rPr>
              <w:tab/>
            </w:r>
            <w:r w:rsidR="0083226B">
              <w:rPr>
                <w:webHidden/>
              </w:rPr>
              <w:fldChar w:fldCharType="begin"/>
            </w:r>
            <w:r w:rsidR="0083226B">
              <w:rPr>
                <w:webHidden/>
              </w:rPr>
              <w:instrText xml:space="preserve"> PAGEREF _Toc228218577 \h </w:instrText>
            </w:r>
            <w:r w:rsidR="0083226B">
              <w:rPr>
                <w:webHidden/>
              </w:rPr>
            </w:r>
            <w:r w:rsidR="0083226B">
              <w:rPr>
                <w:webHidden/>
              </w:rPr>
              <w:fldChar w:fldCharType="separate"/>
            </w:r>
            <w:r w:rsidR="0083226B">
              <w:rPr>
                <w:webHidden/>
              </w:rPr>
              <w:t>14</w:t>
            </w:r>
            <w:r w:rsidR="0083226B">
              <w:rPr>
                <w:webHidden/>
              </w:rPr>
              <w:fldChar w:fldCharType="end"/>
            </w:r>
          </w:hyperlink>
        </w:p>
        <w:p w14:paraId="5EA9988D" w14:textId="7B3C1E0E" w:rsidR="0083226B" w:rsidRDefault="00615DAE">
          <w:pPr>
            <w:pStyle w:val="TOC2"/>
            <w:tabs>
              <w:tab w:val="right" w:leader="dot" w:pos="9017"/>
            </w:tabs>
            <w:rPr>
              <w:rFonts w:asciiTheme="minorHAnsi" w:eastAsiaTheme="minorEastAsia" w:hAnsiTheme="minorHAnsi" w:cstheme="minorBidi"/>
              <w:kern w:val="2"/>
              <w:szCs w:val="24"/>
              <w:lang w:val="en-US"/>
              <w14:ligatures w14:val="standardContextual"/>
            </w:rPr>
          </w:pPr>
          <w:hyperlink w:anchor="_Toc228218578" w:history="1">
            <w:r w:rsidR="0083226B" w:rsidRPr="00E86689">
              <w:rPr>
                <w:rStyle w:val="Hyperlink"/>
              </w:rPr>
              <w:t>4.3 Evaluation</w:t>
            </w:r>
            <w:r w:rsidR="0083226B">
              <w:rPr>
                <w:webHidden/>
              </w:rPr>
              <w:tab/>
            </w:r>
            <w:r w:rsidR="0083226B">
              <w:rPr>
                <w:webHidden/>
              </w:rPr>
              <w:fldChar w:fldCharType="begin"/>
            </w:r>
            <w:r w:rsidR="0083226B">
              <w:rPr>
                <w:webHidden/>
              </w:rPr>
              <w:instrText xml:space="preserve"> PAGEREF _Toc228218578 \h </w:instrText>
            </w:r>
            <w:r w:rsidR="0083226B">
              <w:rPr>
                <w:webHidden/>
              </w:rPr>
            </w:r>
            <w:r w:rsidR="0083226B">
              <w:rPr>
                <w:webHidden/>
              </w:rPr>
              <w:fldChar w:fldCharType="separate"/>
            </w:r>
            <w:r w:rsidR="0083226B">
              <w:rPr>
                <w:webHidden/>
              </w:rPr>
              <w:t>15</w:t>
            </w:r>
            <w:r w:rsidR="0083226B">
              <w:rPr>
                <w:webHidden/>
              </w:rPr>
              <w:fldChar w:fldCharType="end"/>
            </w:r>
          </w:hyperlink>
        </w:p>
        <w:p w14:paraId="2B4E487E" w14:textId="3119E8DC" w:rsidR="0083226B" w:rsidRDefault="00615DAE">
          <w:pPr>
            <w:pStyle w:val="TOC2"/>
            <w:tabs>
              <w:tab w:val="right" w:leader="dot" w:pos="9017"/>
            </w:tabs>
            <w:rPr>
              <w:rFonts w:asciiTheme="minorHAnsi" w:eastAsiaTheme="minorEastAsia" w:hAnsiTheme="minorHAnsi" w:cstheme="minorBidi"/>
              <w:kern w:val="2"/>
              <w:szCs w:val="24"/>
              <w:lang w:val="en-US"/>
              <w14:ligatures w14:val="standardContextual"/>
            </w:rPr>
          </w:pPr>
          <w:hyperlink w:anchor="_Toc228218579" w:history="1">
            <w:r w:rsidR="0083226B" w:rsidRPr="00E86689">
              <w:rPr>
                <w:rStyle w:val="Hyperlink"/>
              </w:rPr>
              <w:t>4.4 Analysis</w:t>
            </w:r>
            <w:r w:rsidR="0083226B">
              <w:rPr>
                <w:webHidden/>
              </w:rPr>
              <w:tab/>
            </w:r>
            <w:r w:rsidR="0083226B">
              <w:rPr>
                <w:webHidden/>
              </w:rPr>
              <w:fldChar w:fldCharType="begin"/>
            </w:r>
            <w:r w:rsidR="0083226B">
              <w:rPr>
                <w:webHidden/>
              </w:rPr>
              <w:instrText xml:space="preserve"> PAGEREF _Toc228218579 \h </w:instrText>
            </w:r>
            <w:r w:rsidR="0083226B">
              <w:rPr>
                <w:webHidden/>
              </w:rPr>
            </w:r>
            <w:r w:rsidR="0083226B">
              <w:rPr>
                <w:webHidden/>
              </w:rPr>
              <w:fldChar w:fldCharType="separate"/>
            </w:r>
            <w:r w:rsidR="0083226B">
              <w:rPr>
                <w:webHidden/>
              </w:rPr>
              <w:t>15</w:t>
            </w:r>
            <w:r w:rsidR="0083226B">
              <w:rPr>
                <w:webHidden/>
              </w:rPr>
              <w:fldChar w:fldCharType="end"/>
            </w:r>
          </w:hyperlink>
        </w:p>
        <w:p w14:paraId="753FD97F" w14:textId="0A46A41D" w:rsidR="0083226B" w:rsidRDefault="00615DAE">
          <w:pPr>
            <w:pStyle w:val="TOC2"/>
            <w:tabs>
              <w:tab w:val="right" w:leader="dot" w:pos="9017"/>
            </w:tabs>
            <w:rPr>
              <w:rFonts w:asciiTheme="minorHAnsi" w:eastAsiaTheme="minorEastAsia" w:hAnsiTheme="minorHAnsi" w:cstheme="minorBidi"/>
              <w:kern w:val="2"/>
              <w:szCs w:val="24"/>
              <w:lang w:val="en-US"/>
              <w14:ligatures w14:val="standardContextual"/>
            </w:rPr>
          </w:pPr>
          <w:hyperlink w:anchor="_Toc228218580" w:history="1">
            <w:r w:rsidR="0083226B" w:rsidRPr="00E86689">
              <w:rPr>
                <w:rStyle w:val="Hyperlink"/>
              </w:rPr>
              <w:t>4.5 Conclusion</w:t>
            </w:r>
            <w:r w:rsidR="0083226B">
              <w:rPr>
                <w:webHidden/>
              </w:rPr>
              <w:tab/>
            </w:r>
            <w:r w:rsidR="0083226B">
              <w:rPr>
                <w:webHidden/>
              </w:rPr>
              <w:fldChar w:fldCharType="begin"/>
            </w:r>
            <w:r w:rsidR="0083226B">
              <w:rPr>
                <w:webHidden/>
              </w:rPr>
              <w:instrText xml:space="preserve"> PAGEREF _Toc228218580 \h </w:instrText>
            </w:r>
            <w:r w:rsidR="0083226B">
              <w:rPr>
                <w:webHidden/>
              </w:rPr>
            </w:r>
            <w:r w:rsidR="0083226B">
              <w:rPr>
                <w:webHidden/>
              </w:rPr>
              <w:fldChar w:fldCharType="separate"/>
            </w:r>
            <w:r w:rsidR="0083226B">
              <w:rPr>
                <w:webHidden/>
              </w:rPr>
              <w:t>15</w:t>
            </w:r>
            <w:r w:rsidR="0083226B">
              <w:rPr>
                <w:webHidden/>
              </w:rPr>
              <w:fldChar w:fldCharType="end"/>
            </w:r>
          </w:hyperlink>
        </w:p>
        <w:p w14:paraId="2D87C12B" w14:textId="0ECD6B07" w:rsidR="0083226B" w:rsidRDefault="00615DAE">
          <w:pPr>
            <w:pStyle w:val="TOC2"/>
            <w:tabs>
              <w:tab w:val="right" w:leader="dot" w:pos="9017"/>
            </w:tabs>
            <w:rPr>
              <w:rFonts w:asciiTheme="minorHAnsi" w:eastAsiaTheme="minorEastAsia" w:hAnsiTheme="minorHAnsi" w:cstheme="minorBidi"/>
              <w:kern w:val="2"/>
              <w:szCs w:val="24"/>
              <w:lang w:val="en-US"/>
              <w14:ligatures w14:val="standardContextual"/>
            </w:rPr>
          </w:pPr>
          <w:hyperlink w:anchor="_Toc228218581" w:history="1">
            <w:r w:rsidR="0083226B" w:rsidRPr="00E86689">
              <w:rPr>
                <w:rStyle w:val="Hyperlink"/>
              </w:rPr>
              <w:t>4.6 Action Plan</w:t>
            </w:r>
            <w:r w:rsidR="0083226B">
              <w:rPr>
                <w:webHidden/>
              </w:rPr>
              <w:tab/>
            </w:r>
            <w:r w:rsidR="0083226B">
              <w:rPr>
                <w:webHidden/>
              </w:rPr>
              <w:fldChar w:fldCharType="begin"/>
            </w:r>
            <w:r w:rsidR="0083226B">
              <w:rPr>
                <w:webHidden/>
              </w:rPr>
              <w:instrText xml:space="preserve"> PAGEREF _Toc228218581 \h </w:instrText>
            </w:r>
            <w:r w:rsidR="0083226B">
              <w:rPr>
                <w:webHidden/>
              </w:rPr>
            </w:r>
            <w:r w:rsidR="0083226B">
              <w:rPr>
                <w:webHidden/>
              </w:rPr>
              <w:fldChar w:fldCharType="separate"/>
            </w:r>
            <w:r w:rsidR="0083226B">
              <w:rPr>
                <w:webHidden/>
              </w:rPr>
              <w:t>16</w:t>
            </w:r>
            <w:r w:rsidR="0083226B">
              <w:rPr>
                <w:webHidden/>
              </w:rPr>
              <w:fldChar w:fldCharType="end"/>
            </w:r>
          </w:hyperlink>
        </w:p>
        <w:p w14:paraId="4C0A54FA" w14:textId="19580C03" w:rsidR="0083226B" w:rsidRDefault="00615DAE">
          <w:pPr>
            <w:pStyle w:val="TOC1"/>
            <w:tabs>
              <w:tab w:val="right" w:leader="dot" w:pos="9017"/>
            </w:tabs>
            <w:rPr>
              <w:rFonts w:asciiTheme="minorHAnsi" w:eastAsiaTheme="minorEastAsia" w:hAnsiTheme="minorHAnsi" w:cstheme="minorBidi"/>
              <w:kern w:val="2"/>
              <w:szCs w:val="24"/>
              <w:lang w:val="en-US"/>
              <w14:ligatures w14:val="standardContextual"/>
            </w:rPr>
          </w:pPr>
          <w:hyperlink w:anchor="_Toc228218582" w:history="1">
            <w:r w:rsidR="0083226B" w:rsidRPr="00E86689">
              <w:rPr>
                <w:rStyle w:val="Hyperlink"/>
              </w:rPr>
              <w:t>References</w:t>
            </w:r>
            <w:r w:rsidR="0083226B">
              <w:rPr>
                <w:webHidden/>
              </w:rPr>
              <w:tab/>
            </w:r>
            <w:r w:rsidR="0083226B">
              <w:rPr>
                <w:webHidden/>
              </w:rPr>
              <w:fldChar w:fldCharType="begin"/>
            </w:r>
            <w:r w:rsidR="0083226B">
              <w:rPr>
                <w:webHidden/>
              </w:rPr>
              <w:instrText xml:space="preserve"> PAGEREF _Toc228218582 \h </w:instrText>
            </w:r>
            <w:r w:rsidR="0083226B">
              <w:rPr>
                <w:webHidden/>
              </w:rPr>
            </w:r>
            <w:r w:rsidR="0083226B">
              <w:rPr>
                <w:webHidden/>
              </w:rPr>
              <w:fldChar w:fldCharType="separate"/>
            </w:r>
            <w:r w:rsidR="0083226B">
              <w:rPr>
                <w:webHidden/>
              </w:rPr>
              <w:t>17</w:t>
            </w:r>
            <w:r w:rsidR="0083226B">
              <w:rPr>
                <w:webHidden/>
              </w:rPr>
              <w:fldChar w:fldCharType="end"/>
            </w:r>
          </w:hyperlink>
        </w:p>
        <w:p w14:paraId="436AEA2A" w14:textId="3FA72E09" w:rsidR="0083226B" w:rsidRDefault="00615DAE">
          <w:pPr>
            <w:pStyle w:val="TOC1"/>
            <w:tabs>
              <w:tab w:val="right" w:leader="dot" w:pos="9017"/>
            </w:tabs>
            <w:rPr>
              <w:rFonts w:asciiTheme="minorHAnsi" w:eastAsiaTheme="minorEastAsia" w:hAnsiTheme="minorHAnsi" w:cstheme="minorBidi"/>
              <w:kern w:val="2"/>
              <w:szCs w:val="24"/>
              <w:lang w:val="en-US"/>
              <w14:ligatures w14:val="standardContextual"/>
            </w:rPr>
          </w:pPr>
          <w:hyperlink w:anchor="_Toc228218583" w:history="1">
            <w:r w:rsidR="0083226B" w:rsidRPr="00E86689">
              <w:rPr>
                <w:rStyle w:val="Hyperlink"/>
                <w:lang w:val="en-US"/>
              </w:rPr>
              <w:t>Appendix: Brand Extension Poster</w:t>
            </w:r>
            <w:r w:rsidR="0083226B">
              <w:rPr>
                <w:webHidden/>
              </w:rPr>
              <w:tab/>
            </w:r>
            <w:r w:rsidR="0083226B">
              <w:rPr>
                <w:webHidden/>
              </w:rPr>
              <w:fldChar w:fldCharType="begin"/>
            </w:r>
            <w:r w:rsidR="0083226B">
              <w:rPr>
                <w:webHidden/>
              </w:rPr>
              <w:instrText xml:space="preserve"> PAGEREF _Toc228218583 \h </w:instrText>
            </w:r>
            <w:r w:rsidR="0083226B">
              <w:rPr>
                <w:webHidden/>
              </w:rPr>
            </w:r>
            <w:r w:rsidR="0083226B">
              <w:rPr>
                <w:webHidden/>
              </w:rPr>
              <w:fldChar w:fldCharType="separate"/>
            </w:r>
            <w:r w:rsidR="0083226B">
              <w:rPr>
                <w:webHidden/>
              </w:rPr>
              <w:t>20</w:t>
            </w:r>
            <w:r w:rsidR="0083226B">
              <w:rPr>
                <w:webHidden/>
              </w:rPr>
              <w:fldChar w:fldCharType="end"/>
            </w:r>
          </w:hyperlink>
        </w:p>
        <w:p w14:paraId="64AD4B9A" w14:textId="77A623F2" w:rsidR="002A2D00" w:rsidRDefault="002A2D00">
          <w:r>
            <w:rPr>
              <w:b/>
              <w:bCs/>
            </w:rPr>
            <w:fldChar w:fldCharType="end"/>
          </w:r>
        </w:p>
      </w:sdtContent>
    </w:sdt>
    <w:p w14:paraId="4BB275C7" w14:textId="77777777" w:rsidR="002A2D00" w:rsidRDefault="002A2D00" w:rsidP="002A2D00">
      <w:pPr>
        <w:rPr>
          <w:color w:val="5B9BD5" w:themeColor="accent5"/>
          <w:sz w:val="32"/>
          <w:szCs w:val="32"/>
          <w:lang w:eastAsia="en-GB"/>
        </w:rPr>
      </w:pPr>
      <w:r>
        <w:br w:type="page"/>
      </w:r>
    </w:p>
    <w:p w14:paraId="3ED41443" w14:textId="181DD649" w:rsidR="004F1FC2" w:rsidRDefault="00615DAE" w:rsidP="00EC178C">
      <w:pPr>
        <w:pStyle w:val="Heading1"/>
      </w:pPr>
      <w:bookmarkStart w:id="3" w:name="_Toc228218562"/>
      <w:r>
        <w:lastRenderedPageBreak/>
        <w:t>Introduction</w:t>
      </w:r>
      <w:bookmarkEnd w:id="3"/>
    </w:p>
    <w:p w14:paraId="691A22B5" w14:textId="2327902E" w:rsidR="00EC178C" w:rsidRPr="00EC178C" w:rsidRDefault="00615DAE" w:rsidP="00EC178C">
      <w:pPr>
        <w:rPr>
          <w:lang w:eastAsia="en-GB"/>
        </w:rPr>
      </w:pPr>
      <w:r w:rsidRPr="00EC178C">
        <w:rPr>
          <w:lang w:eastAsia="en-GB"/>
        </w:rPr>
        <w:t>The concept of marketing management can be defined as the process of planning, implementing, and controlling marketing strategies to generate value, fulfil customer needs</w:t>
      </w:r>
      <w:r w:rsidRPr="00EC178C">
        <w:rPr>
          <w:lang w:eastAsia="en-GB"/>
        </w:rPr>
        <w:t>, and attain organisational goals</w:t>
      </w:r>
      <w:r w:rsidR="005961EF">
        <w:rPr>
          <w:lang w:eastAsia="en-GB"/>
        </w:rPr>
        <w:t xml:space="preserve"> (Kotler and Keller, 2023)</w:t>
      </w:r>
      <w:r w:rsidRPr="00EC178C">
        <w:rPr>
          <w:lang w:eastAsia="en-GB"/>
        </w:rPr>
        <w:t>. It is a process of analysing market opportunities, formulating competitive strategies and also matching resources. Marketing management is an important factor in the context of Alibaba Group to u</w:t>
      </w:r>
      <w:r w:rsidRPr="00EC178C">
        <w:rPr>
          <w:lang w:eastAsia="en-GB"/>
        </w:rPr>
        <w:t xml:space="preserve">tilise digital ecosystems and innovation in global growth. </w:t>
      </w:r>
      <w:r>
        <w:rPr>
          <w:lang w:eastAsia="en-GB"/>
        </w:rPr>
        <w:t>The</w:t>
      </w:r>
      <w:r w:rsidRPr="00EC178C">
        <w:rPr>
          <w:lang w:eastAsia="en-GB"/>
        </w:rPr>
        <w:t xml:space="preserve"> objective of this portfolio is to develop a comprehensive brand extension strategy for Alibaba TrustPass to enhance business expansion and competitive advantage.</w:t>
      </w:r>
    </w:p>
    <w:p w14:paraId="2AB267D3" w14:textId="77777777" w:rsidR="00AE21C4" w:rsidRDefault="00615DAE">
      <w:pPr>
        <w:rPr>
          <w:rFonts w:ascii="Times New Roman" w:eastAsia="Times New Roman" w:hAnsi="Times New Roman"/>
          <w:szCs w:val="24"/>
          <w:lang w:eastAsia="en-GB"/>
        </w:rPr>
      </w:pPr>
      <w:r>
        <w:rPr>
          <w:rFonts w:ascii="Times New Roman" w:eastAsia="Times New Roman" w:hAnsi="Times New Roman"/>
          <w:szCs w:val="24"/>
          <w:lang w:eastAsia="en-GB"/>
        </w:rPr>
        <w:br w:type="page"/>
      </w:r>
    </w:p>
    <w:p w14:paraId="1945DCFA" w14:textId="77777777" w:rsidR="00FB15C7" w:rsidRDefault="00615DAE" w:rsidP="001B74E6">
      <w:pPr>
        <w:pStyle w:val="Heading1"/>
        <w:rPr>
          <w:lang w:val="en-US"/>
        </w:rPr>
      </w:pPr>
      <w:bookmarkStart w:id="4" w:name="_Toc228218563"/>
      <w:r>
        <w:rPr>
          <w:lang w:val="en-US"/>
        </w:rPr>
        <w:lastRenderedPageBreak/>
        <w:t>Element 1: Brand Extension Po</w:t>
      </w:r>
      <w:r>
        <w:rPr>
          <w:lang w:val="en-US"/>
        </w:rPr>
        <w:t>ster Presentation</w:t>
      </w:r>
      <w:bookmarkEnd w:id="4"/>
    </w:p>
    <w:p w14:paraId="7DBC3450" w14:textId="185257F0" w:rsidR="00B70480" w:rsidRPr="002622A4" w:rsidRDefault="002622A4">
      <w:pPr>
        <w:rPr>
          <w:lang w:val="en-US" w:eastAsia="en-GB"/>
        </w:rPr>
      </w:pPr>
      <w:r w:rsidRPr="002622A4">
        <w:rPr>
          <w:lang w:eastAsia="en-GB"/>
        </w:rPr>
        <w:t>Please refer to the Appendix.</w:t>
      </w:r>
    </w:p>
    <w:p w14:paraId="382FDB6C" w14:textId="77777777" w:rsidR="00B70480" w:rsidRDefault="00615DAE" w:rsidP="00B70480">
      <w:pPr>
        <w:pStyle w:val="Heading1"/>
      </w:pPr>
      <w:bookmarkStart w:id="5" w:name="_Toc228218564"/>
      <w:r>
        <w:t xml:space="preserve">Element </w:t>
      </w:r>
      <w:r w:rsidRPr="00B70480">
        <w:t>2</w:t>
      </w:r>
      <w:r>
        <w:t>:</w:t>
      </w:r>
      <w:r w:rsidRPr="00B70480">
        <w:t xml:space="preserve"> Segmentation, Targeting, Differentiation, and Positioning (STDP) Analysis</w:t>
      </w:r>
      <w:bookmarkEnd w:id="5"/>
    </w:p>
    <w:p w14:paraId="0D332C94" w14:textId="0288AEA5" w:rsidR="00691116" w:rsidRDefault="00615DAE" w:rsidP="00691116">
      <w:r>
        <w:t xml:space="preserve">Segmentation, Targeting, Differentiation and Positioning (STDP) is a strategic marketing model that is employed to </w:t>
      </w:r>
      <w:r>
        <w:t>determine the group of customers, pick the most viable groups, develop unique value propositions and position a brand positively in the minds of the consumers to gain a competitive edge and long-term growth</w:t>
      </w:r>
      <w:r w:rsidR="00691116" w:rsidRPr="00691116">
        <w:t xml:space="preserve"> (Mogaji, 2025)</w:t>
      </w:r>
      <w:r>
        <w:t>.</w:t>
      </w:r>
    </w:p>
    <w:p w14:paraId="3E6173A8" w14:textId="2D9D78E1" w:rsidR="00691116" w:rsidRDefault="00691116" w:rsidP="00691116">
      <w:pPr>
        <w:keepNext/>
        <w:jc w:val="center"/>
      </w:pPr>
      <w:r>
        <w:drawing>
          <wp:inline distT="0" distB="0" distL="0" distR="0" wp14:anchorId="594866BB" wp14:editId="58E065A5">
            <wp:extent cx="3801533" cy="2226067"/>
            <wp:effectExtent l="0" t="0" r="8890" b="3175"/>
            <wp:docPr id="2058399856" name="Picture 1" descr="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
                    <pic:cNvPicPr>
                      <a:picLocks noChangeAspect="1" noChangeArrowheads="1"/>
                    </pic:cNvPicPr>
                  </pic:nvPicPr>
                  <pic:blipFill rotWithShape="1">
                    <a:blip r:embed="rId11">
                      <a:extLst>
                        <a:ext uri="{28A0092B-C50C-407E-A947-70E740481C1C}">
                          <a14:useLocalDpi xmlns:a14="http://schemas.microsoft.com/office/drawing/2010/main" val="0"/>
                        </a:ext>
                      </a:extLst>
                    </a:blip>
                    <a:srcRect t="12091"/>
                    <a:stretch>
                      <a:fillRect/>
                    </a:stretch>
                  </pic:blipFill>
                  <pic:spPr bwMode="auto">
                    <a:xfrm>
                      <a:off x="0" y="0"/>
                      <a:ext cx="3828740" cy="2241999"/>
                    </a:xfrm>
                    <a:prstGeom prst="rect">
                      <a:avLst/>
                    </a:prstGeom>
                    <a:noFill/>
                    <a:ln>
                      <a:noFill/>
                    </a:ln>
                    <a:extLst>
                      <a:ext uri="{53640926-AAD7-44D8-BBD7-CCE9431645EC}">
                        <a14:shadowObscured xmlns:a14="http://schemas.microsoft.com/office/drawing/2010/main"/>
                      </a:ext>
                    </a:extLst>
                  </pic:spPr>
                </pic:pic>
              </a:graphicData>
            </a:graphic>
          </wp:inline>
        </w:drawing>
      </w:r>
    </w:p>
    <w:p w14:paraId="4BFDA0F0" w14:textId="7DF08935" w:rsidR="00691116" w:rsidRDefault="00691116" w:rsidP="00691116">
      <w:pPr>
        <w:pStyle w:val="Caption"/>
      </w:pPr>
      <w:r>
        <w:t xml:space="preserve">Figure </w:t>
      </w:r>
      <w:r>
        <w:fldChar w:fldCharType="begin"/>
      </w:r>
      <w:r>
        <w:instrText xml:space="preserve"> SEQ Figure \* ARABIC </w:instrText>
      </w:r>
      <w:r>
        <w:fldChar w:fldCharType="separate"/>
      </w:r>
      <w:r w:rsidR="007F2592">
        <w:t>1</w:t>
      </w:r>
      <w:r>
        <w:fldChar w:fldCharType="end"/>
      </w:r>
      <w:r>
        <w:t xml:space="preserve">: STDP </w:t>
      </w:r>
      <w:r w:rsidRPr="00691116">
        <w:t>Strategy</w:t>
      </w:r>
    </w:p>
    <w:p w14:paraId="499133AD" w14:textId="40026534" w:rsidR="00691116" w:rsidRPr="00691116" w:rsidRDefault="00691116" w:rsidP="00691116">
      <w:pPr>
        <w:jc w:val="center"/>
        <w:rPr>
          <w:b/>
          <w:bCs/>
          <w:lang w:val="en-US"/>
        </w:rPr>
      </w:pPr>
      <w:r w:rsidRPr="00691116">
        <w:rPr>
          <w:b/>
          <w:bCs/>
          <w:lang w:val="en-US"/>
        </w:rPr>
        <w:t>Source: (Aydin ahrabi, 2026)</w:t>
      </w:r>
    </w:p>
    <w:p w14:paraId="19063BAB" w14:textId="77777777" w:rsidR="00B70480" w:rsidRDefault="00615DAE" w:rsidP="00B70480">
      <w:pPr>
        <w:pStyle w:val="Heading2"/>
      </w:pPr>
      <w:bookmarkStart w:id="6" w:name="_Toc228218565"/>
      <w:r w:rsidRPr="00B70480">
        <w:t>2.</w:t>
      </w:r>
      <w:r>
        <w:t>1</w:t>
      </w:r>
      <w:r w:rsidRPr="00B70480">
        <w:t xml:space="preserve"> Market Segmentation for Alibaba TrustPass</w:t>
      </w:r>
      <w:bookmarkEnd w:id="6"/>
    </w:p>
    <w:p w14:paraId="1F2BBC01" w14:textId="77777777" w:rsidR="00346F2A" w:rsidRDefault="00615DAE" w:rsidP="00B70480">
      <w:r w:rsidRPr="00065869">
        <w:rPr>
          <w:b/>
          <w:bCs/>
        </w:rPr>
        <w:t>Geographic Segmentation:</w:t>
      </w:r>
    </w:p>
    <w:p w14:paraId="6BD844A2" w14:textId="1A673F14" w:rsidR="00B70480" w:rsidRDefault="00615DAE" w:rsidP="00B70480">
      <w:r>
        <w:t>Alibaba TrustPass is within a worldwide B2B environment that covers more than 190 countries, and thus geographic segmentation is vital. Th</w:t>
      </w:r>
      <w:r>
        <w:t>e major markets are the emerging economies in Asia, Africa and Latin America, where SMEs are under extreme financial constraint</w:t>
      </w:r>
      <w:r w:rsidR="00AE30A7" w:rsidRPr="00AE30A7">
        <w:t xml:space="preserve"> (Xiang and Yang, 2021)</w:t>
      </w:r>
      <w:r>
        <w:t>.  Asia alone contributes to close to 40 per cent of the trade finance gap in the world. Conversely, devel</w:t>
      </w:r>
      <w:r>
        <w:t>oped markets, including Europe and North America, are secondary segments, and businesses in these markets require high levels of compliance, automation, and transparency in cross-border trade.</w:t>
      </w:r>
    </w:p>
    <w:p w14:paraId="62CDE59F" w14:textId="77777777" w:rsidR="00346F2A" w:rsidRDefault="00615DAE" w:rsidP="00B70480">
      <w:r w:rsidRPr="00065869">
        <w:rPr>
          <w:b/>
          <w:bCs/>
        </w:rPr>
        <w:t>Demographic Segmentation</w:t>
      </w:r>
      <w:r w:rsidR="00065869" w:rsidRPr="00065869">
        <w:rPr>
          <w:b/>
          <w:bCs/>
        </w:rPr>
        <w:t>:</w:t>
      </w:r>
    </w:p>
    <w:p w14:paraId="0FEEFED3" w14:textId="5AD4F545" w:rsidR="00B70480" w:rsidRDefault="00615DAE" w:rsidP="00B70480">
      <w:r>
        <w:t>TrustPass is demographically oriented</w:t>
      </w:r>
      <w:r>
        <w:t xml:space="preserve"> towards small and medium-sized enterprises (SMEs), which make up about 90 per cent of all businesses worldwide and generate over 50 per cent of global GDP</w:t>
      </w:r>
      <w:r w:rsidR="00AE30A7" w:rsidRPr="00AE30A7">
        <w:t xml:space="preserve"> (Swarnim Suhane, 2024)</w:t>
      </w:r>
      <w:r>
        <w:t xml:space="preserve">. These companies are </w:t>
      </w:r>
      <w:r>
        <w:lastRenderedPageBreak/>
        <w:t>usually in the manufacturing, wholesale trade, and expor</w:t>
      </w:r>
      <w:r>
        <w:t xml:space="preserve">t-import services business with annual revenues of about 100,000 to 50 million dollars. The decision-makers are business owners, financial managers and procurement heads between the ages of 25 and 55 years, who are digitally literate and have cross-border </w:t>
      </w:r>
      <w:r>
        <w:t>trade activities.</w:t>
      </w:r>
    </w:p>
    <w:p w14:paraId="5EB29401" w14:textId="77777777" w:rsidR="00346F2A" w:rsidRDefault="00615DAE" w:rsidP="00B70480">
      <w:r w:rsidRPr="00346F2A">
        <w:rPr>
          <w:b/>
          <w:bCs/>
        </w:rPr>
        <w:t>Psychographic Segmentation</w:t>
      </w:r>
      <w:r w:rsidR="00065869" w:rsidRPr="00346F2A">
        <w:rPr>
          <w:b/>
          <w:bCs/>
        </w:rPr>
        <w:t>:</w:t>
      </w:r>
    </w:p>
    <w:p w14:paraId="03E4E2C7" w14:textId="1BA5A910" w:rsidR="00B70480" w:rsidRDefault="00615DAE" w:rsidP="00B70480">
      <w:r>
        <w:t>TrustPass appeals to SMEs that are growth-oriented, risk-conscious and innovative. These companies appreciate the efficiency, reliability, and scalability of their operations. They are strongly driven by uncert</w:t>
      </w:r>
      <w:r>
        <w:t xml:space="preserve">ainty avoidance in global transactions and ready to embrace digital solutions that improve the transparency of their operations. According to </w:t>
      </w:r>
      <w:r w:rsidR="00AE30A7" w:rsidRPr="00AE30A7">
        <w:t>Djibran (2025)</w:t>
      </w:r>
      <w:r>
        <w:t>, more than 65 per cent of SMEs use digital platforms that are integrated rather than traditional ba</w:t>
      </w:r>
      <w:r>
        <w:t>nking channels because they are fast and convenient.</w:t>
      </w:r>
    </w:p>
    <w:p w14:paraId="7EDC9BCB" w14:textId="77777777" w:rsidR="00346F2A" w:rsidRDefault="00615DAE" w:rsidP="00B70480">
      <w:r w:rsidRPr="00346F2A">
        <w:rPr>
          <w:b/>
          <w:bCs/>
        </w:rPr>
        <w:t>Behavioural Segmentation:</w:t>
      </w:r>
    </w:p>
    <w:p w14:paraId="7051C117" w14:textId="6D950243" w:rsidR="00B70480" w:rsidRDefault="00615DAE" w:rsidP="00B70480">
      <w:r>
        <w:t>Behavioural segmentation targets SMEs which conduct cross-border transactions regularly and experience issues like delayed payments, risk of fraud, and limited access to credit</w:t>
      </w:r>
      <w:r w:rsidR="00AE30A7" w:rsidRPr="00AE30A7">
        <w:t xml:space="preserve"> (Saurabh and Ratten, 2023)</w:t>
      </w:r>
      <w:r>
        <w:t>. Such companies are characterised by the great levels of utilisation of e-commerce tools such as Alibaba.com and show loyalty to arranged ecosystems. The growing use of embedded finance, which is expected to hit $15.6 trillion by</w:t>
      </w:r>
      <w:r>
        <w:t xml:space="preserve"> 2030, also underscores the behavioural change toward integrated financial services.</w:t>
      </w:r>
    </w:p>
    <w:p w14:paraId="0B69836C" w14:textId="77777777" w:rsidR="00B70480" w:rsidRDefault="00615DAE" w:rsidP="00346F2A">
      <w:pPr>
        <w:pStyle w:val="Heading2"/>
      </w:pPr>
      <w:bookmarkStart w:id="7" w:name="_Toc228218566"/>
      <w:r>
        <w:t>2.</w:t>
      </w:r>
      <w:r w:rsidR="00346F2A">
        <w:t>2</w:t>
      </w:r>
      <w:r>
        <w:t>Targeting Strategy of Alibaba TrustPass</w:t>
      </w:r>
      <w:bookmarkEnd w:id="7"/>
    </w:p>
    <w:p w14:paraId="5DF748BF" w14:textId="12B8B0EC" w:rsidR="005C4B63" w:rsidRPr="005C4B63" w:rsidRDefault="00AE30A7" w:rsidP="005C4B63">
      <w:pPr>
        <w:rPr>
          <w:lang w:eastAsia="en-GB"/>
        </w:rPr>
      </w:pPr>
      <w:r w:rsidRPr="00AE30A7">
        <w:rPr>
          <w:lang w:eastAsia="en-GB"/>
        </w:rPr>
        <w:t>Targeting strategy involves selecting customer segments and tailoring marketing efforts to effectively meet their needs</w:t>
      </w:r>
      <w:r w:rsidR="005C4B63" w:rsidRPr="005C4B63">
        <w:t xml:space="preserve"> </w:t>
      </w:r>
      <w:r w:rsidR="005C4B63" w:rsidRPr="005C4B63">
        <w:rPr>
          <w:lang w:eastAsia="en-GB"/>
        </w:rPr>
        <w:t>(Parshetty, Palimkar and Emandi, 2024)</w:t>
      </w:r>
      <w:r w:rsidRPr="00AE30A7">
        <w:rPr>
          <w:lang w:eastAsia="en-GB"/>
        </w:rPr>
        <w:t>.</w:t>
      </w:r>
      <w:r>
        <w:rPr>
          <w:lang w:eastAsia="en-GB"/>
        </w:rPr>
        <w:t xml:space="preserve"> The targeting strategy of Alibaba TrustPass is following:</w:t>
      </w:r>
    </w:p>
    <w:p w14:paraId="6064EC2F" w14:textId="77777777" w:rsidR="005C4B63" w:rsidRDefault="005C4B63" w:rsidP="005C4B63">
      <w:pPr>
        <w:keepNext/>
        <w:jc w:val="center"/>
      </w:pPr>
      <w:r w:rsidRPr="005C4B63">
        <w:rPr>
          <w:lang w:val="en-US" w:eastAsia="en-GB"/>
        </w:rPr>
        <w:lastRenderedPageBreak/>
        <w:drawing>
          <wp:inline distT="0" distB="0" distL="0" distR="0" wp14:anchorId="3C418D3D" wp14:editId="0D4CB578">
            <wp:extent cx="4722495" cy="2611967"/>
            <wp:effectExtent l="0" t="0" r="0" b="0"/>
            <wp:docPr id="149616998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2">
                      <a:extLst>
                        <a:ext uri="{28A0092B-C50C-407E-A947-70E740481C1C}">
                          <a14:useLocalDpi xmlns:a14="http://schemas.microsoft.com/office/drawing/2010/main" val="0"/>
                        </a:ext>
                      </a:extLst>
                    </a:blip>
                    <a:srcRect t="20442" b="5605"/>
                    <a:stretch>
                      <a:fillRect/>
                    </a:stretch>
                  </pic:blipFill>
                  <pic:spPr bwMode="auto">
                    <a:xfrm>
                      <a:off x="0" y="0"/>
                      <a:ext cx="4736928" cy="2619950"/>
                    </a:xfrm>
                    <a:prstGeom prst="rect">
                      <a:avLst/>
                    </a:prstGeom>
                    <a:noFill/>
                    <a:ln>
                      <a:noFill/>
                    </a:ln>
                    <a:extLst>
                      <a:ext uri="{53640926-AAD7-44D8-BBD7-CCE9431645EC}">
                        <a14:shadowObscured xmlns:a14="http://schemas.microsoft.com/office/drawing/2010/main"/>
                      </a:ext>
                    </a:extLst>
                  </pic:spPr>
                </pic:pic>
              </a:graphicData>
            </a:graphic>
          </wp:inline>
        </w:drawing>
      </w:r>
    </w:p>
    <w:p w14:paraId="2DFB3BF8" w14:textId="6D9EDE96" w:rsidR="005C4B63" w:rsidRPr="005C4B63" w:rsidRDefault="005C4B63" w:rsidP="005C4B63">
      <w:pPr>
        <w:pStyle w:val="Caption"/>
      </w:pPr>
      <w:r>
        <w:t xml:space="preserve">Figure </w:t>
      </w:r>
      <w:r>
        <w:fldChar w:fldCharType="begin"/>
      </w:r>
      <w:r>
        <w:instrText xml:space="preserve"> SEQ Figure \* ARABIC </w:instrText>
      </w:r>
      <w:r>
        <w:fldChar w:fldCharType="separate"/>
      </w:r>
      <w:r w:rsidR="007F2592">
        <w:t>2</w:t>
      </w:r>
      <w:r>
        <w:fldChar w:fldCharType="end"/>
      </w:r>
      <w:r>
        <w:t>: Targeting Strategy of Alibaba TrustPass (Self-Made)</w:t>
      </w:r>
    </w:p>
    <w:p w14:paraId="1D2F9128" w14:textId="77777777" w:rsidR="005C4B63" w:rsidRPr="00AE30A7" w:rsidRDefault="005C4B63" w:rsidP="00AE30A7">
      <w:pPr>
        <w:rPr>
          <w:lang w:eastAsia="en-GB"/>
        </w:rPr>
      </w:pPr>
    </w:p>
    <w:p w14:paraId="69E387A5" w14:textId="77777777" w:rsidR="00B70480" w:rsidRPr="00346F2A" w:rsidRDefault="00615DAE" w:rsidP="00B70480">
      <w:pPr>
        <w:rPr>
          <w:b/>
          <w:bCs/>
        </w:rPr>
      </w:pPr>
      <w:r w:rsidRPr="00346F2A">
        <w:rPr>
          <w:b/>
          <w:bCs/>
        </w:rPr>
        <w:t>Primary Target Market</w:t>
      </w:r>
      <w:r w:rsidR="00346F2A" w:rsidRPr="00346F2A">
        <w:rPr>
          <w:b/>
          <w:bCs/>
        </w:rPr>
        <w:t>:</w:t>
      </w:r>
    </w:p>
    <w:p w14:paraId="58D7B4BC" w14:textId="63F9CDE4" w:rsidR="00B70480" w:rsidRDefault="00615DAE" w:rsidP="00B70480">
      <w:r>
        <w:t xml:space="preserve">The major focus of the Alibaba </w:t>
      </w:r>
      <w:r>
        <w:t>TrustPass is export-driven SMEs in the emerging markets, which have limited access to conventional trade finance. In these businesses, banks may reject them up to 41 per cent, which is why other ways to finance them are essential. TrustPass is a direct sol</w:t>
      </w:r>
      <w:r>
        <w:t>ution to this pain point, with real-time credit evaluation and credit financing (not based on collateral) through transaction data</w:t>
      </w:r>
      <w:r w:rsidR="005C4B63" w:rsidRPr="005C4B63">
        <w:t xml:space="preserve"> (Peng and Zhu, 2023)</w:t>
      </w:r>
      <w:r>
        <w:t>.</w:t>
      </w:r>
    </w:p>
    <w:p w14:paraId="663D6A6F" w14:textId="77777777" w:rsidR="00B70480" w:rsidRPr="00346F2A" w:rsidRDefault="00615DAE" w:rsidP="00B70480">
      <w:pPr>
        <w:rPr>
          <w:b/>
          <w:bCs/>
        </w:rPr>
      </w:pPr>
      <w:r w:rsidRPr="00346F2A">
        <w:rPr>
          <w:b/>
          <w:bCs/>
        </w:rPr>
        <w:t>Secondary Target Market</w:t>
      </w:r>
      <w:r w:rsidR="00346F2A" w:rsidRPr="00346F2A">
        <w:rPr>
          <w:b/>
          <w:bCs/>
        </w:rPr>
        <w:t>:</w:t>
      </w:r>
    </w:p>
    <w:p w14:paraId="5D2911DE" w14:textId="7DB8C9AE" w:rsidR="00B70480" w:rsidRDefault="00615DAE" w:rsidP="00B70480">
      <w:r>
        <w:t xml:space="preserve">The secondary customer is importers and buyers in developed markets who value </w:t>
      </w:r>
      <w:r>
        <w:t>transaction security, supplier reliability, and regulatory compliance</w:t>
      </w:r>
      <w:r w:rsidR="005C4B63" w:rsidRPr="005C4B63">
        <w:t xml:space="preserve"> (Bradley, Meyer and Gao, 2023)</w:t>
      </w:r>
      <w:r>
        <w:t xml:space="preserve">. TrustPass provides these customers with escrow protection, AI-based verification, and transparent trade processes, eliminating the risks of international </w:t>
      </w:r>
      <w:r>
        <w:t>sourcing.</w:t>
      </w:r>
    </w:p>
    <w:p w14:paraId="0B9F60EC" w14:textId="77777777" w:rsidR="00B70480" w:rsidRPr="00346F2A" w:rsidRDefault="00615DAE" w:rsidP="00B70480">
      <w:pPr>
        <w:rPr>
          <w:b/>
          <w:bCs/>
        </w:rPr>
      </w:pPr>
      <w:r w:rsidRPr="00346F2A">
        <w:rPr>
          <w:b/>
          <w:bCs/>
        </w:rPr>
        <w:t>Targeting Approach</w:t>
      </w:r>
      <w:r w:rsidR="00346F2A" w:rsidRPr="00346F2A">
        <w:rPr>
          <w:b/>
          <w:bCs/>
        </w:rPr>
        <w:t>:</w:t>
      </w:r>
    </w:p>
    <w:p w14:paraId="068F67C0" w14:textId="315B9825" w:rsidR="00B70480" w:rsidRDefault="00615DAE" w:rsidP="00B70480">
      <w:r>
        <w:t>Alibaba TrustPass uses a differentiated target strategy, providing different segments with value propositions. In the case of SMEs in emerging markets, it is financial inclusion and credit availability, whereas in developed ma</w:t>
      </w:r>
      <w:r>
        <w:t>rket purchasers, the priority is security, compliance and efficiency</w:t>
      </w:r>
      <w:r w:rsidR="00F134BC" w:rsidRPr="00F134BC">
        <w:t xml:space="preserve"> (Hendrikse and Bassens, 2024)</w:t>
      </w:r>
      <w:r>
        <w:t>. This two-way targeting helps to cover more markets and makes the ecosystem stronger.</w:t>
      </w:r>
    </w:p>
    <w:p w14:paraId="468BF71C" w14:textId="77777777" w:rsidR="00B70480" w:rsidRDefault="00615DAE" w:rsidP="00346F2A">
      <w:pPr>
        <w:pStyle w:val="Heading2"/>
      </w:pPr>
      <w:bookmarkStart w:id="8" w:name="_Toc228218567"/>
      <w:r>
        <w:t>2.</w:t>
      </w:r>
      <w:r w:rsidR="00346F2A">
        <w:t>3</w:t>
      </w:r>
      <w:r>
        <w:t xml:space="preserve"> Differentiation Strategy</w:t>
      </w:r>
      <w:bookmarkEnd w:id="8"/>
    </w:p>
    <w:p w14:paraId="0293B628" w14:textId="77777777" w:rsidR="00B70480" w:rsidRPr="002A635D" w:rsidRDefault="00615DAE" w:rsidP="00B70480">
      <w:pPr>
        <w:rPr>
          <w:b/>
          <w:bCs/>
        </w:rPr>
      </w:pPr>
      <w:r w:rsidRPr="002A635D">
        <w:rPr>
          <w:b/>
          <w:bCs/>
        </w:rPr>
        <w:t>Core Differentiation Factors</w:t>
      </w:r>
      <w:r w:rsidR="002A635D" w:rsidRPr="002A635D">
        <w:rPr>
          <w:b/>
          <w:bCs/>
        </w:rPr>
        <w:t>:</w:t>
      </w:r>
    </w:p>
    <w:p w14:paraId="77BFCCDB" w14:textId="77777777" w:rsidR="00B70480" w:rsidRDefault="00615DAE" w:rsidP="00B70480">
      <w:r>
        <w:lastRenderedPageBreak/>
        <w:t>Alibaba TrustPass stands out as an integrated ecosystem, AI-enabled smarts, and in-built financial services. In contrast to conventional banks, which depend on collateral and manual operations, TrustPass utilises real-time transaction data and AI models, i</w:t>
      </w:r>
      <w:r>
        <w:t>ncluding Qwen 3.6-Plus, to provide instant risk scores. That saves a lot of time in weeks to minutes of approval.</w:t>
      </w:r>
    </w:p>
    <w:p w14:paraId="1422F3D6" w14:textId="77777777" w:rsidR="00B70480" w:rsidRPr="002A635D" w:rsidRDefault="00615DAE" w:rsidP="00B70480">
      <w:pPr>
        <w:rPr>
          <w:b/>
          <w:bCs/>
        </w:rPr>
      </w:pPr>
      <w:r w:rsidRPr="002A635D">
        <w:rPr>
          <w:b/>
          <w:bCs/>
        </w:rPr>
        <w:t>Technological Superiority</w:t>
      </w:r>
      <w:r w:rsidR="002A635D" w:rsidRPr="002A635D">
        <w:rPr>
          <w:b/>
          <w:bCs/>
        </w:rPr>
        <w:t>:</w:t>
      </w:r>
    </w:p>
    <w:p w14:paraId="1BF1101E" w14:textId="50703736" w:rsidR="00B70480" w:rsidRDefault="00615DAE" w:rsidP="00B70480">
      <w:r>
        <w:t>The connection between the platform and the Alibaba Cloud and Cainiao logistics allows for end-to-end visibility th</w:t>
      </w:r>
      <w:r>
        <w:t>roughout the trade cycle. The automation of traditional customs and document verification through AI minimises operational mistakes by up to 30 per cent, and predictive analytics minimises fraud. Traditional trade finance institutions like competitors do n</w:t>
      </w:r>
      <w:r>
        <w:t>ot have such high technological sophistication and ecosystem connectivity</w:t>
      </w:r>
      <w:r w:rsidR="00F134BC" w:rsidRPr="00F134BC">
        <w:t xml:space="preserve"> (Hendrikse and Bassens, 2024)</w:t>
      </w:r>
      <w:r>
        <w:t>.</w:t>
      </w:r>
    </w:p>
    <w:p w14:paraId="0A040B4B" w14:textId="77777777" w:rsidR="00B70480" w:rsidRPr="002A635D" w:rsidRDefault="00615DAE" w:rsidP="00B70480">
      <w:pPr>
        <w:rPr>
          <w:b/>
          <w:bCs/>
        </w:rPr>
      </w:pPr>
      <w:r w:rsidRPr="002A635D">
        <w:rPr>
          <w:b/>
          <w:bCs/>
        </w:rPr>
        <w:t>Value-Based Differentiation</w:t>
      </w:r>
      <w:r w:rsidR="002A635D" w:rsidRPr="002A635D">
        <w:rPr>
          <w:b/>
          <w:bCs/>
        </w:rPr>
        <w:t>:</w:t>
      </w:r>
    </w:p>
    <w:p w14:paraId="5831FF28" w14:textId="22C5EB8D" w:rsidR="00B70480" w:rsidRDefault="00615DAE" w:rsidP="00B70480">
      <w:r>
        <w:t>Another aspect where TrustPass is differentiated is its sustainability-based approach. Through the integration of green fi</w:t>
      </w:r>
      <w:r>
        <w:t>nance incentives and electronic documents, the platform lessens carbon emissions and fosters responsible trade practices</w:t>
      </w:r>
      <w:r w:rsidR="00F134BC" w:rsidRPr="00F134BC">
        <w:t xml:space="preserve"> (Wang, Cui and Zhou, 2024)</w:t>
      </w:r>
      <w:r>
        <w:t>. This is in accordance with the increasing need for ESG-compliant solutions, especially for global customers</w:t>
      </w:r>
      <w:r>
        <w:t>.</w:t>
      </w:r>
    </w:p>
    <w:p w14:paraId="1116833E" w14:textId="77777777" w:rsidR="00B70480" w:rsidRDefault="00615DAE" w:rsidP="002A635D">
      <w:pPr>
        <w:pStyle w:val="Heading2"/>
      </w:pPr>
      <w:bookmarkStart w:id="9" w:name="_Toc228218568"/>
      <w:r>
        <w:t>2.</w:t>
      </w:r>
      <w:r w:rsidR="002A635D">
        <w:t>4</w:t>
      </w:r>
      <w:r>
        <w:t xml:space="preserve"> Positioning Strategy</w:t>
      </w:r>
      <w:bookmarkEnd w:id="9"/>
    </w:p>
    <w:p w14:paraId="27B58F9B" w14:textId="77777777" w:rsidR="00B70480" w:rsidRPr="002A635D" w:rsidRDefault="00615DAE" w:rsidP="00B70480">
      <w:pPr>
        <w:rPr>
          <w:b/>
          <w:bCs/>
        </w:rPr>
      </w:pPr>
      <w:r w:rsidRPr="002A635D">
        <w:rPr>
          <w:b/>
          <w:bCs/>
        </w:rPr>
        <w:t>Positioning Statement</w:t>
      </w:r>
      <w:r w:rsidR="002A635D" w:rsidRPr="002A635D">
        <w:rPr>
          <w:b/>
          <w:bCs/>
        </w:rPr>
        <w:t>:</w:t>
      </w:r>
    </w:p>
    <w:p w14:paraId="7B52FBFB" w14:textId="77777777" w:rsidR="00B70480" w:rsidRDefault="00615DAE" w:rsidP="00B70480">
      <w:r>
        <w:t>Alibaba TrustPass is poised to be a safe, AI-driven, and fully integrated cross-border fintech platform that lets SMEs trade globally with safety, speed, and financial flexibility.</w:t>
      </w:r>
    </w:p>
    <w:p w14:paraId="3999C1BF" w14:textId="77777777" w:rsidR="00B70480" w:rsidRPr="002A635D" w:rsidRDefault="00615DAE" w:rsidP="00B70480">
      <w:pPr>
        <w:rPr>
          <w:b/>
          <w:bCs/>
        </w:rPr>
      </w:pPr>
      <w:r w:rsidRPr="002A635D">
        <w:rPr>
          <w:b/>
          <w:bCs/>
        </w:rPr>
        <w:t>Perceptual Map Analysis</w:t>
      </w:r>
      <w:r w:rsidR="002A635D" w:rsidRPr="002A635D">
        <w:rPr>
          <w:b/>
          <w:bCs/>
        </w:rPr>
        <w:t>:</w:t>
      </w:r>
    </w:p>
    <w:p w14:paraId="5AAA9613" w14:textId="77777777" w:rsidR="00B70480" w:rsidRDefault="00615DAE" w:rsidP="00B70480">
      <w:r>
        <w:t>A perceptual map can be used to position TrustPass, with two dimensions: level of digital integration and level of trust/security.</w:t>
      </w:r>
    </w:p>
    <w:p w14:paraId="7AD40FD4" w14:textId="77777777" w:rsidR="00AB5DEE" w:rsidRDefault="00AB5DEE" w:rsidP="00AB5DEE">
      <w:pPr>
        <w:keepNext/>
        <w:jc w:val="center"/>
      </w:pPr>
      <w:r w:rsidRPr="00AB5DEE">
        <w:lastRenderedPageBreak/>
        <w:drawing>
          <wp:inline distT="0" distB="0" distL="0" distR="0" wp14:anchorId="690AB0D7" wp14:editId="5A2F0D2F">
            <wp:extent cx="5503545" cy="3022164"/>
            <wp:effectExtent l="0" t="0" r="1905" b="6985"/>
            <wp:docPr id="9683069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306927" name=""/>
                    <pic:cNvPicPr/>
                  </pic:nvPicPr>
                  <pic:blipFill>
                    <a:blip r:embed="rId13"/>
                    <a:stretch>
                      <a:fillRect/>
                    </a:stretch>
                  </pic:blipFill>
                  <pic:spPr>
                    <a:xfrm>
                      <a:off x="0" y="0"/>
                      <a:ext cx="5515807" cy="3028897"/>
                    </a:xfrm>
                    <a:prstGeom prst="rect">
                      <a:avLst/>
                    </a:prstGeom>
                  </pic:spPr>
                </pic:pic>
              </a:graphicData>
            </a:graphic>
          </wp:inline>
        </w:drawing>
      </w:r>
    </w:p>
    <w:p w14:paraId="34703D9D" w14:textId="70DCCADA" w:rsidR="00AB5DEE" w:rsidRDefault="00AB5DEE" w:rsidP="00AB5DEE">
      <w:pPr>
        <w:pStyle w:val="Caption"/>
      </w:pPr>
      <w:r>
        <w:t xml:space="preserve">Figure </w:t>
      </w:r>
      <w:r>
        <w:fldChar w:fldCharType="begin"/>
      </w:r>
      <w:r>
        <w:instrText xml:space="preserve"> SEQ Figure \* ARABIC </w:instrText>
      </w:r>
      <w:r>
        <w:fldChar w:fldCharType="separate"/>
      </w:r>
      <w:r w:rsidR="007F2592">
        <w:t>3</w:t>
      </w:r>
      <w:r>
        <w:fldChar w:fldCharType="end"/>
      </w:r>
      <w:r>
        <w:t>: Perceptual Map of Alibaba TrustPass</w:t>
      </w:r>
    </w:p>
    <w:p w14:paraId="4E284B0D" w14:textId="5A199F30" w:rsidR="00AB5DEE" w:rsidRPr="00AB5DEE" w:rsidRDefault="00AB5DEE" w:rsidP="00AB5DEE">
      <w:pPr>
        <w:jc w:val="center"/>
        <w:rPr>
          <w:b/>
          <w:bCs/>
          <w:lang w:val="en-US"/>
        </w:rPr>
      </w:pPr>
      <w:r w:rsidRPr="00AB5DEE">
        <w:rPr>
          <w:b/>
          <w:bCs/>
          <w:lang w:val="en-US"/>
        </w:rPr>
        <w:t>Source: (Self-Made)</w:t>
      </w:r>
    </w:p>
    <w:p w14:paraId="5D4C4100" w14:textId="77777777" w:rsidR="00B70480" w:rsidRDefault="00615DAE" w:rsidP="002A635D">
      <w:pPr>
        <w:pStyle w:val="ListParagraph"/>
        <w:numPr>
          <w:ilvl w:val="0"/>
          <w:numId w:val="32"/>
        </w:numPr>
      </w:pPr>
      <w:r w:rsidRPr="00AB5DEE">
        <w:rPr>
          <w:b/>
          <w:bCs/>
        </w:rPr>
        <w:t>Traditional banks:</w:t>
      </w:r>
      <w:r>
        <w:t xml:space="preserve"> Low-digitisat</w:t>
      </w:r>
      <w:r>
        <w:t>ion, high trust, and slow processes.</w:t>
      </w:r>
    </w:p>
    <w:p w14:paraId="51667EA1" w14:textId="77777777" w:rsidR="00B70480" w:rsidRDefault="00615DAE" w:rsidP="002A635D">
      <w:pPr>
        <w:pStyle w:val="ListParagraph"/>
        <w:numPr>
          <w:ilvl w:val="0"/>
          <w:numId w:val="32"/>
        </w:numPr>
      </w:pPr>
      <w:r w:rsidRPr="00AB5DEE">
        <w:rPr>
          <w:b/>
          <w:bCs/>
        </w:rPr>
        <w:t>Fintech startups:</w:t>
      </w:r>
      <w:r>
        <w:t xml:space="preserve"> Masses of digital integration, medium trust because of the lack of scale.</w:t>
      </w:r>
    </w:p>
    <w:p w14:paraId="6414DA53" w14:textId="77777777" w:rsidR="00B70480" w:rsidRDefault="00615DAE" w:rsidP="002A635D">
      <w:pPr>
        <w:pStyle w:val="ListParagraph"/>
        <w:numPr>
          <w:ilvl w:val="0"/>
          <w:numId w:val="32"/>
        </w:numPr>
      </w:pPr>
      <w:r w:rsidRPr="00AB5DEE">
        <w:rPr>
          <w:b/>
          <w:bCs/>
        </w:rPr>
        <w:t>Trade assurance services:</w:t>
      </w:r>
      <w:r>
        <w:t xml:space="preserve"> Moderate integration, moderate trust</w:t>
      </w:r>
    </w:p>
    <w:p w14:paraId="0F089B51" w14:textId="77777777" w:rsidR="00B70480" w:rsidRDefault="00615DAE" w:rsidP="002A635D">
      <w:pPr>
        <w:pStyle w:val="ListParagraph"/>
        <w:numPr>
          <w:ilvl w:val="0"/>
          <w:numId w:val="32"/>
        </w:numPr>
      </w:pPr>
      <w:r w:rsidRPr="00AB5DEE">
        <w:rPr>
          <w:b/>
          <w:bCs/>
        </w:rPr>
        <w:t>Alibaba TrustPass:</w:t>
      </w:r>
      <w:r>
        <w:t xml:space="preserve"> High digital integration, high trust due to e</w:t>
      </w:r>
      <w:r>
        <w:t>cosystem backing</w:t>
      </w:r>
    </w:p>
    <w:p w14:paraId="583B1AE3" w14:textId="77777777" w:rsidR="00B70480" w:rsidRPr="002A635D" w:rsidRDefault="00615DAE" w:rsidP="00B70480">
      <w:pPr>
        <w:rPr>
          <w:b/>
          <w:bCs/>
        </w:rPr>
      </w:pPr>
      <w:r w:rsidRPr="002A635D">
        <w:rPr>
          <w:b/>
          <w:bCs/>
        </w:rPr>
        <w:t>Competitive Positioning Outcome</w:t>
      </w:r>
      <w:r w:rsidR="002A635D" w:rsidRPr="002A635D">
        <w:rPr>
          <w:b/>
          <w:bCs/>
        </w:rPr>
        <w:t>:</w:t>
      </w:r>
    </w:p>
    <w:p w14:paraId="6E835399" w14:textId="744EA76A" w:rsidR="00BB0241" w:rsidRDefault="00615DAE" w:rsidP="00B70480">
      <w:r>
        <w:t>TrustPass is in a special high-trust, high-integration quadrant that provides the reliability of an established financial institution with the agility of a fintech platform</w:t>
      </w:r>
      <w:r w:rsidR="00AB5DEE" w:rsidRPr="00AB5DEE">
        <w:t xml:space="preserve"> (Choi and Skilton, 2022)</w:t>
      </w:r>
      <w:r>
        <w:t xml:space="preserve">. Such strategic positioning enables Alibaba to capitalise on its brand equity at the same time, filling crucial gaps in international trade financing, enhancing its competitive edge in the long-term business </w:t>
      </w:r>
      <w:r>
        <w:t>development.</w:t>
      </w:r>
    </w:p>
    <w:p w14:paraId="3F2B0C51" w14:textId="77777777" w:rsidR="00BE7BE1" w:rsidRDefault="00615DAE" w:rsidP="00F556BD">
      <w:pPr>
        <w:pStyle w:val="Heading1"/>
      </w:pPr>
      <w:bookmarkStart w:id="10" w:name="_Toc228218569"/>
      <w:r>
        <w:t>Element 3: Marketing Mix (4Ps) for Alibaba TrustPass</w:t>
      </w:r>
      <w:bookmarkEnd w:id="10"/>
    </w:p>
    <w:p w14:paraId="1F4B43FE" w14:textId="257C253E" w:rsidR="004674E1" w:rsidRDefault="00615DAE" w:rsidP="00BE7BE1">
      <w:r>
        <w:t>Marketing mix (4ps) is the strategic combination of Product, Price, Place and Promotion adopted by companies to create value, meet customer needs and gain a competitive edge</w:t>
      </w:r>
      <w:r w:rsidR="004674E1" w:rsidRPr="004674E1">
        <w:t xml:space="preserve"> (Xia, 2023)</w:t>
      </w:r>
      <w:r>
        <w:t xml:space="preserve">. It </w:t>
      </w:r>
      <w:r>
        <w:t>promotes brand alignment and market implementation, especially in the case of innovative online products like Alibaba TrustPass.</w:t>
      </w:r>
    </w:p>
    <w:p w14:paraId="04213B90" w14:textId="77777777" w:rsidR="004674E1" w:rsidRDefault="004674E1" w:rsidP="004674E1">
      <w:pPr>
        <w:keepNext/>
        <w:jc w:val="center"/>
      </w:pPr>
      <w:r>
        <w:lastRenderedPageBreak/>
        <w:drawing>
          <wp:inline distT="0" distB="0" distL="0" distR="0" wp14:anchorId="6FE24DCE" wp14:editId="16CF0268">
            <wp:extent cx="5193635" cy="2512339"/>
            <wp:effectExtent l="0" t="0" r="7620" b="2540"/>
            <wp:docPr id="511341942" name="Picture 4" descr="4 Ps of the marketing m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4 Ps of the marketing mix"/>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b="14008"/>
                    <a:stretch>
                      <a:fillRect/>
                    </a:stretch>
                  </pic:blipFill>
                  <pic:spPr bwMode="auto">
                    <a:xfrm>
                      <a:off x="0" y="0"/>
                      <a:ext cx="5200650" cy="2515732"/>
                    </a:xfrm>
                    <a:prstGeom prst="rect">
                      <a:avLst/>
                    </a:prstGeom>
                    <a:noFill/>
                    <a:ln>
                      <a:noFill/>
                    </a:ln>
                    <a:extLst>
                      <a:ext uri="{53640926-AAD7-44D8-BBD7-CCE9431645EC}">
                        <a14:shadowObscured xmlns:a14="http://schemas.microsoft.com/office/drawing/2010/main"/>
                      </a:ext>
                    </a:extLst>
                  </pic:spPr>
                </pic:pic>
              </a:graphicData>
            </a:graphic>
          </wp:inline>
        </w:drawing>
      </w:r>
    </w:p>
    <w:p w14:paraId="28E10199" w14:textId="2560DFB6" w:rsidR="004674E1" w:rsidRDefault="004674E1" w:rsidP="004674E1">
      <w:pPr>
        <w:pStyle w:val="Caption"/>
      </w:pPr>
      <w:r>
        <w:t xml:space="preserve">Figure </w:t>
      </w:r>
      <w:r>
        <w:fldChar w:fldCharType="begin"/>
      </w:r>
      <w:r>
        <w:instrText xml:space="preserve"> SEQ Figure \* ARABIC </w:instrText>
      </w:r>
      <w:r>
        <w:fldChar w:fldCharType="separate"/>
      </w:r>
      <w:r w:rsidR="007F2592">
        <w:t>4</w:t>
      </w:r>
      <w:r>
        <w:fldChar w:fldCharType="end"/>
      </w:r>
      <w:r>
        <w:t>: 4Ps of Marketing Mix</w:t>
      </w:r>
    </w:p>
    <w:p w14:paraId="731B5EB1" w14:textId="70E66C07" w:rsidR="004674E1" w:rsidRPr="00D22366" w:rsidRDefault="004674E1" w:rsidP="00D22366">
      <w:pPr>
        <w:jc w:val="center"/>
        <w:rPr>
          <w:b/>
          <w:bCs/>
          <w:lang w:val="en-US"/>
        </w:rPr>
      </w:pPr>
      <w:r w:rsidRPr="00D22366">
        <w:rPr>
          <w:b/>
          <w:bCs/>
          <w:lang w:val="en-US"/>
        </w:rPr>
        <w:t xml:space="preserve">Source: </w:t>
      </w:r>
      <w:r w:rsidR="00D22366" w:rsidRPr="00D22366">
        <w:rPr>
          <w:b/>
          <w:bCs/>
          <w:lang w:val="en-US"/>
        </w:rPr>
        <w:t>(Mishra, 2020)</w:t>
      </w:r>
    </w:p>
    <w:p w14:paraId="7EE845C8" w14:textId="77777777" w:rsidR="00BE7BE1" w:rsidRDefault="00615DAE" w:rsidP="00F556BD">
      <w:pPr>
        <w:pStyle w:val="Heading2"/>
      </w:pPr>
      <w:bookmarkStart w:id="11" w:name="_Toc228218570"/>
      <w:r>
        <w:t>3.</w:t>
      </w:r>
      <w:r w:rsidR="00F556BD">
        <w:t>1</w:t>
      </w:r>
      <w:r>
        <w:t xml:space="preserve"> Product Strategy</w:t>
      </w:r>
      <w:bookmarkEnd w:id="11"/>
    </w:p>
    <w:p w14:paraId="2FCA188C" w14:textId="77777777" w:rsidR="00F556BD" w:rsidRDefault="00615DAE" w:rsidP="00BE7BE1">
      <w:pPr>
        <w:rPr>
          <w:b/>
          <w:bCs/>
        </w:rPr>
      </w:pPr>
      <w:r w:rsidRPr="00F556BD">
        <w:rPr>
          <w:b/>
          <w:bCs/>
        </w:rPr>
        <w:t>Core Product and Value Pr</w:t>
      </w:r>
      <w:r w:rsidRPr="00F556BD">
        <w:rPr>
          <w:b/>
          <w:bCs/>
        </w:rPr>
        <w:t>oposition:</w:t>
      </w:r>
    </w:p>
    <w:p w14:paraId="771C7551" w14:textId="3656A8C8" w:rsidR="00BE7BE1" w:rsidRDefault="00615DAE" w:rsidP="00BE7BE1">
      <w:r>
        <w:t>Alibaba TrustPass is a cross-border fintech that is meant to be integrated into the Alibaba.com environment, combining payments, credit, and trade assurance. Its founding product is the Trade Assurance Wallet with an AI-driven credit platform, f</w:t>
      </w:r>
      <w:r>
        <w:t>illing in the gap in trade finance of approximately 2.5 trillion across the globe, with SMEs representing almost 40-45 per cent of untapped demand</w:t>
      </w:r>
      <w:r w:rsidR="00A30684">
        <w:t xml:space="preserve"> </w:t>
      </w:r>
      <w:r w:rsidR="00D22366" w:rsidRPr="00D22366">
        <w:t>(Lukács, 2023)</w:t>
      </w:r>
      <w:r>
        <w:t xml:space="preserve">. </w:t>
      </w:r>
    </w:p>
    <w:p w14:paraId="19CDA90D" w14:textId="77777777" w:rsidR="00BE7BE1" w:rsidRPr="00F556BD" w:rsidRDefault="00615DAE" w:rsidP="00BE7BE1">
      <w:pPr>
        <w:rPr>
          <w:b/>
          <w:bCs/>
        </w:rPr>
      </w:pPr>
      <w:r w:rsidRPr="00F556BD">
        <w:rPr>
          <w:b/>
          <w:bCs/>
        </w:rPr>
        <w:t>Augmented Product Features:</w:t>
      </w:r>
    </w:p>
    <w:p w14:paraId="01DB1EAF" w14:textId="1A973D7A" w:rsidR="00BE7BE1" w:rsidRDefault="00615DAE" w:rsidP="00BE7BE1">
      <w:r>
        <w:t xml:space="preserve">The augmented product comprises new technological features like </w:t>
      </w:r>
      <w:r>
        <w:t>AI-based risk scoring, multi-currency escrow, invoice financing and automatic customs documentation. Integrations with Alibaba Cloud allow real-time analytics, and Cainiao allows improved visibility throughout the supply chain</w:t>
      </w:r>
      <w:r w:rsidR="00D22366" w:rsidRPr="00D22366">
        <w:t xml:space="preserve"> (Alibaba Cloud, 2024)</w:t>
      </w:r>
      <w:r>
        <w:t xml:space="preserve">. </w:t>
      </w:r>
    </w:p>
    <w:p w14:paraId="4E34D393" w14:textId="77777777" w:rsidR="00BE7BE1" w:rsidRPr="00F556BD" w:rsidRDefault="00615DAE" w:rsidP="00BE7BE1">
      <w:pPr>
        <w:rPr>
          <w:b/>
          <w:bCs/>
        </w:rPr>
      </w:pPr>
      <w:r w:rsidRPr="00F556BD">
        <w:rPr>
          <w:b/>
          <w:bCs/>
        </w:rPr>
        <w:t>Produ</w:t>
      </w:r>
      <w:r w:rsidRPr="00F556BD">
        <w:rPr>
          <w:b/>
          <w:bCs/>
        </w:rPr>
        <w:t>ct Strategy Alignment</w:t>
      </w:r>
      <w:r w:rsidR="00F556BD" w:rsidRPr="00F556BD">
        <w:rPr>
          <w:b/>
          <w:bCs/>
        </w:rPr>
        <w:t>:</w:t>
      </w:r>
    </w:p>
    <w:p w14:paraId="5BA58A7D" w14:textId="16365031" w:rsidR="00BE7BE1" w:rsidRDefault="00615DAE" w:rsidP="00BE7BE1">
      <w:r>
        <w:t>The product strategy adheres to a platform-based innovation model, in which TrustPass will be integrated into the Alibaba ecosystem. Alibaba Group has an active buyer base of more than 200 million buyers worldwide and more than 200,0</w:t>
      </w:r>
      <w:r>
        <w:t>00 exporters on its B2B</w:t>
      </w:r>
      <w:r w:rsidR="00045785" w:rsidRPr="00045785">
        <w:t xml:space="preserve"> (Swarnim Suhane, 2024)</w:t>
      </w:r>
      <w:r>
        <w:t>. The integration will improve customer lifetime value and make their platforms more dependent</w:t>
      </w:r>
      <w:r w:rsidR="00A30684">
        <w:t>.</w:t>
      </w:r>
    </w:p>
    <w:p w14:paraId="78BED751" w14:textId="77777777" w:rsidR="00BE7BE1" w:rsidRDefault="00615DAE" w:rsidP="00F556BD">
      <w:pPr>
        <w:pStyle w:val="Heading2"/>
      </w:pPr>
      <w:bookmarkStart w:id="12" w:name="_Toc228218571"/>
      <w:r>
        <w:t>3.3 Pricing Strategy</w:t>
      </w:r>
      <w:bookmarkEnd w:id="12"/>
    </w:p>
    <w:p w14:paraId="4C572C92" w14:textId="77777777" w:rsidR="00BE7BE1" w:rsidRPr="00F556BD" w:rsidRDefault="00615DAE" w:rsidP="00BE7BE1">
      <w:pPr>
        <w:rPr>
          <w:b/>
          <w:bCs/>
        </w:rPr>
      </w:pPr>
      <w:r w:rsidRPr="00F556BD">
        <w:rPr>
          <w:b/>
          <w:bCs/>
        </w:rPr>
        <w:t>Pricing Model</w:t>
      </w:r>
      <w:r w:rsidR="00F556BD" w:rsidRPr="00F556BD">
        <w:rPr>
          <w:b/>
          <w:bCs/>
        </w:rPr>
        <w:t>:</w:t>
      </w:r>
    </w:p>
    <w:p w14:paraId="4755B77A" w14:textId="71C88591" w:rsidR="00BE7BE1" w:rsidRDefault="00615DAE" w:rsidP="00BE7BE1">
      <w:r>
        <w:t>Alibaba TrustPass has a value-based pricing strategy</w:t>
      </w:r>
      <w:r w:rsidR="00045785" w:rsidRPr="00045785">
        <w:t xml:space="preserve"> (Team, 2023)</w:t>
      </w:r>
      <w:r>
        <w:t xml:space="preserve">. The simplest services, like escrow protection and transaction monitoring, are free or low-cost to </w:t>
      </w:r>
      <w:r>
        <w:lastRenderedPageBreak/>
        <w:t xml:space="preserve">motivate adoption, whereas the high-value services, like invoice financing and high-end AI analytics, can be charged by transaction fees or interest rates. </w:t>
      </w:r>
      <w:r>
        <w:t>The embedded finance market is expected to grow to 15.6 trillion by 2030 with an over 25 per cent compound annual growth rate (CAGR), which underscores the scalability of this pricing model.</w:t>
      </w:r>
    </w:p>
    <w:p w14:paraId="2DEB9ED1" w14:textId="77777777" w:rsidR="00045785" w:rsidRDefault="00045785" w:rsidP="00045785">
      <w:pPr>
        <w:keepNext/>
        <w:jc w:val="center"/>
      </w:pPr>
      <w:r>
        <w:drawing>
          <wp:inline distT="0" distB="0" distL="0" distR="0" wp14:anchorId="21DF6711" wp14:editId="08910D11">
            <wp:extent cx="4528723" cy="2472310"/>
            <wp:effectExtent l="0" t="0" r="5715" b="4445"/>
            <wp:docPr id="718018221" name="Picture 6" descr="What is Value-Based Pricing? (Definition, Principles,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What is Value-Based Pricing? (Definition, Principles, Example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45625" cy="2481537"/>
                    </a:xfrm>
                    <a:prstGeom prst="rect">
                      <a:avLst/>
                    </a:prstGeom>
                    <a:noFill/>
                    <a:ln>
                      <a:noFill/>
                    </a:ln>
                  </pic:spPr>
                </pic:pic>
              </a:graphicData>
            </a:graphic>
          </wp:inline>
        </w:drawing>
      </w:r>
    </w:p>
    <w:p w14:paraId="40DCF21B" w14:textId="16CE5E76" w:rsidR="00045785" w:rsidRDefault="00045785" w:rsidP="00045785">
      <w:pPr>
        <w:pStyle w:val="Caption"/>
      </w:pPr>
      <w:r>
        <w:t xml:space="preserve">Figure </w:t>
      </w:r>
      <w:r>
        <w:fldChar w:fldCharType="begin"/>
      </w:r>
      <w:r>
        <w:instrText xml:space="preserve"> SEQ Figure \* ARABIC </w:instrText>
      </w:r>
      <w:r>
        <w:fldChar w:fldCharType="separate"/>
      </w:r>
      <w:r w:rsidR="007F2592">
        <w:t>5</w:t>
      </w:r>
      <w:r>
        <w:fldChar w:fldCharType="end"/>
      </w:r>
      <w:r>
        <w:t>: Value-based Pricing Srategy of Alibaba TrustPass</w:t>
      </w:r>
    </w:p>
    <w:p w14:paraId="1D6A84BE" w14:textId="3F4A7AB3" w:rsidR="00045785" w:rsidRPr="00045785" w:rsidRDefault="00045785" w:rsidP="00045785">
      <w:pPr>
        <w:jc w:val="center"/>
        <w:rPr>
          <w:b/>
          <w:bCs/>
          <w:lang w:val="en-US"/>
        </w:rPr>
      </w:pPr>
      <w:r w:rsidRPr="00045785">
        <w:rPr>
          <w:b/>
          <w:bCs/>
          <w:lang w:val="en-US"/>
        </w:rPr>
        <w:t>Source: (Team, 2023)</w:t>
      </w:r>
    </w:p>
    <w:p w14:paraId="3E6CA660" w14:textId="77777777" w:rsidR="00BE7BE1" w:rsidRPr="00F556BD" w:rsidRDefault="00615DAE" w:rsidP="00BE7BE1">
      <w:pPr>
        <w:rPr>
          <w:b/>
          <w:bCs/>
        </w:rPr>
      </w:pPr>
      <w:r w:rsidRPr="00F556BD">
        <w:rPr>
          <w:b/>
          <w:bCs/>
        </w:rPr>
        <w:t>Competitive Pricing Justification:</w:t>
      </w:r>
    </w:p>
    <w:p w14:paraId="69378FA8" w14:textId="29786720" w:rsidR="00BE7BE1" w:rsidRPr="00045785" w:rsidRDefault="00615DAE" w:rsidP="00BE7BE1">
      <w:pPr>
        <w:rPr>
          <w:lang w:val="en-US"/>
        </w:rPr>
      </w:pPr>
      <w:r>
        <w:t>The traditional banks normally decline around 41 per cent of SME trade finance applications, and in many cases, demand collateral over 100 per cent of the loan value. In contrast,</w:t>
      </w:r>
      <w:r>
        <w:t xml:space="preserve"> TrustPass leverages transaction data and AI-based risk assessment to reduce default risk, enabling faster and more cost-efficient financing</w:t>
      </w:r>
      <w:r w:rsidR="005D0518">
        <w:t xml:space="preserve"> </w:t>
      </w:r>
      <w:r w:rsidR="00045785" w:rsidRPr="00045785">
        <w:rPr>
          <w:lang w:val="en-US"/>
        </w:rPr>
        <w:t>(Saurabh and Ratten, 2023)</w:t>
      </w:r>
      <w:r>
        <w:t xml:space="preserve">. </w:t>
      </w:r>
    </w:p>
    <w:p w14:paraId="138F179F" w14:textId="77777777" w:rsidR="00BE7BE1" w:rsidRPr="00F556BD" w:rsidRDefault="00615DAE" w:rsidP="00BE7BE1">
      <w:pPr>
        <w:rPr>
          <w:b/>
          <w:bCs/>
        </w:rPr>
      </w:pPr>
      <w:r w:rsidRPr="00F556BD">
        <w:rPr>
          <w:b/>
          <w:bCs/>
        </w:rPr>
        <w:t>Dynamic and Tiered Pricing Strategy:</w:t>
      </w:r>
    </w:p>
    <w:p w14:paraId="7389DE57" w14:textId="3595C5D1" w:rsidR="00BE7BE1" w:rsidRDefault="00615DAE" w:rsidP="00BE7BE1">
      <w:r>
        <w:t xml:space="preserve">The price is dynamic and tiered </w:t>
      </w:r>
      <w:r>
        <w:t>depending on the volume of transactions, risk profile, and performance in terms of sustainability</w:t>
      </w:r>
      <w:r w:rsidR="00045785" w:rsidRPr="00045785">
        <w:t xml:space="preserve"> (Saurabh and Ratten, 2023)</w:t>
      </w:r>
      <w:r>
        <w:t>. Higher transaction volumes or higher AI-driven trust scores result in lower fees to the SMEs, and the cost reduction could be 10</w:t>
      </w:r>
      <w:r w:rsidR="00045785">
        <w:t>-</w:t>
      </w:r>
      <w:r>
        <w:t>2</w:t>
      </w:r>
      <w:r>
        <w:t xml:space="preserve">0 per cent of the usual fees. Also, priority financing is offered to green suppliers, which is in line with ESG. </w:t>
      </w:r>
    </w:p>
    <w:p w14:paraId="0B23968F" w14:textId="77777777" w:rsidR="00BE7BE1" w:rsidRDefault="00615DAE" w:rsidP="00F556BD">
      <w:pPr>
        <w:pStyle w:val="Heading2"/>
      </w:pPr>
      <w:bookmarkStart w:id="13" w:name="_Toc228218572"/>
      <w:r>
        <w:t>3.4 Place (Distribution) Strategy</w:t>
      </w:r>
      <w:bookmarkEnd w:id="13"/>
    </w:p>
    <w:p w14:paraId="6F53B59A" w14:textId="77777777" w:rsidR="00BE7BE1" w:rsidRPr="00F556BD" w:rsidRDefault="00615DAE" w:rsidP="00BE7BE1">
      <w:pPr>
        <w:rPr>
          <w:b/>
          <w:bCs/>
        </w:rPr>
      </w:pPr>
      <w:r w:rsidRPr="00F556BD">
        <w:rPr>
          <w:b/>
          <w:bCs/>
        </w:rPr>
        <w:t>Digital Distribution Channels</w:t>
      </w:r>
      <w:r w:rsidR="00F556BD" w:rsidRPr="00F556BD">
        <w:rPr>
          <w:b/>
          <w:bCs/>
        </w:rPr>
        <w:t>:</w:t>
      </w:r>
    </w:p>
    <w:p w14:paraId="796AC3FC" w14:textId="3577FE34" w:rsidR="00BE7BE1" w:rsidRDefault="00615DAE" w:rsidP="00BE7BE1">
      <w:r>
        <w:t>Alibaba TrustPass is mostly delivered via a direct digital distribution chann</w:t>
      </w:r>
      <w:r>
        <w:t>el using Alibaba.com, with a seamless integration into the existing user flow</w:t>
      </w:r>
      <w:r w:rsidR="00045785" w:rsidRPr="00045785">
        <w:t xml:space="preserve"> (Alibaba Cloud, 2024)</w:t>
      </w:r>
      <w:r>
        <w:t xml:space="preserve">. Millions of daily transactions are facilitated by the platform, and the buyers </w:t>
      </w:r>
      <w:r>
        <w:lastRenderedPageBreak/>
        <w:t>and suppliers are connected in over 190 countries. E-commerce portals handle</w:t>
      </w:r>
      <w:r>
        <w:t xml:space="preserve"> more than 70 per cent of worldwide digital B2B transactions, thus serving as an effective medium of fintech service provision.</w:t>
      </w:r>
    </w:p>
    <w:p w14:paraId="17122D57" w14:textId="77777777" w:rsidR="007F2592" w:rsidRDefault="007F2592" w:rsidP="007F2592">
      <w:pPr>
        <w:keepNext/>
        <w:jc w:val="center"/>
      </w:pPr>
      <w:r>
        <w:drawing>
          <wp:inline distT="0" distB="0" distL="0" distR="0" wp14:anchorId="617AD8EF" wp14:editId="14FA0594">
            <wp:extent cx="5082440" cy="2835401"/>
            <wp:effectExtent l="0" t="0" r="4445" b="3175"/>
            <wp:docPr id="1913921848" name="Picture 1" descr="What is direct distribution? - B2B Marketing Consult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direct distribution? - B2B Marketing Consultan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094249" cy="2841989"/>
                    </a:xfrm>
                    <a:prstGeom prst="rect">
                      <a:avLst/>
                    </a:prstGeom>
                    <a:noFill/>
                    <a:ln>
                      <a:noFill/>
                    </a:ln>
                  </pic:spPr>
                </pic:pic>
              </a:graphicData>
            </a:graphic>
          </wp:inline>
        </w:drawing>
      </w:r>
    </w:p>
    <w:p w14:paraId="3F4304CB" w14:textId="39285D44" w:rsidR="007F2592" w:rsidRDefault="007F2592" w:rsidP="007F2592">
      <w:pPr>
        <w:pStyle w:val="Caption"/>
      </w:pPr>
      <w:r>
        <w:t xml:space="preserve">Figure </w:t>
      </w:r>
      <w:r>
        <w:fldChar w:fldCharType="begin"/>
      </w:r>
      <w:r>
        <w:instrText xml:space="preserve"> SEQ Figure \* ARABIC </w:instrText>
      </w:r>
      <w:r>
        <w:fldChar w:fldCharType="separate"/>
      </w:r>
      <w:r>
        <w:t>6</w:t>
      </w:r>
      <w:r>
        <w:fldChar w:fldCharType="end"/>
      </w:r>
      <w:r>
        <w:t>: Direct Distribution Channel</w:t>
      </w:r>
    </w:p>
    <w:p w14:paraId="0CB334F5" w14:textId="03D48D6B" w:rsidR="007F2592" w:rsidRPr="007F2592" w:rsidRDefault="007F2592" w:rsidP="007F2592">
      <w:pPr>
        <w:jc w:val="center"/>
        <w:rPr>
          <w:b/>
          <w:bCs/>
          <w:lang w:val="en-US"/>
        </w:rPr>
      </w:pPr>
      <w:r w:rsidRPr="007F2592">
        <w:rPr>
          <w:b/>
          <w:bCs/>
          <w:lang w:val="en-US"/>
        </w:rPr>
        <w:t>Source: (wearne, 2023)</w:t>
      </w:r>
    </w:p>
    <w:p w14:paraId="0FEDA23F" w14:textId="77777777" w:rsidR="00BE7BE1" w:rsidRPr="00F556BD" w:rsidRDefault="00615DAE" w:rsidP="00BE7BE1">
      <w:pPr>
        <w:rPr>
          <w:b/>
          <w:bCs/>
        </w:rPr>
      </w:pPr>
      <w:r w:rsidRPr="00F556BD">
        <w:rPr>
          <w:b/>
          <w:bCs/>
        </w:rPr>
        <w:t>Channel Structure and Intensity:</w:t>
      </w:r>
    </w:p>
    <w:p w14:paraId="2A75FC91" w14:textId="6ED8E713" w:rsidR="00BE7BE1" w:rsidRDefault="00615DAE" w:rsidP="00BE7BE1">
      <w:r>
        <w:t>Its dis</w:t>
      </w:r>
      <w:r>
        <w:t>tribution is intensive and platform-based, with all active users of the Alibaba ecosystem. The medium is short, and it is primarily direct contact between Alibaba and SMEs, backed by collaboration with financial institutions and regulators</w:t>
      </w:r>
      <w:r w:rsidR="00045785" w:rsidRPr="00045785">
        <w:t xml:space="preserve"> (Saurabh and Ratten, 2023)</w:t>
      </w:r>
      <w:r>
        <w:t xml:space="preserve">. The strategy makes it more scalable and compliant with several jurisdictions. </w:t>
      </w:r>
    </w:p>
    <w:p w14:paraId="0B670A90" w14:textId="77777777" w:rsidR="00BE7BE1" w:rsidRPr="00F556BD" w:rsidRDefault="00615DAE" w:rsidP="00BE7BE1">
      <w:pPr>
        <w:rPr>
          <w:b/>
          <w:bCs/>
        </w:rPr>
      </w:pPr>
      <w:r w:rsidRPr="00F556BD">
        <w:rPr>
          <w:b/>
          <w:bCs/>
        </w:rPr>
        <w:t>Logistics and Ecosystem Integration:</w:t>
      </w:r>
    </w:p>
    <w:p w14:paraId="0B0CFF85" w14:textId="5C786836" w:rsidR="00BE7BE1" w:rsidRDefault="00615DAE" w:rsidP="00BE7BE1">
      <w:r>
        <w:t>The integration with Cainiao allows aligning financial operations with physical delivery to increase the effect</w:t>
      </w:r>
      <w:r>
        <w:t>iveness of operations</w:t>
      </w:r>
      <w:r w:rsidR="00045785" w:rsidRPr="00045785">
        <w:t xml:space="preserve"> (Falcone, Kent and Fugate, 2020)</w:t>
      </w:r>
      <w:r>
        <w:t xml:space="preserve">. Cainiao handles billions of packages every year and has smart logistics centres all over the world, cutting delivery time by as much as 30 per cent in major trade routes. </w:t>
      </w:r>
    </w:p>
    <w:p w14:paraId="0CB3568E" w14:textId="77777777" w:rsidR="00BE7BE1" w:rsidRDefault="00615DAE" w:rsidP="00F556BD">
      <w:pPr>
        <w:pStyle w:val="Heading2"/>
      </w:pPr>
      <w:bookmarkStart w:id="14" w:name="_Toc228218573"/>
      <w:r>
        <w:t>3.</w:t>
      </w:r>
      <w:r w:rsidR="00F556BD">
        <w:t>4</w:t>
      </w:r>
      <w:r>
        <w:t xml:space="preserve"> Promotion Strategy</w:t>
      </w:r>
      <w:bookmarkEnd w:id="14"/>
    </w:p>
    <w:p w14:paraId="570C32C4" w14:textId="77777777" w:rsidR="00BE7BE1" w:rsidRPr="00F556BD" w:rsidRDefault="00615DAE" w:rsidP="00BE7BE1">
      <w:pPr>
        <w:rPr>
          <w:b/>
          <w:bCs/>
        </w:rPr>
      </w:pPr>
      <w:r w:rsidRPr="00F556BD">
        <w:rPr>
          <w:b/>
          <w:bCs/>
        </w:rPr>
        <w:t>Integ</w:t>
      </w:r>
      <w:r w:rsidRPr="00F556BD">
        <w:rPr>
          <w:b/>
          <w:bCs/>
        </w:rPr>
        <w:t>rated Marketing Communications (IMC):</w:t>
      </w:r>
    </w:p>
    <w:p w14:paraId="0A04775A" w14:textId="7134401D" w:rsidR="00BE7BE1" w:rsidRDefault="00615DAE" w:rsidP="00BE7BE1">
      <w:r>
        <w:t>Alibaba TrustPass uses an integrated marketing communications strategy that incorporates both digital marketing, content marketing and platform-based promotion. The Alibaba ecosystem enables one to interact directly wi</w:t>
      </w:r>
      <w:r>
        <w:t xml:space="preserve">th millions of </w:t>
      </w:r>
      <w:r>
        <w:lastRenderedPageBreak/>
        <w:t>SMEs, and the personalised channels of communication increase the rate of conversion by 20 per cent</w:t>
      </w:r>
      <w:r w:rsidR="00045785" w:rsidRPr="00045785">
        <w:t xml:space="preserve"> (Yun, Zhao and Park, 2022)</w:t>
      </w:r>
      <w:r>
        <w:t xml:space="preserve">. </w:t>
      </w:r>
    </w:p>
    <w:p w14:paraId="68636B9E" w14:textId="77777777" w:rsidR="00BE7BE1" w:rsidRPr="00F556BD" w:rsidRDefault="00615DAE" w:rsidP="00BE7BE1">
      <w:pPr>
        <w:rPr>
          <w:b/>
          <w:bCs/>
        </w:rPr>
      </w:pPr>
      <w:r w:rsidRPr="00F556BD">
        <w:rPr>
          <w:b/>
          <w:bCs/>
        </w:rPr>
        <w:t>Digital and Data-Driven Promotion:</w:t>
      </w:r>
    </w:p>
    <w:p w14:paraId="492487E1" w14:textId="7937605A" w:rsidR="00BE7BE1" w:rsidRDefault="00615DAE" w:rsidP="00BE7BE1">
      <w:r>
        <w:t>The process of promotion is also data-intensive and will rely on the knowledg</w:t>
      </w:r>
      <w:r>
        <w:t>e of Alibaba Cloud, which will help to name and approach high-potential users</w:t>
      </w:r>
      <w:r w:rsidR="00045785" w:rsidRPr="00045785">
        <w:t xml:space="preserve"> (Alibaba Cloud, 2024)</w:t>
      </w:r>
      <w:r>
        <w:t>. Digital advertising, search engine marketing, and social media campaigns play a crucial role, as over 70 per cent of B2B buyers conduct online research bef</w:t>
      </w:r>
      <w:r>
        <w:t>ore making purchasing decisions.</w:t>
      </w:r>
    </w:p>
    <w:p w14:paraId="197DA9C4" w14:textId="77777777" w:rsidR="00BE7BE1" w:rsidRPr="00F556BD" w:rsidRDefault="00615DAE" w:rsidP="00BE7BE1">
      <w:pPr>
        <w:rPr>
          <w:b/>
          <w:bCs/>
        </w:rPr>
      </w:pPr>
      <w:r w:rsidRPr="00F556BD">
        <w:rPr>
          <w:b/>
          <w:bCs/>
        </w:rPr>
        <w:t>Trust-Building and Educational Campaigns:</w:t>
      </w:r>
    </w:p>
    <w:p w14:paraId="04E694AE" w14:textId="621EAD85" w:rsidR="00BE7BE1" w:rsidRDefault="00615DAE" w:rsidP="00BE7BE1">
      <w:r>
        <w:t xml:space="preserve">Since trust is paramount in financial services, Alibaba has focused on educational advertising with webinars, case studies, and success stories. </w:t>
      </w:r>
      <w:r w:rsidR="00045785" w:rsidRPr="00045785">
        <w:t>Peng and Zhu (2023)</w:t>
      </w:r>
      <w:r w:rsidR="003801E2">
        <w:t xml:space="preserve"> </w:t>
      </w:r>
      <w:r>
        <w:t>indicates that 8</w:t>
      </w:r>
      <w:r>
        <w:t xml:space="preserve">1 per cent of companies seek trust as a major factor when choosing financial service providers. These campaigns boost credibility and adoption by showing how TrustPass helps minimise fraud risks and increase the efficiency of transactions. </w:t>
      </w:r>
    </w:p>
    <w:p w14:paraId="1CE28DD6" w14:textId="77777777" w:rsidR="00BE7BE1" w:rsidRPr="00F556BD" w:rsidRDefault="00615DAE" w:rsidP="00BE7BE1">
      <w:pPr>
        <w:rPr>
          <w:b/>
          <w:bCs/>
        </w:rPr>
      </w:pPr>
      <w:r w:rsidRPr="00F556BD">
        <w:rPr>
          <w:b/>
          <w:bCs/>
        </w:rPr>
        <w:t>Branding and Su</w:t>
      </w:r>
      <w:r w:rsidRPr="00F556BD">
        <w:rPr>
          <w:b/>
          <w:bCs/>
        </w:rPr>
        <w:t>stainability Promotion:</w:t>
      </w:r>
    </w:p>
    <w:p w14:paraId="20615B9A" w14:textId="2E3630E5" w:rsidR="00A30684" w:rsidRPr="0083226B" w:rsidRDefault="00615DAE">
      <w:r>
        <w:t>The marketing campaign identifies sustainability measures like green financing and digital decarbonization. Digital trade solutions can minimise paper consumption by 80 per cent, which is a significant reduction in the environmental</w:t>
      </w:r>
      <w:r>
        <w:t xml:space="preserve"> impact. Moreover, the brands that pay attention to ESG have been identified to gain up to 20 per cent customer loyalty rates</w:t>
      </w:r>
      <w:r w:rsidR="003801E2" w:rsidRPr="003801E2">
        <w:t xml:space="preserve"> (Wang, Cui and Zhou, 2024)</w:t>
      </w:r>
      <w:r>
        <w:t xml:space="preserve">. </w:t>
      </w:r>
    </w:p>
    <w:p w14:paraId="44F4C078" w14:textId="2A9B3C34" w:rsidR="00EC178C" w:rsidRDefault="00615DAE" w:rsidP="00EC178C">
      <w:pPr>
        <w:pStyle w:val="Heading1"/>
      </w:pPr>
      <w:bookmarkStart w:id="15" w:name="_Toc228218574"/>
      <w:r>
        <w:t>Conclusion</w:t>
      </w:r>
      <w:bookmarkEnd w:id="15"/>
    </w:p>
    <w:p w14:paraId="7C88998D" w14:textId="77777777" w:rsidR="00A17DBC" w:rsidRDefault="00615DAE" w:rsidP="00EC178C">
      <w:r>
        <w:t>T</w:t>
      </w:r>
      <w:r w:rsidRPr="00EC178C">
        <w:t xml:space="preserve">his </w:t>
      </w:r>
      <w:r>
        <w:t>portfolio</w:t>
      </w:r>
      <w:r w:rsidRPr="00EC178C">
        <w:t xml:space="preserve"> has critically examined the brand development strategy of Alibaba TrustPass</w:t>
      </w:r>
      <w:r w:rsidRPr="00EC178C">
        <w:t xml:space="preserve"> by using important marketing concepts, such as STDP and marketing mix. The results emphasise the way TrustPass can fill the trade finance gap in the global market by adopting AI-based solutions, competitive rates, and combined digital distribution. Its hi</w:t>
      </w:r>
      <w:r w:rsidRPr="00EC178C">
        <w:t xml:space="preserve">gh level of differentiation and positioning enhances trust and effectiveness in cross-border trade. Overall, the strategy demonstrates how Alibaba Group can strengthen its ecosystem, drive SME inclusion, and achieve sustainable long-term growth. </w:t>
      </w:r>
      <w:r>
        <w:br w:type="page"/>
      </w:r>
    </w:p>
    <w:p w14:paraId="1F77ADE3" w14:textId="77777777" w:rsidR="00F556BD" w:rsidRDefault="00615DAE" w:rsidP="00A17DBC">
      <w:pPr>
        <w:pStyle w:val="Heading1"/>
      </w:pPr>
      <w:bookmarkStart w:id="16" w:name="_Toc228218575"/>
      <w:r>
        <w:lastRenderedPageBreak/>
        <w:t xml:space="preserve">Element </w:t>
      </w:r>
      <w:r>
        <w:t>4: Reflection Using Gibbs Reflective Model</w:t>
      </w:r>
      <w:bookmarkEnd w:id="16"/>
    </w:p>
    <w:p w14:paraId="4D569416" w14:textId="500892DE" w:rsidR="00EC178C" w:rsidRDefault="00615DAE" w:rsidP="00EC178C">
      <w:pPr>
        <w:rPr>
          <w:lang w:eastAsia="en-GB"/>
        </w:rPr>
      </w:pPr>
      <w:r>
        <w:rPr>
          <w:lang w:eastAsia="en-GB"/>
        </w:rPr>
        <w:t>Reflection is a systematic process of assessing experiences to acquire knowledge and enhance performance in the future</w:t>
      </w:r>
      <w:r w:rsidR="004C7818" w:rsidRPr="004C7818">
        <w:t xml:space="preserve"> </w:t>
      </w:r>
      <w:r w:rsidR="004C7818" w:rsidRPr="004C7818">
        <w:rPr>
          <w:lang w:eastAsia="en-GB"/>
        </w:rPr>
        <w:t>(Cathro, O’Kane and Gilbertson, 2022)</w:t>
      </w:r>
      <w:r>
        <w:rPr>
          <w:lang w:eastAsia="en-GB"/>
        </w:rPr>
        <w:t xml:space="preserve">. In this section, the Gibbs Reflective Model is used </w:t>
      </w:r>
      <w:r>
        <w:rPr>
          <w:lang w:eastAsia="en-GB"/>
        </w:rPr>
        <w:t>to reflect on the results of learning, skills and development in this project.</w:t>
      </w:r>
    </w:p>
    <w:p w14:paraId="229B105D" w14:textId="77777777" w:rsidR="003801E2" w:rsidRDefault="003801E2" w:rsidP="003801E2">
      <w:pPr>
        <w:keepNext/>
        <w:jc w:val="center"/>
      </w:pPr>
      <w:r>
        <w:drawing>
          <wp:inline distT="0" distB="0" distL="0" distR="0" wp14:anchorId="66712A8F" wp14:editId="2106D23A">
            <wp:extent cx="4666574" cy="2755900"/>
            <wp:effectExtent l="0" t="0" r="1270" b="6350"/>
            <wp:docPr id="1480787045" name="Picture 7" descr="The Art of Handling Situations: My Experiences with the Reflective Cycle as  an Effective Meth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The Art of Handling Situations: My Experiences with the Reflective Cycle as  an Effective Metho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678314" cy="2762833"/>
                    </a:xfrm>
                    <a:prstGeom prst="rect">
                      <a:avLst/>
                    </a:prstGeom>
                    <a:noFill/>
                    <a:ln>
                      <a:noFill/>
                    </a:ln>
                  </pic:spPr>
                </pic:pic>
              </a:graphicData>
            </a:graphic>
          </wp:inline>
        </w:drawing>
      </w:r>
    </w:p>
    <w:p w14:paraId="09E24514" w14:textId="1FF096A1" w:rsidR="003801E2" w:rsidRDefault="003801E2" w:rsidP="003801E2">
      <w:pPr>
        <w:pStyle w:val="Caption"/>
      </w:pPr>
      <w:r>
        <w:t xml:space="preserve">Figure </w:t>
      </w:r>
      <w:r>
        <w:fldChar w:fldCharType="begin"/>
      </w:r>
      <w:r>
        <w:instrText xml:space="preserve"> SEQ Figure \* ARABIC </w:instrText>
      </w:r>
      <w:r>
        <w:fldChar w:fldCharType="separate"/>
      </w:r>
      <w:r w:rsidR="007F2592">
        <w:t>7</w:t>
      </w:r>
      <w:r>
        <w:fldChar w:fldCharType="end"/>
      </w:r>
      <w:r>
        <w:t>: Gibbs Reflective Cycle</w:t>
      </w:r>
    </w:p>
    <w:p w14:paraId="252756E5" w14:textId="523B314C" w:rsidR="003801E2" w:rsidRPr="004C7818" w:rsidRDefault="003801E2" w:rsidP="003801E2">
      <w:pPr>
        <w:jc w:val="center"/>
        <w:rPr>
          <w:b/>
          <w:bCs/>
          <w:lang w:val="en-US"/>
        </w:rPr>
      </w:pPr>
      <w:r w:rsidRPr="004C7818">
        <w:rPr>
          <w:b/>
          <w:bCs/>
          <w:lang w:val="en-US"/>
        </w:rPr>
        <w:t xml:space="preserve">Source: </w:t>
      </w:r>
      <w:r w:rsidR="004C7818" w:rsidRPr="004C7818">
        <w:rPr>
          <w:b/>
          <w:bCs/>
          <w:lang w:val="en-US"/>
        </w:rPr>
        <w:t>(Denis, 2020)</w:t>
      </w:r>
    </w:p>
    <w:p w14:paraId="0D7BF9CB" w14:textId="77777777" w:rsidR="00EC178C" w:rsidRDefault="00615DAE" w:rsidP="00E24116">
      <w:pPr>
        <w:pStyle w:val="Heading2"/>
      </w:pPr>
      <w:bookmarkStart w:id="17" w:name="_Toc228218576"/>
      <w:r>
        <w:t>4.1 Description of the Experience</w:t>
      </w:r>
      <w:bookmarkEnd w:id="17"/>
    </w:p>
    <w:p w14:paraId="682AA681" w14:textId="20B726ED" w:rsidR="00EC178C" w:rsidRPr="005D0518" w:rsidRDefault="00796DDF" w:rsidP="00EC178C">
      <w:pPr>
        <w:rPr>
          <w:color w:val="EE0000"/>
          <w:lang w:eastAsia="en-GB"/>
        </w:rPr>
      </w:pPr>
      <w:r w:rsidRPr="00796DDF">
        <w:rPr>
          <w:lang w:eastAsia="en-GB"/>
        </w:rPr>
        <w:t>Cathro, O’Kane and Gilbertson (2022) note that reflection is a process that promotes the learning process through the review of the experience and enhancement of future practice. The poster presentation in this project became the entry point in my learning process since I had to deliver a complex brand extension concept of Alibaba TrustPass into a succinct and visually appealing strategy presentation. This enhanced my skills in communicating branding ideas and putting theory into action. In addition to the poster, the broader portfolio reinforced my knowledge of segmentation, targeting, differentiation and positioning and how the marketing mix can practically be applied in the design of a competitive fintech solution. The creation of each part involved the combination of theoretical aspects with the evidence in the industry, which made the entire process both theoretical and practical</w:t>
      </w:r>
      <w:r w:rsidR="005D0518" w:rsidRPr="00796DDF">
        <w:rPr>
          <w:lang w:eastAsia="en-GB"/>
        </w:rPr>
        <w:t>.</w:t>
      </w:r>
    </w:p>
    <w:p w14:paraId="474280D3" w14:textId="77777777" w:rsidR="00EC178C" w:rsidRDefault="00615DAE" w:rsidP="00E24116">
      <w:pPr>
        <w:pStyle w:val="Heading2"/>
      </w:pPr>
      <w:bookmarkStart w:id="18" w:name="_Toc228218577"/>
      <w:r>
        <w:t>4.</w:t>
      </w:r>
      <w:r w:rsidR="00E24116">
        <w:t>2</w:t>
      </w:r>
      <w:r>
        <w:t xml:space="preserve"> Feelings</w:t>
      </w:r>
      <w:bookmarkEnd w:id="18"/>
    </w:p>
    <w:p w14:paraId="5D54EFF3" w14:textId="784A67F1" w:rsidR="00EC178C" w:rsidRDefault="00796DDF" w:rsidP="00EC178C">
      <w:pPr>
        <w:rPr>
          <w:lang w:eastAsia="en-GB"/>
        </w:rPr>
      </w:pPr>
      <w:r w:rsidRPr="00796DDF">
        <w:rPr>
          <w:lang w:eastAsia="en-GB"/>
        </w:rPr>
        <w:t xml:space="preserve">Initially, I was challenged by the complexity of connecting theoretical marketing models with a new digital platform like Alibaba TrustPass. The poster presentation was a bit of a nervous experience especially when it came to visual and professional </w:t>
      </w:r>
      <w:r w:rsidRPr="00796DDF">
        <w:rPr>
          <w:lang w:eastAsia="en-GB"/>
        </w:rPr>
        <w:lastRenderedPageBreak/>
        <w:t>presentation of the strategic ideas. As the portfolio went though, confidence grew due to research of market data, application of models and improving strategic suggestions. As Finch et al. (2023) suggest, emotions influence experiential learning, and this process moved from uncertainty to confidence. The STDP analysis and marketing mix completion also provided a sense of accomplishment as the analysis demonstrated how marketing theory may be used to address real-world business issues.</w:t>
      </w:r>
    </w:p>
    <w:p w14:paraId="1E861A31" w14:textId="77777777" w:rsidR="00EC178C" w:rsidRDefault="00615DAE" w:rsidP="00E24116">
      <w:pPr>
        <w:pStyle w:val="Heading2"/>
      </w:pPr>
      <w:bookmarkStart w:id="19" w:name="_Toc228218578"/>
      <w:r>
        <w:t>4.</w:t>
      </w:r>
      <w:r w:rsidR="00E24116">
        <w:t>3</w:t>
      </w:r>
      <w:r>
        <w:t xml:space="preserve"> Evaluation</w:t>
      </w:r>
      <w:bookmarkEnd w:id="19"/>
    </w:p>
    <w:p w14:paraId="19A78645" w14:textId="5825D001" w:rsidR="00EC178C" w:rsidRDefault="00796DDF" w:rsidP="00EC178C">
      <w:pPr>
        <w:rPr>
          <w:lang w:eastAsia="en-GB"/>
        </w:rPr>
      </w:pPr>
      <w:r w:rsidRPr="00796DDF">
        <w:rPr>
          <w:lang w:eastAsia="en-GB"/>
        </w:rPr>
        <w:t>The successful combination of theory and practical analysis was also a particular strength of this experience. The poster was good at postulating the brand extension concept whereas the sections of STDP and marketing mix provided a logical strategic growth plan. Market statistics and academic evidence were also used, which enhanced the credibility of work. Nonetheless, it had certain shortcomings, especially regarding time management and the degree of analysis between sections. Although the poster conveyed important messages, a more elaborate visual design and presentation would have enhanced effectiveness. According to Cathro, O’Kane and Gilbertson (2022), it is crucial to define strengths and limitations to grow professionally, and this was observed during this experience.</w:t>
      </w:r>
    </w:p>
    <w:p w14:paraId="4AD6CEF2" w14:textId="77777777" w:rsidR="00EC178C" w:rsidRDefault="00615DAE" w:rsidP="00E24116">
      <w:pPr>
        <w:pStyle w:val="Heading2"/>
      </w:pPr>
      <w:bookmarkStart w:id="20" w:name="_Toc228218579"/>
      <w:r>
        <w:t>4.</w:t>
      </w:r>
      <w:r w:rsidR="00E24116">
        <w:t>4</w:t>
      </w:r>
      <w:r>
        <w:t xml:space="preserve"> Analysis</w:t>
      </w:r>
      <w:bookmarkEnd w:id="20"/>
    </w:p>
    <w:p w14:paraId="2DCDF780" w14:textId="283DC04F" w:rsidR="00EC178C" w:rsidRPr="004C7818" w:rsidRDefault="00796DDF" w:rsidP="00EC178C">
      <w:pPr>
        <w:rPr>
          <w:lang w:val="en-US" w:eastAsia="en-GB"/>
        </w:rPr>
      </w:pPr>
      <w:r w:rsidRPr="00796DDF">
        <w:rPr>
          <w:lang w:eastAsia="en-GB"/>
        </w:rPr>
        <w:t>The experience greatly enhanced my professionalism and strategic marketing knowledge. The poster presentation improved my communication and visual storytelling skills, and the STDP analysis helped me to develop my ability to analyze customer segments, targeting strategies and competitive positioning. The marketing mix section also enhanced my knowledge on how product, pricing, distribution and promotion decisions facilitate business growth. Ardley and Naikar (2021) suggest that using theory in real-life situations enhances strategic thinking, which was evident in this portfolio. In general, the assignment has built a research capability, critical thinking and confidence in the application of marketing concepts to international business situations</w:t>
      </w:r>
      <w:r w:rsidR="004C7818">
        <w:rPr>
          <w:lang w:eastAsia="en-GB"/>
        </w:rPr>
        <w:t>.</w:t>
      </w:r>
      <w:r>
        <w:rPr>
          <w:lang w:eastAsia="en-GB"/>
        </w:rPr>
        <w:t xml:space="preserve"> </w:t>
      </w:r>
    </w:p>
    <w:p w14:paraId="519CBE51" w14:textId="77777777" w:rsidR="00EC178C" w:rsidRDefault="00615DAE" w:rsidP="00E24116">
      <w:pPr>
        <w:pStyle w:val="Heading2"/>
      </w:pPr>
      <w:bookmarkStart w:id="21" w:name="_Toc228218580"/>
      <w:r>
        <w:t>4.</w:t>
      </w:r>
      <w:r w:rsidR="00E24116">
        <w:t>5</w:t>
      </w:r>
      <w:r>
        <w:t xml:space="preserve"> Conclusion</w:t>
      </w:r>
      <w:bookmarkEnd w:id="21"/>
    </w:p>
    <w:p w14:paraId="053E1AF2" w14:textId="2816193F" w:rsidR="00A17DBC" w:rsidRDefault="00796DDF" w:rsidP="00EC178C">
      <w:pPr>
        <w:rPr>
          <w:lang w:eastAsia="en-GB"/>
        </w:rPr>
      </w:pPr>
      <w:r w:rsidRPr="00796DDF">
        <w:rPr>
          <w:lang w:eastAsia="en-GB"/>
        </w:rPr>
        <w:t xml:space="preserve">Overall, this project was valuable in enhancing both academic understanding and practical skills. Starting with the poster presentation and continuing with the strategic analysis and marketing planning, the experience enhanced my understanding of the brand development, thinking and professional communication skills. Despite some </w:t>
      </w:r>
      <w:r w:rsidRPr="00796DDF">
        <w:rPr>
          <w:lang w:eastAsia="en-GB"/>
        </w:rPr>
        <w:lastRenderedPageBreak/>
        <w:t>difficulties in delivering the presentations and distributing time, they were valuable learning experiences that will help in future academic and professional growth.</w:t>
      </w:r>
      <w:r w:rsidR="00EC178C">
        <w:rPr>
          <w:lang w:eastAsia="en-GB"/>
        </w:rPr>
        <w:t xml:space="preserve"> </w:t>
      </w:r>
    </w:p>
    <w:p w14:paraId="3A9C7082" w14:textId="77777777" w:rsidR="00EC178C" w:rsidRDefault="00615DAE" w:rsidP="00E24116">
      <w:pPr>
        <w:pStyle w:val="Heading2"/>
      </w:pPr>
      <w:bookmarkStart w:id="22" w:name="_Toc228218581"/>
      <w:r>
        <w:t>4.6 Action Plan</w:t>
      </w:r>
      <w:bookmarkEnd w:id="22"/>
    </w:p>
    <w:tbl>
      <w:tblPr>
        <w:tblStyle w:val="GridTable1Light"/>
        <w:tblW w:w="0" w:type="auto"/>
        <w:tblLook w:val="04A0" w:firstRow="1" w:lastRow="0" w:firstColumn="1" w:lastColumn="0" w:noHBand="0" w:noVBand="1"/>
      </w:tblPr>
      <w:tblGrid>
        <w:gridCol w:w="2060"/>
        <w:gridCol w:w="3891"/>
        <w:gridCol w:w="1276"/>
        <w:gridCol w:w="2016"/>
      </w:tblGrid>
      <w:tr w:rsidR="00796DDF" w:rsidRPr="00796DDF" w14:paraId="677933C9" w14:textId="77777777" w:rsidTr="00796DD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41DFDB4" w14:textId="77777777" w:rsidR="00796DDF" w:rsidRPr="00796DDF" w:rsidRDefault="00796DDF" w:rsidP="00796DDF">
            <w:pPr>
              <w:spacing w:line="360" w:lineRule="auto"/>
              <w:rPr>
                <w:lang w:val="en-US" w:eastAsia="en-GB"/>
              </w:rPr>
            </w:pPr>
            <w:r w:rsidRPr="00796DDF">
              <w:rPr>
                <w:lang w:val="en-US" w:eastAsia="en-GB"/>
              </w:rPr>
              <w:t>Area of Improvement</w:t>
            </w:r>
          </w:p>
        </w:tc>
        <w:tc>
          <w:tcPr>
            <w:tcW w:w="0" w:type="auto"/>
            <w:hideMark/>
          </w:tcPr>
          <w:p w14:paraId="3D9AD734" w14:textId="77777777" w:rsidR="00796DDF" w:rsidRPr="00796DDF" w:rsidRDefault="00796DDF" w:rsidP="00796DDF">
            <w:pPr>
              <w:spacing w:line="360" w:lineRule="auto"/>
              <w:cnfStyle w:val="100000000000" w:firstRow="1" w:lastRow="0" w:firstColumn="0" w:lastColumn="0" w:oddVBand="0" w:evenVBand="0" w:oddHBand="0" w:evenHBand="0" w:firstRowFirstColumn="0" w:firstRowLastColumn="0" w:lastRowFirstColumn="0" w:lastRowLastColumn="0"/>
              <w:rPr>
                <w:lang w:val="en-US" w:eastAsia="en-GB"/>
              </w:rPr>
            </w:pPr>
            <w:r w:rsidRPr="00796DDF">
              <w:rPr>
                <w:lang w:val="en-US" w:eastAsia="en-GB"/>
              </w:rPr>
              <w:t>Action Plan</w:t>
            </w:r>
          </w:p>
        </w:tc>
        <w:tc>
          <w:tcPr>
            <w:tcW w:w="0" w:type="auto"/>
            <w:hideMark/>
          </w:tcPr>
          <w:p w14:paraId="783EC69F" w14:textId="77777777" w:rsidR="00796DDF" w:rsidRPr="00796DDF" w:rsidRDefault="00796DDF" w:rsidP="00796DDF">
            <w:pPr>
              <w:spacing w:line="360" w:lineRule="auto"/>
              <w:cnfStyle w:val="100000000000" w:firstRow="1" w:lastRow="0" w:firstColumn="0" w:lastColumn="0" w:oddVBand="0" w:evenVBand="0" w:oddHBand="0" w:evenHBand="0" w:firstRowFirstColumn="0" w:firstRowLastColumn="0" w:lastRowFirstColumn="0" w:lastRowLastColumn="0"/>
              <w:rPr>
                <w:lang w:val="en-US" w:eastAsia="en-GB"/>
              </w:rPr>
            </w:pPr>
            <w:r w:rsidRPr="00796DDF">
              <w:rPr>
                <w:lang w:val="en-US" w:eastAsia="en-GB"/>
              </w:rPr>
              <w:t>Timeline</w:t>
            </w:r>
          </w:p>
        </w:tc>
        <w:tc>
          <w:tcPr>
            <w:tcW w:w="0" w:type="auto"/>
            <w:hideMark/>
          </w:tcPr>
          <w:p w14:paraId="1B56AEB6" w14:textId="77777777" w:rsidR="00796DDF" w:rsidRPr="00796DDF" w:rsidRDefault="00796DDF" w:rsidP="00796DDF">
            <w:pPr>
              <w:spacing w:line="360" w:lineRule="auto"/>
              <w:cnfStyle w:val="100000000000" w:firstRow="1" w:lastRow="0" w:firstColumn="0" w:lastColumn="0" w:oddVBand="0" w:evenVBand="0" w:oddHBand="0" w:evenHBand="0" w:firstRowFirstColumn="0" w:firstRowLastColumn="0" w:lastRowFirstColumn="0" w:lastRowLastColumn="0"/>
              <w:rPr>
                <w:lang w:val="en-US" w:eastAsia="en-GB"/>
              </w:rPr>
            </w:pPr>
            <w:r w:rsidRPr="00796DDF">
              <w:rPr>
                <w:lang w:val="en-US" w:eastAsia="en-GB"/>
              </w:rPr>
              <w:t>Expected Outcome</w:t>
            </w:r>
          </w:p>
        </w:tc>
      </w:tr>
      <w:tr w:rsidR="00796DDF" w:rsidRPr="00796DDF" w14:paraId="6F2F477B" w14:textId="77777777" w:rsidTr="00796DDF">
        <w:tc>
          <w:tcPr>
            <w:cnfStyle w:val="001000000000" w:firstRow="0" w:lastRow="0" w:firstColumn="1" w:lastColumn="0" w:oddVBand="0" w:evenVBand="0" w:oddHBand="0" w:evenHBand="0" w:firstRowFirstColumn="0" w:firstRowLastColumn="0" w:lastRowFirstColumn="0" w:lastRowLastColumn="0"/>
            <w:tcW w:w="0" w:type="auto"/>
            <w:hideMark/>
          </w:tcPr>
          <w:p w14:paraId="2FC4A4A6" w14:textId="77777777" w:rsidR="00796DDF" w:rsidRPr="00796DDF" w:rsidRDefault="00796DDF" w:rsidP="00796DDF">
            <w:pPr>
              <w:spacing w:line="360" w:lineRule="auto"/>
              <w:rPr>
                <w:lang w:val="en-US" w:eastAsia="en-GB"/>
              </w:rPr>
            </w:pPr>
            <w:r w:rsidRPr="00796DDF">
              <w:rPr>
                <w:lang w:val="en-US" w:eastAsia="en-GB"/>
              </w:rPr>
              <w:t>Time Management</w:t>
            </w:r>
          </w:p>
        </w:tc>
        <w:tc>
          <w:tcPr>
            <w:tcW w:w="0" w:type="auto"/>
            <w:hideMark/>
          </w:tcPr>
          <w:p w14:paraId="25ED4D19" w14:textId="77777777" w:rsidR="00796DDF" w:rsidRPr="00796DDF" w:rsidRDefault="00796DDF" w:rsidP="00796DDF">
            <w:pPr>
              <w:spacing w:line="360" w:lineRule="auto"/>
              <w:cnfStyle w:val="000000000000" w:firstRow="0" w:lastRow="0" w:firstColumn="0" w:lastColumn="0" w:oddVBand="0" w:evenVBand="0" w:oddHBand="0" w:evenHBand="0" w:firstRowFirstColumn="0" w:firstRowLastColumn="0" w:lastRowFirstColumn="0" w:lastRowLastColumn="0"/>
              <w:rPr>
                <w:lang w:val="en-US" w:eastAsia="en-GB"/>
              </w:rPr>
            </w:pPr>
            <w:r w:rsidRPr="00796DDF">
              <w:rPr>
                <w:lang w:val="en-US" w:eastAsia="en-GB"/>
              </w:rPr>
              <w:t>Develop structured schedules and use digital planning tools to manage research and assignment stages more effectively</w:t>
            </w:r>
          </w:p>
        </w:tc>
        <w:tc>
          <w:tcPr>
            <w:tcW w:w="0" w:type="auto"/>
            <w:hideMark/>
          </w:tcPr>
          <w:p w14:paraId="1BB374ED" w14:textId="77777777" w:rsidR="00796DDF" w:rsidRPr="00796DDF" w:rsidRDefault="00796DDF" w:rsidP="00796DDF">
            <w:pPr>
              <w:spacing w:line="360" w:lineRule="auto"/>
              <w:cnfStyle w:val="000000000000" w:firstRow="0" w:lastRow="0" w:firstColumn="0" w:lastColumn="0" w:oddVBand="0" w:evenVBand="0" w:oddHBand="0" w:evenHBand="0" w:firstRowFirstColumn="0" w:firstRowLastColumn="0" w:lastRowFirstColumn="0" w:lastRowLastColumn="0"/>
              <w:rPr>
                <w:lang w:val="en-US" w:eastAsia="en-GB"/>
              </w:rPr>
            </w:pPr>
            <w:r w:rsidRPr="00796DDF">
              <w:rPr>
                <w:lang w:val="en-US" w:eastAsia="en-GB"/>
              </w:rPr>
              <w:t>Short-term</w:t>
            </w:r>
          </w:p>
        </w:tc>
        <w:tc>
          <w:tcPr>
            <w:tcW w:w="0" w:type="auto"/>
            <w:hideMark/>
          </w:tcPr>
          <w:p w14:paraId="4E996E74" w14:textId="77777777" w:rsidR="00796DDF" w:rsidRPr="00796DDF" w:rsidRDefault="00796DDF" w:rsidP="00796DDF">
            <w:pPr>
              <w:spacing w:line="360" w:lineRule="auto"/>
              <w:cnfStyle w:val="000000000000" w:firstRow="0" w:lastRow="0" w:firstColumn="0" w:lastColumn="0" w:oddVBand="0" w:evenVBand="0" w:oddHBand="0" w:evenHBand="0" w:firstRowFirstColumn="0" w:firstRowLastColumn="0" w:lastRowFirstColumn="0" w:lastRowLastColumn="0"/>
              <w:rPr>
                <w:lang w:val="en-US" w:eastAsia="en-GB"/>
              </w:rPr>
            </w:pPr>
            <w:r w:rsidRPr="00796DDF">
              <w:rPr>
                <w:lang w:val="en-US" w:eastAsia="en-GB"/>
              </w:rPr>
              <w:t>Improved efficiency and reduced pressure</w:t>
            </w:r>
          </w:p>
        </w:tc>
      </w:tr>
      <w:tr w:rsidR="00796DDF" w:rsidRPr="00796DDF" w14:paraId="564CE0BA" w14:textId="77777777" w:rsidTr="00796DDF">
        <w:tc>
          <w:tcPr>
            <w:cnfStyle w:val="001000000000" w:firstRow="0" w:lastRow="0" w:firstColumn="1" w:lastColumn="0" w:oddVBand="0" w:evenVBand="0" w:oddHBand="0" w:evenHBand="0" w:firstRowFirstColumn="0" w:firstRowLastColumn="0" w:lastRowFirstColumn="0" w:lastRowLastColumn="0"/>
            <w:tcW w:w="0" w:type="auto"/>
            <w:hideMark/>
          </w:tcPr>
          <w:p w14:paraId="03D636BE" w14:textId="77777777" w:rsidR="00796DDF" w:rsidRPr="00796DDF" w:rsidRDefault="00796DDF" w:rsidP="00796DDF">
            <w:pPr>
              <w:spacing w:line="360" w:lineRule="auto"/>
              <w:rPr>
                <w:lang w:val="en-US" w:eastAsia="en-GB"/>
              </w:rPr>
            </w:pPr>
            <w:r w:rsidRPr="00796DDF">
              <w:rPr>
                <w:lang w:val="en-US" w:eastAsia="en-GB"/>
              </w:rPr>
              <w:t>Presentation Skills</w:t>
            </w:r>
          </w:p>
        </w:tc>
        <w:tc>
          <w:tcPr>
            <w:tcW w:w="0" w:type="auto"/>
            <w:hideMark/>
          </w:tcPr>
          <w:p w14:paraId="4BFED0A5" w14:textId="77777777" w:rsidR="00796DDF" w:rsidRPr="00796DDF" w:rsidRDefault="00796DDF" w:rsidP="00796DDF">
            <w:pPr>
              <w:spacing w:line="360" w:lineRule="auto"/>
              <w:cnfStyle w:val="000000000000" w:firstRow="0" w:lastRow="0" w:firstColumn="0" w:lastColumn="0" w:oddVBand="0" w:evenVBand="0" w:oddHBand="0" w:evenHBand="0" w:firstRowFirstColumn="0" w:firstRowLastColumn="0" w:lastRowFirstColumn="0" w:lastRowLastColumn="0"/>
              <w:rPr>
                <w:lang w:val="en-US" w:eastAsia="en-GB"/>
              </w:rPr>
            </w:pPr>
            <w:r w:rsidRPr="00796DDF">
              <w:rPr>
                <w:lang w:val="en-US" w:eastAsia="en-GB"/>
              </w:rPr>
              <w:t>Practice public speaking and improve visual storytelling techniques for poster and strategic presentations</w:t>
            </w:r>
          </w:p>
        </w:tc>
        <w:tc>
          <w:tcPr>
            <w:tcW w:w="0" w:type="auto"/>
            <w:hideMark/>
          </w:tcPr>
          <w:p w14:paraId="09971792" w14:textId="77777777" w:rsidR="00796DDF" w:rsidRPr="00796DDF" w:rsidRDefault="00796DDF" w:rsidP="00796DDF">
            <w:pPr>
              <w:spacing w:line="360" w:lineRule="auto"/>
              <w:cnfStyle w:val="000000000000" w:firstRow="0" w:lastRow="0" w:firstColumn="0" w:lastColumn="0" w:oddVBand="0" w:evenVBand="0" w:oddHBand="0" w:evenHBand="0" w:firstRowFirstColumn="0" w:firstRowLastColumn="0" w:lastRowFirstColumn="0" w:lastRowLastColumn="0"/>
              <w:rPr>
                <w:lang w:val="en-US" w:eastAsia="en-GB"/>
              </w:rPr>
            </w:pPr>
            <w:r w:rsidRPr="00796DDF">
              <w:rPr>
                <w:lang w:val="en-US" w:eastAsia="en-GB"/>
              </w:rPr>
              <w:t>Medium-term</w:t>
            </w:r>
          </w:p>
        </w:tc>
        <w:tc>
          <w:tcPr>
            <w:tcW w:w="0" w:type="auto"/>
            <w:hideMark/>
          </w:tcPr>
          <w:p w14:paraId="046FF66A" w14:textId="77777777" w:rsidR="00796DDF" w:rsidRPr="00796DDF" w:rsidRDefault="00796DDF" w:rsidP="00796DDF">
            <w:pPr>
              <w:spacing w:line="360" w:lineRule="auto"/>
              <w:cnfStyle w:val="000000000000" w:firstRow="0" w:lastRow="0" w:firstColumn="0" w:lastColumn="0" w:oddVBand="0" w:evenVBand="0" w:oddHBand="0" w:evenHBand="0" w:firstRowFirstColumn="0" w:firstRowLastColumn="0" w:lastRowFirstColumn="0" w:lastRowLastColumn="0"/>
              <w:rPr>
                <w:lang w:val="en-US" w:eastAsia="en-GB"/>
              </w:rPr>
            </w:pPr>
            <w:r w:rsidRPr="00796DDF">
              <w:rPr>
                <w:lang w:val="en-US" w:eastAsia="en-GB"/>
              </w:rPr>
              <w:t>More confident and engaging delivery</w:t>
            </w:r>
          </w:p>
        </w:tc>
      </w:tr>
      <w:tr w:rsidR="00796DDF" w:rsidRPr="00796DDF" w14:paraId="6865BA58" w14:textId="77777777" w:rsidTr="00796DDF">
        <w:tc>
          <w:tcPr>
            <w:cnfStyle w:val="001000000000" w:firstRow="0" w:lastRow="0" w:firstColumn="1" w:lastColumn="0" w:oddVBand="0" w:evenVBand="0" w:oddHBand="0" w:evenHBand="0" w:firstRowFirstColumn="0" w:firstRowLastColumn="0" w:lastRowFirstColumn="0" w:lastRowLastColumn="0"/>
            <w:tcW w:w="0" w:type="auto"/>
            <w:hideMark/>
          </w:tcPr>
          <w:p w14:paraId="5E561D74" w14:textId="77777777" w:rsidR="00796DDF" w:rsidRPr="00796DDF" w:rsidRDefault="00796DDF" w:rsidP="00796DDF">
            <w:pPr>
              <w:spacing w:line="360" w:lineRule="auto"/>
              <w:rPr>
                <w:lang w:val="en-US" w:eastAsia="en-GB"/>
              </w:rPr>
            </w:pPr>
            <w:r w:rsidRPr="00796DDF">
              <w:rPr>
                <w:lang w:val="en-US" w:eastAsia="en-GB"/>
              </w:rPr>
              <w:t>Research and Data Analysis</w:t>
            </w:r>
          </w:p>
        </w:tc>
        <w:tc>
          <w:tcPr>
            <w:tcW w:w="0" w:type="auto"/>
            <w:hideMark/>
          </w:tcPr>
          <w:p w14:paraId="28B4DBD6" w14:textId="77777777" w:rsidR="00796DDF" w:rsidRPr="00796DDF" w:rsidRDefault="00796DDF" w:rsidP="00796DDF">
            <w:pPr>
              <w:spacing w:line="360" w:lineRule="auto"/>
              <w:cnfStyle w:val="000000000000" w:firstRow="0" w:lastRow="0" w:firstColumn="0" w:lastColumn="0" w:oddVBand="0" w:evenVBand="0" w:oddHBand="0" w:evenHBand="0" w:firstRowFirstColumn="0" w:firstRowLastColumn="0" w:lastRowFirstColumn="0" w:lastRowLastColumn="0"/>
              <w:rPr>
                <w:lang w:val="en-US" w:eastAsia="en-GB"/>
              </w:rPr>
            </w:pPr>
            <w:r w:rsidRPr="00796DDF">
              <w:rPr>
                <w:lang w:val="en-US" w:eastAsia="en-GB"/>
              </w:rPr>
              <w:t>Strengthen ability to interpret market data and integrate wider academic sources</w:t>
            </w:r>
          </w:p>
        </w:tc>
        <w:tc>
          <w:tcPr>
            <w:tcW w:w="0" w:type="auto"/>
            <w:hideMark/>
          </w:tcPr>
          <w:p w14:paraId="3D625B69" w14:textId="77777777" w:rsidR="00796DDF" w:rsidRPr="00796DDF" w:rsidRDefault="00796DDF" w:rsidP="00796DDF">
            <w:pPr>
              <w:spacing w:line="360" w:lineRule="auto"/>
              <w:cnfStyle w:val="000000000000" w:firstRow="0" w:lastRow="0" w:firstColumn="0" w:lastColumn="0" w:oddVBand="0" w:evenVBand="0" w:oddHBand="0" w:evenHBand="0" w:firstRowFirstColumn="0" w:firstRowLastColumn="0" w:lastRowFirstColumn="0" w:lastRowLastColumn="0"/>
              <w:rPr>
                <w:lang w:val="en-US" w:eastAsia="en-GB"/>
              </w:rPr>
            </w:pPr>
            <w:r w:rsidRPr="00796DDF">
              <w:rPr>
                <w:lang w:val="en-US" w:eastAsia="en-GB"/>
              </w:rPr>
              <w:t>Ongoing</w:t>
            </w:r>
          </w:p>
        </w:tc>
        <w:tc>
          <w:tcPr>
            <w:tcW w:w="0" w:type="auto"/>
            <w:hideMark/>
          </w:tcPr>
          <w:p w14:paraId="0159AD9B" w14:textId="77777777" w:rsidR="00796DDF" w:rsidRPr="00796DDF" w:rsidRDefault="00796DDF" w:rsidP="00796DDF">
            <w:pPr>
              <w:spacing w:line="360" w:lineRule="auto"/>
              <w:cnfStyle w:val="000000000000" w:firstRow="0" w:lastRow="0" w:firstColumn="0" w:lastColumn="0" w:oddVBand="0" w:evenVBand="0" w:oddHBand="0" w:evenHBand="0" w:firstRowFirstColumn="0" w:firstRowLastColumn="0" w:lastRowFirstColumn="0" w:lastRowLastColumn="0"/>
              <w:rPr>
                <w:lang w:val="en-US" w:eastAsia="en-GB"/>
              </w:rPr>
            </w:pPr>
            <w:r w:rsidRPr="00796DDF">
              <w:rPr>
                <w:lang w:val="en-US" w:eastAsia="en-GB"/>
              </w:rPr>
              <w:t>Stronger analytical and evidence-based work</w:t>
            </w:r>
          </w:p>
        </w:tc>
      </w:tr>
      <w:tr w:rsidR="00796DDF" w:rsidRPr="00796DDF" w14:paraId="6D7B25A3" w14:textId="77777777" w:rsidTr="00796DDF">
        <w:tc>
          <w:tcPr>
            <w:cnfStyle w:val="001000000000" w:firstRow="0" w:lastRow="0" w:firstColumn="1" w:lastColumn="0" w:oddVBand="0" w:evenVBand="0" w:oddHBand="0" w:evenHBand="0" w:firstRowFirstColumn="0" w:firstRowLastColumn="0" w:lastRowFirstColumn="0" w:lastRowLastColumn="0"/>
            <w:tcW w:w="0" w:type="auto"/>
            <w:hideMark/>
          </w:tcPr>
          <w:p w14:paraId="21AAB42A" w14:textId="77777777" w:rsidR="00796DDF" w:rsidRPr="00796DDF" w:rsidRDefault="00796DDF" w:rsidP="00796DDF">
            <w:pPr>
              <w:spacing w:line="360" w:lineRule="auto"/>
              <w:rPr>
                <w:lang w:val="en-US" w:eastAsia="en-GB"/>
              </w:rPr>
            </w:pPr>
            <w:r w:rsidRPr="00796DDF">
              <w:rPr>
                <w:lang w:val="en-US" w:eastAsia="en-GB"/>
              </w:rPr>
              <w:t>Critical Thinking</w:t>
            </w:r>
          </w:p>
        </w:tc>
        <w:tc>
          <w:tcPr>
            <w:tcW w:w="0" w:type="auto"/>
            <w:hideMark/>
          </w:tcPr>
          <w:p w14:paraId="2CCE674E" w14:textId="77777777" w:rsidR="00796DDF" w:rsidRPr="00796DDF" w:rsidRDefault="00796DDF" w:rsidP="00796DDF">
            <w:pPr>
              <w:spacing w:line="360" w:lineRule="auto"/>
              <w:cnfStyle w:val="000000000000" w:firstRow="0" w:lastRow="0" w:firstColumn="0" w:lastColumn="0" w:oddVBand="0" w:evenVBand="0" w:oddHBand="0" w:evenHBand="0" w:firstRowFirstColumn="0" w:firstRowLastColumn="0" w:lastRowFirstColumn="0" w:lastRowLastColumn="0"/>
              <w:rPr>
                <w:lang w:val="en-US" w:eastAsia="en-GB"/>
              </w:rPr>
            </w:pPr>
            <w:r w:rsidRPr="00796DDF">
              <w:rPr>
                <w:lang w:val="en-US" w:eastAsia="en-GB"/>
              </w:rPr>
              <w:t>Engage more in case studies and practical problem-solving activities</w:t>
            </w:r>
          </w:p>
        </w:tc>
        <w:tc>
          <w:tcPr>
            <w:tcW w:w="0" w:type="auto"/>
            <w:hideMark/>
          </w:tcPr>
          <w:p w14:paraId="055DF015" w14:textId="77777777" w:rsidR="00796DDF" w:rsidRPr="00796DDF" w:rsidRDefault="00796DDF" w:rsidP="00796DDF">
            <w:pPr>
              <w:spacing w:line="360" w:lineRule="auto"/>
              <w:cnfStyle w:val="000000000000" w:firstRow="0" w:lastRow="0" w:firstColumn="0" w:lastColumn="0" w:oddVBand="0" w:evenVBand="0" w:oddHBand="0" w:evenHBand="0" w:firstRowFirstColumn="0" w:firstRowLastColumn="0" w:lastRowFirstColumn="0" w:lastRowLastColumn="0"/>
              <w:rPr>
                <w:lang w:val="en-US" w:eastAsia="en-GB"/>
              </w:rPr>
            </w:pPr>
            <w:r w:rsidRPr="00796DDF">
              <w:rPr>
                <w:lang w:val="en-US" w:eastAsia="en-GB"/>
              </w:rPr>
              <w:t>Long-term</w:t>
            </w:r>
          </w:p>
        </w:tc>
        <w:tc>
          <w:tcPr>
            <w:tcW w:w="0" w:type="auto"/>
            <w:hideMark/>
          </w:tcPr>
          <w:p w14:paraId="7FD019CF" w14:textId="77777777" w:rsidR="00796DDF" w:rsidRPr="00796DDF" w:rsidRDefault="00796DDF" w:rsidP="00796DDF">
            <w:pPr>
              <w:spacing w:line="360" w:lineRule="auto"/>
              <w:cnfStyle w:val="000000000000" w:firstRow="0" w:lastRow="0" w:firstColumn="0" w:lastColumn="0" w:oddVBand="0" w:evenVBand="0" w:oddHBand="0" w:evenHBand="0" w:firstRowFirstColumn="0" w:firstRowLastColumn="0" w:lastRowFirstColumn="0" w:lastRowLastColumn="0"/>
              <w:rPr>
                <w:lang w:val="en-US" w:eastAsia="en-GB"/>
              </w:rPr>
            </w:pPr>
            <w:r w:rsidRPr="00796DDF">
              <w:rPr>
                <w:lang w:val="en-US" w:eastAsia="en-GB"/>
              </w:rPr>
              <w:t>Improved strategic decision-making skills</w:t>
            </w:r>
          </w:p>
        </w:tc>
      </w:tr>
    </w:tbl>
    <w:p w14:paraId="25DB3B37" w14:textId="068FDAB8" w:rsidR="00691116" w:rsidRDefault="00691116" w:rsidP="00EC178C">
      <w:pPr>
        <w:rPr>
          <w:lang w:eastAsia="en-GB"/>
        </w:rPr>
      </w:pPr>
    </w:p>
    <w:p w14:paraId="57C66A4F" w14:textId="77777777" w:rsidR="00691116" w:rsidRDefault="00691116">
      <w:pPr>
        <w:rPr>
          <w:lang w:eastAsia="en-GB"/>
        </w:rPr>
      </w:pPr>
      <w:r>
        <w:rPr>
          <w:lang w:eastAsia="en-GB"/>
        </w:rPr>
        <w:br w:type="page"/>
      </w:r>
    </w:p>
    <w:p w14:paraId="2A39CD90" w14:textId="31D43A0F" w:rsidR="00EC178C" w:rsidRDefault="00691116" w:rsidP="00691116">
      <w:pPr>
        <w:pStyle w:val="Heading1"/>
      </w:pPr>
      <w:bookmarkStart w:id="23" w:name="_Toc228218582"/>
      <w:r>
        <w:lastRenderedPageBreak/>
        <w:t>References</w:t>
      </w:r>
      <w:bookmarkEnd w:id="23"/>
    </w:p>
    <w:p w14:paraId="699B771F" w14:textId="77777777" w:rsidR="004C7818" w:rsidRPr="004C7818" w:rsidRDefault="004C7818" w:rsidP="00967090">
      <w:pPr>
        <w:ind w:left="720" w:hanging="720"/>
        <w:rPr>
          <w:lang w:val="en-US" w:eastAsia="en-GB"/>
        </w:rPr>
      </w:pPr>
      <w:r w:rsidRPr="004C7818">
        <w:rPr>
          <w:lang w:val="en-US" w:eastAsia="en-GB"/>
        </w:rPr>
        <w:t>Alibaba Cloud (2024). </w:t>
      </w:r>
      <w:r w:rsidRPr="004C7818">
        <w:rPr>
          <w:i/>
          <w:iCs/>
          <w:lang w:val="en-US" w:eastAsia="en-GB"/>
        </w:rPr>
        <w:t>Cainiao Smart Supply Chain: Big Data, AI &amp; Machine Learning - Alibaba Cloud Case Study</w:t>
      </w:r>
      <w:r w:rsidRPr="004C7818">
        <w:rPr>
          <w:lang w:val="en-US" w:eastAsia="en-GB"/>
        </w:rPr>
        <w:t>. [online] www.alibabacloud.com. Available at: https://www.alibabacloud.com/en/customers/cainiao-logistics?_p_lc=1 [Accessed 18 Apr. 2026].</w:t>
      </w:r>
    </w:p>
    <w:p w14:paraId="0C35D17B" w14:textId="77777777" w:rsidR="004C7818" w:rsidRPr="004C7818" w:rsidRDefault="004C7818" w:rsidP="00967090">
      <w:pPr>
        <w:ind w:left="720" w:hanging="720"/>
        <w:rPr>
          <w:lang w:val="en-US" w:eastAsia="en-GB"/>
        </w:rPr>
      </w:pPr>
      <w:r w:rsidRPr="004C7818">
        <w:rPr>
          <w:lang w:val="en-US" w:eastAsia="en-GB"/>
        </w:rPr>
        <w:t>Ardley, B. and Naikar, S. (2021). Competitive Strategy as Practice: Obtaining Differential Advantage in the SME. </w:t>
      </w:r>
      <w:r w:rsidRPr="004C7818">
        <w:rPr>
          <w:i/>
          <w:iCs/>
          <w:lang w:val="en-US" w:eastAsia="en-GB"/>
        </w:rPr>
        <w:t>Open Journal of Business and Management</w:t>
      </w:r>
      <w:r w:rsidRPr="004C7818">
        <w:rPr>
          <w:lang w:val="en-US" w:eastAsia="en-GB"/>
        </w:rPr>
        <w:t>, 09(01), pp.196–212. doi:https://doi.org/10.4236/ojbm.2021.91011.</w:t>
      </w:r>
    </w:p>
    <w:p w14:paraId="07B220C5" w14:textId="77777777" w:rsidR="004C7818" w:rsidRPr="004C7818" w:rsidRDefault="004C7818" w:rsidP="00967090">
      <w:pPr>
        <w:ind w:left="720" w:hanging="720"/>
        <w:rPr>
          <w:lang w:val="en-US" w:eastAsia="en-GB"/>
        </w:rPr>
      </w:pPr>
      <w:r w:rsidRPr="004C7818">
        <w:rPr>
          <w:lang w:val="en-US" w:eastAsia="en-GB"/>
        </w:rPr>
        <w:t>Aydin ahrabi (2026). </w:t>
      </w:r>
      <w:r w:rsidRPr="004C7818">
        <w:rPr>
          <w:i/>
          <w:iCs/>
          <w:lang w:val="en-US" w:eastAsia="en-GB"/>
        </w:rPr>
        <w:t>STDP Framework in Marketing</w:t>
      </w:r>
      <w:r w:rsidRPr="004C7818">
        <w:rPr>
          <w:lang w:val="en-US" w:eastAsia="en-GB"/>
        </w:rPr>
        <w:t>. [online] LinkedIn. Available at: https://www.linkedin.com/posts/aydin-ahrabi_stdp-segmentation-targeting-activity-7412383487904862208-zt0t/ [Accessed 18 Apr. 2026].</w:t>
      </w:r>
    </w:p>
    <w:p w14:paraId="579FEB2C" w14:textId="77777777" w:rsidR="004C7818" w:rsidRPr="004C7818" w:rsidRDefault="004C7818" w:rsidP="00967090">
      <w:pPr>
        <w:ind w:left="720" w:hanging="720"/>
        <w:rPr>
          <w:lang w:val="en-US" w:eastAsia="en-GB"/>
        </w:rPr>
      </w:pPr>
      <w:r w:rsidRPr="004C7818">
        <w:rPr>
          <w:lang w:val="en-US" w:eastAsia="en-GB"/>
        </w:rPr>
        <w:t>Bradley, F., Meyer, R. and Gao, Y. (2023). Use of supplier-customer relationships by SMEs to enter foreign markets. </w:t>
      </w:r>
      <w:r w:rsidRPr="004C7818">
        <w:rPr>
          <w:i/>
          <w:iCs/>
          <w:lang w:val="en-US" w:eastAsia="en-GB"/>
        </w:rPr>
        <w:t>Industrial Marketing Management</w:t>
      </w:r>
      <w:r w:rsidRPr="004C7818">
        <w:rPr>
          <w:lang w:val="en-US" w:eastAsia="en-GB"/>
        </w:rPr>
        <w:t>, 35(6), pp.652–665. doi:https://doi.org/10.1016/j.indmarman.2005.05.005.</w:t>
      </w:r>
    </w:p>
    <w:p w14:paraId="2D0DED5F" w14:textId="77777777" w:rsidR="004C7818" w:rsidRPr="004C7818" w:rsidRDefault="004C7818" w:rsidP="00967090">
      <w:pPr>
        <w:ind w:left="720" w:hanging="720"/>
        <w:rPr>
          <w:lang w:val="en-US" w:eastAsia="en-GB"/>
        </w:rPr>
      </w:pPr>
      <w:r w:rsidRPr="004C7818">
        <w:rPr>
          <w:lang w:val="en-US" w:eastAsia="en-GB"/>
        </w:rPr>
        <w:t>Cathro, V., O’Kane, P. and Gilbertson, D. (2022). Assessing reflection. </w:t>
      </w:r>
      <w:r w:rsidRPr="004C7818">
        <w:rPr>
          <w:i/>
          <w:iCs/>
          <w:lang w:val="en-US" w:eastAsia="en-GB"/>
        </w:rPr>
        <w:t>Education + Training</w:t>
      </w:r>
      <w:r w:rsidRPr="004C7818">
        <w:rPr>
          <w:lang w:val="en-US" w:eastAsia="en-GB"/>
        </w:rPr>
        <w:t>, 59(4), pp.427–442. doi:https://doi.org/10.1108/et-01-2017-0008.</w:t>
      </w:r>
    </w:p>
    <w:p w14:paraId="0A582F0E" w14:textId="77777777" w:rsidR="004C7818" w:rsidRPr="004C7818" w:rsidRDefault="004C7818" w:rsidP="00967090">
      <w:pPr>
        <w:ind w:left="720" w:hanging="720"/>
        <w:rPr>
          <w:lang w:val="en-US" w:eastAsia="en-GB"/>
        </w:rPr>
      </w:pPr>
      <w:r w:rsidRPr="004C7818">
        <w:rPr>
          <w:lang w:val="en-US" w:eastAsia="en-GB"/>
        </w:rPr>
        <w:t>Choi, T.Y. and Skilton, P.F. (2022). Buyer-supplier embeddedness and patterns of innovation. </w:t>
      </w:r>
      <w:r w:rsidRPr="004C7818">
        <w:rPr>
          <w:i/>
          <w:iCs/>
          <w:lang w:val="en-US" w:eastAsia="en-GB"/>
        </w:rPr>
        <w:t>International Journal of Operations &amp; Production Management</w:t>
      </w:r>
      <w:r w:rsidRPr="004C7818">
        <w:rPr>
          <w:lang w:val="en-US" w:eastAsia="en-GB"/>
        </w:rPr>
        <w:t>, 35(3), pp.318–345. doi:https://doi.org/10.1108/ijopm-05-2013-0251.</w:t>
      </w:r>
    </w:p>
    <w:p w14:paraId="7411E1E2" w14:textId="77777777" w:rsidR="004C7818" w:rsidRPr="004C7818" w:rsidRDefault="004C7818" w:rsidP="00967090">
      <w:pPr>
        <w:ind w:left="720" w:hanging="720"/>
        <w:rPr>
          <w:lang w:val="en-US" w:eastAsia="en-GB"/>
        </w:rPr>
      </w:pPr>
      <w:r w:rsidRPr="004C7818">
        <w:rPr>
          <w:lang w:val="en-US" w:eastAsia="en-GB"/>
        </w:rPr>
        <w:t>Denis, G. (2020). </w:t>
      </w:r>
      <w:r w:rsidRPr="004C7818">
        <w:rPr>
          <w:i/>
          <w:iCs/>
          <w:lang w:val="en-US" w:eastAsia="en-GB"/>
        </w:rPr>
        <w:t>Gibbs’ Reflective Cycle</w:t>
      </w:r>
      <w:r w:rsidRPr="004C7818">
        <w:rPr>
          <w:lang w:val="en-US" w:eastAsia="en-GB"/>
        </w:rPr>
        <w:t>. [online] Expert Program Management. Available at: https://expertprogrammanagement.com/2019/05/gibbs-reflective-cycle/ [Accessed 18 Apr. 2026].</w:t>
      </w:r>
    </w:p>
    <w:p w14:paraId="6D1384F9" w14:textId="77777777" w:rsidR="004C7818" w:rsidRPr="004C7818" w:rsidRDefault="004C7818" w:rsidP="00967090">
      <w:pPr>
        <w:ind w:left="720" w:hanging="720"/>
        <w:rPr>
          <w:lang w:val="en-US" w:eastAsia="en-GB"/>
        </w:rPr>
      </w:pPr>
      <w:r w:rsidRPr="004C7818">
        <w:rPr>
          <w:lang w:val="en-US" w:eastAsia="en-GB"/>
        </w:rPr>
        <w:t>Djibran, F. (2025). Enhancing SME Growth Through Online Banking Solutions: Opportunities And Challenges In The Digital Era. </w:t>
      </w:r>
      <w:r w:rsidRPr="004C7818">
        <w:rPr>
          <w:i/>
          <w:iCs/>
          <w:lang w:val="en-US" w:eastAsia="en-GB"/>
        </w:rPr>
        <w:t>Jurnal Riset Multidisiplin Edukasi</w:t>
      </w:r>
      <w:r w:rsidRPr="004C7818">
        <w:rPr>
          <w:lang w:val="en-US" w:eastAsia="en-GB"/>
        </w:rPr>
        <w:t>, 2(1), pp.413–426. doi:https://doi.org/10.71282/jurmie.v2i1.69.</w:t>
      </w:r>
    </w:p>
    <w:p w14:paraId="20E137A0" w14:textId="77777777" w:rsidR="004C7818" w:rsidRPr="004C7818" w:rsidRDefault="004C7818" w:rsidP="00967090">
      <w:pPr>
        <w:ind w:left="720" w:hanging="720"/>
        <w:rPr>
          <w:lang w:val="en-US" w:eastAsia="en-GB"/>
        </w:rPr>
      </w:pPr>
      <w:r w:rsidRPr="004C7818">
        <w:rPr>
          <w:lang w:val="en-US" w:eastAsia="en-GB"/>
        </w:rPr>
        <w:t>Falcone, E., Kent, J. and Fugate, B. (2020). Supply chain technologies, interorganizational network and firm performance. </w:t>
      </w:r>
      <w:r w:rsidRPr="004C7818">
        <w:rPr>
          <w:i/>
          <w:iCs/>
          <w:lang w:val="en-US" w:eastAsia="en-GB"/>
        </w:rPr>
        <w:t>International Journal of Physical Distribution &amp; Logistics Management</w:t>
      </w:r>
      <w:r w:rsidRPr="004C7818">
        <w:rPr>
          <w:lang w:val="en-US" w:eastAsia="en-GB"/>
        </w:rPr>
        <w:t>, 50(3), pp.333–354.</w:t>
      </w:r>
    </w:p>
    <w:p w14:paraId="7B1FAFA4" w14:textId="77777777" w:rsidR="004C7818" w:rsidRPr="004C7818" w:rsidRDefault="004C7818" w:rsidP="00967090">
      <w:pPr>
        <w:ind w:left="720" w:hanging="720"/>
        <w:rPr>
          <w:lang w:val="en-US" w:eastAsia="en-GB"/>
        </w:rPr>
      </w:pPr>
      <w:r w:rsidRPr="004C7818">
        <w:rPr>
          <w:lang w:val="en-US" w:eastAsia="en-GB"/>
        </w:rPr>
        <w:t>Finch, D., Peacock, M., Lazdowski, D. and Hwang, M. (2023). Managing emotions: A case study exploring the relationship between experiential learning, emotions, and student performance. </w:t>
      </w:r>
      <w:r w:rsidRPr="004C7818">
        <w:rPr>
          <w:i/>
          <w:iCs/>
          <w:lang w:val="en-US" w:eastAsia="en-GB"/>
        </w:rPr>
        <w:t>The International Journal of Management Education</w:t>
      </w:r>
      <w:r w:rsidRPr="004C7818">
        <w:rPr>
          <w:lang w:val="en-US" w:eastAsia="en-GB"/>
        </w:rPr>
        <w:t>, 13(1), pp.23–36. doi:https://doi.org/10.1016/j.ijme.2014.12.001.</w:t>
      </w:r>
    </w:p>
    <w:p w14:paraId="09A22177" w14:textId="77777777" w:rsidR="004C7818" w:rsidRDefault="004C7818" w:rsidP="00967090">
      <w:pPr>
        <w:ind w:left="720" w:hanging="720"/>
        <w:rPr>
          <w:lang w:val="en-US" w:eastAsia="en-GB"/>
        </w:rPr>
      </w:pPr>
      <w:r w:rsidRPr="004C7818">
        <w:rPr>
          <w:lang w:val="en-US" w:eastAsia="en-GB"/>
        </w:rPr>
        <w:lastRenderedPageBreak/>
        <w:t>Hendrikse, R. and Bassens, D. (2024). Strategic coupling between finance, technology and the state: Cultivating a Fintech ecosystem for incumbent finance. </w:t>
      </w:r>
      <w:r w:rsidRPr="004C7818">
        <w:rPr>
          <w:i/>
          <w:iCs/>
          <w:lang w:val="en-US" w:eastAsia="en-GB"/>
        </w:rPr>
        <w:t>Environment and Planning A: Economy and Space</w:t>
      </w:r>
      <w:r w:rsidRPr="004C7818">
        <w:rPr>
          <w:lang w:val="en-US" w:eastAsia="en-GB"/>
        </w:rPr>
        <w:t>, 6(3), p.0308518X1988796. doi:https://doi.org/10.1177/0308518x19887967.</w:t>
      </w:r>
    </w:p>
    <w:p w14:paraId="61557C6F" w14:textId="62A1DC01" w:rsidR="004C7818" w:rsidRPr="004C7818" w:rsidRDefault="004C7818" w:rsidP="00967090">
      <w:pPr>
        <w:ind w:left="720" w:hanging="720"/>
      </w:pPr>
      <w:r w:rsidRPr="00691116">
        <w:t>Kotler, P. and Keller, K.L., 2015. </w:t>
      </w:r>
      <w:r w:rsidRPr="00691116">
        <w:rPr>
          <w:i/>
          <w:iCs/>
        </w:rPr>
        <w:t>Framework for Marketing Management, A</w:t>
      </w:r>
      <w:r w:rsidRPr="00691116">
        <w:t>. BoD–Books on Demand.</w:t>
      </w:r>
    </w:p>
    <w:p w14:paraId="749F5269" w14:textId="1F296B86" w:rsidR="004C7818" w:rsidRPr="004C7818" w:rsidRDefault="004C7818" w:rsidP="00967090">
      <w:pPr>
        <w:ind w:left="720" w:hanging="720"/>
        <w:rPr>
          <w:lang w:val="en-US" w:eastAsia="en-GB"/>
        </w:rPr>
      </w:pPr>
      <w:r w:rsidRPr="004C7818">
        <w:rPr>
          <w:lang w:val="en-US" w:eastAsia="en-GB"/>
        </w:rPr>
        <w:t>Lukács, E. (2023). The Economic Role of SMEs in World Economy, Especially In Europe. </w:t>
      </w:r>
      <w:r w:rsidRPr="004C7818">
        <w:rPr>
          <w:i/>
          <w:iCs/>
          <w:lang w:val="en-US" w:eastAsia="en-GB"/>
        </w:rPr>
        <w:t>European Integration Studies</w:t>
      </w:r>
      <w:r w:rsidRPr="004C7818">
        <w:rPr>
          <w:lang w:val="en-US" w:eastAsia="en-GB"/>
        </w:rPr>
        <w:t>, [online] IV(1), pp.3–12. Available at: https://www.ceeol.com/search/article-detail?id=110801 [Accessed 18 Apr. 2026].</w:t>
      </w:r>
    </w:p>
    <w:p w14:paraId="389088C4" w14:textId="1BDBA4A4" w:rsidR="004C7818" w:rsidRPr="004C7818" w:rsidRDefault="004C7818" w:rsidP="00967090">
      <w:pPr>
        <w:ind w:left="720" w:hanging="720"/>
        <w:rPr>
          <w:lang w:val="en-US" w:eastAsia="en-GB"/>
        </w:rPr>
      </w:pPr>
      <w:r w:rsidRPr="004C7818">
        <w:rPr>
          <w:lang w:val="en-US" w:eastAsia="en-GB"/>
        </w:rPr>
        <w:t>Mishra, A. (2020). </w:t>
      </w:r>
      <w:r w:rsidRPr="004C7818">
        <w:rPr>
          <w:i/>
          <w:iCs/>
          <w:lang w:val="en-US" w:eastAsia="en-GB"/>
        </w:rPr>
        <w:t>4 Ps of the marketing mix: a beginner’s guide!</w:t>
      </w:r>
      <w:r w:rsidRPr="004C7818">
        <w:rPr>
          <w:lang w:val="en-US" w:eastAsia="en-GB"/>
        </w:rPr>
        <w:t> [online] Management Weekly. Available at: https://managementweekly.org/4-ps-of-the-marketing-mix/ [Accessed 18 Apr. 2026].</w:t>
      </w:r>
    </w:p>
    <w:p w14:paraId="2151FF1D" w14:textId="77777777" w:rsidR="004C7818" w:rsidRPr="004C7818" w:rsidRDefault="004C7818" w:rsidP="00967090">
      <w:pPr>
        <w:ind w:left="720" w:hanging="720"/>
        <w:rPr>
          <w:lang w:val="en-US" w:eastAsia="en-GB"/>
        </w:rPr>
      </w:pPr>
      <w:r w:rsidRPr="004C7818">
        <w:rPr>
          <w:lang w:val="en-US" w:eastAsia="en-GB"/>
        </w:rPr>
        <w:t>Mogaji, E. (2025). Market Segmentation, Targeting, and Positioning. </w:t>
      </w:r>
      <w:r w:rsidRPr="004C7818">
        <w:rPr>
          <w:i/>
          <w:iCs/>
          <w:lang w:val="en-US" w:eastAsia="en-GB"/>
        </w:rPr>
        <w:t>Strategic Marketing Management</w:t>
      </w:r>
      <w:r w:rsidRPr="004C7818">
        <w:rPr>
          <w:lang w:val="en-US" w:eastAsia="en-GB"/>
        </w:rPr>
        <w:t>, 4(2), pp.103–133. doi:https://doi.org/10.1007/978-3-031-99367-1_5.</w:t>
      </w:r>
    </w:p>
    <w:p w14:paraId="61B4B4C7" w14:textId="77777777" w:rsidR="004C7818" w:rsidRPr="004C7818" w:rsidRDefault="004C7818" w:rsidP="00967090">
      <w:pPr>
        <w:ind w:left="720" w:hanging="720"/>
        <w:rPr>
          <w:lang w:val="en-US" w:eastAsia="en-GB"/>
        </w:rPr>
      </w:pPr>
      <w:r w:rsidRPr="004C7818">
        <w:rPr>
          <w:lang w:val="en-US" w:eastAsia="en-GB"/>
        </w:rPr>
        <w:t>Parshetty, H., Palimkar, L. and Emandi, R. (2024). Customer Targeting and Segmentation. </w:t>
      </w:r>
      <w:r w:rsidRPr="004C7818">
        <w:rPr>
          <w:i/>
          <w:iCs/>
          <w:lang w:val="en-US" w:eastAsia="en-GB"/>
        </w:rPr>
        <w:t>Chapman and Hall/CRC eBooks</w:t>
      </w:r>
      <w:r w:rsidRPr="004C7818">
        <w:rPr>
          <w:lang w:val="en-US" w:eastAsia="en-GB"/>
        </w:rPr>
        <w:t>, 4(2), pp.68–81. doi:https://doi.org/10.1201/9781003472544-6.</w:t>
      </w:r>
    </w:p>
    <w:p w14:paraId="6C882DCD" w14:textId="77777777" w:rsidR="004C7818" w:rsidRPr="004C7818" w:rsidRDefault="004C7818" w:rsidP="00967090">
      <w:pPr>
        <w:ind w:left="720" w:hanging="720"/>
        <w:rPr>
          <w:lang w:val="en-US" w:eastAsia="en-GB"/>
        </w:rPr>
      </w:pPr>
      <w:r w:rsidRPr="004C7818">
        <w:rPr>
          <w:lang w:val="en-US" w:eastAsia="en-GB"/>
        </w:rPr>
        <w:t>Peng, W. and Zhu, F. (2023). Trust Building and Credit Reporting with Big Data in the Digital Age. </w:t>
      </w:r>
      <w:r w:rsidRPr="004C7818">
        <w:rPr>
          <w:i/>
          <w:iCs/>
          <w:lang w:val="en-US" w:eastAsia="en-GB"/>
        </w:rPr>
        <w:t>The Palgrave Handbook of Technological Finance</w:t>
      </w:r>
      <w:r w:rsidRPr="004C7818">
        <w:rPr>
          <w:lang w:val="en-US" w:eastAsia="en-GB"/>
        </w:rPr>
        <w:t>, 4(3), pp.809–836. doi:https://doi.org/10.1007/978-3-030-65117-6_29.</w:t>
      </w:r>
    </w:p>
    <w:p w14:paraId="3F5206D0" w14:textId="77777777" w:rsidR="004C7818" w:rsidRPr="004C7818" w:rsidRDefault="004C7818" w:rsidP="00967090">
      <w:pPr>
        <w:ind w:left="720" w:hanging="720"/>
        <w:rPr>
          <w:lang w:val="en-US" w:eastAsia="en-GB"/>
        </w:rPr>
      </w:pPr>
      <w:r w:rsidRPr="004C7818">
        <w:rPr>
          <w:lang w:val="en-US" w:eastAsia="en-GB"/>
        </w:rPr>
        <w:t>Saurabh, S. and Ratten, V. (2023). Filling the SME credit gap: a systematic review of blockchain-based SME finance literature. </w:t>
      </w:r>
      <w:r w:rsidRPr="004C7818">
        <w:rPr>
          <w:i/>
          <w:iCs/>
          <w:lang w:val="en-US" w:eastAsia="en-GB"/>
        </w:rPr>
        <w:t>Journal of Trade Science</w:t>
      </w:r>
      <w:r w:rsidRPr="004C7818">
        <w:rPr>
          <w:lang w:val="en-US" w:eastAsia="en-GB"/>
        </w:rPr>
        <w:t>, 11(2/3), pp.45–72. doi:https://doi.org/10.1108/jts-06-2023-0003.</w:t>
      </w:r>
    </w:p>
    <w:p w14:paraId="48DC1E6C" w14:textId="77777777" w:rsidR="004C7818" w:rsidRPr="004C7818" w:rsidRDefault="004C7818" w:rsidP="00967090">
      <w:pPr>
        <w:ind w:left="720" w:hanging="720"/>
        <w:rPr>
          <w:lang w:val="en-US" w:eastAsia="en-GB"/>
        </w:rPr>
      </w:pPr>
      <w:r w:rsidRPr="004C7818">
        <w:rPr>
          <w:lang w:val="en-US" w:eastAsia="en-GB"/>
        </w:rPr>
        <w:t>Swarnim Suhane (2024). A Study on the Role of Digital Innovation in Fostering Entrepreneurial Success in Small and Medium Enterprises (SMEs). </w:t>
      </w:r>
      <w:r w:rsidRPr="004C7818">
        <w:rPr>
          <w:i/>
          <w:iCs/>
          <w:lang w:val="en-US" w:eastAsia="en-GB"/>
        </w:rPr>
        <w:t>Research Network</w:t>
      </w:r>
      <w:r w:rsidRPr="004C7818">
        <w:rPr>
          <w:lang w:val="en-US" w:eastAsia="en-GB"/>
        </w:rPr>
        <w:t>, 3(4). doi:https://doi.org/10.2139/ssrn.4820410.</w:t>
      </w:r>
    </w:p>
    <w:p w14:paraId="3F87EC4D" w14:textId="77777777" w:rsidR="004C7818" w:rsidRPr="004C7818" w:rsidRDefault="004C7818" w:rsidP="00967090">
      <w:pPr>
        <w:ind w:left="720" w:hanging="720"/>
        <w:rPr>
          <w:lang w:val="en-US" w:eastAsia="en-GB"/>
        </w:rPr>
      </w:pPr>
      <w:r w:rsidRPr="004C7818">
        <w:rPr>
          <w:lang w:val="en-US" w:eastAsia="en-GB"/>
        </w:rPr>
        <w:t>Team, P.F. (2023). </w:t>
      </w:r>
      <w:r w:rsidRPr="004C7818">
        <w:rPr>
          <w:i/>
          <w:iCs/>
          <w:lang w:val="en-US" w:eastAsia="en-GB"/>
        </w:rPr>
        <w:t>What is Value-Based Pricing? (Definition, Principles, Examples)</w:t>
      </w:r>
      <w:r w:rsidRPr="004C7818">
        <w:rPr>
          <w:lang w:val="en-US" w:eastAsia="en-GB"/>
        </w:rPr>
        <w:t>. [online] Peak Frameworks. Available at: https://www.peakframeworks.com/post/value-based-pricing [Accessed 18 Apr. 2026].</w:t>
      </w:r>
    </w:p>
    <w:p w14:paraId="5C81225C" w14:textId="77777777" w:rsidR="004C7818" w:rsidRDefault="004C7818" w:rsidP="00967090">
      <w:pPr>
        <w:ind w:left="720" w:hanging="720"/>
        <w:rPr>
          <w:lang w:val="en-US" w:eastAsia="en-GB"/>
        </w:rPr>
      </w:pPr>
      <w:r w:rsidRPr="004C7818">
        <w:rPr>
          <w:lang w:val="en-US" w:eastAsia="en-GB"/>
        </w:rPr>
        <w:t>Wang, Y., Cui, L. and Zhou, J. (2024). The Impact of Green Finance and Digital Economy on Regional Carbon Emission Reduction. </w:t>
      </w:r>
      <w:r w:rsidRPr="004C7818">
        <w:rPr>
          <w:i/>
          <w:iCs/>
          <w:lang w:val="en-US" w:eastAsia="en-GB"/>
        </w:rPr>
        <w:t xml:space="preserve">International Review of </w:t>
      </w:r>
      <w:r w:rsidRPr="004C7818">
        <w:rPr>
          <w:i/>
          <w:iCs/>
          <w:lang w:val="en-US" w:eastAsia="en-GB"/>
        </w:rPr>
        <w:lastRenderedPageBreak/>
        <w:t>Economics &amp; Finance</w:t>
      </w:r>
      <w:r w:rsidRPr="004C7818">
        <w:rPr>
          <w:lang w:val="en-US" w:eastAsia="en-GB"/>
        </w:rPr>
        <w:t>, 6(3), p.103748. doi:https://doi.org/10.1016/j.iref.2024.103748.</w:t>
      </w:r>
    </w:p>
    <w:p w14:paraId="5906ADA9" w14:textId="4A39BCD8" w:rsidR="007F2592" w:rsidRPr="004C7818" w:rsidRDefault="007F2592" w:rsidP="00967090">
      <w:pPr>
        <w:ind w:left="720" w:hanging="720"/>
        <w:rPr>
          <w:lang w:val="en-US" w:eastAsia="en-GB"/>
        </w:rPr>
      </w:pPr>
      <w:r w:rsidRPr="007F2592">
        <w:rPr>
          <w:lang w:eastAsia="en-GB"/>
        </w:rPr>
        <w:t>wearne, J. (2023). </w:t>
      </w:r>
      <w:r w:rsidRPr="007F2592">
        <w:rPr>
          <w:i/>
          <w:iCs/>
          <w:lang w:eastAsia="en-GB"/>
        </w:rPr>
        <w:t>What is direct distribution?</w:t>
      </w:r>
      <w:r w:rsidRPr="007F2592">
        <w:rPr>
          <w:lang w:eastAsia="en-GB"/>
        </w:rPr>
        <w:t> [online] JWPM Industrial Strength Marketing. Available at: https://jwpm.com.au/reference/distribution-strategy-what-is-direct-distribution [Accessed 27 Apr. 2026].</w:t>
      </w:r>
    </w:p>
    <w:p w14:paraId="610FFBD6" w14:textId="77777777" w:rsidR="004C7818" w:rsidRPr="004C7818" w:rsidRDefault="004C7818" w:rsidP="00967090">
      <w:pPr>
        <w:ind w:left="720" w:hanging="720"/>
        <w:rPr>
          <w:lang w:val="en-US" w:eastAsia="en-GB"/>
        </w:rPr>
      </w:pPr>
      <w:r w:rsidRPr="004C7818">
        <w:rPr>
          <w:lang w:val="en-US" w:eastAsia="en-GB"/>
        </w:rPr>
        <w:t>Xia, Y. (2023). The 4Ps of Marketing and Applications in Various Brands. </w:t>
      </w:r>
      <w:r w:rsidRPr="004C7818">
        <w:rPr>
          <w:i/>
          <w:iCs/>
          <w:lang w:val="en-US" w:eastAsia="en-GB"/>
        </w:rPr>
        <w:t>Journal of Education, Humanities and Social Sciences</w:t>
      </w:r>
      <w:r w:rsidRPr="004C7818">
        <w:rPr>
          <w:lang w:val="en-US" w:eastAsia="en-GB"/>
        </w:rPr>
        <w:t>, 16(1), pp.165–170. doi:https://doi.org/10.54097/ehss.v16i.9601.</w:t>
      </w:r>
    </w:p>
    <w:p w14:paraId="3D3D2778" w14:textId="77777777" w:rsidR="004C7818" w:rsidRPr="004C7818" w:rsidRDefault="004C7818" w:rsidP="00967090">
      <w:pPr>
        <w:ind w:left="720" w:hanging="720"/>
        <w:rPr>
          <w:lang w:val="en-US" w:eastAsia="en-GB"/>
        </w:rPr>
      </w:pPr>
      <w:r w:rsidRPr="004C7818">
        <w:rPr>
          <w:lang w:val="en-US" w:eastAsia="en-GB"/>
        </w:rPr>
        <w:t>Xiang, X. and Yang, X. (2021). Emerging Economies and Financing of SMEs. </w:t>
      </w:r>
      <w:r w:rsidRPr="004C7818">
        <w:rPr>
          <w:i/>
          <w:iCs/>
          <w:lang w:val="en-US" w:eastAsia="en-GB"/>
        </w:rPr>
        <w:t>IGI Global eBooks</w:t>
      </w:r>
      <w:r w:rsidRPr="004C7818">
        <w:rPr>
          <w:lang w:val="en-US" w:eastAsia="en-GB"/>
        </w:rPr>
        <w:t>, [online] 6(3), pp.16–39. doi:https://doi.org/10.4018/978-1-7998-9155-0.ch002.</w:t>
      </w:r>
    </w:p>
    <w:p w14:paraId="6727A325" w14:textId="16BD7101" w:rsidR="002622A4" w:rsidRDefault="004C7818" w:rsidP="00967090">
      <w:pPr>
        <w:ind w:left="720" w:hanging="720"/>
        <w:rPr>
          <w:lang w:val="en-US" w:eastAsia="en-GB"/>
        </w:rPr>
      </w:pPr>
      <w:r w:rsidRPr="004C7818">
        <w:rPr>
          <w:lang w:val="en-US" w:eastAsia="en-GB"/>
        </w:rPr>
        <w:t>Yun, J.J., Zhao, X. and Park, K. (2022). Sustainability Condition of Open Innovation: Dynamic Growth of Alibaba from SME to Large Enterprise. </w:t>
      </w:r>
      <w:r w:rsidRPr="004C7818">
        <w:rPr>
          <w:i/>
          <w:iCs/>
          <w:lang w:val="en-US" w:eastAsia="en-GB"/>
        </w:rPr>
        <w:t>Sustainability</w:t>
      </w:r>
      <w:r w:rsidRPr="004C7818">
        <w:rPr>
          <w:lang w:val="en-US" w:eastAsia="en-GB"/>
        </w:rPr>
        <w:t>, [online] 12(11), p.4379. Available at: https://www.mdpi.com/2071-1050/12/11/4379 [Accessed 18 Apr. 2026].</w:t>
      </w:r>
    </w:p>
    <w:p w14:paraId="7CA4E8C9" w14:textId="77777777" w:rsidR="002622A4" w:rsidRDefault="002622A4">
      <w:pPr>
        <w:rPr>
          <w:lang w:val="en-US" w:eastAsia="en-GB"/>
        </w:rPr>
      </w:pPr>
      <w:r>
        <w:rPr>
          <w:lang w:val="en-US" w:eastAsia="en-GB"/>
        </w:rPr>
        <w:br w:type="page"/>
      </w:r>
    </w:p>
    <w:p w14:paraId="03A61D44" w14:textId="199691D6" w:rsidR="004C7818" w:rsidRDefault="002622A4" w:rsidP="002622A4">
      <w:pPr>
        <w:pStyle w:val="Heading1"/>
        <w:rPr>
          <w:lang w:val="en-US"/>
        </w:rPr>
      </w:pPr>
      <w:bookmarkStart w:id="24" w:name="_Toc228218583"/>
      <w:r>
        <w:rPr>
          <w:lang w:val="en-US"/>
        </w:rPr>
        <w:lastRenderedPageBreak/>
        <w:t>Appendix: Brand Extension Poster</w:t>
      </w:r>
      <w:bookmarkEnd w:id="24"/>
    </w:p>
    <w:p w14:paraId="0578DE5E" w14:textId="08F775D9" w:rsidR="002622A4" w:rsidRPr="004C7818" w:rsidRDefault="002622A4" w:rsidP="004C7818">
      <w:pPr>
        <w:rPr>
          <w:lang w:val="en-US" w:eastAsia="en-GB"/>
        </w:rPr>
      </w:pPr>
      <w:r w:rsidRPr="00FB15C7">
        <w:rPr>
          <w:rFonts w:ascii="Times New Roman" w:eastAsia="Times New Roman" w:hAnsi="Times New Roman"/>
          <w:szCs w:val="24"/>
          <w:lang w:val="en-US"/>
        </w:rPr>
        <w:drawing>
          <wp:inline distT="0" distB="0" distL="0" distR="0" wp14:anchorId="1870B411" wp14:editId="718F6293">
            <wp:extent cx="5732145" cy="7721600"/>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8">
                      <a:extLst>
                        <a:ext uri="{28A0092B-C50C-407E-A947-70E740481C1C}">
                          <a14:useLocalDpi xmlns:a14="http://schemas.microsoft.com/office/drawing/2010/main" val="0"/>
                        </a:ext>
                      </a:extLst>
                    </a:blip>
                    <a:stretch>
                      <a:fillRect/>
                    </a:stretch>
                  </pic:blipFill>
                  <pic:spPr bwMode="auto">
                    <a:xfrm>
                      <a:off x="0" y="0"/>
                      <a:ext cx="5732145" cy="7721600"/>
                    </a:xfrm>
                    <a:prstGeom prst="rect">
                      <a:avLst/>
                    </a:prstGeom>
                    <a:noFill/>
                    <a:ln>
                      <a:noFill/>
                    </a:ln>
                  </pic:spPr>
                </pic:pic>
              </a:graphicData>
            </a:graphic>
          </wp:inline>
        </w:drawing>
      </w:r>
    </w:p>
    <w:sectPr w:rsidR="002622A4" w:rsidRPr="004C7818" w:rsidSect="00AE21C4">
      <w:footerReference w:type="default" r:id="rId19"/>
      <w:pgSz w:w="11907" w:h="16839"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0F2628" w14:textId="77777777" w:rsidR="00615DAE" w:rsidRDefault="00615DAE">
      <w:pPr>
        <w:spacing w:line="240" w:lineRule="auto"/>
      </w:pPr>
      <w:r>
        <w:separator/>
      </w:r>
    </w:p>
  </w:endnote>
  <w:endnote w:type="continuationSeparator" w:id="0">
    <w:p w14:paraId="23DC51D7" w14:textId="77777777" w:rsidR="00615DAE" w:rsidRDefault="00615DA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5B173A" w14:textId="77777777" w:rsidR="003163B5" w:rsidRDefault="00615DAE">
    <w:pPr>
      <w:pBdr>
        <w:top w:val="nil"/>
        <w:left w:val="nil"/>
        <w:bottom w:val="nil"/>
        <w:right w:val="nil"/>
        <w:between w:val="nil"/>
      </w:pBdr>
      <w:tabs>
        <w:tab w:val="center" w:pos="4680"/>
        <w:tab w:val="right" w:pos="9360"/>
      </w:tabs>
      <w:spacing w:line="240" w:lineRule="auto"/>
      <w:jc w:val="center"/>
      <w:rPr>
        <w:rFonts w:cs="Arial"/>
        <w:color w:val="000000"/>
        <w:szCs w:val="24"/>
      </w:rPr>
    </w:pPr>
    <w:r>
      <w:rPr>
        <w:rFonts w:cs="Arial"/>
        <w:color w:val="000000"/>
        <w:szCs w:val="24"/>
      </w:rPr>
      <w:fldChar w:fldCharType="begin"/>
    </w:r>
    <w:r>
      <w:rPr>
        <w:rFonts w:cs="Arial"/>
        <w:color w:val="000000"/>
        <w:szCs w:val="24"/>
      </w:rPr>
      <w:instrText>PAGE</w:instrText>
    </w:r>
    <w:r>
      <w:rPr>
        <w:rFonts w:cs="Arial"/>
        <w:color w:val="000000"/>
        <w:szCs w:val="24"/>
      </w:rPr>
      <w:fldChar w:fldCharType="separate"/>
    </w:r>
    <w:r w:rsidR="00AE21C4">
      <w:rPr>
        <w:rFonts w:cs="Arial"/>
        <w:color w:val="000000"/>
        <w:szCs w:val="24"/>
      </w:rPr>
      <w:t>2</w:t>
    </w:r>
    <w:r>
      <w:rPr>
        <w:rFonts w:cs="Arial"/>
        <w:color w:val="000000"/>
        <w:szCs w:val="24"/>
      </w:rPr>
      <w:fldChar w:fldCharType="end"/>
    </w:r>
  </w:p>
  <w:p w14:paraId="2B96FB7E" w14:textId="77777777" w:rsidR="003163B5" w:rsidRDefault="003163B5">
    <w:pPr>
      <w:pBdr>
        <w:top w:val="nil"/>
        <w:left w:val="nil"/>
        <w:bottom w:val="nil"/>
        <w:right w:val="nil"/>
        <w:between w:val="nil"/>
      </w:pBdr>
      <w:tabs>
        <w:tab w:val="center" w:pos="4680"/>
        <w:tab w:val="right" w:pos="9360"/>
      </w:tabs>
      <w:spacing w:line="240" w:lineRule="auto"/>
      <w:rPr>
        <w:rFonts w:cs="Arial"/>
        <w:color w:val="000000"/>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5479EB" w14:textId="77777777" w:rsidR="00615DAE" w:rsidRDefault="00615DAE">
      <w:pPr>
        <w:spacing w:line="240" w:lineRule="auto"/>
      </w:pPr>
      <w:r>
        <w:separator/>
      </w:r>
    </w:p>
  </w:footnote>
  <w:footnote w:type="continuationSeparator" w:id="0">
    <w:p w14:paraId="68B3AE91" w14:textId="77777777" w:rsidR="00615DAE" w:rsidRDefault="00615DA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26FAB"/>
    <w:multiLevelType w:val="hybridMultilevel"/>
    <w:tmpl w:val="6F8CB670"/>
    <w:lvl w:ilvl="0" w:tplc="6D9ECD88">
      <w:start w:val="1"/>
      <w:numFmt w:val="bullet"/>
      <w:lvlText w:val=""/>
      <w:lvlJc w:val="left"/>
      <w:pPr>
        <w:ind w:left="720" w:hanging="360"/>
      </w:pPr>
      <w:rPr>
        <w:rFonts w:ascii="Wingdings" w:hAnsi="Wingdings" w:hint="default"/>
      </w:rPr>
    </w:lvl>
    <w:lvl w:ilvl="1" w:tplc="71B00EB2" w:tentative="1">
      <w:start w:val="1"/>
      <w:numFmt w:val="lowerLetter"/>
      <w:lvlText w:val="%2."/>
      <w:lvlJc w:val="left"/>
      <w:pPr>
        <w:ind w:left="1440" w:hanging="360"/>
      </w:pPr>
    </w:lvl>
    <w:lvl w:ilvl="2" w:tplc="0510AFB6" w:tentative="1">
      <w:start w:val="1"/>
      <w:numFmt w:val="lowerRoman"/>
      <w:lvlText w:val="%3."/>
      <w:lvlJc w:val="right"/>
      <w:pPr>
        <w:ind w:left="2160" w:hanging="180"/>
      </w:pPr>
    </w:lvl>
    <w:lvl w:ilvl="3" w:tplc="4A2E2534" w:tentative="1">
      <w:start w:val="1"/>
      <w:numFmt w:val="decimal"/>
      <w:lvlText w:val="%4."/>
      <w:lvlJc w:val="left"/>
      <w:pPr>
        <w:ind w:left="2880" w:hanging="360"/>
      </w:pPr>
    </w:lvl>
    <w:lvl w:ilvl="4" w:tplc="B1D86094" w:tentative="1">
      <w:start w:val="1"/>
      <w:numFmt w:val="lowerLetter"/>
      <w:lvlText w:val="%5."/>
      <w:lvlJc w:val="left"/>
      <w:pPr>
        <w:ind w:left="3600" w:hanging="360"/>
      </w:pPr>
    </w:lvl>
    <w:lvl w:ilvl="5" w:tplc="9F9ED9BE" w:tentative="1">
      <w:start w:val="1"/>
      <w:numFmt w:val="lowerRoman"/>
      <w:lvlText w:val="%6."/>
      <w:lvlJc w:val="right"/>
      <w:pPr>
        <w:ind w:left="4320" w:hanging="180"/>
      </w:pPr>
    </w:lvl>
    <w:lvl w:ilvl="6" w:tplc="DA20939C" w:tentative="1">
      <w:start w:val="1"/>
      <w:numFmt w:val="decimal"/>
      <w:lvlText w:val="%7."/>
      <w:lvlJc w:val="left"/>
      <w:pPr>
        <w:ind w:left="5040" w:hanging="360"/>
      </w:pPr>
    </w:lvl>
    <w:lvl w:ilvl="7" w:tplc="59D0D582" w:tentative="1">
      <w:start w:val="1"/>
      <w:numFmt w:val="lowerLetter"/>
      <w:lvlText w:val="%8."/>
      <w:lvlJc w:val="left"/>
      <w:pPr>
        <w:ind w:left="5760" w:hanging="360"/>
      </w:pPr>
    </w:lvl>
    <w:lvl w:ilvl="8" w:tplc="82F44B84" w:tentative="1">
      <w:start w:val="1"/>
      <w:numFmt w:val="lowerRoman"/>
      <w:lvlText w:val="%9."/>
      <w:lvlJc w:val="right"/>
      <w:pPr>
        <w:ind w:left="6480" w:hanging="180"/>
      </w:pPr>
    </w:lvl>
  </w:abstractNum>
  <w:abstractNum w:abstractNumId="1" w15:restartNumberingAfterBreak="0">
    <w:nsid w:val="023D0BC8"/>
    <w:multiLevelType w:val="hybridMultilevel"/>
    <w:tmpl w:val="658AB4F6"/>
    <w:lvl w:ilvl="0" w:tplc="D80828FE">
      <w:start w:val="1"/>
      <w:numFmt w:val="bullet"/>
      <w:lvlText w:val=""/>
      <w:lvlJc w:val="left"/>
      <w:pPr>
        <w:ind w:left="720" w:hanging="360"/>
      </w:pPr>
      <w:rPr>
        <w:rFonts w:ascii="Symbol" w:hAnsi="Symbol" w:hint="default"/>
      </w:rPr>
    </w:lvl>
    <w:lvl w:ilvl="1" w:tplc="E0D4A804" w:tentative="1">
      <w:start w:val="1"/>
      <w:numFmt w:val="bullet"/>
      <w:lvlText w:val="o"/>
      <w:lvlJc w:val="left"/>
      <w:pPr>
        <w:ind w:left="1440" w:hanging="360"/>
      </w:pPr>
      <w:rPr>
        <w:rFonts w:ascii="Courier New" w:hAnsi="Courier New" w:cs="Courier New" w:hint="default"/>
      </w:rPr>
    </w:lvl>
    <w:lvl w:ilvl="2" w:tplc="2A902B0A" w:tentative="1">
      <w:start w:val="1"/>
      <w:numFmt w:val="bullet"/>
      <w:lvlText w:val=""/>
      <w:lvlJc w:val="left"/>
      <w:pPr>
        <w:ind w:left="2160" w:hanging="360"/>
      </w:pPr>
      <w:rPr>
        <w:rFonts w:ascii="Wingdings" w:hAnsi="Wingdings" w:hint="default"/>
      </w:rPr>
    </w:lvl>
    <w:lvl w:ilvl="3" w:tplc="8C40D668" w:tentative="1">
      <w:start w:val="1"/>
      <w:numFmt w:val="bullet"/>
      <w:lvlText w:val=""/>
      <w:lvlJc w:val="left"/>
      <w:pPr>
        <w:ind w:left="2880" w:hanging="360"/>
      </w:pPr>
      <w:rPr>
        <w:rFonts w:ascii="Symbol" w:hAnsi="Symbol" w:hint="default"/>
      </w:rPr>
    </w:lvl>
    <w:lvl w:ilvl="4" w:tplc="D0F6F5D8" w:tentative="1">
      <w:start w:val="1"/>
      <w:numFmt w:val="bullet"/>
      <w:lvlText w:val="o"/>
      <w:lvlJc w:val="left"/>
      <w:pPr>
        <w:ind w:left="3600" w:hanging="360"/>
      </w:pPr>
      <w:rPr>
        <w:rFonts w:ascii="Courier New" w:hAnsi="Courier New" w:cs="Courier New" w:hint="default"/>
      </w:rPr>
    </w:lvl>
    <w:lvl w:ilvl="5" w:tplc="14821128" w:tentative="1">
      <w:start w:val="1"/>
      <w:numFmt w:val="bullet"/>
      <w:lvlText w:val=""/>
      <w:lvlJc w:val="left"/>
      <w:pPr>
        <w:ind w:left="4320" w:hanging="360"/>
      </w:pPr>
      <w:rPr>
        <w:rFonts w:ascii="Wingdings" w:hAnsi="Wingdings" w:hint="default"/>
      </w:rPr>
    </w:lvl>
    <w:lvl w:ilvl="6" w:tplc="6C687160" w:tentative="1">
      <w:start w:val="1"/>
      <w:numFmt w:val="bullet"/>
      <w:lvlText w:val=""/>
      <w:lvlJc w:val="left"/>
      <w:pPr>
        <w:ind w:left="5040" w:hanging="360"/>
      </w:pPr>
      <w:rPr>
        <w:rFonts w:ascii="Symbol" w:hAnsi="Symbol" w:hint="default"/>
      </w:rPr>
    </w:lvl>
    <w:lvl w:ilvl="7" w:tplc="DCFE7FE4" w:tentative="1">
      <w:start w:val="1"/>
      <w:numFmt w:val="bullet"/>
      <w:lvlText w:val="o"/>
      <w:lvlJc w:val="left"/>
      <w:pPr>
        <w:ind w:left="5760" w:hanging="360"/>
      </w:pPr>
      <w:rPr>
        <w:rFonts w:ascii="Courier New" w:hAnsi="Courier New" w:cs="Courier New" w:hint="default"/>
      </w:rPr>
    </w:lvl>
    <w:lvl w:ilvl="8" w:tplc="C02615D6" w:tentative="1">
      <w:start w:val="1"/>
      <w:numFmt w:val="bullet"/>
      <w:lvlText w:val=""/>
      <w:lvlJc w:val="left"/>
      <w:pPr>
        <w:ind w:left="6480" w:hanging="360"/>
      </w:pPr>
      <w:rPr>
        <w:rFonts w:ascii="Wingdings" w:hAnsi="Wingdings" w:hint="default"/>
      </w:rPr>
    </w:lvl>
  </w:abstractNum>
  <w:abstractNum w:abstractNumId="2" w15:restartNumberingAfterBreak="0">
    <w:nsid w:val="02A8288A"/>
    <w:multiLevelType w:val="hybridMultilevel"/>
    <w:tmpl w:val="C0FAE58C"/>
    <w:lvl w:ilvl="0" w:tplc="9D1E3272">
      <w:numFmt w:val="bullet"/>
      <w:lvlText w:val="•"/>
      <w:lvlJc w:val="left"/>
      <w:pPr>
        <w:ind w:left="1080" w:hanging="720"/>
      </w:pPr>
      <w:rPr>
        <w:rFonts w:ascii="Arial" w:eastAsia="Arial" w:hAnsi="Arial" w:cs="Arial" w:hint="default"/>
      </w:rPr>
    </w:lvl>
    <w:lvl w:ilvl="1" w:tplc="B62C3E6A" w:tentative="1">
      <w:start w:val="1"/>
      <w:numFmt w:val="bullet"/>
      <w:lvlText w:val="o"/>
      <w:lvlJc w:val="left"/>
      <w:pPr>
        <w:ind w:left="1440" w:hanging="360"/>
      </w:pPr>
      <w:rPr>
        <w:rFonts w:ascii="Courier New" w:hAnsi="Courier New" w:cs="Courier New" w:hint="default"/>
      </w:rPr>
    </w:lvl>
    <w:lvl w:ilvl="2" w:tplc="BF1AC8D2" w:tentative="1">
      <w:start w:val="1"/>
      <w:numFmt w:val="bullet"/>
      <w:lvlText w:val=""/>
      <w:lvlJc w:val="left"/>
      <w:pPr>
        <w:ind w:left="2160" w:hanging="360"/>
      </w:pPr>
      <w:rPr>
        <w:rFonts w:ascii="Wingdings" w:hAnsi="Wingdings" w:hint="default"/>
      </w:rPr>
    </w:lvl>
    <w:lvl w:ilvl="3" w:tplc="B86443A4" w:tentative="1">
      <w:start w:val="1"/>
      <w:numFmt w:val="bullet"/>
      <w:lvlText w:val=""/>
      <w:lvlJc w:val="left"/>
      <w:pPr>
        <w:ind w:left="2880" w:hanging="360"/>
      </w:pPr>
      <w:rPr>
        <w:rFonts w:ascii="Symbol" w:hAnsi="Symbol" w:hint="default"/>
      </w:rPr>
    </w:lvl>
    <w:lvl w:ilvl="4" w:tplc="68D641C8" w:tentative="1">
      <w:start w:val="1"/>
      <w:numFmt w:val="bullet"/>
      <w:lvlText w:val="o"/>
      <w:lvlJc w:val="left"/>
      <w:pPr>
        <w:ind w:left="3600" w:hanging="360"/>
      </w:pPr>
      <w:rPr>
        <w:rFonts w:ascii="Courier New" w:hAnsi="Courier New" w:cs="Courier New" w:hint="default"/>
      </w:rPr>
    </w:lvl>
    <w:lvl w:ilvl="5" w:tplc="EE06EAE0" w:tentative="1">
      <w:start w:val="1"/>
      <w:numFmt w:val="bullet"/>
      <w:lvlText w:val=""/>
      <w:lvlJc w:val="left"/>
      <w:pPr>
        <w:ind w:left="4320" w:hanging="360"/>
      </w:pPr>
      <w:rPr>
        <w:rFonts w:ascii="Wingdings" w:hAnsi="Wingdings" w:hint="default"/>
      </w:rPr>
    </w:lvl>
    <w:lvl w:ilvl="6" w:tplc="3536DD92" w:tentative="1">
      <w:start w:val="1"/>
      <w:numFmt w:val="bullet"/>
      <w:lvlText w:val=""/>
      <w:lvlJc w:val="left"/>
      <w:pPr>
        <w:ind w:left="5040" w:hanging="360"/>
      </w:pPr>
      <w:rPr>
        <w:rFonts w:ascii="Symbol" w:hAnsi="Symbol" w:hint="default"/>
      </w:rPr>
    </w:lvl>
    <w:lvl w:ilvl="7" w:tplc="EF1E1BBC" w:tentative="1">
      <w:start w:val="1"/>
      <w:numFmt w:val="bullet"/>
      <w:lvlText w:val="o"/>
      <w:lvlJc w:val="left"/>
      <w:pPr>
        <w:ind w:left="5760" w:hanging="360"/>
      </w:pPr>
      <w:rPr>
        <w:rFonts w:ascii="Courier New" w:hAnsi="Courier New" w:cs="Courier New" w:hint="default"/>
      </w:rPr>
    </w:lvl>
    <w:lvl w:ilvl="8" w:tplc="55D2C6CC" w:tentative="1">
      <w:start w:val="1"/>
      <w:numFmt w:val="bullet"/>
      <w:lvlText w:val=""/>
      <w:lvlJc w:val="left"/>
      <w:pPr>
        <w:ind w:left="6480" w:hanging="360"/>
      </w:pPr>
      <w:rPr>
        <w:rFonts w:ascii="Wingdings" w:hAnsi="Wingdings" w:hint="default"/>
      </w:rPr>
    </w:lvl>
  </w:abstractNum>
  <w:abstractNum w:abstractNumId="3" w15:restartNumberingAfterBreak="0">
    <w:nsid w:val="02EE2673"/>
    <w:multiLevelType w:val="hybridMultilevel"/>
    <w:tmpl w:val="64D4B154"/>
    <w:lvl w:ilvl="0" w:tplc="18BEB646">
      <w:start w:val="1"/>
      <w:numFmt w:val="bullet"/>
      <w:lvlText w:val=""/>
      <w:lvlJc w:val="left"/>
      <w:pPr>
        <w:ind w:left="720" w:hanging="360"/>
      </w:pPr>
      <w:rPr>
        <w:rFonts w:ascii="Symbol" w:hAnsi="Symbol" w:hint="default"/>
      </w:rPr>
    </w:lvl>
    <w:lvl w:ilvl="1" w:tplc="506C97D8" w:tentative="1">
      <w:start w:val="1"/>
      <w:numFmt w:val="bullet"/>
      <w:lvlText w:val="o"/>
      <w:lvlJc w:val="left"/>
      <w:pPr>
        <w:ind w:left="1440" w:hanging="360"/>
      </w:pPr>
      <w:rPr>
        <w:rFonts w:ascii="Courier New" w:hAnsi="Courier New" w:cs="Courier New" w:hint="default"/>
      </w:rPr>
    </w:lvl>
    <w:lvl w:ilvl="2" w:tplc="9D428BB2" w:tentative="1">
      <w:start w:val="1"/>
      <w:numFmt w:val="bullet"/>
      <w:lvlText w:val=""/>
      <w:lvlJc w:val="left"/>
      <w:pPr>
        <w:ind w:left="2160" w:hanging="360"/>
      </w:pPr>
      <w:rPr>
        <w:rFonts w:ascii="Wingdings" w:hAnsi="Wingdings" w:hint="default"/>
      </w:rPr>
    </w:lvl>
    <w:lvl w:ilvl="3" w:tplc="9C5CE466" w:tentative="1">
      <w:start w:val="1"/>
      <w:numFmt w:val="bullet"/>
      <w:lvlText w:val=""/>
      <w:lvlJc w:val="left"/>
      <w:pPr>
        <w:ind w:left="2880" w:hanging="360"/>
      </w:pPr>
      <w:rPr>
        <w:rFonts w:ascii="Symbol" w:hAnsi="Symbol" w:hint="default"/>
      </w:rPr>
    </w:lvl>
    <w:lvl w:ilvl="4" w:tplc="B28C38A2" w:tentative="1">
      <w:start w:val="1"/>
      <w:numFmt w:val="bullet"/>
      <w:lvlText w:val="o"/>
      <w:lvlJc w:val="left"/>
      <w:pPr>
        <w:ind w:left="3600" w:hanging="360"/>
      </w:pPr>
      <w:rPr>
        <w:rFonts w:ascii="Courier New" w:hAnsi="Courier New" w:cs="Courier New" w:hint="default"/>
      </w:rPr>
    </w:lvl>
    <w:lvl w:ilvl="5" w:tplc="0CD6B106" w:tentative="1">
      <w:start w:val="1"/>
      <w:numFmt w:val="bullet"/>
      <w:lvlText w:val=""/>
      <w:lvlJc w:val="left"/>
      <w:pPr>
        <w:ind w:left="4320" w:hanging="360"/>
      </w:pPr>
      <w:rPr>
        <w:rFonts w:ascii="Wingdings" w:hAnsi="Wingdings" w:hint="default"/>
      </w:rPr>
    </w:lvl>
    <w:lvl w:ilvl="6" w:tplc="D46E385A" w:tentative="1">
      <w:start w:val="1"/>
      <w:numFmt w:val="bullet"/>
      <w:lvlText w:val=""/>
      <w:lvlJc w:val="left"/>
      <w:pPr>
        <w:ind w:left="5040" w:hanging="360"/>
      </w:pPr>
      <w:rPr>
        <w:rFonts w:ascii="Symbol" w:hAnsi="Symbol" w:hint="default"/>
      </w:rPr>
    </w:lvl>
    <w:lvl w:ilvl="7" w:tplc="338CCCD8" w:tentative="1">
      <w:start w:val="1"/>
      <w:numFmt w:val="bullet"/>
      <w:lvlText w:val="o"/>
      <w:lvlJc w:val="left"/>
      <w:pPr>
        <w:ind w:left="5760" w:hanging="360"/>
      </w:pPr>
      <w:rPr>
        <w:rFonts w:ascii="Courier New" w:hAnsi="Courier New" w:cs="Courier New" w:hint="default"/>
      </w:rPr>
    </w:lvl>
    <w:lvl w:ilvl="8" w:tplc="FB7A0138" w:tentative="1">
      <w:start w:val="1"/>
      <w:numFmt w:val="bullet"/>
      <w:lvlText w:val=""/>
      <w:lvlJc w:val="left"/>
      <w:pPr>
        <w:ind w:left="6480" w:hanging="360"/>
      </w:pPr>
      <w:rPr>
        <w:rFonts w:ascii="Wingdings" w:hAnsi="Wingdings" w:hint="default"/>
      </w:rPr>
    </w:lvl>
  </w:abstractNum>
  <w:abstractNum w:abstractNumId="4" w15:restartNumberingAfterBreak="0">
    <w:nsid w:val="08A70E7E"/>
    <w:multiLevelType w:val="hybridMultilevel"/>
    <w:tmpl w:val="323800F4"/>
    <w:lvl w:ilvl="0" w:tplc="25081980">
      <w:start w:val="1"/>
      <w:numFmt w:val="bullet"/>
      <w:lvlText w:val=""/>
      <w:lvlJc w:val="left"/>
      <w:pPr>
        <w:ind w:left="720" w:hanging="360"/>
      </w:pPr>
      <w:rPr>
        <w:rFonts w:ascii="Symbol" w:hAnsi="Symbol" w:hint="default"/>
      </w:rPr>
    </w:lvl>
    <w:lvl w:ilvl="1" w:tplc="C56C4C20" w:tentative="1">
      <w:start w:val="1"/>
      <w:numFmt w:val="bullet"/>
      <w:lvlText w:val="o"/>
      <w:lvlJc w:val="left"/>
      <w:pPr>
        <w:ind w:left="1440" w:hanging="360"/>
      </w:pPr>
      <w:rPr>
        <w:rFonts w:ascii="Courier New" w:hAnsi="Courier New" w:cs="Courier New" w:hint="default"/>
      </w:rPr>
    </w:lvl>
    <w:lvl w:ilvl="2" w:tplc="BC4ADDB2" w:tentative="1">
      <w:start w:val="1"/>
      <w:numFmt w:val="bullet"/>
      <w:lvlText w:val=""/>
      <w:lvlJc w:val="left"/>
      <w:pPr>
        <w:ind w:left="2160" w:hanging="360"/>
      </w:pPr>
      <w:rPr>
        <w:rFonts w:ascii="Wingdings" w:hAnsi="Wingdings" w:hint="default"/>
      </w:rPr>
    </w:lvl>
    <w:lvl w:ilvl="3" w:tplc="899E083A" w:tentative="1">
      <w:start w:val="1"/>
      <w:numFmt w:val="bullet"/>
      <w:lvlText w:val=""/>
      <w:lvlJc w:val="left"/>
      <w:pPr>
        <w:ind w:left="2880" w:hanging="360"/>
      </w:pPr>
      <w:rPr>
        <w:rFonts w:ascii="Symbol" w:hAnsi="Symbol" w:hint="default"/>
      </w:rPr>
    </w:lvl>
    <w:lvl w:ilvl="4" w:tplc="D526B110" w:tentative="1">
      <w:start w:val="1"/>
      <w:numFmt w:val="bullet"/>
      <w:lvlText w:val="o"/>
      <w:lvlJc w:val="left"/>
      <w:pPr>
        <w:ind w:left="3600" w:hanging="360"/>
      </w:pPr>
      <w:rPr>
        <w:rFonts w:ascii="Courier New" w:hAnsi="Courier New" w:cs="Courier New" w:hint="default"/>
      </w:rPr>
    </w:lvl>
    <w:lvl w:ilvl="5" w:tplc="36445D46" w:tentative="1">
      <w:start w:val="1"/>
      <w:numFmt w:val="bullet"/>
      <w:lvlText w:val=""/>
      <w:lvlJc w:val="left"/>
      <w:pPr>
        <w:ind w:left="4320" w:hanging="360"/>
      </w:pPr>
      <w:rPr>
        <w:rFonts w:ascii="Wingdings" w:hAnsi="Wingdings" w:hint="default"/>
      </w:rPr>
    </w:lvl>
    <w:lvl w:ilvl="6" w:tplc="9C9A2D50" w:tentative="1">
      <w:start w:val="1"/>
      <w:numFmt w:val="bullet"/>
      <w:lvlText w:val=""/>
      <w:lvlJc w:val="left"/>
      <w:pPr>
        <w:ind w:left="5040" w:hanging="360"/>
      </w:pPr>
      <w:rPr>
        <w:rFonts w:ascii="Symbol" w:hAnsi="Symbol" w:hint="default"/>
      </w:rPr>
    </w:lvl>
    <w:lvl w:ilvl="7" w:tplc="C84A5A34" w:tentative="1">
      <w:start w:val="1"/>
      <w:numFmt w:val="bullet"/>
      <w:lvlText w:val="o"/>
      <w:lvlJc w:val="left"/>
      <w:pPr>
        <w:ind w:left="5760" w:hanging="360"/>
      </w:pPr>
      <w:rPr>
        <w:rFonts w:ascii="Courier New" w:hAnsi="Courier New" w:cs="Courier New" w:hint="default"/>
      </w:rPr>
    </w:lvl>
    <w:lvl w:ilvl="8" w:tplc="D5942BA0" w:tentative="1">
      <w:start w:val="1"/>
      <w:numFmt w:val="bullet"/>
      <w:lvlText w:val=""/>
      <w:lvlJc w:val="left"/>
      <w:pPr>
        <w:ind w:left="6480" w:hanging="360"/>
      </w:pPr>
      <w:rPr>
        <w:rFonts w:ascii="Wingdings" w:hAnsi="Wingdings" w:hint="default"/>
      </w:rPr>
    </w:lvl>
  </w:abstractNum>
  <w:abstractNum w:abstractNumId="5" w15:restartNumberingAfterBreak="0">
    <w:nsid w:val="0B6D790F"/>
    <w:multiLevelType w:val="hybridMultilevel"/>
    <w:tmpl w:val="FC3E6070"/>
    <w:lvl w:ilvl="0" w:tplc="2C0AF23A">
      <w:numFmt w:val="bullet"/>
      <w:lvlText w:val="•"/>
      <w:lvlJc w:val="left"/>
      <w:pPr>
        <w:ind w:left="1080" w:hanging="720"/>
      </w:pPr>
      <w:rPr>
        <w:rFonts w:ascii="Arial" w:eastAsia="Arial" w:hAnsi="Arial" w:cs="Arial" w:hint="default"/>
      </w:rPr>
    </w:lvl>
    <w:lvl w:ilvl="1" w:tplc="1BEC9018" w:tentative="1">
      <w:start w:val="1"/>
      <w:numFmt w:val="bullet"/>
      <w:lvlText w:val="o"/>
      <w:lvlJc w:val="left"/>
      <w:pPr>
        <w:ind w:left="1440" w:hanging="360"/>
      </w:pPr>
      <w:rPr>
        <w:rFonts w:ascii="Courier New" w:hAnsi="Courier New" w:cs="Courier New" w:hint="default"/>
      </w:rPr>
    </w:lvl>
    <w:lvl w:ilvl="2" w:tplc="506A8CD2" w:tentative="1">
      <w:start w:val="1"/>
      <w:numFmt w:val="bullet"/>
      <w:lvlText w:val=""/>
      <w:lvlJc w:val="left"/>
      <w:pPr>
        <w:ind w:left="2160" w:hanging="360"/>
      </w:pPr>
      <w:rPr>
        <w:rFonts w:ascii="Wingdings" w:hAnsi="Wingdings" w:hint="default"/>
      </w:rPr>
    </w:lvl>
    <w:lvl w:ilvl="3" w:tplc="CCC40026" w:tentative="1">
      <w:start w:val="1"/>
      <w:numFmt w:val="bullet"/>
      <w:lvlText w:val=""/>
      <w:lvlJc w:val="left"/>
      <w:pPr>
        <w:ind w:left="2880" w:hanging="360"/>
      </w:pPr>
      <w:rPr>
        <w:rFonts w:ascii="Symbol" w:hAnsi="Symbol" w:hint="default"/>
      </w:rPr>
    </w:lvl>
    <w:lvl w:ilvl="4" w:tplc="1A628FE6" w:tentative="1">
      <w:start w:val="1"/>
      <w:numFmt w:val="bullet"/>
      <w:lvlText w:val="o"/>
      <w:lvlJc w:val="left"/>
      <w:pPr>
        <w:ind w:left="3600" w:hanging="360"/>
      </w:pPr>
      <w:rPr>
        <w:rFonts w:ascii="Courier New" w:hAnsi="Courier New" w:cs="Courier New" w:hint="default"/>
      </w:rPr>
    </w:lvl>
    <w:lvl w:ilvl="5" w:tplc="05C46AB4" w:tentative="1">
      <w:start w:val="1"/>
      <w:numFmt w:val="bullet"/>
      <w:lvlText w:val=""/>
      <w:lvlJc w:val="left"/>
      <w:pPr>
        <w:ind w:left="4320" w:hanging="360"/>
      </w:pPr>
      <w:rPr>
        <w:rFonts w:ascii="Wingdings" w:hAnsi="Wingdings" w:hint="default"/>
      </w:rPr>
    </w:lvl>
    <w:lvl w:ilvl="6" w:tplc="00369906" w:tentative="1">
      <w:start w:val="1"/>
      <w:numFmt w:val="bullet"/>
      <w:lvlText w:val=""/>
      <w:lvlJc w:val="left"/>
      <w:pPr>
        <w:ind w:left="5040" w:hanging="360"/>
      </w:pPr>
      <w:rPr>
        <w:rFonts w:ascii="Symbol" w:hAnsi="Symbol" w:hint="default"/>
      </w:rPr>
    </w:lvl>
    <w:lvl w:ilvl="7" w:tplc="F4C6F73C" w:tentative="1">
      <w:start w:val="1"/>
      <w:numFmt w:val="bullet"/>
      <w:lvlText w:val="o"/>
      <w:lvlJc w:val="left"/>
      <w:pPr>
        <w:ind w:left="5760" w:hanging="360"/>
      </w:pPr>
      <w:rPr>
        <w:rFonts w:ascii="Courier New" w:hAnsi="Courier New" w:cs="Courier New" w:hint="default"/>
      </w:rPr>
    </w:lvl>
    <w:lvl w:ilvl="8" w:tplc="451E12D4" w:tentative="1">
      <w:start w:val="1"/>
      <w:numFmt w:val="bullet"/>
      <w:lvlText w:val=""/>
      <w:lvlJc w:val="left"/>
      <w:pPr>
        <w:ind w:left="6480" w:hanging="360"/>
      </w:pPr>
      <w:rPr>
        <w:rFonts w:ascii="Wingdings" w:hAnsi="Wingdings" w:hint="default"/>
      </w:rPr>
    </w:lvl>
  </w:abstractNum>
  <w:abstractNum w:abstractNumId="6" w15:restartNumberingAfterBreak="0">
    <w:nsid w:val="10B10C48"/>
    <w:multiLevelType w:val="hybridMultilevel"/>
    <w:tmpl w:val="37F668EA"/>
    <w:lvl w:ilvl="0" w:tplc="26AE28A2">
      <w:numFmt w:val="bullet"/>
      <w:lvlText w:val=""/>
      <w:lvlJc w:val="left"/>
      <w:pPr>
        <w:ind w:left="720" w:hanging="360"/>
      </w:pPr>
      <w:rPr>
        <w:rFonts w:ascii="Symbol" w:eastAsia="Times New Roman" w:hAnsi="Symbol" w:cs="Times New Roman" w:hint="default"/>
      </w:rPr>
    </w:lvl>
    <w:lvl w:ilvl="1" w:tplc="3C0C2238" w:tentative="1">
      <w:start w:val="1"/>
      <w:numFmt w:val="bullet"/>
      <w:lvlText w:val="o"/>
      <w:lvlJc w:val="left"/>
      <w:pPr>
        <w:ind w:left="1440" w:hanging="360"/>
      </w:pPr>
      <w:rPr>
        <w:rFonts w:ascii="Courier New" w:hAnsi="Courier New" w:cs="Courier New" w:hint="default"/>
      </w:rPr>
    </w:lvl>
    <w:lvl w:ilvl="2" w:tplc="3850C01E" w:tentative="1">
      <w:start w:val="1"/>
      <w:numFmt w:val="bullet"/>
      <w:lvlText w:val=""/>
      <w:lvlJc w:val="left"/>
      <w:pPr>
        <w:ind w:left="2160" w:hanging="360"/>
      </w:pPr>
      <w:rPr>
        <w:rFonts w:ascii="Wingdings" w:hAnsi="Wingdings" w:hint="default"/>
      </w:rPr>
    </w:lvl>
    <w:lvl w:ilvl="3" w:tplc="DAAA4406" w:tentative="1">
      <w:start w:val="1"/>
      <w:numFmt w:val="bullet"/>
      <w:lvlText w:val=""/>
      <w:lvlJc w:val="left"/>
      <w:pPr>
        <w:ind w:left="2880" w:hanging="360"/>
      </w:pPr>
      <w:rPr>
        <w:rFonts w:ascii="Symbol" w:hAnsi="Symbol" w:hint="default"/>
      </w:rPr>
    </w:lvl>
    <w:lvl w:ilvl="4" w:tplc="EF286A64" w:tentative="1">
      <w:start w:val="1"/>
      <w:numFmt w:val="bullet"/>
      <w:lvlText w:val="o"/>
      <w:lvlJc w:val="left"/>
      <w:pPr>
        <w:ind w:left="3600" w:hanging="360"/>
      </w:pPr>
      <w:rPr>
        <w:rFonts w:ascii="Courier New" w:hAnsi="Courier New" w:cs="Courier New" w:hint="default"/>
      </w:rPr>
    </w:lvl>
    <w:lvl w:ilvl="5" w:tplc="14EAC57E" w:tentative="1">
      <w:start w:val="1"/>
      <w:numFmt w:val="bullet"/>
      <w:lvlText w:val=""/>
      <w:lvlJc w:val="left"/>
      <w:pPr>
        <w:ind w:left="4320" w:hanging="360"/>
      </w:pPr>
      <w:rPr>
        <w:rFonts w:ascii="Wingdings" w:hAnsi="Wingdings" w:hint="default"/>
      </w:rPr>
    </w:lvl>
    <w:lvl w:ilvl="6" w:tplc="2FB0C348" w:tentative="1">
      <w:start w:val="1"/>
      <w:numFmt w:val="bullet"/>
      <w:lvlText w:val=""/>
      <w:lvlJc w:val="left"/>
      <w:pPr>
        <w:ind w:left="5040" w:hanging="360"/>
      </w:pPr>
      <w:rPr>
        <w:rFonts w:ascii="Symbol" w:hAnsi="Symbol" w:hint="default"/>
      </w:rPr>
    </w:lvl>
    <w:lvl w:ilvl="7" w:tplc="4A1EF9A0" w:tentative="1">
      <w:start w:val="1"/>
      <w:numFmt w:val="bullet"/>
      <w:lvlText w:val="o"/>
      <w:lvlJc w:val="left"/>
      <w:pPr>
        <w:ind w:left="5760" w:hanging="360"/>
      </w:pPr>
      <w:rPr>
        <w:rFonts w:ascii="Courier New" w:hAnsi="Courier New" w:cs="Courier New" w:hint="default"/>
      </w:rPr>
    </w:lvl>
    <w:lvl w:ilvl="8" w:tplc="3028FCAC" w:tentative="1">
      <w:start w:val="1"/>
      <w:numFmt w:val="bullet"/>
      <w:lvlText w:val=""/>
      <w:lvlJc w:val="left"/>
      <w:pPr>
        <w:ind w:left="6480" w:hanging="360"/>
      </w:pPr>
      <w:rPr>
        <w:rFonts w:ascii="Wingdings" w:hAnsi="Wingdings" w:hint="default"/>
      </w:rPr>
    </w:lvl>
  </w:abstractNum>
  <w:abstractNum w:abstractNumId="7" w15:restartNumberingAfterBreak="0">
    <w:nsid w:val="11257722"/>
    <w:multiLevelType w:val="hybridMultilevel"/>
    <w:tmpl w:val="6D5AB5A6"/>
    <w:lvl w:ilvl="0" w:tplc="945CF93C">
      <w:start w:val="1"/>
      <w:numFmt w:val="decimal"/>
      <w:lvlText w:val="%1."/>
      <w:lvlJc w:val="left"/>
      <w:pPr>
        <w:ind w:left="720" w:hanging="360"/>
      </w:pPr>
    </w:lvl>
    <w:lvl w:ilvl="1" w:tplc="FD10EE86" w:tentative="1">
      <w:start w:val="1"/>
      <w:numFmt w:val="lowerLetter"/>
      <w:lvlText w:val="%2."/>
      <w:lvlJc w:val="left"/>
      <w:pPr>
        <w:ind w:left="1440" w:hanging="360"/>
      </w:pPr>
    </w:lvl>
    <w:lvl w:ilvl="2" w:tplc="146487E4" w:tentative="1">
      <w:start w:val="1"/>
      <w:numFmt w:val="lowerRoman"/>
      <w:lvlText w:val="%3."/>
      <w:lvlJc w:val="right"/>
      <w:pPr>
        <w:ind w:left="2160" w:hanging="180"/>
      </w:pPr>
    </w:lvl>
    <w:lvl w:ilvl="3" w:tplc="9B5E0A30" w:tentative="1">
      <w:start w:val="1"/>
      <w:numFmt w:val="decimal"/>
      <w:lvlText w:val="%4."/>
      <w:lvlJc w:val="left"/>
      <w:pPr>
        <w:ind w:left="2880" w:hanging="360"/>
      </w:pPr>
    </w:lvl>
    <w:lvl w:ilvl="4" w:tplc="56267314" w:tentative="1">
      <w:start w:val="1"/>
      <w:numFmt w:val="lowerLetter"/>
      <w:lvlText w:val="%5."/>
      <w:lvlJc w:val="left"/>
      <w:pPr>
        <w:ind w:left="3600" w:hanging="360"/>
      </w:pPr>
    </w:lvl>
    <w:lvl w:ilvl="5" w:tplc="2D98AC86" w:tentative="1">
      <w:start w:val="1"/>
      <w:numFmt w:val="lowerRoman"/>
      <w:lvlText w:val="%6."/>
      <w:lvlJc w:val="right"/>
      <w:pPr>
        <w:ind w:left="4320" w:hanging="180"/>
      </w:pPr>
    </w:lvl>
    <w:lvl w:ilvl="6" w:tplc="04520E72" w:tentative="1">
      <w:start w:val="1"/>
      <w:numFmt w:val="decimal"/>
      <w:lvlText w:val="%7."/>
      <w:lvlJc w:val="left"/>
      <w:pPr>
        <w:ind w:left="5040" w:hanging="360"/>
      </w:pPr>
    </w:lvl>
    <w:lvl w:ilvl="7" w:tplc="992825EE" w:tentative="1">
      <w:start w:val="1"/>
      <w:numFmt w:val="lowerLetter"/>
      <w:lvlText w:val="%8."/>
      <w:lvlJc w:val="left"/>
      <w:pPr>
        <w:ind w:left="5760" w:hanging="360"/>
      </w:pPr>
    </w:lvl>
    <w:lvl w:ilvl="8" w:tplc="61E2929A" w:tentative="1">
      <w:start w:val="1"/>
      <w:numFmt w:val="lowerRoman"/>
      <w:lvlText w:val="%9."/>
      <w:lvlJc w:val="right"/>
      <w:pPr>
        <w:ind w:left="6480" w:hanging="180"/>
      </w:pPr>
    </w:lvl>
  </w:abstractNum>
  <w:abstractNum w:abstractNumId="8" w15:restartNumberingAfterBreak="0">
    <w:nsid w:val="175D7602"/>
    <w:multiLevelType w:val="hybridMultilevel"/>
    <w:tmpl w:val="E1A06498"/>
    <w:lvl w:ilvl="0" w:tplc="62282A4C">
      <w:start w:val="1"/>
      <w:numFmt w:val="bullet"/>
      <w:lvlText w:val=""/>
      <w:lvlJc w:val="left"/>
      <w:pPr>
        <w:ind w:left="720" w:hanging="360"/>
      </w:pPr>
      <w:rPr>
        <w:rFonts w:ascii="Symbol" w:hAnsi="Symbol" w:hint="default"/>
      </w:rPr>
    </w:lvl>
    <w:lvl w:ilvl="1" w:tplc="2E18CA5C" w:tentative="1">
      <w:start w:val="1"/>
      <w:numFmt w:val="bullet"/>
      <w:lvlText w:val="o"/>
      <w:lvlJc w:val="left"/>
      <w:pPr>
        <w:ind w:left="1440" w:hanging="360"/>
      </w:pPr>
      <w:rPr>
        <w:rFonts w:ascii="Courier New" w:hAnsi="Courier New" w:cs="Courier New" w:hint="default"/>
      </w:rPr>
    </w:lvl>
    <w:lvl w:ilvl="2" w:tplc="C57824E8" w:tentative="1">
      <w:start w:val="1"/>
      <w:numFmt w:val="bullet"/>
      <w:lvlText w:val=""/>
      <w:lvlJc w:val="left"/>
      <w:pPr>
        <w:ind w:left="2160" w:hanging="360"/>
      </w:pPr>
      <w:rPr>
        <w:rFonts w:ascii="Wingdings" w:hAnsi="Wingdings" w:hint="default"/>
      </w:rPr>
    </w:lvl>
    <w:lvl w:ilvl="3" w:tplc="2ACE6910" w:tentative="1">
      <w:start w:val="1"/>
      <w:numFmt w:val="bullet"/>
      <w:lvlText w:val=""/>
      <w:lvlJc w:val="left"/>
      <w:pPr>
        <w:ind w:left="2880" w:hanging="360"/>
      </w:pPr>
      <w:rPr>
        <w:rFonts w:ascii="Symbol" w:hAnsi="Symbol" w:hint="default"/>
      </w:rPr>
    </w:lvl>
    <w:lvl w:ilvl="4" w:tplc="2D044516" w:tentative="1">
      <w:start w:val="1"/>
      <w:numFmt w:val="bullet"/>
      <w:lvlText w:val="o"/>
      <w:lvlJc w:val="left"/>
      <w:pPr>
        <w:ind w:left="3600" w:hanging="360"/>
      </w:pPr>
      <w:rPr>
        <w:rFonts w:ascii="Courier New" w:hAnsi="Courier New" w:cs="Courier New" w:hint="default"/>
      </w:rPr>
    </w:lvl>
    <w:lvl w:ilvl="5" w:tplc="B95A67B4" w:tentative="1">
      <w:start w:val="1"/>
      <w:numFmt w:val="bullet"/>
      <w:lvlText w:val=""/>
      <w:lvlJc w:val="left"/>
      <w:pPr>
        <w:ind w:left="4320" w:hanging="360"/>
      </w:pPr>
      <w:rPr>
        <w:rFonts w:ascii="Wingdings" w:hAnsi="Wingdings" w:hint="default"/>
      </w:rPr>
    </w:lvl>
    <w:lvl w:ilvl="6" w:tplc="BA0E26CE" w:tentative="1">
      <w:start w:val="1"/>
      <w:numFmt w:val="bullet"/>
      <w:lvlText w:val=""/>
      <w:lvlJc w:val="left"/>
      <w:pPr>
        <w:ind w:left="5040" w:hanging="360"/>
      </w:pPr>
      <w:rPr>
        <w:rFonts w:ascii="Symbol" w:hAnsi="Symbol" w:hint="default"/>
      </w:rPr>
    </w:lvl>
    <w:lvl w:ilvl="7" w:tplc="14DA6A02" w:tentative="1">
      <w:start w:val="1"/>
      <w:numFmt w:val="bullet"/>
      <w:lvlText w:val="o"/>
      <w:lvlJc w:val="left"/>
      <w:pPr>
        <w:ind w:left="5760" w:hanging="360"/>
      </w:pPr>
      <w:rPr>
        <w:rFonts w:ascii="Courier New" w:hAnsi="Courier New" w:cs="Courier New" w:hint="default"/>
      </w:rPr>
    </w:lvl>
    <w:lvl w:ilvl="8" w:tplc="55FE8038" w:tentative="1">
      <w:start w:val="1"/>
      <w:numFmt w:val="bullet"/>
      <w:lvlText w:val=""/>
      <w:lvlJc w:val="left"/>
      <w:pPr>
        <w:ind w:left="6480" w:hanging="360"/>
      </w:pPr>
      <w:rPr>
        <w:rFonts w:ascii="Wingdings" w:hAnsi="Wingdings" w:hint="default"/>
      </w:rPr>
    </w:lvl>
  </w:abstractNum>
  <w:abstractNum w:abstractNumId="9" w15:restartNumberingAfterBreak="0">
    <w:nsid w:val="1C3B46D9"/>
    <w:multiLevelType w:val="multilevel"/>
    <w:tmpl w:val="71EE4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422220"/>
    <w:multiLevelType w:val="hybridMultilevel"/>
    <w:tmpl w:val="BEFAFD44"/>
    <w:lvl w:ilvl="0" w:tplc="B7F6ED38">
      <w:numFmt w:val="bullet"/>
      <w:lvlText w:val="•"/>
      <w:lvlJc w:val="left"/>
      <w:pPr>
        <w:ind w:left="1080" w:hanging="720"/>
      </w:pPr>
      <w:rPr>
        <w:rFonts w:ascii="Arial" w:eastAsia="Arial" w:hAnsi="Arial" w:cs="Arial" w:hint="default"/>
      </w:rPr>
    </w:lvl>
    <w:lvl w:ilvl="1" w:tplc="24482D72" w:tentative="1">
      <w:start w:val="1"/>
      <w:numFmt w:val="bullet"/>
      <w:lvlText w:val="o"/>
      <w:lvlJc w:val="left"/>
      <w:pPr>
        <w:ind w:left="1440" w:hanging="360"/>
      </w:pPr>
      <w:rPr>
        <w:rFonts w:ascii="Courier New" w:hAnsi="Courier New" w:cs="Courier New" w:hint="default"/>
      </w:rPr>
    </w:lvl>
    <w:lvl w:ilvl="2" w:tplc="DDC0B558" w:tentative="1">
      <w:start w:val="1"/>
      <w:numFmt w:val="bullet"/>
      <w:lvlText w:val=""/>
      <w:lvlJc w:val="left"/>
      <w:pPr>
        <w:ind w:left="2160" w:hanging="360"/>
      </w:pPr>
      <w:rPr>
        <w:rFonts w:ascii="Wingdings" w:hAnsi="Wingdings" w:hint="default"/>
      </w:rPr>
    </w:lvl>
    <w:lvl w:ilvl="3" w:tplc="65A28246" w:tentative="1">
      <w:start w:val="1"/>
      <w:numFmt w:val="bullet"/>
      <w:lvlText w:val=""/>
      <w:lvlJc w:val="left"/>
      <w:pPr>
        <w:ind w:left="2880" w:hanging="360"/>
      </w:pPr>
      <w:rPr>
        <w:rFonts w:ascii="Symbol" w:hAnsi="Symbol" w:hint="default"/>
      </w:rPr>
    </w:lvl>
    <w:lvl w:ilvl="4" w:tplc="361081EE" w:tentative="1">
      <w:start w:val="1"/>
      <w:numFmt w:val="bullet"/>
      <w:lvlText w:val="o"/>
      <w:lvlJc w:val="left"/>
      <w:pPr>
        <w:ind w:left="3600" w:hanging="360"/>
      </w:pPr>
      <w:rPr>
        <w:rFonts w:ascii="Courier New" w:hAnsi="Courier New" w:cs="Courier New" w:hint="default"/>
      </w:rPr>
    </w:lvl>
    <w:lvl w:ilvl="5" w:tplc="EBC22BD2" w:tentative="1">
      <w:start w:val="1"/>
      <w:numFmt w:val="bullet"/>
      <w:lvlText w:val=""/>
      <w:lvlJc w:val="left"/>
      <w:pPr>
        <w:ind w:left="4320" w:hanging="360"/>
      </w:pPr>
      <w:rPr>
        <w:rFonts w:ascii="Wingdings" w:hAnsi="Wingdings" w:hint="default"/>
      </w:rPr>
    </w:lvl>
    <w:lvl w:ilvl="6" w:tplc="6686B8B2" w:tentative="1">
      <w:start w:val="1"/>
      <w:numFmt w:val="bullet"/>
      <w:lvlText w:val=""/>
      <w:lvlJc w:val="left"/>
      <w:pPr>
        <w:ind w:left="5040" w:hanging="360"/>
      </w:pPr>
      <w:rPr>
        <w:rFonts w:ascii="Symbol" w:hAnsi="Symbol" w:hint="default"/>
      </w:rPr>
    </w:lvl>
    <w:lvl w:ilvl="7" w:tplc="01FA374A" w:tentative="1">
      <w:start w:val="1"/>
      <w:numFmt w:val="bullet"/>
      <w:lvlText w:val="o"/>
      <w:lvlJc w:val="left"/>
      <w:pPr>
        <w:ind w:left="5760" w:hanging="360"/>
      </w:pPr>
      <w:rPr>
        <w:rFonts w:ascii="Courier New" w:hAnsi="Courier New" w:cs="Courier New" w:hint="default"/>
      </w:rPr>
    </w:lvl>
    <w:lvl w:ilvl="8" w:tplc="8CA4D2D4" w:tentative="1">
      <w:start w:val="1"/>
      <w:numFmt w:val="bullet"/>
      <w:lvlText w:val=""/>
      <w:lvlJc w:val="left"/>
      <w:pPr>
        <w:ind w:left="6480" w:hanging="360"/>
      </w:pPr>
      <w:rPr>
        <w:rFonts w:ascii="Wingdings" w:hAnsi="Wingdings" w:hint="default"/>
      </w:rPr>
    </w:lvl>
  </w:abstractNum>
  <w:abstractNum w:abstractNumId="11" w15:restartNumberingAfterBreak="0">
    <w:nsid w:val="22ED05AC"/>
    <w:multiLevelType w:val="hybridMultilevel"/>
    <w:tmpl w:val="9D9CE096"/>
    <w:lvl w:ilvl="0" w:tplc="A0460FD2">
      <w:start w:val="1"/>
      <w:numFmt w:val="decimal"/>
      <w:lvlText w:val="%1."/>
      <w:lvlJc w:val="left"/>
      <w:pPr>
        <w:ind w:left="1080" w:hanging="720"/>
      </w:pPr>
      <w:rPr>
        <w:rFonts w:hint="default"/>
      </w:rPr>
    </w:lvl>
    <w:lvl w:ilvl="1" w:tplc="47E48188" w:tentative="1">
      <w:start w:val="1"/>
      <w:numFmt w:val="bullet"/>
      <w:lvlText w:val="o"/>
      <w:lvlJc w:val="left"/>
      <w:pPr>
        <w:ind w:left="1440" w:hanging="360"/>
      </w:pPr>
      <w:rPr>
        <w:rFonts w:ascii="Courier New" w:hAnsi="Courier New" w:cs="Courier New" w:hint="default"/>
      </w:rPr>
    </w:lvl>
    <w:lvl w:ilvl="2" w:tplc="BFDCCF50" w:tentative="1">
      <w:start w:val="1"/>
      <w:numFmt w:val="bullet"/>
      <w:lvlText w:val=""/>
      <w:lvlJc w:val="left"/>
      <w:pPr>
        <w:ind w:left="2160" w:hanging="360"/>
      </w:pPr>
      <w:rPr>
        <w:rFonts w:ascii="Wingdings" w:hAnsi="Wingdings" w:hint="default"/>
      </w:rPr>
    </w:lvl>
    <w:lvl w:ilvl="3" w:tplc="EB640E7C" w:tentative="1">
      <w:start w:val="1"/>
      <w:numFmt w:val="bullet"/>
      <w:lvlText w:val=""/>
      <w:lvlJc w:val="left"/>
      <w:pPr>
        <w:ind w:left="2880" w:hanging="360"/>
      </w:pPr>
      <w:rPr>
        <w:rFonts w:ascii="Symbol" w:hAnsi="Symbol" w:hint="default"/>
      </w:rPr>
    </w:lvl>
    <w:lvl w:ilvl="4" w:tplc="26500EA2" w:tentative="1">
      <w:start w:val="1"/>
      <w:numFmt w:val="bullet"/>
      <w:lvlText w:val="o"/>
      <w:lvlJc w:val="left"/>
      <w:pPr>
        <w:ind w:left="3600" w:hanging="360"/>
      </w:pPr>
      <w:rPr>
        <w:rFonts w:ascii="Courier New" w:hAnsi="Courier New" w:cs="Courier New" w:hint="default"/>
      </w:rPr>
    </w:lvl>
    <w:lvl w:ilvl="5" w:tplc="9892C1DE" w:tentative="1">
      <w:start w:val="1"/>
      <w:numFmt w:val="bullet"/>
      <w:lvlText w:val=""/>
      <w:lvlJc w:val="left"/>
      <w:pPr>
        <w:ind w:left="4320" w:hanging="360"/>
      </w:pPr>
      <w:rPr>
        <w:rFonts w:ascii="Wingdings" w:hAnsi="Wingdings" w:hint="default"/>
      </w:rPr>
    </w:lvl>
    <w:lvl w:ilvl="6" w:tplc="D4740630" w:tentative="1">
      <w:start w:val="1"/>
      <w:numFmt w:val="bullet"/>
      <w:lvlText w:val=""/>
      <w:lvlJc w:val="left"/>
      <w:pPr>
        <w:ind w:left="5040" w:hanging="360"/>
      </w:pPr>
      <w:rPr>
        <w:rFonts w:ascii="Symbol" w:hAnsi="Symbol" w:hint="default"/>
      </w:rPr>
    </w:lvl>
    <w:lvl w:ilvl="7" w:tplc="CEC27CCC" w:tentative="1">
      <w:start w:val="1"/>
      <w:numFmt w:val="bullet"/>
      <w:lvlText w:val="o"/>
      <w:lvlJc w:val="left"/>
      <w:pPr>
        <w:ind w:left="5760" w:hanging="360"/>
      </w:pPr>
      <w:rPr>
        <w:rFonts w:ascii="Courier New" w:hAnsi="Courier New" w:cs="Courier New" w:hint="default"/>
      </w:rPr>
    </w:lvl>
    <w:lvl w:ilvl="8" w:tplc="FEAEE522" w:tentative="1">
      <w:start w:val="1"/>
      <w:numFmt w:val="bullet"/>
      <w:lvlText w:val=""/>
      <w:lvlJc w:val="left"/>
      <w:pPr>
        <w:ind w:left="6480" w:hanging="360"/>
      </w:pPr>
      <w:rPr>
        <w:rFonts w:ascii="Wingdings" w:hAnsi="Wingdings" w:hint="default"/>
      </w:rPr>
    </w:lvl>
  </w:abstractNum>
  <w:abstractNum w:abstractNumId="12" w15:restartNumberingAfterBreak="0">
    <w:nsid w:val="28533C3F"/>
    <w:multiLevelType w:val="multilevel"/>
    <w:tmpl w:val="0C6A8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CE21118"/>
    <w:multiLevelType w:val="multilevel"/>
    <w:tmpl w:val="D222FD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E1F204C"/>
    <w:multiLevelType w:val="multilevel"/>
    <w:tmpl w:val="8FEA7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FF61FE7"/>
    <w:multiLevelType w:val="hybridMultilevel"/>
    <w:tmpl w:val="4B08EB10"/>
    <w:lvl w:ilvl="0" w:tplc="5AB09A0C">
      <w:start w:val="1"/>
      <w:numFmt w:val="bullet"/>
      <w:lvlText w:val=""/>
      <w:lvlJc w:val="left"/>
      <w:pPr>
        <w:ind w:left="720" w:hanging="360"/>
      </w:pPr>
      <w:rPr>
        <w:rFonts w:ascii="Symbol" w:hAnsi="Symbol" w:hint="default"/>
      </w:rPr>
    </w:lvl>
    <w:lvl w:ilvl="1" w:tplc="6596BB5C" w:tentative="1">
      <w:start w:val="1"/>
      <w:numFmt w:val="lowerLetter"/>
      <w:lvlText w:val="%2."/>
      <w:lvlJc w:val="left"/>
      <w:pPr>
        <w:ind w:left="1440" w:hanging="360"/>
      </w:pPr>
    </w:lvl>
    <w:lvl w:ilvl="2" w:tplc="49269442" w:tentative="1">
      <w:start w:val="1"/>
      <w:numFmt w:val="lowerRoman"/>
      <w:lvlText w:val="%3."/>
      <w:lvlJc w:val="right"/>
      <w:pPr>
        <w:ind w:left="2160" w:hanging="180"/>
      </w:pPr>
    </w:lvl>
    <w:lvl w:ilvl="3" w:tplc="2592B1A6" w:tentative="1">
      <w:start w:val="1"/>
      <w:numFmt w:val="decimal"/>
      <w:lvlText w:val="%4."/>
      <w:lvlJc w:val="left"/>
      <w:pPr>
        <w:ind w:left="2880" w:hanging="360"/>
      </w:pPr>
    </w:lvl>
    <w:lvl w:ilvl="4" w:tplc="DDD4CBF4" w:tentative="1">
      <w:start w:val="1"/>
      <w:numFmt w:val="lowerLetter"/>
      <w:lvlText w:val="%5."/>
      <w:lvlJc w:val="left"/>
      <w:pPr>
        <w:ind w:left="3600" w:hanging="360"/>
      </w:pPr>
    </w:lvl>
    <w:lvl w:ilvl="5" w:tplc="F5C88322" w:tentative="1">
      <w:start w:val="1"/>
      <w:numFmt w:val="lowerRoman"/>
      <w:lvlText w:val="%6."/>
      <w:lvlJc w:val="right"/>
      <w:pPr>
        <w:ind w:left="4320" w:hanging="180"/>
      </w:pPr>
    </w:lvl>
    <w:lvl w:ilvl="6" w:tplc="4476AE62" w:tentative="1">
      <w:start w:val="1"/>
      <w:numFmt w:val="decimal"/>
      <w:lvlText w:val="%7."/>
      <w:lvlJc w:val="left"/>
      <w:pPr>
        <w:ind w:left="5040" w:hanging="360"/>
      </w:pPr>
    </w:lvl>
    <w:lvl w:ilvl="7" w:tplc="593CA79E" w:tentative="1">
      <w:start w:val="1"/>
      <w:numFmt w:val="lowerLetter"/>
      <w:lvlText w:val="%8."/>
      <w:lvlJc w:val="left"/>
      <w:pPr>
        <w:ind w:left="5760" w:hanging="360"/>
      </w:pPr>
    </w:lvl>
    <w:lvl w:ilvl="8" w:tplc="ED0EEE36" w:tentative="1">
      <w:start w:val="1"/>
      <w:numFmt w:val="lowerRoman"/>
      <w:lvlText w:val="%9."/>
      <w:lvlJc w:val="right"/>
      <w:pPr>
        <w:ind w:left="6480" w:hanging="180"/>
      </w:pPr>
    </w:lvl>
  </w:abstractNum>
  <w:abstractNum w:abstractNumId="16" w15:restartNumberingAfterBreak="0">
    <w:nsid w:val="3B3A6082"/>
    <w:multiLevelType w:val="hybridMultilevel"/>
    <w:tmpl w:val="56625BC8"/>
    <w:lvl w:ilvl="0" w:tplc="3EF24D82">
      <w:start w:val="1"/>
      <w:numFmt w:val="bullet"/>
      <w:lvlText w:val=""/>
      <w:lvlJc w:val="left"/>
      <w:pPr>
        <w:ind w:left="720" w:hanging="360"/>
      </w:pPr>
      <w:rPr>
        <w:rFonts w:ascii="Symbol" w:hAnsi="Symbol" w:hint="default"/>
      </w:rPr>
    </w:lvl>
    <w:lvl w:ilvl="1" w:tplc="FD6808FE" w:tentative="1">
      <w:start w:val="1"/>
      <w:numFmt w:val="bullet"/>
      <w:lvlText w:val="o"/>
      <w:lvlJc w:val="left"/>
      <w:pPr>
        <w:ind w:left="1440" w:hanging="360"/>
      </w:pPr>
      <w:rPr>
        <w:rFonts w:ascii="Courier New" w:hAnsi="Courier New" w:cs="Courier New" w:hint="default"/>
      </w:rPr>
    </w:lvl>
    <w:lvl w:ilvl="2" w:tplc="5D4A4EEC" w:tentative="1">
      <w:start w:val="1"/>
      <w:numFmt w:val="bullet"/>
      <w:lvlText w:val=""/>
      <w:lvlJc w:val="left"/>
      <w:pPr>
        <w:ind w:left="2160" w:hanging="360"/>
      </w:pPr>
      <w:rPr>
        <w:rFonts w:ascii="Wingdings" w:hAnsi="Wingdings" w:hint="default"/>
      </w:rPr>
    </w:lvl>
    <w:lvl w:ilvl="3" w:tplc="0EAC1AAA" w:tentative="1">
      <w:start w:val="1"/>
      <w:numFmt w:val="bullet"/>
      <w:lvlText w:val=""/>
      <w:lvlJc w:val="left"/>
      <w:pPr>
        <w:ind w:left="2880" w:hanging="360"/>
      </w:pPr>
      <w:rPr>
        <w:rFonts w:ascii="Symbol" w:hAnsi="Symbol" w:hint="default"/>
      </w:rPr>
    </w:lvl>
    <w:lvl w:ilvl="4" w:tplc="6414B504" w:tentative="1">
      <w:start w:val="1"/>
      <w:numFmt w:val="bullet"/>
      <w:lvlText w:val="o"/>
      <w:lvlJc w:val="left"/>
      <w:pPr>
        <w:ind w:left="3600" w:hanging="360"/>
      </w:pPr>
      <w:rPr>
        <w:rFonts w:ascii="Courier New" w:hAnsi="Courier New" w:cs="Courier New" w:hint="default"/>
      </w:rPr>
    </w:lvl>
    <w:lvl w:ilvl="5" w:tplc="F7B439A2" w:tentative="1">
      <w:start w:val="1"/>
      <w:numFmt w:val="bullet"/>
      <w:lvlText w:val=""/>
      <w:lvlJc w:val="left"/>
      <w:pPr>
        <w:ind w:left="4320" w:hanging="360"/>
      </w:pPr>
      <w:rPr>
        <w:rFonts w:ascii="Wingdings" w:hAnsi="Wingdings" w:hint="default"/>
      </w:rPr>
    </w:lvl>
    <w:lvl w:ilvl="6" w:tplc="59906D44" w:tentative="1">
      <w:start w:val="1"/>
      <w:numFmt w:val="bullet"/>
      <w:lvlText w:val=""/>
      <w:lvlJc w:val="left"/>
      <w:pPr>
        <w:ind w:left="5040" w:hanging="360"/>
      </w:pPr>
      <w:rPr>
        <w:rFonts w:ascii="Symbol" w:hAnsi="Symbol" w:hint="default"/>
      </w:rPr>
    </w:lvl>
    <w:lvl w:ilvl="7" w:tplc="2B2C7DE0" w:tentative="1">
      <w:start w:val="1"/>
      <w:numFmt w:val="bullet"/>
      <w:lvlText w:val="o"/>
      <w:lvlJc w:val="left"/>
      <w:pPr>
        <w:ind w:left="5760" w:hanging="360"/>
      </w:pPr>
      <w:rPr>
        <w:rFonts w:ascii="Courier New" w:hAnsi="Courier New" w:cs="Courier New" w:hint="default"/>
      </w:rPr>
    </w:lvl>
    <w:lvl w:ilvl="8" w:tplc="A268E042" w:tentative="1">
      <w:start w:val="1"/>
      <w:numFmt w:val="bullet"/>
      <w:lvlText w:val=""/>
      <w:lvlJc w:val="left"/>
      <w:pPr>
        <w:ind w:left="6480" w:hanging="360"/>
      </w:pPr>
      <w:rPr>
        <w:rFonts w:ascii="Wingdings" w:hAnsi="Wingdings" w:hint="default"/>
      </w:rPr>
    </w:lvl>
  </w:abstractNum>
  <w:abstractNum w:abstractNumId="17" w15:restartNumberingAfterBreak="0">
    <w:nsid w:val="3D2F71EB"/>
    <w:multiLevelType w:val="multilevel"/>
    <w:tmpl w:val="4746A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F2F28CB"/>
    <w:multiLevelType w:val="multilevel"/>
    <w:tmpl w:val="3DA09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1B27A01"/>
    <w:multiLevelType w:val="hybridMultilevel"/>
    <w:tmpl w:val="8F82010A"/>
    <w:lvl w:ilvl="0" w:tplc="2DE2B966">
      <w:start w:val="1"/>
      <w:numFmt w:val="bullet"/>
      <w:lvlText w:val=""/>
      <w:lvlJc w:val="left"/>
      <w:pPr>
        <w:ind w:left="1080" w:hanging="720"/>
      </w:pPr>
      <w:rPr>
        <w:rFonts w:ascii="Wingdings" w:hAnsi="Wingdings" w:hint="default"/>
      </w:rPr>
    </w:lvl>
    <w:lvl w:ilvl="1" w:tplc="027822D6" w:tentative="1">
      <w:start w:val="1"/>
      <w:numFmt w:val="bullet"/>
      <w:lvlText w:val="o"/>
      <w:lvlJc w:val="left"/>
      <w:pPr>
        <w:ind w:left="1440" w:hanging="360"/>
      </w:pPr>
      <w:rPr>
        <w:rFonts w:ascii="Courier New" w:hAnsi="Courier New" w:cs="Courier New" w:hint="default"/>
      </w:rPr>
    </w:lvl>
    <w:lvl w:ilvl="2" w:tplc="F7C87808" w:tentative="1">
      <w:start w:val="1"/>
      <w:numFmt w:val="bullet"/>
      <w:lvlText w:val=""/>
      <w:lvlJc w:val="left"/>
      <w:pPr>
        <w:ind w:left="2160" w:hanging="360"/>
      </w:pPr>
      <w:rPr>
        <w:rFonts w:ascii="Wingdings" w:hAnsi="Wingdings" w:hint="default"/>
      </w:rPr>
    </w:lvl>
    <w:lvl w:ilvl="3" w:tplc="6B2A81E2" w:tentative="1">
      <w:start w:val="1"/>
      <w:numFmt w:val="bullet"/>
      <w:lvlText w:val=""/>
      <w:lvlJc w:val="left"/>
      <w:pPr>
        <w:ind w:left="2880" w:hanging="360"/>
      </w:pPr>
      <w:rPr>
        <w:rFonts w:ascii="Symbol" w:hAnsi="Symbol" w:hint="default"/>
      </w:rPr>
    </w:lvl>
    <w:lvl w:ilvl="4" w:tplc="408CCD8E" w:tentative="1">
      <w:start w:val="1"/>
      <w:numFmt w:val="bullet"/>
      <w:lvlText w:val="o"/>
      <w:lvlJc w:val="left"/>
      <w:pPr>
        <w:ind w:left="3600" w:hanging="360"/>
      </w:pPr>
      <w:rPr>
        <w:rFonts w:ascii="Courier New" w:hAnsi="Courier New" w:cs="Courier New" w:hint="default"/>
      </w:rPr>
    </w:lvl>
    <w:lvl w:ilvl="5" w:tplc="48E26D7A" w:tentative="1">
      <w:start w:val="1"/>
      <w:numFmt w:val="bullet"/>
      <w:lvlText w:val=""/>
      <w:lvlJc w:val="left"/>
      <w:pPr>
        <w:ind w:left="4320" w:hanging="360"/>
      </w:pPr>
      <w:rPr>
        <w:rFonts w:ascii="Wingdings" w:hAnsi="Wingdings" w:hint="default"/>
      </w:rPr>
    </w:lvl>
    <w:lvl w:ilvl="6" w:tplc="5562EC68" w:tentative="1">
      <w:start w:val="1"/>
      <w:numFmt w:val="bullet"/>
      <w:lvlText w:val=""/>
      <w:lvlJc w:val="left"/>
      <w:pPr>
        <w:ind w:left="5040" w:hanging="360"/>
      </w:pPr>
      <w:rPr>
        <w:rFonts w:ascii="Symbol" w:hAnsi="Symbol" w:hint="default"/>
      </w:rPr>
    </w:lvl>
    <w:lvl w:ilvl="7" w:tplc="DFC67382" w:tentative="1">
      <w:start w:val="1"/>
      <w:numFmt w:val="bullet"/>
      <w:lvlText w:val="o"/>
      <w:lvlJc w:val="left"/>
      <w:pPr>
        <w:ind w:left="5760" w:hanging="360"/>
      </w:pPr>
      <w:rPr>
        <w:rFonts w:ascii="Courier New" w:hAnsi="Courier New" w:cs="Courier New" w:hint="default"/>
      </w:rPr>
    </w:lvl>
    <w:lvl w:ilvl="8" w:tplc="C20607B8" w:tentative="1">
      <w:start w:val="1"/>
      <w:numFmt w:val="bullet"/>
      <w:lvlText w:val=""/>
      <w:lvlJc w:val="left"/>
      <w:pPr>
        <w:ind w:left="6480" w:hanging="360"/>
      </w:pPr>
      <w:rPr>
        <w:rFonts w:ascii="Wingdings" w:hAnsi="Wingdings" w:hint="default"/>
      </w:rPr>
    </w:lvl>
  </w:abstractNum>
  <w:abstractNum w:abstractNumId="20" w15:restartNumberingAfterBreak="0">
    <w:nsid w:val="454B07EA"/>
    <w:multiLevelType w:val="hybridMultilevel"/>
    <w:tmpl w:val="49B4EB58"/>
    <w:lvl w:ilvl="0" w:tplc="65CEEE4A">
      <w:numFmt w:val="bullet"/>
      <w:lvlText w:val=""/>
      <w:lvlJc w:val="left"/>
      <w:pPr>
        <w:ind w:left="720" w:hanging="360"/>
      </w:pPr>
      <w:rPr>
        <w:rFonts w:ascii="Symbol" w:eastAsia="Times New Roman" w:hAnsi="Symbol" w:cs="Times New Roman" w:hint="default"/>
      </w:rPr>
    </w:lvl>
    <w:lvl w:ilvl="1" w:tplc="2ADCBD86" w:tentative="1">
      <w:start w:val="1"/>
      <w:numFmt w:val="bullet"/>
      <w:lvlText w:val="o"/>
      <w:lvlJc w:val="left"/>
      <w:pPr>
        <w:ind w:left="1440" w:hanging="360"/>
      </w:pPr>
      <w:rPr>
        <w:rFonts w:ascii="Courier New" w:hAnsi="Courier New" w:cs="Courier New" w:hint="default"/>
      </w:rPr>
    </w:lvl>
    <w:lvl w:ilvl="2" w:tplc="4CDE4F28" w:tentative="1">
      <w:start w:val="1"/>
      <w:numFmt w:val="bullet"/>
      <w:lvlText w:val=""/>
      <w:lvlJc w:val="left"/>
      <w:pPr>
        <w:ind w:left="2160" w:hanging="360"/>
      </w:pPr>
      <w:rPr>
        <w:rFonts w:ascii="Wingdings" w:hAnsi="Wingdings" w:hint="default"/>
      </w:rPr>
    </w:lvl>
    <w:lvl w:ilvl="3" w:tplc="09B853BE" w:tentative="1">
      <w:start w:val="1"/>
      <w:numFmt w:val="bullet"/>
      <w:lvlText w:val=""/>
      <w:lvlJc w:val="left"/>
      <w:pPr>
        <w:ind w:left="2880" w:hanging="360"/>
      </w:pPr>
      <w:rPr>
        <w:rFonts w:ascii="Symbol" w:hAnsi="Symbol" w:hint="default"/>
      </w:rPr>
    </w:lvl>
    <w:lvl w:ilvl="4" w:tplc="1B2E117E" w:tentative="1">
      <w:start w:val="1"/>
      <w:numFmt w:val="bullet"/>
      <w:lvlText w:val="o"/>
      <w:lvlJc w:val="left"/>
      <w:pPr>
        <w:ind w:left="3600" w:hanging="360"/>
      </w:pPr>
      <w:rPr>
        <w:rFonts w:ascii="Courier New" w:hAnsi="Courier New" w:cs="Courier New" w:hint="default"/>
      </w:rPr>
    </w:lvl>
    <w:lvl w:ilvl="5" w:tplc="80247730" w:tentative="1">
      <w:start w:val="1"/>
      <w:numFmt w:val="bullet"/>
      <w:lvlText w:val=""/>
      <w:lvlJc w:val="left"/>
      <w:pPr>
        <w:ind w:left="4320" w:hanging="360"/>
      </w:pPr>
      <w:rPr>
        <w:rFonts w:ascii="Wingdings" w:hAnsi="Wingdings" w:hint="default"/>
      </w:rPr>
    </w:lvl>
    <w:lvl w:ilvl="6" w:tplc="F098B82C" w:tentative="1">
      <w:start w:val="1"/>
      <w:numFmt w:val="bullet"/>
      <w:lvlText w:val=""/>
      <w:lvlJc w:val="left"/>
      <w:pPr>
        <w:ind w:left="5040" w:hanging="360"/>
      </w:pPr>
      <w:rPr>
        <w:rFonts w:ascii="Symbol" w:hAnsi="Symbol" w:hint="default"/>
      </w:rPr>
    </w:lvl>
    <w:lvl w:ilvl="7" w:tplc="2820A282" w:tentative="1">
      <w:start w:val="1"/>
      <w:numFmt w:val="bullet"/>
      <w:lvlText w:val="o"/>
      <w:lvlJc w:val="left"/>
      <w:pPr>
        <w:ind w:left="5760" w:hanging="360"/>
      </w:pPr>
      <w:rPr>
        <w:rFonts w:ascii="Courier New" w:hAnsi="Courier New" w:cs="Courier New" w:hint="default"/>
      </w:rPr>
    </w:lvl>
    <w:lvl w:ilvl="8" w:tplc="E0BAF8D0" w:tentative="1">
      <w:start w:val="1"/>
      <w:numFmt w:val="bullet"/>
      <w:lvlText w:val=""/>
      <w:lvlJc w:val="left"/>
      <w:pPr>
        <w:ind w:left="6480" w:hanging="360"/>
      </w:pPr>
      <w:rPr>
        <w:rFonts w:ascii="Wingdings" w:hAnsi="Wingdings" w:hint="default"/>
      </w:rPr>
    </w:lvl>
  </w:abstractNum>
  <w:abstractNum w:abstractNumId="21" w15:restartNumberingAfterBreak="0">
    <w:nsid w:val="4EE97A02"/>
    <w:multiLevelType w:val="hybridMultilevel"/>
    <w:tmpl w:val="83EA24C8"/>
    <w:lvl w:ilvl="0" w:tplc="A77A981E">
      <w:start w:val="1"/>
      <w:numFmt w:val="bullet"/>
      <w:lvlText w:val=""/>
      <w:lvlJc w:val="left"/>
      <w:pPr>
        <w:ind w:left="720" w:hanging="360"/>
      </w:pPr>
      <w:rPr>
        <w:rFonts w:ascii="Symbol" w:hAnsi="Symbol" w:hint="default"/>
      </w:rPr>
    </w:lvl>
    <w:lvl w:ilvl="1" w:tplc="4E8833CA">
      <w:numFmt w:val="bullet"/>
      <w:lvlText w:val="•"/>
      <w:lvlJc w:val="left"/>
      <w:pPr>
        <w:ind w:left="1800" w:hanging="720"/>
      </w:pPr>
      <w:rPr>
        <w:rFonts w:ascii="Arial" w:eastAsia="Arial" w:hAnsi="Arial" w:cs="Arial" w:hint="default"/>
      </w:rPr>
    </w:lvl>
    <w:lvl w:ilvl="2" w:tplc="4BD80FB2" w:tentative="1">
      <w:start w:val="1"/>
      <w:numFmt w:val="bullet"/>
      <w:lvlText w:val=""/>
      <w:lvlJc w:val="left"/>
      <w:pPr>
        <w:ind w:left="2160" w:hanging="360"/>
      </w:pPr>
      <w:rPr>
        <w:rFonts w:ascii="Wingdings" w:hAnsi="Wingdings" w:hint="default"/>
      </w:rPr>
    </w:lvl>
    <w:lvl w:ilvl="3" w:tplc="625E1B86" w:tentative="1">
      <w:start w:val="1"/>
      <w:numFmt w:val="bullet"/>
      <w:lvlText w:val=""/>
      <w:lvlJc w:val="left"/>
      <w:pPr>
        <w:ind w:left="2880" w:hanging="360"/>
      </w:pPr>
      <w:rPr>
        <w:rFonts w:ascii="Symbol" w:hAnsi="Symbol" w:hint="default"/>
      </w:rPr>
    </w:lvl>
    <w:lvl w:ilvl="4" w:tplc="2410BED4" w:tentative="1">
      <w:start w:val="1"/>
      <w:numFmt w:val="bullet"/>
      <w:lvlText w:val="o"/>
      <w:lvlJc w:val="left"/>
      <w:pPr>
        <w:ind w:left="3600" w:hanging="360"/>
      </w:pPr>
      <w:rPr>
        <w:rFonts w:ascii="Courier New" w:hAnsi="Courier New" w:cs="Courier New" w:hint="default"/>
      </w:rPr>
    </w:lvl>
    <w:lvl w:ilvl="5" w:tplc="6A06C104" w:tentative="1">
      <w:start w:val="1"/>
      <w:numFmt w:val="bullet"/>
      <w:lvlText w:val=""/>
      <w:lvlJc w:val="left"/>
      <w:pPr>
        <w:ind w:left="4320" w:hanging="360"/>
      </w:pPr>
      <w:rPr>
        <w:rFonts w:ascii="Wingdings" w:hAnsi="Wingdings" w:hint="default"/>
      </w:rPr>
    </w:lvl>
    <w:lvl w:ilvl="6" w:tplc="5934B74E" w:tentative="1">
      <w:start w:val="1"/>
      <w:numFmt w:val="bullet"/>
      <w:lvlText w:val=""/>
      <w:lvlJc w:val="left"/>
      <w:pPr>
        <w:ind w:left="5040" w:hanging="360"/>
      </w:pPr>
      <w:rPr>
        <w:rFonts w:ascii="Symbol" w:hAnsi="Symbol" w:hint="default"/>
      </w:rPr>
    </w:lvl>
    <w:lvl w:ilvl="7" w:tplc="AEACA5DC" w:tentative="1">
      <w:start w:val="1"/>
      <w:numFmt w:val="bullet"/>
      <w:lvlText w:val="o"/>
      <w:lvlJc w:val="left"/>
      <w:pPr>
        <w:ind w:left="5760" w:hanging="360"/>
      </w:pPr>
      <w:rPr>
        <w:rFonts w:ascii="Courier New" w:hAnsi="Courier New" w:cs="Courier New" w:hint="default"/>
      </w:rPr>
    </w:lvl>
    <w:lvl w:ilvl="8" w:tplc="983A7B42" w:tentative="1">
      <w:start w:val="1"/>
      <w:numFmt w:val="bullet"/>
      <w:lvlText w:val=""/>
      <w:lvlJc w:val="left"/>
      <w:pPr>
        <w:ind w:left="6480" w:hanging="360"/>
      </w:pPr>
      <w:rPr>
        <w:rFonts w:ascii="Wingdings" w:hAnsi="Wingdings" w:hint="default"/>
      </w:rPr>
    </w:lvl>
  </w:abstractNum>
  <w:abstractNum w:abstractNumId="22" w15:restartNumberingAfterBreak="0">
    <w:nsid w:val="518C3F93"/>
    <w:multiLevelType w:val="hybridMultilevel"/>
    <w:tmpl w:val="7332C2F4"/>
    <w:lvl w:ilvl="0" w:tplc="95929D5E">
      <w:start w:val="1"/>
      <w:numFmt w:val="bullet"/>
      <w:lvlText w:val=""/>
      <w:lvlJc w:val="left"/>
      <w:pPr>
        <w:ind w:left="360" w:hanging="360"/>
      </w:pPr>
      <w:rPr>
        <w:rFonts w:ascii="Symbol" w:hAnsi="Symbol" w:hint="default"/>
      </w:rPr>
    </w:lvl>
    <w:lvl w:ilvl="1" w:tplc="B2C6E538" w:tentative="1">
      <w:start w:val="1"/>
      <w:numFmt w:val="bullet"/>
      <w:lvlText w:val="o"/>
      <w:lvlJc w:val="left"/>
      <w:pPr>
        <w:ind w:left="1080" w:hanging="360"/>
      </w:pPr>
      <w:rPr>
        <w:rFonts w:ascii="Courier New" w:hAnsi="Courier New" w:cs="Courier New" w:hint="default"/>
      </w:rPr>
    </w:lvl>
    <w:lvl w:ilvl="2" w:tplc="28C69DE0" w:tentative="1">
      <w:start w:val="1"/>
      <w:numFmt w:val="bullet"/>
      <w:lvlText w:val=""/>
      <w:lvlJc w:val="left"/>
      <w:pPr>
        <w:ind w:left="1800" w:hanging="360"/>
      </w:pPr>
      <w:rPr>
        <w:rFonts w:ascii="Wingdings" w:hAnsi="Wingdings" w:hint="default"/>
      </w:rPr>
    </w:lvl>
    <w:lvl w:ilvl="3" w:tplc="19E029B6" w:tentative="1">
      <w:start w:val="1"/>
      <w:numFmt w:val="bullet"/>
      <w:lvlText w:val=""/>
      <w:lvlJc w:val="left"/>
      <w:pPr>
        <w:ind w:left="2520" w:hanging="360"/>
      </w:pPr>
      <w:rPr>
        <w:rFonts w:ascii="Symbol" w:hAnsi="Symbol" w:hint="default"/>
      </w:rPr>
    </w:lvl>
    <w:lvl w:ilvl="4" w:tplc="89725EA0" w:tentative="1">
      <w:start w:val="1"/>
      <w:numFmt w:val="bullet"/>
      <w:lvlText w:val="o"/>
      <w:lvlJc w:val="left"/>
      <w:pPr>
        <w:ind w:left="3240" w:hanging="360"/>
      </w:pPr>
      <w:rPr>
        <w:rFonts w:ascii="Courier New" w:hAnsi="Courier New" w:cs="Courier New" w:hint="default"/>
      </w:rPr>
    </w:lvl>
    <w:lvl w:ilvl="5" w:tplc="95F67BA6" w:tentative="1">
      <w:start w:val="1"/>
      <w:numFmt w:val="bullet"/>
      <w:lvlText w:val=""/>
      <w:lvlJc w:val="left"/>
      <w:pPr>
        <w:ind w:left="3960" w:hanging="360"/>
      </w:pPr>
      <w:rPr>
        <w:rFonts w:ascii="Wingdings" w:hAnsi="Wingdings" w:hint="default"/>
      </w:rPr>
    </w:lvl>
    <w:lvl w:ilvl="6" w:tplc="22C0A03C" w:tentative="1">
      <w:start w:val="1"/>
      <w:numFmt w:val="bullet"/>
      <w:lvlText w:val=""/>
      <w:lvlJc w:val="left"/>
      <w:pPr>
        <w:ind w:left="4680" w:hanging="360"/>
      </w:pPr>
      <w:rPr>
        <w:rFonts w:ascii="Symbol" w:hAnsi="Symbol" w:hint="default"/>
      </w:rPr>
    </w:lvl>
    <w:lvl w:ilvl="7" w:tplc="BD304D5E" w:tentative="1">
      <w:start w:val="1"/>
      <w:numFmt w:val="bullet"/>
      <w:lvlText w:val="o"/>
      <w:lvlJc w:val="left"/>
      <w:pPr>
        <w:ind w:left="5400" w:hanging="360"/>
      </w:pPr>
      <w:rPr>
        <w:rFonts w:ascii="Courier New" w:hAnsi="Courier New" w:cs="Courier New" w:hint="default"/>
      </w:rPr>
    </w:lvl>
    <w:lvl w:ilvl="8" w:tplc="6272273A" w:tentative="1">
      <w:start w:val="1"/>
      <w:numFmt w:val="bullet"/>
      <w:lvlText w:val=""/>
      <w:lvlJc w:val="left"/>
      <w:pPr>
        <w:ind w:left="6120" w:hanging="360"/>
      </w:pPr>
      <w:rPr>
        <w:rFonts w:ascii="Wingdings" w:hAnsi="Wingdings" w:hint="default"/>
      </w:rPr>
    </w:lvl>
  </w:abstractNum>
  <w:abstractNum w:abstractNumId="23" w15:restartNumberingAfterBreak="0">
    <w:nsid w:val="542267B1"/>
    <w:multiLevelType w:val="multilevel"/>
    <w:tmpl w:val="58460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A924F08"/>
    <w:multiLevelType w:val="hybridMultilevel"/>
    <w:tmpl w:val="E1FC182C"/>
    <w:lvl w:ilvl="0" w:tplc="03D41356">
      <w:start w:val="1"/>
      <w:numFmt w:val="decimal"/>
      <w:lvlText w:val="%1."/>
      <w:lvlJc w:val="left"/>
      <w:pPr>
        <w:ind w:left="720" w:hanging="360"/>
      </w:pPr>
      <w:rPr>
        <w:rFonts w:hint="default"/>
      </w:rPr>
    </w:lvl>
    <w:lvl w:ilvl="1" w:tplc="4FA26F28" w:tentative="1">
      <w:start w:val="1"/>
      <w:numFmt w:val="lowerLetter"/>
      <w:lvlText w:val="%2."/>
      <w:lvlJc w:val="left"/>
      <w:pPr>
        <w:ind w:left="1440" w:hanging="360"/>
      </w:pPr>
    </w:lvl>
    <w:lvl w:ilvl="2" w:tplc="D698456A" w:tentative="1">
      <w:start w:val="1"/>
      <w:numFmt w:val="lowerRoman"/>
      <w:lvlText w:val="%3."/>
      <w:lvlJc w:val="right"/>
      <w:pPr>
        <w:ind w:left="2160" w:hanging="180"/>
      </w:pPr>
    </w:lvl>
    <w:lvl w:ilvl="3" w:tplc="547EEEC2" w:tentative="1">
      <w:start w:val="1"/>
      <w:numFmt w:val="decimal"/>
      <w:lvlText w:val="%4."/>
      <w:lvlJc w:val="left"/>
      <w:pPr>
        <w:ind w:left="2880" w:hanging="360"/>
      </w:pPr>
    </w:lvl>
    <w:lvl w:ilvl="4" w:tplc="459863F4" w:tentative="1">
      <w:start w:val="1"/>
      <w:numFmt w:val="lowerLetter"/>
      <w:lvlText w:val="%5."/>
      <w:lvlJc w:val="left"/>
      <w:pPr>
        <w:ind w:left="3600" w:hanging="360"/>
      </w:pPr>
    </w:lvl>
    <w:lvl w:ilvl="5" w:tplc="FA02E478" w:tentative="1">
      <w:start w:val="1"/>
      <w:numFmt w:val="lowerRoman"/>
      <w:lvlText w:val="%6."/>
      <w:lvlJc w:val="right"/>
      <w:pPr>
        <w:ind w:left="4320" w:hanging="180"/>
      </w:pPr>
    </w:lvl>
    <w:lvl w:ilvl="6" w:tplc="4CF00B50" w:tentative="1">
      <w:start w:val="1"/>
      <w:numFmt w:val="decimal"/>
      <w:lvlText w:val="%7."/>
      <w:lvlJc w:val="left"/>
      <w:pPr>
        <w:ind w:left="5040" w:hanging="360"/>
      </w:pPr>
    </w:lvl>
    <w:lvl w:ilvl="7" w:tplc="4762EA2A" w:tentative="1">
      <w:start w:val="1"/>
      <w:numFmt w:val="lowerLetter"/>
      <w:lvlText w:val="%8."/>
      <w:lvlJc w:val="left"/>
      <w:pPr>
        <w:ind w:left="5760" w:hanging="360"/>
      </w:pPr>
    </w:lvl>
    <w:lvl w:ilvl="8" w:tplc="DAF47AE8" w:tentative="1">
      <w:start w:val="1"/>
      <w:numFmt w:val="lowerRoman"/>
      <w:lvlText w:val="%9."/>
      <w:lvlJc w:val="right"/>
      <w:pPr>
        <w:ind w:left="6480" w:hanging="180"/>
      </w:pPr>
    </w:lvl>
  </w:abstractNum>
  <w:abstractNum w:abstractNumId="25" w15:restartNumberingAfterBreak="0">
    <w:nsid w:val="60310D7E"/>
    <w:multiLevelType w:val="multilevel"/>
    <w:tmpl w:val="8FD8F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2FA5864"/>
    <w:multiLevelType w:val="multilevel"/>
    <w:tmpl w:val="5DC60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4FB2E69"/>
    <w:multiLevelType w:val="hybridMultilevel"/>
    <w:tmpl w:val="593E3C7E"/>
    <w:lvl w:ilvl="0" w:tplc="1FD6B5B6">
      <w:numFmt w:val="bullet"/>
      <w:lvlText w:val="•"/>
      <w:lvlJc w:val="left"/>
      <w:pPr>
        <w:ind w:left="720" w:hanging="720"/>
      </w:pPr>
      <w:rPr>
        <w:rFonts w:ascii="Arial" w:eastAsia="Arial" w:hAnsi="Arial" w:cs="Arial" w:hint="default"/>
      </w:rPr>
    </w:lvl>
    <w:lvl w:ilvl="1" w:tplc="A07C2BDC" w:tentative="1">
      <w:start w:val="1"/>
      <w:numFmt w:val="bullet"/>
      <w:lvlText w:val="o"/>
      <w:lvlJc w:val="left"/>
      <w:pPr>
        <w:ind w:left="1080" w:hanging="360"/>
      </w:pPr>
      <w:rPr>
        <w:rFonts w:ascii="Courier New" w:hAnsi="Courier New" w:cs="Courier New" w:hint="default"/>
      </w:rPr>
    </w:lvl>
    <w:lvl w:ilvl="2" w:tplc="E2EE69DC" w:tentative="1">
      <w:start w:val="1"/>
      <w:numFmt w:val="bullet"/>
      <w:lvlText w:val=""/>
      <w:lvlJc w:val="left"/>
      <w:pPr>
        <w:ind w:left="1800" w:hanging="360"/>
      </w:pPr>
      <w:rPr>
        <w:rFonts w:ascii="Wingdings" w:hAnsi="Wingdings" w:hint="default"/>
      </w:rPr>
    </w:lvl>
    <w:lvl w:ilvl="3" w:tplc="8FE017AE" w:tentative="1">
      <w:start w:val="1"/>
      <w:numFmt w:val="bullet"/>
      <w:lvlText w:val=""/>
      <w:lvlJc w:val="left"/>
      <w:pPr>
        <w:ind w:left="2520" w:hanging="360"/>
      </w:pPr>
      <w:rPr>
        <w:rFonts w:ascii="Symbol" w:hAnsi="Symbol" w:hint="default"/>
      </w:rPr>
    </w:lvl>
    <w:lvl w:ilvl="4" w:tplc="DCF8D948" w:tentative="1">
      <w:start w:val="1"/>
      <w:numFmt w:val="bullet"/>
      <w:lvlText w:val="o"/>
      <w:lvlJc w:val="left"/>
      <w:pPr>
        <w:ind w:left="3240" w:hanging="360"/>
      </w:pPr>
      <w:rPr>
        <w:rFonts w:ascii="Courier New" w:hAnsi="Courier New" w:cs="Courier New" w:hint="default"/>
      </w:rPr>
    </w:lvl>
    <w:lvl w:ilvl="5" w:tplc="36C236C0" w:tentative="1">
      <w:start w:val="1"/>
      <w:numFmt w:val="bullet"/>
      <w:lvlText w:val=""/>
      <w:lvlJc w:val="left"/>
      <w:pPr>
        <w:ind w:left="3960" w:hanging="360"/>
      </w:pPr>
      <w:rPr>
        <w:rFonts w:ascii="Wingdings" w:hAnsi="Wingdings" w:hint="default"/>
      </w:rPr>
    </w:lvl>
    <w:lvl w:ilvl="6" w:tplc="DDFA3C38" w:tentative="1">
      <w:start w:val="1"/>
      <w:numFmt w:val="bullet"/>
      <w:lvlText w:val=""/>
      <w:lvlJc w:val="left"/>
      <w:pPr>
        <w:ind w:left="4680" w:hanging="360"/>
      </w:pPr>
      <w:rPr>
        <w:rFonts w:ascii="Symbol" w:hAnsi="Symbol" w:hint="default"/>
      </w:rPr>
    </w:lvl>
    <w:lvl w:ilvl="7" w:tplc="B16ABF6C" w:tentative="1">
      <w:start w:val="1"/>
      <w:numFmt w:val="bullet"/>
      <w:lvlText w:val="o"/>
      <w:lvlJc w:val="left"/>
      <w:pPr>
        <w:ind w:left="5400" w:hanging="360"/>
      </w:pPr>
      <w:rPr>
        <w:rFonts w:ascii="Courier New" w:hAnsi="Courier New" w:cs="Courier New" w:hint="default"/>
      </w:rPr>
    </w:lvl>
    <w:lvl w:ilvl="8" w:tplc="23BC374A" w:tentative="1">
      <w:start w:val="1"/>
      <w:numFmt w:val="bullet"/>
      <w:lvlText w:val=""/>
      <w:lvlJc w:val="left"/>
      <w:pPr>
        <w:ind w:left="6120" w:hanging="360"/>
      </w:pPr>
      <w:rPr>
        <w:rFonts w:ascii="Wingdings" w:hAnsi="Wingdings" w:hint="default"/>
      </w:rPr>
    </w:lvl>
  </w:abstractNum>
  <w:abstractNum w:abstractNumId="28" w15:restartNumberingAfterBreak="0">
    <w:nsid w:val="6DAF33FB"/>
    <w:multiLevelType w:val="multilevel"/>
    <w:tmpl w:val="E61E9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442566F"/>
    <w:multiLevelType w:val="multilevel"/>
    <w:tmpl w:val="4EFA5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7F25322"/>
    <w:multiLevelType w:val="hybridMultilevel"/>
    <w:tmpl w:val="1C6E0B16"/>
    <w:lvl w:ilvl="0" w:tplc="541E8CF0">
      <w:start w:val="1"/>
      <w:numFmt w:val="bullet"/>
      <w:lvlText w:val=""/>
      <w:lvlJc w:val="left"/>
      <w:pPr>
        <w:ind w:left="720" w:hanging="360"/>
      </w:pPr>
      <w:rPr>
        <w:rFonts w:ascii="Symbol" w:hAnsi="Symbol" w:hint="default"/>
      </w:rPr>
    </w:lvl>
    <w:lvl w:ilvl="1" w:tplc="377E2E18">
      <w:numFmt w:val="bullet"/>
      <w:lvlText w:val="•"/>
      <w:lvlJc w:val="left"/>
      <w:pPr>
        <w:ind w:left="1440" w:hanging="360"/>
      </w:pPr>
      <w:rPr>
        <w:rFonts w:ascii="Times New Roman" w:eastAsia="Arial" w:hAnsi="Times New Roman" w:cs="Times New Roman" w:hint="default"/>
      </w:rPr>
    </w:lvl>
    <w:lvl w:ilvl="2" w:tplc="A86E0C14" w:tentative="1">
      <w:start w:val="1"/>
      <w:numFmt w:val="bullet"/>
      <w:lvlText w:val=""/>
      <w:lvlJc w:val="left"/>
      <w:pPr>
        <w:ind w:left="2160" w:hanging="360"/>
      </w:pPr>
      <w:rPr>
        <w:rFonts w:ascii="Wingdings" w:hAnsi="Wingdings" w:hint="default"/>
      </w:rPr>
    </w:lvl>
    <w:lvl w:ilvl="3" w:tplc="B2722EA8" w:tentative="1">
      <w:start w:val="1"/>
      <w:numFmt w:val="bullet"/>
      <w:lvlText w:val=""/>
      <w:lvlJc w:val="left"/>
      <w:pPr>
        <w:ind w:left="2880" w:hanging="360"/>
      </w:pPr>
      <w:rPr>
        <w:rFonts w:ascii="Symbol" w:hAnsi="Symbol" w:hint="default"/>
      </w:rPr>
    </w:lvl>
    <w:lvl w:ilvl="4" w:tplc="63066B30" w:tentative="1">
      <w:start w:val="1"/>
      <w:numFmt w:val="bullet"/>
      <w:lvlText w:val="o"/>
      <w:lvlJc w:val="left"/>
      <w:pPr>
        <w:ind w:left="3600" w:hanging="360"/>
      </w:pPr>
      <w:rPr>
        <w:rFonts w:ascii="Courier New" w:hAnsi="Courier New" w:cs="Courier New" w:hint="default"/>
      </w:rPr>
    </w:lvl>
    <w:lvl w:ilvl="5" w:tplc="66E26440" w:tentative="1">
      <w:start w:val="1"/>
      <w:numFmt w:val="bullet"/>
      <w:lvlText w:val=""/>
      <w:lvlJc w:val="left"/>
      <w:pPr>
        <w:ind w:left="4320" w:hanging="360"/>
      </w:pPr>
      <w:rPr>
        <w:rFonts w:ascii="Wingdings" w:hAnsi="Wingdings" w:hint="default"/>
      </w:rPr>
    </w:lvl>
    <w:lvl w:ilvl="6" w:tplc="48346652" w:tentative="1">
      <w:start w:val="1"/>
      <w:numFmt w:val="bullet"/>
      <w:lvlText w:val=""/>
      <w:lvlJc w:val="left"/>
      <w:pPr>
        <w:ind w:left="5040" w:hanging="360"/>
      </w:pPr>
      <w:rPr>
        <w:rFonts w:ascii="Symbol" w:hAnsi="Symbol" w:hint="default"/>
      </w:rPr>
    </w:lvl>
    <w:lvl w:ilvl="7" w:tplc="BC92A63A" w:tentative="1">
      <w:start w:val="1"/>
      <w:numFmt w:val="bullet"/>
      <w:lvlText w:val="o"/>
      <w:lvlJc w:val="left"/>
      <w:pPr>
        <w:ind w:left="5760" w:hanging="360"/>
      </w:pPr>
      <w:rPr>
        <w:rFonts w:ascii="Courier New" w:hAnsi="Courier New" w:cs="Courier New" w:hint="default"/>
      </w:rPr>
    </w:lvl>
    <w:lvl w:ilvl="8" w:tplc="7122BCA8" w:tentative="1">
      <w:start w:val="1"/>
      <w:numFmt w:val="bullet"/>
      <w:lvlText w:val=""/>
      <w:lvlJc w:val="left"/>
      <w:pPr>
        <w:ind w:left="6480" w:hanging="360"/>
      </w:pPr>
      <w:rPr>
        <w:rFonts w:ascii="Wingdings" w:hAnsi="Wingdings" w:hint="default"/>
      </w:rPr>
    </w:lvl>
  </w:abstractNum>
  <w:abstractNum w:abstractNumId="31" w15:restartNumberingAfterBreak="0">
    <w:nsid w:val="7E4F733A"/>
    <w:multiLevelType w:val="hybridMultilevel"/>
    <w:tmpl w:val="ADC84CB8"/>
    <w:lvl w:ilvl="0" w:tplc="DE60BD90">
      <w:start w:val="1"/>
      <w:numFmt w:val="decimal"/>
      <w:lvlText w:val="%1."/>
      <w:lvlJc w:val="left"/>
      <w:pPr>
        <w:ind w:left="720" w:hanging="360"/>
      </w:pPr>
    </w:lvl>
    <w:lvl w:ilvl="1" w:tplc="DF123978" w:tentative="1">
      <w:start w:val="1"/>
      <w:numFmt w:val="lowerLetter"/>
      <w:lvlText w:val="%2."/>
      <w:lvlJc w:val="left"/>
      <w:pPr>
        <w:ind w:left="1440" w:hanging="360"/>
      </w:pPr>
    </w:lvl>
    <w:lvl w:ilvl="2" w:tplc="184C8BCC" w:tentative="1">
      <w:start w:val="1"/>
      <w:numFmt w:val="lowerRoman"/>
      <w:lvlText w:val="%3."/>
      <w:lvlJc w:val="right"/>
      <w:pPr>
        <w:ind w:left="2160" w:hanging="180"/>
      </w:pPr>
    </w:lvl>
    <w:lvl w:ilvl="3" w:tplc="B75A9C42" w:tentative="1">
      <w:start w:val="1"/>
      <w:numFmt w:val="decimal"/>
      <w:lvlText w:val="%4."/>
      <w:lvlJc w:val="left"/>
      <w:pPr>
        <w:ind w:left="2880" w:hanging="360"/>
      </w:pPr>
    </w:lvl>
    <w:lvl w:ilvl="4" w:tplc="34A2B968" w:tentative="1">
      <w:start w:val="1"/>
      <w:numFmt w:val="lowerLetter"/>
      <w:lvlText w:val="%5."/>
      <w:lvlJc w:val="left"/>
      <w:pPr>
        <w:ind w:left="3600" w:hanging="360"/>
      </w:pPr>
    </w:lvl>
    <w:lvl w:ilvl="5" w:tplc="527496B4" w:tentative="1">
      <w:start w:val="1"/>
      <w:numFmt w:val="lowerRoman"/>
      <w:lvlText w:val="%6."/>
      <w:lvlJc w:val="right"/>
      <w:pPr>
        <w:ind w:left="4320" w:hanging="180"/>
      </w:pPr>
    </w:lvl>
    <w:lvl w:ilvl="6" w:tplc="FF3C2A8C" w:tentative="1">
      <w:start w:val="1"/>
      <w:numFmt w:val="decimal"/>
      <w:lvlText w:val="%7."/>
      <w:lvlJc w:val="left"/>
      <w:pPr>
        <w:ind w:left="5040" w:hanging="360"/>
      </w:pPr>
    </w:lvl>
    <w:lvl w:ilvl="7" w:tplc="CA92EEF2" w:tentative="1">
      <w:start w:val="1"/>
      <w:numFmt w:val="lowerLetter"/>
      <w:lvlText w:val="%8."/>
      <w:lvlJc w:val="left"/>
      <w:pPr>
        <w:ind w:left="5760" w:hanging="360"/>
      </w:pPr>
    </w:lvl>
    <w:lvl w:ilvl="8" w:tplc="6EB0E0CC" w:tentative="1">
      <w:start w:val="1"/>
      <w:numFmt w:val="lowerRoman"/>
      <w:lvlText w:val="%9."/>
      <w:lvlJc w:val="right"/>
      <w:pPr>
        <w:ind w:left="6480" w:hanging="180"/>
      </w:pPr>
    </w:lvl>
  </w:abstractNum>
  <w:num w:numId="1">
    <w:abstractNumId w:val="13"/>
  </w:num>
  <w:num w:numId="2">
    <w:abstractNumId w:val="1"/>
  </w:num>
  <w:num w:numId="3">
    <w:abstractNumId w:val="30"/>
  </w:num>
  <w:num w:numId="4">
    <w:abstractNumId w:val="7"/>
  </w:num>
  <w:num w:numId="5">
    <w:abstractNumId w:val="24"/>
  </w:num>
  <w:num w:numId="6">
    <w:abstractNumId w:val="17"/>
  </w:num>
  <w:num w:numId="7">
    <w:abstractNumId w:val="23"/>
  </w:num>
  <w:num w:numId="8">
    <w:abstractNumId w:val="25"/>
  </w:num>
  <w:num w:numId="9">
    <w:abstractNumId w:val="12"/>
  </w:num>
  <w:num w:numId="10">
    <w:abstractNumId w:val="26"/>
  </w:num>
  <w:num w:numId="11">
    <w:abstractNumId w:val="28"/>
  </w:num>
  <w:num w:numId="12">
    <w:abstractNumId w:val="29"/>
  </w:num>
  <w:num w:numId="13">
    <w:abstractNumId w:val="8"/>
  </w:num>
  <w:num w:numId="14">
    <w:abstractNumId w:val="2"/>
  </w:num>
  <w:num w:numId="15">
    <w:abstractNumId w:val="10"/>
  </w:num>
  <w:num w:numId="16">
    <w:abstractNumId w:val="27"/>
  </w:num>
  <w:num w:numId="17">
    <w:abstractNumId w:val="5"/>
  </w:num>
  <w:num w:numId="18">
    <w:abstractNumId w:val="19"/>
  </w:num>
  <w:num w:numId="19">
    <w:abstractNumId w:val="11"/>
  </w:num>
  <w:num w:numId="20">
    <w:abstractNumId w:val="31"/>
  </w:num>
  <w:num w:numId="21">
    <w:abstractNumId w:val="0"/>
  </w:num>
  <w:num w:numId="22">
    <w:abstractNumId w:val="15"/>
  </w:num>
  <w:num w:numId="23">
    <w:abstractNumId w:val="14"/>
  </w:num>
  <w:num w:numId="24">
    <w:abstractNumId w:val="9"/>
  </w:num>
  <w:num w:numId="25">
    <w:abstractNumId w:val="18"/>
  </w:num>
  <w:num w:numId="26">
    <w:abstractNumId w:val="21"/>
  </w:num>
  <w:num w:numId="27">
    <w:abstractNumId w:val="16"/>
  </w:num>
  <w:num w:numId="28">
    <w:abstractNumId w:val="4"/>
  </w:num>
  <w:num w:numId="29">
    <w:abstractNumId w:val="20"/>
  </w:num>
  <w:num w:numId="30">
    <w:abstractNumId w:val="3"/>
  </w:num>
  <w:num w:numId="31">
    <w:abstractNumId w:val="6"/>
  </w:num>
  <w:num w:numId="32">
    <w:abstractNumId w:val="22"/>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zQ2MTY3tbQ0t7QwNzFV0lEKTi0uzszPAykwM6gFAHOD9DktAAAA"/>
  </w:docVars>
  <w:rsids>
    <w:rsidRoot w:val="00E86CC8"/>
    <w:rsid w:val="00000E24"/>
    <w:rsid w:val="00003414"/>
    <w:rsid w:val="00003D86"/>
    <w:rsid w:val="00006B46"/>
    <w:rsid w:val="00006BC9"/>
    <w:rsid w:val="00006E4D"/>
    <w:rsid w:val="00007621"/>
    <w:rsid w:val="00007B98"/>
    <w:rsid w:val="0001104D"/>
    <w:rsid w:val="00011057"/>
    <w:rsid w:val="00011A4C"/>
    <w:rsid w:val="000122DD"/>
    <w:rsid w:val="00012326"/>
    <w:rsid w:val="00012716"/>
    <w:rsid w:val="00013DBC"/>
    <w:rsid w:val="0001409F"/>
    <w:rsid w:val="00014106"/>
    <w:rsid w:val="00014C59"/>
    <w:rsid w:val="00016748"/>
    <w:rsid w:val="00016B6E"/>
    <w:rsid w:val="0001741E"/>
    <w:rsid w:val="0001787D"/>
    <w:rsid w:val="00017C05"/>
    <w:rsid w:val="00020361"/>
    <w:rsid w:val="00020F8D"/>
    <w:rsid w:val="000215FF"/>
    <w:rsid w:val="00021850"/>
    <w:rsid w:val="00024347"/>
    <w:rsid w:val="00024487"/>
    <w:rsid w:val="0002595B"/>
    <w:rsid w:val="00027132"/>
    <w:rsid w:val="00032804"/>
    <w:rsid w:val="00033B9C"/>
    <w:rsid w:val="000343EA"/>
    <w:rsid w:val="000371E9"/>
    <w:rsid w:val="00042A7F"/>
    <w:rsid w:val="00043065"/>
    <w:rsid w:val="0004369A"/>
    <w:rsid w:val="00044B6A"/>
    <w:rsid w:val="00045785"/>
    <w:rsid w:val="0004672E"/>
    <w:rsid w:val="0004686A"/>
    <w:rsid w:val="0004768D"/>
    <w:rsid w:val="0005194E"/>
    <w:rsid w:val="00051FFA"/>
    <w:rsid w:val="00052B60"/>
    <w:rsid w:val="000530EB"/>
    <w:rsid w:val="0005366B"/>
    <w:rsid w:val="00053A3C"/>
    <w:rsid w:val="00053D32"/>
    <w:rsid w:val="0005417A"/>
    <w:rsid w:val="00054EF1"/>
    <w:rsid w:val="00055307"/>
    <w:rsid w:val="0005763C"/>
    <w:rsid w:val="000576AF"/>
    <w:rsid w:val="0005789C"/>
    <w:rsid w:val="00057A00"/>
    <w:rsid w:val="000605A9"/>
    <w:rsid w:val="00060A03"/>
    <w:rsid w:val="00061546"/>
    <w:rsid w:val="00063210"/>
    <w:rsid w:val="000636EF"/>
    <w:rsid w:val="00063EA9"/>
    <w:rsid w:val="00064518"/>
    <w:rsid w:val="00065869"/>
    <w:rsid w:val="00066189"/>
    <w:rsid w:val="000661F7"/>
    <w:rsid w:val="00066A46"/>
    <w:rsid w:val="000726AE"/>
    <w:rsid w:val="0007291D"/>
    <w:rsid w:val="000737FC"/>
    <w:rsid w:val="000743E3"/>
    <w:rsid w:val="00074449"/>
    <w:rsid w:val="00075AD5"/>
    <w:rsid w:val="0007630D"/>
    <w:rsid w:val="00076B15"/>
    <w:rsid w:val="00077525"/>
    <w:rsid w:val="00082BC3"/>
    <w:rsid w:val="00084102"/>
    <w:rsid w:val="00084D72"/>
    <w:rsid w:val="00084FC6"/>
    <w:rsid w:val="00085DEB"/>
    <w:rsid w:val="0008742E"/>
    <w:rsid w:val="0008778C"/>
    <w:rsid w:val="00087F3B"/>
    <w:rsid w:val="00091704"/>
    <w:rsid w:val="0009181A"/>
    <w:rsid w:val="00091A22"/>
    <w:rsid w:val="00091C93"/>
    <w:rsid w:val="00092D6F"/>
    <w:rsid w:val="00092DCC"/>
    <w:rsid w:val="00093AC3"/>
    <w:rsid w:val="00093CCF"/>
    <w:rsid w:val="00095691"/>
    <w:rsid w:val="00095797"/>
    <w:rsid w:val="000A209D"/>
    <w:rsid w:val="000A2DC5"/>
    <w:rsid w:val="000A3DE2"/>
    <w:rsid w:val="000A478D"/>
    <w:rsid w:val="000A4ED9"/>
    <w:rsid w:val="000A5FE6"/>
    <w:rsid w:val="000A7CED"/>
    <w:rsid w:val="000B0401"/>
    <w:rsid w:val="000B0915"/>
    <w:rsid w:val="000B0D76"/>
    <w:rsid w:val="000B1134"/>
    <w:rsid w:val="000B11CD"/>
    <w:rsid w:val="000B11F2"/>
    <w:rsid w:val="000B1E0B"/>
    <w:rsid w:val="000B1F49"/>
    <w:rsid w:val="000B2A6A"/>
    <w:rsid w:val="000B2FCD"/>
    <w:rsid w:val="000B457A"/>
    <w:rsid w:val="000B494E"/>
    <w:rsid w:val="000B64CD"/>
    <w:rsid w:val="000B666E"/>
    <w:rsid w:val="000B6BAD"/>
    <w:rsid w:val="000B6F08"/>
    <w:rsid w:val="000B76C1"/>
    <w:rsid w:val="000C052A"/>
    <w:rsid w:val="000C0B1E"/>
    <w:rsid w:val="000C14A3"/>
    <w:rsid w:val="000C17C6"/>
    <w:rsid w:val="000C4A27"/>
    <w:rsid w:val="000D17A1"/>
    <w:rsid w:val="000D222A"/>
    <w:rsid w:val="000D264D"/>
    <w:rsid w:val="000D27BA"/>
    <w:rsid w:val="000D2F6A"/>
    <w:rsid w:val="000D37A4"/>
    <w:rsid w:val="000D4725"/>
    <w:rsid w:val="000D49A6"/>
    <w:rsid w:val="000D5708"/>
    <w:rsid w:val="000D5DE8"/>
    <w:rsid w:val="000D61A6"/>
    <w:rsid w:val="000E0C6B"/>
    <w:rsid w:val="000E1E54"/>
    <w:rsid w:val="000E2566"/>
    <w:rsid w:val="000E44CA"/>
    <w:rsid w:val="000E4B52"/>
    <w:rsid w:val="000E5A2A"/>
    <w:rsid w:val="000E6573"/>
    <w:rsid w:val="000E7834"/>
    <w:rsid w:val="000E7B40"/>
    <w:rsid w:val="000E7F79"/>
    <w:rsid w:val="000F0DBA"/>
    <w:rsid w:val="000F112A"/>
    <w:rsid w:val="000F2DF2"/>
    <w:rsid w:val="000F35F3"/>
    <w:rsid w:val="000F395A"/>
    <w:rsid w:val="000F3BD1"/>
    <w:rsid w:val="000F5940"/>
    <w:rsid w:val="000F5CA6"/>
    <w:rsid w:val="001005F0"/>
    <w:rsid w:val="00101703"/>
    <w:rsid w:val="00102100"/>
    <w:rsid w:val="00104EDC"/>
    <w:rsid w:val="001057BE"/>
    <w:rsid w:val="0010626C"/>
    <w:rsid w:val="001063A7"/>
    <w:rsid w:val="00107806"/>
    <w:rsid w:val="0011004F"/>
    <w:rsid w:val="00110267"/>
    <w:rsid w:val="0011378D"/>
    <w:rsid w:val="00114CE8"/>
    <w:rsid w:val="00115986"/>
    <w:rsid w:val="00115D45"/>
    <w:rsid w:val="00115EB1"/>
    <w:rsid w:val="0011755B"/>
    <w:rsid w:val="00117DBB"/>
    <w:rsid w:val="00120541"/>
    <w:rsid w:val="00121121"/>
    <w:rsid w:val="00121E74"/>
    <w:rsid w:val="001229BB"/>
    <w:rsid w:val="001261DC"/>
    <w:rsid w:val="00126328"/>
    <w:rsid w:val="00126A60"/>
    <w:rsid w:val="00127024"/>
    <w:rsid w:val="0012713D"/>
    <w:rsid w:val="00127422"/>
    <w:rsid w:val="001301FF"/>
    <w:rsid w:val="001317F7"/>
    <w:rsid w:val="00131A54"/>
    <w:rsid w:val="001336CF"/>
    <w:rsid w:val="00133A14"/>
    <w:rsid w:val="00135C33"/>
    <w:rsid w:val="00135F1F"/>
    <w:rsid w:val="00140BF6"/>
    <w:rsid w:val="00140DDE"/>
    <w:rsid w:val="00141848"/>
    <w:rsid w:val="00141C32"/>
    <w:rsid w:val="00141D0C"/>
    <w:rsid w:val="00142715"/>
    <w:rsid w:val="00142B06"/>
    <w:rsid w:val="00143BD5"/>
    <w:rsid w:val="00144A05"/>
    <w:rsid w:val="00145445"/>
    <w:rsid w:val="00145E4F"/>
    <w:rsid w:val="00146E5C"/>
    <w:rsid w:val="00146F77"/>
    <w:rsid w:val="00146FB5"/>
    <w:rsid w:val="001474A8"/>
    <w:rsid w:val="0014758B"/>
    <w:rsid w:val="00150C08"/>
    <w:rsid w:val="00150D4D"/>
    <w:rsid w:val="00151E37"/>
    <w:rsid w:val="00151FBA"/>
    <w:rsid w:val="001523C8"/>
    <w:rsid w:val="00152627"/>
    <w:rsid w:val="00155402"/>
    <w:rsid w:val="00155AF7"/>
    <w:rsid w:val="00157632"/>
    <w:rsid w:val="00160B5F"/>
    <w:rsid w:val="00160E4D"/>
    <w:rsid w:val="00161844"/>
    <w:rsid w:val="001627CC"/>
    <w:rsid w:val="00162B88"/>
    <w:rsid w:val="00162E6B"/>
    <w:rsid w:val="00164A43"/>
    <w:rsid w:val="00164BBA"/>
    <w:rsid w:val="00165132"/>
    <w:rsid w:val="00165784"/>
    <w:rsid w:val="001715F9"/>
    <w:rsid w:val="00171790"/>
    <w:rsid w:val="00171AE8"/>
    <w:rsid w:val="001728FE"/>
    <w:rsid w:val="00172C4C"/>
    <w:rsid w:val="001748D3"/>
    <w:rsid w:val="0017564C"/>
    <w:rsid w:val="001804B1"/>
    <w:rsid w:val="00180992"/>
    <w:rsid w:val="001810CA"/>
    <w:rsid w:val="00181C09"/>
    <w:rsid w:val="001843C7"/>
    <w:rsid w:val="00185ED9"/>
    <w:rsid w:val="00186403"/>
    <w:rsid w:val="00186C35"/>
    <w:rsid w:val="00187211"/>
    <w:rsid w:val="00191536"/>
    <w:rsid w:val="00192393"/>
    <w:rsid w:val="0019269B"/>
    <w:rsid w:val="00192EFC"/>
    <w:rsid w:val="00193787"/>
    <w:rsid w:val="0019400E"/>
    <w:rsid w:val="001940EB"/>
    <w:rsid w:val="00194350"/>
    <w:rsid w:val="001959C8"/>
    <w:rsid w:val="001963C5"/>
    <w:rsid w:val="00196580"/>
    <w:rsid w:val="00197977"/>
    <w:rsid w:val="001A0115"/>
    <w:rsid w:val="001A085B"/>
    <w:rsid w:val="001A1E2D"/>
    <w:rsid w:val="001A2AA0"/>
    <w:rsid w:val="001A2C57"/>
    <w:rsid w:val="001A2C9E"/>
    <w:rsid w:val="001A3BB2"/>
    <w:rsid w:val="001A3BCF"/>
    <w:rsid w:val="001A725F"/>
    <w:rsid w:val="001A74C4"/>
    <w:rsid w:val="001B024B"/>
    <w:rsid w:val="001B1176"/>
    <w:rsid w:val="001B1920"/>
    <w:rsid w:val="001B273E"/>
    <w:rsid w:val="001B28F3"/>
    <w:rsid w:val="001B2E7A"/>
    <w:rsid w:val="001B3085"/>
    <w:rsid w:val="001B3391"/>
    <w:rsid w:val="001B35D8"/>
    <w:rsid w:val="001B6171"/>
    <w:rsid w:val="001B6D96"/>
    <w:rsid w:val="001B74B6"/>
    <w:rsid w:val="001B74E6"/>
    <w:rsid w:val="001B75F2"/>
    <w:rsid w:val="001B76B1"/>
    <w:rsid w:val="001C014D"/>
    <w:rsid w:val="001C0ECE"/>
    <w:rsid w:val="001C19C2"/>
    <w:rsid w:val="001C19E9"/>
    <w:rsid w:val="001C1F61"/>
    <w:rsid w:val="001C4D8D"/>
    <w:rsid w:val="001C50ED"/>
    <w:rsid w:val="001C5E04"/>
    <w:rsid w:val="001C64C0"/>
    <w:rsid w:val="001C7EED"/>
    <w:rsid w:val="001D0A92"/>
    <w:rsid w:val="001D0C42"/>
    <w:rsid w:val="001D0DDA"/>
    <w:rsid w:val="001D14FF"/>
    <w:rsid w:val="001D2988"/>
    <w:rsid w:val="001D38F3"/>
    <w:rsid w:val="001D5428"/>
    <w:rsid w:val="001D5861"/>
    <w:rsid w:val="001D5C15"/>
    <w:rsid w:val="001D5E0B"/>
    <w:rsid w:val="001D7A2C"/>
    <w:rsid w:val="001D7B5F"/>
    <w:rsid w:val="001E036D"/>
    <w:rsid w:val="001E4AB1"/>
    <w:rsid w:val="001E4D18"/>
    <w:rsid w:val="001E5AA4"/>
    <w:rsid w:val="001E5EDA"/>
    <w:rsid w:val="001E6E02"/>
    <w:rsid w:val="001E70DE"/>
    <w:rsid w:val="001E7BD3"/>
    <w:rsid w:val="001E7D4D"/>
    <w:rsid w:val="001F050F"/>
    <w:rsid w:val="001F0563"/>
    <w:rsid w:val="001F0FF2"/>
    <w:rsid w:val="001F1CAD"/>
    <w:rsid w:val="001F2937"/>
    <w:rsid w:val="001F33A4"/>
    <w:rsid w:val="001F3DBA"/>
    <w:rsid w:val="001F3F80"/>
    <w:rsid w:val="001F430E"/>
    <w:rsid w:val="001F4489"/>
    <w:rsid w:val="001F46A6"/>
    <w:rsid w:val="001F496C"/>
    <w:rsid w:val="001F6733"/>
    <w:rsid w:val="001F7048"/>
    <w:rsid w:val="001F71F6"/>
    <w:rsid w:val="00200C83"/>
    <w:rsid w:val="00201CF1"/>
    <w:rsid w:val="00201E06"/>
    <w:rsid w:val="00204491"/>
    <w:rsid w:val="00204D59"/>
    <w:rsid w:val="002051E4"/>
    <w:rsid w:val="0020541E"/>
    <w:rsid w:val="0020617A"/>
    <w:rsid w:val="002070CB"/>
    <w:rsid w:val="002079A6"/>
    <w:rsid w:val="00207EE0"/>
    <w:rsid w:val="00214020"/>
    <w:rsid w:val="002148EC"/>
    <w:rsid w:val="00221F78"/>
    <w:rsid w:val="002229C4"/>
    <w:rsid w:val="00223D2B"/>
    <w:rsid w:val="002266C3"/>
    <w:rsid w:val="00226D43"/>
    <w:rsid w:val="0023070F"/>
    <w:rsid w:val="002315C9"/>
    <w:rsid w:val="00232607"/>
    <w:rsid w:val="0023278D"/>
    <w:rsid w:val="002333CB"/>
    <w:rsid w:val="002341FD"/>
    <w:rsid w:val="00235691"/>
    <w:rsid w:val="00235B0C"/>
    <w:rsid w:val="00236022"/>
    <w:rsid w:val="00240B3D"/>
    <w:rsid w:val="0024141D"/>
    <w:rsid w:val="002419D4"/>
    <w:rsid w:val="00243299"/>
    <w:rsid w:val="00243BC8"/>
    <w:rsid w:val="002446A7"/>
    <w:rsid w:val="00245450"/>
    <w:rsid w:val="00245960"/>
    <w:rsid w:val="00250EF6"/>
    <w:rsid w:val="002511C6"/>
    <w:rsid w:val="0025329E"/>
    <w:rsid w:val="00253892"/>
    <w:rsid w:val="00253C5C"/>
    <w:rsid w:val="00254CBB"/>
    <w:rsid w:val="00256E16"/>
    <w:rsid w:val="0025744A"/>
    <w:rsid w:val="0026035D"/>
    <w:rsid w:val="00260384"/>
    <w:rsid w:val="002609F7"/>
    <w:rsid w:val="002622A4"/>
    <w:rsid w:val="002628AA"/>
    <w:rsid w:val="00262A8E"/>
    <w:rsid w:val="002634C7"/>
    <w:rsid w:val="002655CB"/>
    <w:rsid w:val="002662E1"/>
    <w:rsid w:val="00266EE0"/>
    <w:rsid w:val="0027069D"/>
    <w:rsid w:val="00273A40"/>
    <w:rsid w:val="00274309"/>
    <w:rsid w:val="00274E1E"/>
    <w:rsid w:val="00275311"/>
    <w:rsid w:val="002754D2"/>
    <w:rsid w:val="00275FB4"/>
    <w:rsid w:val="00276504"/>
    <w:rsid w:val="0027723C"/>
    <w:rsid w:val="00280B00"/>
    <w:rsid w:val="00281A93"/>
    <w:rsid w:val="00281F72"/>
    <w:rsid w:val="00282125"/>
    <w:rsid w:val="002839BF"/>
    <w:rsid w:val="00283B08"/>
    <w:rsid w:val="00285778"/>
    <w:rsid w:val="002859BA"/>
    <w:rsid w:val="00287202"/>
    <w:rsid w:val="0028795F"/>
    <w:rsid w:val="002918AE"/>
    <w:rsid w:val="00291ACE"/>
    <w:rsid w:val="002925E8"/>
    <w:rsid w:val="00296261"/>
    <w:rsid w:val="002963FE"/>
    <w:rsid w:val="00296D1F"/>
    <w:rsid w:val="002A012F"/>
    <w:rsid w:val="002A2D00"/>
    <w:rsid w:val="002A2DCE"/>
    <w:rsid w:val="002A3CD2"/>
    <w:rsid w:val="002A3FD7"/>
    <w:rsid w:val="002A4B34"/>
    <w:rsid w:val="002A635D"/>
    <w:rsid w:val="002A635E"/>
    <w:rsid w:val="002A716F"/>
    <w:rsid w:val="002B08AB"/>
    <w:rsid w:val="002B0EAC"/>
    <w:rsid w:val="002B1F7D"/>
    <w:rsid w:val="002B2081"/>
    <w:rsid w:val="002B29B4"/>
    <w:rsid w:val="002B3357"/>
    <w:rsid w:val="002B3CE8"/>
    <w:rsid w:val="002B4028"/>
    <w:rsid w:val="002B696B"/>
    <w:rsid w:val="002B7CC2"/>
    <w:rsid w:val="002B7D29"/>
    <w:rsid w:val="002C13C3"/>
    <w:rsid w:val="002C193D"/>
    <w:rsid w:val="002C1E76"/>
    <w:rsid w:val="002C2CA5"/>
    <w:rsid w:val="002C3542"/>
    <w:rsid w:val="002C4118"/>
    <w:rsid w:val="002C4D4F"/>
    <w:rsid w:val="002C5CBA"/>
    <w:rsid w:val="002C625E"/>
    <w:rsid w:val="002C6280"/>
    <w:rsid w:val="002C6714"/>
    <w:rsid w:val="002C7444"/>
    <w:rsid w:val="002D0C15"/>
    <w:rsid w:val="002D0E03"/>
    <w:rsid w:val="002D0E1A"/>
    <w:rsid w:val="002D35EE"/>
    <w:rsid w:val="002D44C3"/>
    <w:rsid w:val="002D5DD7"/>
    <w:rsid w:val="002D7C8D"/>
    <w:rsid w:val="002D7D30"/>
    <w:rsid w:val="002E159F"/>
    <w:rsid w:val="002E2979"/>
    <w:rsid w:val="002E50BD"/>
    <w:rsid w:val="002E5575"/>
    <w:rsid w:val="002E56D2"/>
    <w:rsid w:val="002E5E40"/>
    <w:rsid w:val="002E64D7"/>
    <w:rsid w:val="002E6D71"/>
    <w:rsid w:val="002E7A63"/>
    <w:rsid w:val="002E7CC1"/>
    <w:rsid w:val="002F06A9"/>
    <w:rsid w:val="002F0E5F"/>
    <w:rsid w:val="002F0E94"/>
    <w:rsid w:val="002F1F08"/>
    <w:rsid w:val="002F29EF"/>
    <w:rsid w:val="002F2E25"/>
    <w:rsid w:val="002F4FD6"/>
    <w:rsid w:val="002F5138"/>
    <w:rsid w:val="002F62AC"/>
    <w:rsid w:val="002F73AF"/>
    <w:rsid w:val="002F7A55"/>
    <w:rsid w:val="002F7F74"/>
    <w:rsid w:val="003010FE"/>
    <w:rsid w:val="00301EA6"/>
    <w:rsid w:val="00303B49"/>
    <w:rsid w:val="00303BA8"/>
    <w:rsid w:val="00304592"/>
    <w:rsid w:val="00304B7B"/>
    <w:rsid w:val="0030538A"/>
    <w:rsid w:val="00307694"/>
    <w:rsid w:val="00310072"/>
    <w:rsid w:val="00310628"/>
    <w:rsid w:val="003107B7"/>
    <w:rsid w:val="00311A90"/>
    <w:rsid w:val="00311EEE"/>
    <w:rsid w:val="00312DB9"/>
    <w:rsid w:val="003136F8"/>
    <w:rsid w:val="00313EF3"/>
    <w:rsid w:val="00313F8A"/>
    <w:rsid w:val="003144A2"/>
    <w:rsid w:val="00314616"/>
    <w:rsid w:val="00314FE9"/>
    <w:rsid w:val="003163B5"/>
    <w:rsid w:val="00317A8F"/>
    <w:rsid w:val="003204BF"/>
    <w:rsid w:val="00325491"/>
    <w:rsid w:val="00325BD2"/>
    <w:rsid w:val="003266EA"/>
    <w:rsid w:val="0032729C"/>
    <w:rsid w:val="00331DAA"/>
    <w:rsid w:val="0033438D"/>
    <w:rsid w:val="003344EC"/>
    <w:rsid w:val="00334981"/>
    <w:rsid w:val="00334FB8"/>
    <w:rsid w:val="0033508A"/>
    <w:rsid w:val="0033679B"/>
    <w:rsid w:val="00337BD3"/>
    <w:rsid w:val="00337FE1"/>
    <w:rsid w:val="003417C3"/>
    <w:rsid w:val="003420A9"/>
    <w:rsid w:val="00343A42"/>
    <w:rsid w:val="0034542E"/>
    <w:rsid w:val="00345E11"/>
    <w:rsid w:val="00346387"/>
    <w:rsid w:val="00346666"/>
    <w:rsid w:val="00346B49"/>
    <w:rsid w:val="00346F2A"/>
    <w:rsid w:val="0035086D"/>
    <w:rsid w:val="00351589"/>
    <w:rsid w:val="00351C11"/>
    <w:rsid w:val="0035286A"/>
    <w:rsid w:val="003536B2"/>
    <w:rsid w:val="00354552"/>
    <w:rsid w:val="00354F3B"/>
    <w:rsid w:val="00354F5E"/>
    <w:rsid w:val="003554F9"/>
    <w:rsid w:val="003568B5"/>
    <w:rsid w:val="0035709C"/>
    <w:rsid w:val="00357446"/>
    <w:rsid w:val="00357C3C"/>
    <w:rsid w:val="00360414"/>
    <w:rsid w:val="003604B5"/>
    <w:rsid w:val="00360E03"/>
    <w:rsid w:val="00360E60"/>
    <w:rsid w:val="003617C1"/>
    <w:rsid w:val="00362ACA"/>
    <w:rsid w:val="00362C6D"/>
    <w:rsid w:val="00363F39"/>
    <w:rsid w:val="003652B9"/>
    <w:rsid w:val="00366BD2"/>
    <w:rsid w:val="00366C7A"/>
    <w:rsid w:val="00367FD7"/>
    <w:rsid w:val="0037022B"/>
    <w:rsid w:val="00370661"/>
    <w:rsid w:val="00372299"/>
    <w:rsid w:val="0037264D"/>
    <w:rsid w:val="003736A7"/>
    <w:rsid w:val="00375477"/>
    <w:rsid w:val="003759D2"/>
    <w:rsid w:val="00375BD2"/>
    <w:rsid w:val="00376607"/>
    <w:rsid w:val="003801E2"/>
    <w:rsid w:val="00381AEF"/>
    <w:rsid w:val="00382885"/>
    <w:rsid w:val="00382BB7"/>
    <w:rsid w:val="00386B69"/>
    <w:rsid w:val="00387EDB"/>
    <w:rsid w:val="003901DB"/>
    <w:rsid w:val="00390F8F"/>
    <w:rsid w:val="00391651"/>
    <w:rsid w:val="00391D8A"/>
    <w:rsid w:val="00391DC8"/>
    <w:rsid w:val="00393C21"/>
    <w:rsid w:val="003952E3"/>
    <w:rsid w:val="003957E4"/>
    <w:rsid w:val="00396A83"/>
    <w:rsid w:val="00397116"/>
    <w:rsid w:val="00397FB5"/>
    <w:rsid w:val="003A2095"/>
    <w:rsid w:val="003A2F8E"/>
    <w:rsid w:val="003A56DE"/>
    <w:rsid w:val="003A63C5"/>
    <w:rsid w:val="003A6B74"/>
    <w:rsid w:val="003A7650"/>
    <w:rsid w:val="003A7C4E"/>
    <w:rsid w:val="003A7DF1"/>
    <w:rsid w:val="003A7F72"/>
    <w:rsid w:val="003B080F"/>
    <w:rsid w:val="003B12D0"/>
    <w:rsid w:val="003B3CC4"/>
    <w:rsid w:val="003B3D1F"/>
    <w:rsid w:val="003B4B56"/>
    <w:rsid w:val="003B4ED6"/>
    <w:rsid w:val="003B5BB8"/>
    <w:rsid w:val="003B6238"/>
    <w:rsid w:val="003B6499"/>
    <w:rsid w:val="003B7D4F"/>
    <w:rsid w:val="003C01CF"/>
    <w:rsid w:val="003C3631"/>
    <w:rsid w:val="003C37CD"/>
    <w:rsid w:val="003C39FA"/>
    <w:rsid w:val="003C43BB"/>
    <w:rsid w:val="003C579B"/>
    <w:rsid w:val="003C7E50"/>
    <w:rsid w:val="003D02FE"/>
    <w:rsid w:val="003D0600"/>
    <w:rsid w:val="003D1B45"/>
    <w:rsid w:val="003D30FB"/>
    <w:rsid w:val="003D33D5"/>
    <w:rsid w:val="003D3997"/>
    <w:rsid w:val="003D3FB7"/>
    <w:rsid w:val="003D4A47"/>
    <w:rsid w:val="003D4DBA"/>
    <w:rsid w:val="003D5334"/>
    <w:rsid w:val="003D5653"/>
    <w:rsid w:val="003D56DE"/>
    <w:rsid w:val="003D5F20"/>
    <w:rsid w:val="003D6247"/>
    <w:rsid w:val="003D67C1"/>
    <w:rsid w:val="003D75E0"/>
    <w:rsid w:val="003E057A"/>
    <w:rsid w:val="003E05DC"/>
    <w:rsid w:val="003E09D1"/>
    <w:rsid w:val="003E2205"/>
    <w:rsid w:val="003E27DB"/>
    <w:rsid w:val="003E33A6"/>
    <w:rsid w:val="003E4D95"/>
    <w:rsid w:val="003E5DF3"/>
    <w:rsid w:val="003E5F14"/>
    <w:rsid w:val="003E61EA"/>
    <w:rsid w:val="003E66B5"/>
    <w:rsid w:val="003E6890"/>
    <w:rsid w:val="003E7CC5"/>
    <w:rsid w:val="003E7DB6"/>
    <w:rsid w:val="003F1EA9"/>
    <w:rsid w:val="003F3732"/>
    <w:rsid w:val="003F3960"/>
    <w:rsid w:val="003F4BFA"/>
    <w:rsid w:val="003F5196"/>
    <w:rsid w:val="003F5D26"/>
    <w:rsid w:val="00400597"/>
    <w:rsid w:val="0040062F"/>
    <w:rsid w:val="00400666"/>
    <w:rsid w:val="00400EB9"/>
    <w:rsid w:val="00401796"/>
    <w:rsid w:val="0040273C"/>
    <w:rsid w:val="00402B93"/>
    <w:rsid w:val="0040397D"/>
    <w:rsid w:val="00403EEC"/>
    <w:rsid w:val="00404599"/>
    <w:rsid w:val="00405262"/>
    <w:rsid w:val="00406316"/>
    <w:rsid w:val="00412A0B"/>
    <w:rsid w:val="00412D02"/>
    <w:rsid w:val="00415549"/>
    <w:rsid w:val="00415924"/>
    <w:rsid w:val="0041624C"/>
    <w:rsid w:val="004164BE"/>
    <w:rsid w:val="004171A1"/>
    <w:rsid w:val="004173F6"/>
    <w:rsid w:val="00420FCC"/>
    <w:rsid w:val="00421032"/>
    <w:rsid w:val="00421735"/>
    <w:rsid w:val="00421F0B"/>
    <w:rsid w:val="00421FD1"/>
    <w:rsid w:val="004231A7"/>
    <w:rsid w:val="004244FC"/>
    <w:rsid w:val="00424644"/>
    <w:rsid w:val="00424EC9"/>
    <w:rsid w:val="00425175"/>
    <w:rsid w:val="004254DF"/>
    <w:rsid w:val="00426124"/>
    <w:rsid w:val="00426551"/>
    <w:rsid w:val="0042708E"/>
    <w:rsid w:val="0042746F"/>
    <w:rsid w:val="004274FF"/>
    <w:rsid w:val="00427A7B"/>
    <w:rsid w:val="00427AB0"/>
    <w:rsid w:val="00430AF2"/>
    <w:rsid w:val="0043135F"/>
    <w:rsid w:val="00432606"/>
    <w:rsid w:val="004332D6"/>
    <w:rsid w:val="0043459E"/>
    <w:rsid w:val="00434C49"/>
    <w:rsid w:val="004363CA"/>
    <w:rsid w:val="00436A7A"/>
    <w:rsid w:val="00436E70"/>
    <w:rsid w:val="00437C40"/>
    <w:rsid w:val="00437E82"/>
    <w:rsid w:val="00443035"/>
    <w:rsid w:val="0044377A"/>
    <w:rsid w:val="00446353"/>
    <w:rsid w:val="00446DB4"/>
    <w:rsid w:val="00450A69"/>
    <w:rsid w:val="00450E3F"/>
    <w:rsid w:val="00450E8D"/>
    <w:rsid w:val="00450F5B"/>
    <w:rsid w:val="004511E5"/>
    <w:rsid w:val="00451CB3"/>
    <w:rsid w:val="00452678"/>
    <w:rsid w:val="00452754"/>
    <w:rsid w:val="00452CB1"/>
    <w:rsid w:val="00452EC8"/>
    <w:rsid w:val="00453F1B"/>
    <w:rsid w:val="0045473D"/>
    <w:rsid w:val="00456C4E"/>
    <w:rsid w:val="00457BD6"/>
    <w:rsid w:val="00460B02"/>
    <w:rsid w:val="00461324"/>
    <w:rsid w:val="0046191A"/>
    <w:rsid w:val="00461BB0"/>
    <w:rsid w:val="004622E0"/>
    <w:rsid w:val="00463B20"/>
    <w:rsid w:val="00464835"/>
    <w:rsid w:val="00465F54"/>
    <w:rsid w:val="00466AF7"/>
    <w:rsid w:val="00466D49"/>
    <w:rsid w:val="004674E1"/>
    <w:rsid w:val="00467981"/>
    <w:rsid w:val="00467F61"/>
    <w:rsid w:val="00470178"/>
    <w:rsid w:val="00471141"/>
    <w:rsid w:val="00471ED8"/>
    <w:rsid w:val="00472074"/>
    <w:rsid w:val="00472964"/>
    <w:rsid w:val="00473357"/>
    <w:rsid w:val="00473C9A"/>
    <w:rsid w:val="004752CA"/>
    <w:rsid w:val="0047542C"/>
    <w:rsid w:val="0047692C"/>
    <w:rsid w:val="00480179"/>
    <w:rsid w:val="0048053F"/>
    <w:rsid w:val="00482832"/>
    <w:rsid w:val="00482DA3"/>
    <w:rsid w:val="00484BE8"/>
    <w:rsid w:val="00484DED"/>
    <w:rsid w:val="0048573B"/>
    <w:rsid w:val="00486178"/>
    <w:rsid w:val="00487074"/>
    <w:rsid w:val="0048715F"/>
    <w:rsid w:val="004903EF"/>
    <w:rsid w:val="00490D92"/>
    <w:rsid w:val="004919BE"/>
    <w:rsid w:val="0049251E"/>
    <w:rsid w:val="0049349B"/>
    <w:rsid w:val="0049499D"/>
    <w:rsid w:val="00494D42"/>
    <w:rsid w:val="00494EE0"/>
    <w:rsid w:val="00496FAB"/>
    <w:rsid w:val="004A03E4"/>
    <w:rsid w:val="004A0A8F"/>
    <w:rsid w:val="004A0AAE"/>
    <w:rsid w:val="004A0E8A"/>
    <w:rsid w:val="004A6A6C"/>
    <w:rsid w:val="004A7234"/>
    <w:rsid w:val="004A75CF"/>
    <w:rsid w:val="004A7736"/>
    <w:rsid w:val="004A7DBB"/>
    <w:rsid w:val="004B05F7"/>
    <w:rsid w:val="004B082E"/>
    <w:rsid w:val="004B0910"/>
    <w:rsid w:val="004B228D"/>
    <w:rsid w:val="004B2C69"/>
    <w:rsid w:val="004B2D4E"/>
    <w:rsid w:val="004B3AAD"/>
    <w:rsid w:val="004B497D"/>
    <w:rsid w:val="004B5517"/>
    <w:rsid w:val="004B5A0F"/>
    <w:rsid w:val="004C2174"/>
    <w:rsid w:val="004C3870"/>
    <w:rsid w:val="004C44E7"/>
    <w:rsid w:val="004C501C"/>
    <w:rsid w:val="004C7818"/>
    <w:rsid w:val="004C7A8D"/>
    <w:rsid w:val="004D0477"/>
    <w:rsid w:val="004D0AD7"/>
    <w:rsid w:val="004D0F79"/>
    <w:rsid w:val="004D45AA"/>
    <w:rsid w:val="004D4B04"/>
    <w:rsid w:val="004D4E1A"/>
    <w:rsid w:val="004D5FF8"/>
    <w:rsid w:val="004D6229"/>
    <w:rsid w:val="004D6259"/>
    <w:rsid w:val="004D657B"/>
    <w:rsid w:val="004D6916"/>
    <w:rsid w:val="004D7125"/>
    <w:rsid w:val="004D7289"/>
    <w:rsid w:val="004D78EC"/>
    <w:rsid w:val="004D7AF4"/>
    <w:rsid w:val="004E05DE"/>
    <w:rsid w:val="004E0D96"/>
    <w:rsid w:val="004E1DB8"/>
    <w:rsid w:val="004E2BC8"/>
    <w:rsid w:val="004E3468"/>
    <w:rsid w:val="004E37C0"/>
    <w:rsid w:val="004E3AD0"/>
    <w:rsid w:val="004E5292"/>
    <w:rsid w:val="004E5A64"/>
    <w:rsid w:val="004E65D8"/>
    <w:rsid w:val="004E7202"/>
    <w:rsid w:val="004E7D00"/>
    <w:rsid w:val="004F0217"/>
    <w:rsid w:val="004F14D3"/>
    <w:rsid w:val="004F1B75"/>
    <w:rsid w:val="004F1FC2"/>
    <w:rsid w:val="004F20DB"/>
    <w:rsid w:val="004F26E6"/>
    <w:rsid w:val="004F2F39"/>
    <w:rsid w:val="004F3096"/>
    <w:rsid w:val="004F4095"/>
    <w:rsid w:val="004F41DA"/>
    <w:rsid w:val="004F4D2E"/>
    <w:rsid w:val="004F5E7E"/>
    <w:rsid w:val="004F5FB8"/>
    <w:rsid w:val="004F611B"/>
    <w:rsid w:val="0050053D"/>
    <w:rsid w:val="005032A9"/>
    <w:rsid w:val="005036D8"/>
    <w:rsid w:val="005046C3"/>
    <w:rsid w:val="0050536B"/>
    <w:rsid w:val="005062FD"/>
    <w:rsid w:val="00506C92"/>
    <w:rsid w:val="005078C3"/>
    <w:rsid w:val="005106A4"/>
    <w:rsid w:val="00510C56"/>
    <w:rsid w:val="00511074"/>
    <w:rsid w:val="0051133C"/>
    <w:rsid w:val="00512531"/>
    <w:rsid w:val="0051264D"/>
    <w:rsid w:val="005127BB"/>
    <w:rsid w:val="005133C9"/>
    <w:rsid w:val="00513DE3"/>
    <w:rsid w:val="00514D0E"/>
    <w:rsid w:val="005153C0"/>
    <w:rsid w:val="00516111"/>
    <w:rsid w:val="00516BEE"/>
    <w:rsid w:val="00516FDD"/>
    <w:rsid w:val="00517BC7"/>
    <w:rsid w:val="00520F2F"/>
    <w:rsid w:val="00521CC5"/>
    <w:rsid w:val="00523CB2"/>
    <w:rsid w:val="005253EA"/>
    <w:rsid w:val="0052548B"/>
    <w:rsid w:val="00526781"/>
    <w:rsid w:val="00526881"/>
    <w:rsid w:val="0052694F"/>
    <w:rsid w:val="00526BA3"/>
    <w:rsid w:val="00527367"/>
    <w:rsid w:val="00527AAD"/>
    <w:rsid w:val="00531E09"/>
    <w:rsid w:val="00531F75"/>
    <w:rsid w:val="0053223E"/>
    <w:rsid w:val="0053287B"/>
    <w:rsid w:val="00532AF3"/>
    <w:rsid w:val="00533920"/>
    <w:rsid w:val="00533A03"/>
    <w:rsid w:val="0053590B"/>
    <w:rsid w:val="00535B47"/>
    <w:rsid w:val="0053628B"/>
    <w:rsid w:val="005365C6"/>
    <w:rsid w:val="005370A9"/>
    <w:rsid w:val="00537BF9"/>
    <w:rsid w:val="00541B37"/>
    <w:rsid w:val="00541DA7"/>
    <w:rsid w:val="00542509"/>
    <w:rsid w:val="005428B8"/>
    <w:rsid w:val="00543669"/>
    <w:rsid w:val="005446DA"/>
    <w:rsid w:val="00544793"/>
    <w:rsid w:val="00544E98"/>
    <w:rsid w:val="005467E6"/>
    <w:rsid w:val="0054759F"/>
    <w:rsid w:val="00547A13"/>
    <w:rsid w:val="00550054"/>
    <w:rsid w:val="00550F28"/>
    <w:rsid w:val="00551F1B"/>
    <w:rsid w:val="00555226"/>
    <w:rsid w:val="0055646B"/>
    <w:rsid w:val="0055658C"/>
    <w:rsid w:val="005576C1"/>
    <w:rsid w:val="00557C0D"/>
    <w:rsid w:val="0056395D"/>
    <w:rsid w:val="005651B9"/>
    <w:rsid w:val="0056590F"/>
    <w:rsid w:val="00565FE6"/>
    <w:rsid w:val="00567985"/>
    <w:rsid w:val="00567CA8"/>
    <w:rsid w:val="00570877"/>
    <w:rsid w:val="005714EA"/>
    <w:rsid w:val="00571545"/>
    <w:rsid w:val="0057200F"/>
    <w:rsid w:val="00572AE0"/>
    <w:rsid w:val="00573344"/>
    <w:rsid w:val="0057364E"/>
    <w:rsid w:val="00573B7F"/>
    <w:rsid w:val="00573C2C"/>
    <w:rsid w:val="00574F1A"/>
    <w:rsid w:val="00576767"/>
    <w:rsid w:val="00577072"/>
    <w:rsid w:val="00577584"/>
    <w:rsid w:val="00577F00"/>
    <w:rsid w:val="00582335"/>
    <w:rsid w:val="00582DD9"/>
    <w:rsid w:val="005833CD"/>
    <w:rsid w:val="00586530"/>
    <w:rsid w:val="00586958"/>
    <w:rsid w:val="00586E59"/>
    <w:rsid w:val="00590523"/>
    <w:rsid w:val="0059070E"/>
    <w:rsid w:val="00591A21"/>
    <w:rsid w:val="00591E7B"/>
    <w:rsid w:val="0059256C"/>
    <w:rsid w:val="00592712"/>
    <w:rsid w:val="00592902"/>
    <w:rsid w:val="00593E34"/>
    <w:rsid w:val="005943B3"/>
    <w:rsid w:val="0059491C"/>
    <w:rsid w:val="00595EFC"/>
    <w:rsid w:val="005961EF"/>
    <w:rsid w:val="00596A24"/>
    <w:rsid w:val="00597C0B"/>
    <w:rsid w:val="005A1CFE"/>
    <w:rsid w:val="005A2FE4"/>
    <w:rsid w:val="005A343A"/>
    <w:rsid w:val="005A4483"/>
    <w:rsid w:val="005A4E2B"/>
    <w:rsid w:val="005A58C5"/>
    <w:rsid w:val="005A6DA8"/>
    <w:rsid w:val="005A76E9"/>
    <w:rsid w:val="005A7C98"/>
    <w:rsid w:val="005B365D"/>
    <w:rsid w:val="005B38C1"/>
    <w:rsid w:val="005B5EAF"/>
    <w:rsid w:val="005B60ED"/>
    <w:rsid w:val="005B6108"/>
    <w:rsid w:val="005B70B2"/>
    <w:rsid w:val="005B7338"/>
    <w:rsid w:val="005C05C9"/>
    <w:rsid w:val="005C0E8D"/>
    <w:rsid w:val="005C0F22"/>
    <w:rsid w:val="005C1C34"/>
    <w:rsid w:val="005C2718"/>
    <w:rsid w:val="005C323D"/>
    <w:rsid w:val="005C3456"/>
    <w:rsid w:val="005C46D3"/>
    <w:rsid w:val="005C4B63"/>
    <w:rsid w:val="005C4F2C"/>
    <w:rsid w:val="005C5179"/>
    <w:rsid w:val="005C553A"/>
    <w:rsid w:val="005C5730"/>
    <w:rsid w:val="005C5F1A"/>
    <w:rsid w:val="005C5F22"/>
    <w:rsid w:val="005C639C"/>
    <w:rsid w:val="005D0518"/>
    <w:rsid w:val="005D2BE7"/>
    <w:rsid w:val="005D2F60"/>
    <w:rsid w:val="005D4361"/>
    <w:rsid w:val="005D4C0C"/>
    <w:rsid w:val="005D5054"/>
    <w:rsid w:val="005D59CC"/>
    <w:rsid w:val="005D5A60"/>
    <w:rsid w:val="005D6DB4"/>
    <w:rsid w:val="005D78BD"/>
    <w:rsid w:val="005D7EDF"/>
    <w:rsid w:val="005D7F72"/>
    <w:rsid w:val="005E204F"/>
    <w:rsid w:val="005E345B"/>
    <w:rsid w:val="005E41E9"/>
    <w:rsid w:val="005E43AE"/>
    <w:rsid w:val="005E46B2"/>
    <w:rsid w:val="005E715D"/>
    <w:rsid w:val="005E72C2"/>
    <w:rsid w:val="005E7CB7"/>
    <w:rsid w:val="005F1478"/>
    <w:rsid w:val="005F18F6"/>
    <w:rsid w:val="005F1D29"/>
    <w:rsid w:val="005F1EA9"/>
    <w:rsid w:val="005F4604"/>
    <w:rsid w:val="005F4A2C"/>
    <w:rsid w:val="005F63CF"/>
    <w:rsid w:val="005F727E"/>
    <w:rsid w:val="00600882"/>
    <w:rsid w:val="00600E22"/>
    <w:rsid w:val="00600EE1"/>
    <w:rsid w:val="006015A2"/>
    <w:rsid w:val="00601A7F"/>
    <w:rsid w:val="00602DAF"/>
    <w:rsid w:val="0060331B"/>
    <w:rsid w:val="006049AF"/>
    <w:rsid w:val="0060553E"/>
    <w:rsid w:val="00606252"/>
    <w:rsid w:val="0061003B"/>
    <w:rsid w:val="0061021F"/>
    <w:rsid w:val="006147A1"/>
    <w:rsid w:val="00615B5E"/>
    <w:rsid w:val="00615DAE"/>
    <w:rsid w:val="006163FA"/>
    <w:rsid w:val="00616F53"/>
    <w:rsid w:val="00621E4A"/>
    <w:rsid w:val="00621F95"/>
    <w:rsid w:val="006247F1"/>
    <w:rsid w:val="0062498B"/>
    <w:rsid w:val="00624F8F"/>
    <w:rsid w:val="00625267"/>
    <w:rsid w:val="0063052D"/>
    <w:rsid w:val="0063122C"/>
    <w:rsid w:val="00632763"/>
    <w:rsid w:val="006328FD"/>
    <w:rsid w:val="00632C52"/>
    <w:rsid w:val="00633C5E"/>
    <w:rsid w:val="0063422B"/>
    <w:rsid w:val="0063775F"/>
    <w:rsid w:val="006377DB"/>
    <w:rsid w:val="00637BA4"/>
    <w:rsid w:val="00640896"/>
    <w:rsid w:val="00640F16"/>
    <w:rsid w:val="00641C7D"/>
    <w:rsid w:val="0064205D"/>
    <w:rsid w:val="006424A9"/>
    <w:rsid w:val="006437A7"/>
    <w:rsid w:val="006437DE"/>
    <w:rsid w:val="00644404"/>
    <w:rsid w:val="00644D4E"/>
    <w:rsid w:val="006456A6"/>
    <w:rsid w:val="00646342"/>
    <w:rsid w:val="00647E77"/>
    <w:rsid w:val="00651326"/>
    <w:rsid w:val="00651513"/>
    <w:rsid w:val="00652257"/>
    <w:rsid w:val="00652DB8"/>
    <w:rsid w:val="00654577"/>
    <w:rsid w:val="006545BF"/>
    <w:rsid w:val="00655163"/>
    <w:rsid w:val="00655298"/>
    <w:rsid w:val="00655461"/>
    <w:rsid w:val="006557F4"/>
    <w:rsid w:val="00655C1E"/>
    <w:rsid w:val="00656621"/>
    <w:rsid w:val="006571C5"/>
    <w:rsid w:val="0065741F"/>
    <w:rsid w:val="006574B7"/>
    <w:rsid w:val="006577B3"/>
    <w:rsid w:val="00661161"/>
    <w:rsid w:val="0066161B"/>
    <w:rsid w:val="006626FC"/>
    <w:rsid w:val="00663846"/>
    <w:rsid w:val="00663F24"/>
    <w:rsid w:val="00664440"/>
    <w:rsid w:val="0066621D"/>
    <w:rsid w:val="00666B17"/>
    <w:rsid w:val="00666F13"/>
    <w:rsid w:val="00667BA0"/>
    <w:rsid w:val="00670889"/>
    <w:rsid w:val="00670C80"/>
    <w:rsid w:val="00671994"/>
    <w:rsid w:val="0067339D"/>
    <w:rsid w:val="006756FE"/>
    <w:rsid w:val="006759D7"/>
    <w:rsid w:val="00675E76"/>
    <w:rsid w:val="00676DD2"/>
    <w:rsid w:val="00680A59"/>
    <w:rsid w:val="006810EF"/>
    <w:rsid w:val="00681344"/>
    <w:rsid w:val="0068246A"/>
    <w:rsid w:val="006824D0"/>
    <w:rsid w:val="00682C04"/>
    <w:rsid w:val="00683F32"/>
    <w:rsid w:val="00684271"/>
    <w:rsid w:val="006853A3"/>
    <w:rsid w:val="00685A54"/>
    <w:rsid w:val="006860EC"/>
    <w:rsid w:val="006863E0"/>
    <w:rsid w:val="006866C0"/>
    <w:rsid w:val="00687374"/>
    <w:rsid w:val="00691116"/>
    <w:rsid w:val="0069163C"/>
    <w:rsid w:val="006916F9"/>
    <w:rsid w:val="00691848"/>
    <w:rsid w:val="00692C9F"/>
    <w:rsid w:val="00693642"/>
    <w:rsid w:val="00693E2C"/>
    <w:rsid w:val="006944B7"/>
    <w:rsid w:val="006944DE"/>
    <w:rsid w:val="00694F55"/>
    <w:rsid w:val="00695B3A"/>
    <w:rsid w:val="006A06AA"/>
    <w:rsid w:val="006A0F62"/>
    <w:rsid w:val="006A125C"/>
    <w:rsid w:val="006A1F98"/>
    <w:rsid w:val="006A2276"/>
    <w:rsid w:val="006A31AA"/>
    <w:rsid w:val="006A32E1"/>
    <w:rsid w:val="006A42E7"/>
    <w:rsid w:val="006A4991"/>
    <w:rsid w:val="006A5CD0"/>
    <w:rsid w:val="006A5DEB"/>
    <w:rsid w:val="006A60B4"/>
    <w:rsid w:val="006A6C6D"/>
    <w:rsid w:val="006B0A27"/>
    <w:rsid w:val="006B289B"/>
    <w:rsid w:val="006B342E"/>
    <w:rsid w:val="006B350D"/>
    <w:rsid w:val="006B3F4F"/>
    <w:rsid w:val="006B4E0D"/>
    <w:rsid w:val="006B5D83"/>
    <w:rsid w:val="006B5FDB"/>
    <w:rsid w:val="006B7A97"/>
    <w:rsid w:val="006C1D3C"/>
    <w:rsid w:val="006C36CF"/>
    <w:rsid w:val="006C3E92"/>
    <w:rsid w:val="006C590A"/>
    <w:rsid w:val="006C60BC"/>
    <w:rsid w:val="006C706A"/>
    <w:rsid w:val="006C71D5"/>
    <w:rsid w:val="006C728E"/>
    <w:rsid w:val="006C72FB"/>
    <w:rsid w:val="006C7D13"/>
    <w:rsid w:val="006D0171"/>
    <w:rsid w:val="006D04A3"/>
    <w:rsid w:val="006D0F46"/>
    <w:rsid w:val="006D1299"/>
    <w:rsid w:val="006D1C2C"/>
    <w:rsid w:val="006D3A84"/>
    <w:rsid w:val="006D3EC7"/>
    <w:rsid w:val="006D5D8C"/>
    <w:rsid w:val="006D609D"/>
    <w:rsid w:val="006D63D2"/>
    <w:rsid w:val="006D6682"/>
    <w:rsid w:val="006D6CE4"/>
    <w:rsid w:val="006D709F"/>
    <w:rsid w:val="006D7B21"/>
    <w:rsid w:val="006E0666"/>
    <w:rsid w:val="006E074D"/>
    <w:rsid w:val="006E1866"/>
    <w:rsid w:val="006E2256"/>
    <w:rsid w:val="006E288D"/>
    <w:rsid w:val="006E31EA"/>
    <w:rsid w:val="006E3415"/>
    <w:rsid w:val="006E3FDB"/>
    <w:rsid w:val="006E424E"/>
    <w:rsid w:val="006E4CF5"/>
    <w:rsid w:val="006E7A1A"/>
    <w:rsid w:val="006F0CDC"/>
    <w:rsid w:val="006F1383"/>
    <w:rsid w:val="006F26F0"/>
    <w:rsid w:val="006F2DFA"/>
    <w:rsid w:val="006F3BBA"/>
    <w:rsid w:val="006F4CC1"/>
    <w:rsid w:val="00700740"/>
    <w:rsid w:val="00700791"/>
    <w:rsid w:val="0070114C"/>
    <w:rsid w:val="007011C2"/>
    <w:rsid w:val="00701AAB"/>
    <w:rsid w:val="00702A63"/>
    <w:rsid w:val="00702BCE"/>
    <w:rsid w:val="00703B7D"/>
    <w:rsid w:val="00704FAF"/>
    <w:rsid w:val="00705913"/>
    <w:rsid w:val="00706785"/>
    <w:rsid w:val="00706B3E"/>
    <w:rsid w:val="00707E5B"/>
    <w:rsid w:val="00710242"/>
    <w:rsid w:val="00710CDB"/>
    <w:rsid w:val="0071425A"/>
    <w:rsid w:val="00716E42"/>
    <w:rsid w:val="0071729B"/>
    <w:rsid w:val="00720188"/>
    <w:rsid w:val="007206E9"/>
    <w:rsid w:val="00721E1C"/>
    <w:rsid w:val="00723F32"/>
    <w:rsid w:val="0072405B"/>
    <w:rsid w:val="007254AB"/>
    <w:rsid w:val="007254DB"/>
    <w:rsid w:val="00725B30"/>
    <w:rsid w:val="00725B31"/>
    <w:rsid w:val="00725EC9"/>
    <w:rsid w:val="0072651A"/>
    <w:rsid w:val="007269EC"/>
    <w:rsid w:val="00727014"/>
    <w:rsid w:val="007301F7"/>
    <w:rsid w:val="00730A87"/>
    <w:rsid w:val="00731DD2"/>
    <w:rsid w:val="0073244A"/>
    <w:rsid w:val="00732D7D"/>
    <w:rsid w:val="0073382E"/>
    <w:rsid w:val="007338F5"/>
    <w:rsid w:val="007340F3"/>
    <w:rsid w:val="00735445"/>
    <w:rsid w:val="00737460"/>
    <w:rsid w:val="00737557"/>
    <w:rsid w:val="00737597"/>
    <w:rsid w:val="00741F41"/>
    <w:rsid w:val="007430F5"/>
    <w:rsid w:val="00743E23"/>
    <w:rsid w:val="00746909"/>
    <w:rsid w:val="00746DD4"/>
    <w:rsid w:val="00750338"/>
    <w:rsid w:val="00751ACF"/>
    <w:rsid w:val="00753049"/>
    <w:rsid w:val="0075308B"/>
    <w:rsid w:val="00753201"/>
    <w:rsid w:val="00754CD5"/>
    <w:rsid w:val="00756643"/>
    <w:rsid w:val="007624EF"/>
    <w:rsid w:val="00762ED7"/>
    <w:rsid w:val="00763075"/>
    <w:rsid w:val="007633F3"/>
    <w:rsid w:val="00763DBB"/>
    <w:rsid w:val="007652E9"/>
    <w:rsid w:val="0076576A"/>
    <w:rsid w:val="00766729"/>
    <w:rsid w:val="00766D38"/>
    <w:rsid w:val="0077136D"/>
    <w:rsid w:val="0077499B"/>
    <w:rsid w:val="00774AA4"/>
    <w:rsid w:val="00774CFF"/>
    <w:rsid w:val="00775599"/>
    <w:rsid w:val="0077578A"/>
    <w:rsid w:val="0077605B"/>
    <w:rsid w:val="00776671"/>
    <w:rsid w:val="00777622"/>
    <w:rsid w:val="00777895"/>
    <w:rsid w:val="00777A99"/>
    <w:rsid w:val="0078067A"/>
    <w:rsid w:val="00780FDD"/>
    <w:rsid w:val="007813E2"/>
    <w:rsid w:val="00782F32"/>
    <w:rsid w:val="00783892"/>
    <w:rsid w:val="00783FCA"/>
    <w:rsid w:val="00784C8A"/>
    <w:rsid w:val="00785AF4"/>
    <w:rsid w:val="0078788A"/>
    <w:rsid w:val="00790450"/>
    <w:rsid w:val="00791947"/>
    <w:rsid w:val="00791CCC"/>
    <w:rsid w:val="007925DF"/>
    <w:rsid w:val="0079261D"/>
    <w:rsid w:val="0079528C"/>
    <w:rsid w:val="00795387"/>
    <w:rsid w:val="007954F3"/>
    <w:rsid w:val="00796DDF"/>
    <w:rsid w:val="00797E25"/>
    <w:rsid w:val="007A02BD"/>
    <w:rsid w:val="007A106F"/>
    <w:rsid w:val="007A1B70"/>
    <w:rsid w:val="007A1E28"/>
    <w:rsid w:val="007A1E63"/>
    <w:rsid w:val="007A22D2"/>
    <w:rsid w:val="007A3789"/>
    <w:rsid w:val="007A3F8A"/>
    <w:rsid w:val="007A4180"/>
    <w:rsid w:val="007A6B0B"/>
    <w:rsid w:val="007A7E57"/>
    <w:rsid w:val="007B0FC2"/>
    <w:rsid w:val="007B1EB9"/>
    <w:rsid w:val="007B35FB"/>
    <w:rsid w:val="007B46FF"/>
    <w:rsid w:val="007B510B"/>
    <w:rsid w:val="007B5142"/>
    <w:rsid w:val="007B5E6B"/>
    <w:rsid w:val="007B7268"/>
    <w:rsid w:val="007C1220"/>
    <w:rsid w:val="007C18AE"/>
    <w:rsid w:val="007C2101"/>
    <w:rsid w:val="007C215C"/>
    <w:rsid w:val="007C5B4B"/>
    <w:rsid w:val="007C5D58"/>
    <w:rsid w:val="007C6037"/>
    <w:rsid w:val="007C6C7E"/>
    <w:rsid w:val="007C6D01"/>
    <w:rsid w:val="007C7C2B"/>
    <w:rsid w:val="007D007D"/>
    <w:rsid w:val="007D1889"/>
    <w:rsid w:val="007D1B64"/>
    <w:rsid w:val="007D25CF"/>
    <w:rsid w:val="007D39D7"/>
    <w:rsid w:val="007D53D9"/>
    <w:rsid w:val="007D6696"/>
    <w:rsid w:val="007D6D0F"/>
    <w:rsid w:val="007E03F7"/>
    <w:rsid w:val="007E0AFF"/>
    <w:rsid w:val="007E0E66"/>
    <w:rsid w:val="007E14CC"/>
    <w:rsid w:val="007E351C"/>
    <w:rsid w:val="007E3DAA"/>
    <w:rsid w:val="007E3E40"/>
    <w:rsid w:val="007E4576"/>
    <w:rsid w:val="007E4A50"/>
    <w:rsid w:val="007E4ACA"/>
    <w:rsid w:val="007F0229"/>
    <w:rsid w:val="007F057F"/>
    <w:rsid w:val="007F06E5"/>
    <w:rsid w:val="007F0E05"/>
    <w:rsid w:val="007F15C1"/>
    <w:rsid w:val="007F15F6"/>
    <w:rsid w:val="007F257C"/>
    <w:rsid w:val="007F2592"/>
    <w:rsid w:val="007F26A9"/>
    <w:rsid w:val="007F2957"/>
    <w:rsid w:val="007F2BF9"/>
    <w:rsid w:val="007F2C4F"/>
    <w:rsid w:val="007F5BD3"/>
    <w:rsid w:val="007F6081"/>
    <w:rsid w:val="007F6CB5"/>
    <w:rsid w:val="007F756C"/>
    <w:rsid w:val="0080001C"/>
    <w:rsid w:val="0080286E"/>
    <w:rsid w:val="00802941"/>
    <w:rsid w:val="00803F0C"/>
    <w:rsid w:val="0080427A"/>
    <w:rsid w:val="008046BF"/>
    <w:rsid w:val="00804BDD"/>
    <w:rsid w:val="00805118"/>
    <w:rsid w:val="00805D62"/>
    <w:rsid w:val="008100AA"/>
    <w:rsid w:val="00812833"/>
    <w:rsid w:val="0081381E"/>
    <w:rsid w:val="0081429E"/>
    <w:rsid w:val="0081432C"/>
    <w:rsid w:val="008145BA"/>
    <w:rsid w:val="008146A9"/>
    <w:rsid w:val="008179F6"/>
    <w:rsid w:val="00820AD5"/>
    <w:rsid w:val="00820CFF"/>
    <w:rsid w:val="008210D4"/>
    <w:rsid w:val="0082418E"/>
    <w:rsid w:val="00824881"/>
    <w:rsid w:val="0082508B"/>
    <w:rsid w:val="008262D7"/>
    <w:rsid w:val="0082677F"/>
    <w:rsid w:val="00827373"/>
    <w:rsid w:val="00827BF2"/>
    <w:rsid w:val="0083102D"/>
    <w:rsid w:val="00831E2B"/>
    <w:rsid w:val="00832182"/>
    <w:rsid w:val="008321A4"/>
    <w:rsid w:val="0083226B"/>
    <w:rsid w:val="00832B16"/>
    <w:rsid w:val="00832FF7"/>
    <w:rsid w:val="008339FF"/>
    <w:rsid w:val="00840735"/>
    <w:rsid w:val="008433C0"/>
    <w:rsid w:val="008436AE"/>
    <w:rsid w:val="008447C6"/>
    <w:rsid w:val="00844BEE"/>
    <w:rsid w:val="00844CF6"/>
    <w:rsid w:val="00845ABD"/>
    <w:rsid w:val="00845DC2"/>
    <w:rsid w:val="008463BA"/>
    <w:rsid w:val="00846A36"/>
    <w:rsid w:val="00847ADC"/>
    <w:rsid w:val="00847F41"/>
    <w:rsid w:val="00851ACD"/>
    <w:rsid w:val="0085380E"/>
    <w:rsid w:val="00854184"/>
    <w:rsid w:val="00854208"/>
    <w:rsid w:val="00854BF0"/>
    <w:rsid w:val="008551CF"/>
    <w:rsid w:val="0085574A"/>
    <w:rsid w:val="00855E5A"/>
    <w:rsid w:val="00856161"/>
    <w:rsid w:val="00856B67"/>
    <w:rsid w:val="00857217"/>
    <w:rsid w:val="00857C74"/>
    <w:rsid w:val="00857CCB"/>
    <w:rsid w:val="00860C78"/>
    <w:rsid w:val="0086160B"/>
    <w:rsid w:val="0086174B"/>
    <w:rsid w:val="00866800"/>
    <w:rsid w:val="00866BA7"/>
    <w:rsid w:val="008671B2"/>
    <w:rsid w:val="008708C7"/>
    <w:rsid w:val="00871913"/>
    <w:rsid w:val="00871B08"/>
    <w:rsid w:val="00871E77"/>
    <w:rsid w:val="00874172"/>
    <w:rsid w:val="008745A8"/>
    <w:rsid w:val="00876042"/>
    <w:rsid w:val="00877C9F"/>
    <w:rsid w:val="008804B5"/>
    <w:rsid w:val="00880DA5"/>
    <w:rsid w:val="00880E9F"/>
    <w:rsid w:val="00880F18"/>
    <w:rsid w:val="008831EC"/>
    <w:rsid w:val="00884760"/>
    <w:rsid w:val="008862AE"/>
    <w:rsid w:val="00886B82"/>
    <w:rsid w:val="00890335"/>
    <w:rsid w:val="00890A6D"/>
    <w:rsid w:val="00892393"/>
    <w:rsid w:val="008924E5"/>
    <w:rsid w:val="00892B3B"/>
    <w:rsid w:val="00892C5A"/>
    <w:rsid w:val="00893226"/>
    <w:rsid w:val="00893A18"/>
    <w:rsid w:val="00897175"/>
    <w:rsid w:val="008A0456"/>
    <w:rsid w:val="008A04BF"/>
    <w:rsid w:val="008A0F5A"/>
    <w:rsid w:val="008A2DA7"/>
    <w:rsid w:val="008A333B"/>
    <w:rsid w:val="008A3DAD"/>
    <w:rsid w:val="008A50EE"/>
    <w:rsid w:val="008A514E"/>
    <w:rsid w:val="008A67CB"/>
    <w:rsid w:val="008A72BA"/>
    <w:rsid w:val="008A7A80"/>
    <w:rsid w:val="008B0872"/>
    <w:rsid w:val="008B0944"/>
    <w:rsid w:val="008B0C2F"/>
    <w:rsid w:val="008B15B8"/>
    <w:rsid w:val="008B1C5A"/>
    <w:rsid w:val="008B254A"/>
    <w:rsid w:val="008B38FF"/>
    <w:rsid w:val="008B43B0"/>
    <w:rsid w:val="008B55C9"/>
    <w:rsid w:val="008B6B1C"/>
    <w:rsid w:val="008B70E0"/>
    <w:rsid w:val="008B7115"/>
    <w:rsid w:val="008B7126"/>
    <w:rsid w:val="008B7627"/>
    <w:rsid w:val="008C0D99"/>
    <w:rsid w:val="008C11D2"/>
    <w:rsid w:val="008C1782"/>
    <w:rsid w:val="008C2D47"/>
    <w:rsid w:val="008C414D"/>
    <w:rsid w:val="008C4447"/>
    <w:rsid w:val="008C44DE"/>
    <w:rsid w:val="008C64C4"/>
    <w:rsid w:val="008D16BF"/>
    <w:rsid w:val="008D1FCE"/>
    <w:rsid w:val="008D2281"/>
    <w:rsid w:val="008D24CC"/>
    <w:rsid w:val="008D271E"/>
    <w:rsid w:val="008D4094"/>
    <w:rsid w:val="008D4C1D"/>
    <w:rsid w:val="008D53DE"/>
    <w:rsid w:val="008D5AEC"/>
    <w:rsid w:val="008D626F"/>
    <w:rsid w:val="008D6C62"/>
    <w:rsid w:val="008E0901"/>
    <w:rsid w:val="008E0915"/>
    <w:rsid w:val="008E0A7C"/>
    <w:rsid w:val="008E1100"/>
    <w:rsid w:val="008E1224"/>
    <w:rsid w:val="008E1914"/>
    <w:rsid w:val="008E2483"/>
    <w:rsid w:val="008E360E"/>
    <w:rsid w:val="008E4225"/>
    <w:rsid w:val="008E5F3E"/>
    <w:rsid w:val="008E61EE"/>
    <w:rsid w:val="008E7188"/>
    <w:rsid w:val="008F0160"/>
    <w:rsid w:val="008F129B"/>
    <w:rsid w:val="008F17DE"/>
    <w:rsid w:val="008F40D0"/>
    <w:rsid w:val="008F411F"/>
    <w:rsid w:val="008F42ED"/>
    <w:rsid w:val="008F4C0C"/>
    <w:rsid w:val="009004A9"/>
    <w:rsid w:val="00901163"/>
    <w:rsid w:val="009014DE"/>
    <w:rsid w:val="00901E2B"/>
    <w:rsid w:val="00903229"/>
    <w:rsid w:val="00904480"/>
    <w:rsid w:val="00905F59"/>
    <w:rsid w:val="009066AB"/>
    <w:rsid w:val="00906AA9"/>
    <w:rsid w:val="00907067"/>
    <w:rsid w:val="0090741E"/>
    <w:rsid w:val="00907DDF"/>
    <w:rsid w:val="00910495"/>
    <w:rsid w:val="00910880"/>
    <w:rsid w:val="00910A3C"/>
    <w:rsid w:val="009118F9"/>
    <w:rsid w:val="00911DB1"/>
    <w:rsid w:val="009122D7"/>
    <w:rsid w:val="0091270A"/>
    <w:rsid w:val="00912D81"/>
    <w:rsid w:val="00914C1A"/>
    <w:rsid w:val="00915EBE"/>
    <w:rsid w:val="009170EA"/>
    <w:rsid w:val="0091731E"/>
    <w:rsid w:val="00917669"/>
    <w:rsid w:val="00921738"/>
    <w:rsid w:val="00921C14"/>
    <w:rsid w:val="00923B46"/>
    <w:rsid w:val="00923D84"/>
    <w:rsid w:val="00924793"/>
    <w:rsid w:val="00925B95"/>
    <w:rsid w:val="00927718"/>
    <w:rsid w:val="00930D63"/>
    <w:rsid w:val="00931384"/>
    <w:rsid w:val="00931C8A"/>
    <w:rsid w:val="00932996"/>
    <w:rsid w:val="00932FDC"/>
    <w:rsid w:val="009336EC"/>
    <w:rsid w:val="00934808"/>
    <w:rsid w:val="0093563C"/>
    <w:rsid w:val="009356E4"/>
    <w:rsid w:val="00935DDD"/>
    <w:rsid w:val="009362C3"/>
    <w:rsid w:val="00936DC2"/>
    <w:rsid w:val="00937CFB"/>
    <w:rsid w:val="00937EEA"/>
    <w:rsid w:val="0094079F"/>
    <w:rsid w:val="00941D10"/>
    <w:rsid w:val="00942CD4"/>
    <w:rsid w:val="0094371C"/>
    <w:rsid w:val="00945DC3"/>
    <w:rsid w:val="00945EAB"/>
    <w:rsid w:val="00946355"/>
    <w:rsid w:val="0094769F"/>
    <w:rsid w:val="0095024A"/>
    <w:rsid w:val="009538E3"/>
    <w:rsid w:val="00953E86"/>
    <w:rsid w:val="009549A7"/>
    <w:rsid w:val="00955466"/>
    <w:rsid w:val="00955A02"/>
    <w:rsid w:val="009570BF"/>
    <w:rsid w:val="009572EF"/>
    <w:rsid w:val="00957322"/>
    <w:rsid w:val="0095757E"/>
    <w:rsid w:val="00960CCC"/>
    <w:rsid w:val="00961D45"/>
    <w:rsid w:val="009626A6"/>
    <w:rsid w:val="009632FE"/>
    <w:rsid w:val="009635ED"/>
    <w:rsid w:val="00964A34"/>
    <w:rsid w:val="00965115"/>
    <w:rsid w:val="0096547D"/>
    <w:rsid w:val="00966FF6"/>
    <w:rsid w:val="00967090"/>
    <w:rsid w:val="00967C6C"/>
    <w:rsid w:val="00972E34"/>
    <w:rsid w:val="0097303C"/>
    <w:rsid w:val="009736B9"/>
    <w:rsid w:val="009749F5"/>
    <w:rsid w:val="00976730"/>
    <w:rsid w:val="00977616"/>
    <w:rsid w:val="0097793D"/>
    <w:rsid w:val="00977A45"/>
    <w:rsid w:val="009803FB"/>
    <w:rsid w:val="00981392"/>
    <w:rsid w:val="00981B16"/>
    <w:rsid w:val="00982023"/>
    <w:rsid w:val="00982EFE"/>
    <w:rsid w:val="0098335A"/>
    <w:rsid w:val="009833AD"/>
    <w:rsid w:val="00983D5B"/>
    <w:rsid w:val="00984238"/>
    <w:rsid w:val="00984C52"/>
    <w:rsid w:val="009851E1"/>
    <w:rsid w:val="009861E9"/>
    <w:rsid w:val="009865D5"/>
    <w:rsid w:val="00986923"/>
    <w:rsid w:val="00986B96"/>
    <w:rsid w:val="009878C8"/>
    <w:rsid w:val="0099069F"/>
    <w:rsid w:val="00990760"/>
    <w:rsid w:val="00991098"/>
    <w:rsid w:val="00991633"/>
    <w:rsid w:val="009922CD"/>
    <w:rsid w:val="009940C8"/>
    <w:rsid w:val="00995132"/>
    <w:rsid w:val="009955E6"/>
    <w:rsid w:val="00995983"/>
    <w:rsid w:val="009962C0"/>
    <w:rsid w:val="00996871"/>
    <w:rsid w:val="00996EC6"/>
    <w:rsid w:val="00997444"/>
    <w:rsid w:val="009974D1"/>
    <w:rsid w:val="00997527"/>
    <w:rsid w:val="0099791E"/>
    <w:rsid w:val="00997B18"/>
    <w:rsid w:val="009A0E16"/>
    <w:rsid w:val="009A0F41"/>
    <w:rsid w:val="009A13D4"/>
    <w:rsid w:val="009A1D5A"/>
    <w:rsid w:val="009A459B"/>
    <w:rsid w:val="009A5F60"/>
    <w:rsid w:val="009A76D9"/>
    <w:rsid w:val="009A7F6E"/>
    <w:rsid w:val="009B1D44"/>
    <w:rsid w:val="009B28CA"/>
    <w:rsid w:val="009B3474"/>
    <w:rsid w:val="009B459B"/>
    <w:rsid w:val="009B4C24"/>
    <w:rsid w:val="009B4E65"/>
    <w:rsid w:val="009B5808"/>
    <w:rsid w:val="009B64A4"/>
    <w:rsid w:val="009B6CD3"/>
    <w:rsid w:val="009B7100"/>
    <w:rsid w:val="009B759C"/>
    <w:rsid w:val="009C0614"/>
    <w:rsid w:val="009C09C5"/>
    <w:rsid w:val="009C1342"/>
    <w:rsid w:val="009C2C19"/>
    <w:rsid w:val="009C2CA0"/>
    <w:rsid w:val="009C317A"/>
    <w:rsid w:val="009C36EB"/>
    <w:rsid w:val="009C41B6"/>
    <w:rsid w:val="009C4ABB"/>
    <w:rsid w:val="009C4D2D"/>
    <w:rsid w:val="009C6BCB"/>
    <w:rsid w:val="009C7F5D"/>
    <w:rsid w:val="009D009A"/>
    <w:rsid w:val="009D1BE1"/>
    <w:rsid w:val="009D1C5D"/>
    <w:rsid w:val="009D465D"/>
    <w:rsid w:val="009D4C55"/>
    <w:rsid w:val="009D59A1"/>
    <w:rsid w:val="009D5CB6"/>
    <w:rsid w:val="009D777F"/>
    <w:rsid w:val="009E1228"/>
    <w:rsid w:val="009E2DF6"/>
    <w:rsid w:val="009E33CC"/>
    <w:rsid w:val="009E41F0"/>
    <w:rsid w:val="009E4834"/>
    <w:rsid w:val="009E52C6"/>
    <w:rsid w:val="009E55A6"/>
    <w:rsid w:val="009E6239"/>
    <w:rsid w:val="009E6C8A"/>
    <w:rsid w:val="009E7CCA"/>
    <w:rsid w:val="009F00FE"/>
    <w:rsid w:val="009F0210"/>
    <w:rsid w:val="009F2440"/>
    <w:rsid w:val="009F264E"/>
    <w:rsid w:val="009F390B"/>
    <w:rsid w:val="009F4301"/>
    <w:rsid w:val="009F4AC6"/>
    <w:rsid w:val="009F4DE2"/>
    <w:rsid w:val="009F7909"/>
    <w:rsid w:val="00A00D65"/>
    <w:rsid w:val="00A00E2E"/>
    <w:rsid w:val="00A01813"/>
    <w:rsid w:val="00A01FBA"/>
    <w:rsid w:val="00A02F30"/>
    <w:rsid w:val="00A043E6"/>
    <w:rsid w:val="00A0514D"/>
    <w:rsid w:val="00A05F96"/>
    <w:rsid w:val="00A064BA"/>
    <w:rsid w:val="00A06681"/>
    <w:rsid w:val="00A0743B"/>
    <w:rsid w:val="00A0791C"/>
    <w:rsid w:val="00A1054D"/>
    <w:rsid w:val="00A10859"/>
    <w:rsid w:val="00A10E6E"/>
    <w:rsid w:val="00A11986"/>
    <w:rsid w:val="00A1204B"/>
    <w:rsid w:val="00A123BA"/>
    <w:rsid w:val="00A141E2"/>
    <w:rsid w:val="00A14B1B"/>
    <w:rsid w:val="00A14C3F"/>
    <w:rsid w:val="00A16ED7"/>
    <w:rsid w:val="00A1767C"/>
    <w:rsid w:val="00A17683"/>
    <w:rsid w:val="00A17BA3"/>
    <w:rsid w:val="00A17DBC"/>
    <w:rsid w:val="00A20C41"/>
    <w:rsid w:val="00A20D0F"/>
    <w:rsid w:val="00A22CA5"/>
    <w:rsid w:val="00A24156"/>
    <w:rsid w:val="00A24C40"/>
    <w:rsid w:val="00A26244"/>
    <w:rsid w:val="00A26BB3"/>
    <w:rsid w:val="00A27C3F"/>
    <w:rsid w:val="00A30684"/>
    <w:rsid w:val="00A318E1"/>
    <w:rsid w:val="00A32225"/>
    <w:rsid w:val="00A34A10"/>
    <w:rsid w:val="00A355F2"/>
    <w:rsid w:val="00A35997"/>
    <w:rsid w:val="00A36150"/>
    <w:rsid w:val="00A3694E"/>
    <w:rsid w:val="00A40173"/>
    <w:rsid w:val="00A403FD"/>
    <w:rsid w:val="00A40EB0"/>
    <w:rsid w:val="00A4309A"/>
    <w:rsid w:val="00A43D32"/>
    <w:rsid w:val="00A43FAF"/>
    <w:rsid w:val="00A445E6"/>
    <w:rsid w:val="00A45899"/>
    <w:rsid w:val="00A45A04"/>
    <w:rsid w:val="00A47634"/>
    <w:rsid w:val="00A476FE"/>
    <w:rsid w:val="00A47D4B"/>
    <w:rsid w:val="00A51694"/>
    <w:rsid w:val="00A51C5A"/>
    <w:rsid w:val="00A53426"/>
    <w:rsid w:val="00A53E1B"/>
    <w:rsid w:val="00A541D7"/>
    <w:rsid w:val="00A55425"/>
    <w:rsid w:val="00A554A4"/>
    <w:rsid w:val="00A556B3"/>
    <w:rsid w:val="00A558A1"/>
    <w:rsid w:val="00A55ADA"/>
    <w:rsid w:val="00A56B7F"/>
    <w:rsid w:val="00A5730E"/>
    <w:rsid w:val="00A57B75"/>
    <w:rsid w:val="00A57C4B"/>
    <w:rsid w:val="00A600B8"/>
    <w:rsid w:val="00A60FA4"/>
    <w:rsid w:val="00A612A5"/>
    <w:rsid w:val="00A615C9"/>
    <w:rsid w:val="00A61CA6"/>
    <w:rsid w:val="00A623B4"/>
    <w:rsid w:val="00A62EE1"/>
    <w:rsid w:val="00A630B8"/>
    <w:rsid w:val="00A6343D"/>
    <w:rsid w:val="00A638D9"/>
    <w:rsid w:val="00A6421E"/>
    <w:rsid w:val="00A64AB0"/>
    <w:rsid w:val="00A654B1"/>
    <w:rsid w:val="00A65D2E"/>
    <w:rsid w:val="00A67076"/>
    <w:rsid w:val="00A6732F"/>
    <w:rsid w:val="00A67518"/>
    <w:rsid w:val="00A67C2E"/>
    <w:rsid w:val="00A700B6"/>
    <w:rsid w:val="00A703A9"/>
    <w:rsid w:val="00A70733"/>
    <w:rsid w:val="00A70B9B"/>
    <w:rsid w:val="00A71961"/>
    <w:rsid w:val="00A71AD3"/>
    <w:rsid w:val="00A723A8"/>
    <w:rsid w:val="00A724C3"/>
    <w:rsid w:val="00A72BDF"/>
    <w:rsid w:val="00A72F8B"/>
    <w:rsid w:val="00A72F9B"/>
    <w:rsid w:val="00A7316F"/>
    <w:rsid w:val="00A7636E"/>
    <w:rsid w:val="00A812D3"/>
    <w:rsid w:val="00A82632"/>
    <w:rsid w:val="00A839C1"/>
    <w:rsid w:val="00A83BFC"/>
    <w:rsid w:val="00A8501D"/>
    <w:rsid w:val="00A862F3"/>
    <w:rsid w:val="00A86993"/>
    <w:rsid w:val="00A87035"/>
    <w:rsid w:val="00A87630"/>
    <w:rsid w:val="00A877B0"/>
    <w:rsid w:val="00A87C23"/>
    <w:rsid w:val="00A87C2A"/>
    <w:rsid w:val="00A91EDD"/>
    <w:rsid w:val="00A92836"/>
    <w:rsid w:val="00A938BB"/>
    <w:rsid w:val="00A949F5"/>
    <w:rsid w:val="00A95B6D"/>
    <w:rsid w:val="00A95D5F"/>
    <w:rsid w:val="00A962A6"/>
    <w:rsid w:val="00A96513"/>
    <w:rsid w:val="00A966D3"/>
    <w:rsid w:val="00A96719"/>
    <w:rsid w:val="00A96B00"/>
    <w:rsid w:val="00A97437"/>
    <w:rsid w:val="00AA0375"/>
    <w:rsid w:val="00AA157A"/>
    <w:rsid w:val="00AA2723"/>
    <w:rsid w:val="00AA4FEA"/>
    <w:rsid w:val="00AA5315"/>
    <w:rsid w:val="00AA5874"/>
    <w:rsid w:val="00AA6D64"/>
    <w:rsid w:val="00AA6FD7"/>
    <w:rsid w:val="00AB078C"/>
    <w:rsid w:val="00AB1DEC"/>
    <w:rsid w:val="00AB287C"/>
    <w:rsid w:val="00AB3AE8"/>
    <w:rsid w:val="00AB45BD"/>
    <w:rsid w:val="00AB4640"/>
    <w:rsid w:val="00AB5DEE"/>
    <w:rsid w:val="00AB788C"/>
    <w:rsid w:val="00AC0EF9"/>
    <w:rsid w:val="00AC2509"/>
    <w:rsid w:val="00AC38DD"/>
    <w:rsid w:val="00AC4849"/>
    <w:rsid w:val="00AC56F6"/>
    <w:rsid w:val="00AC6A14"/>
    <w:rsid w:val="00AD0169"/>
    <w:rsid w:val="00AD030D"/>
    <w:rsid w:val="00AD0500"/>
    <w:rsid w:val="00AD1108"/>
    <w:rsid w:val="00AD170E"/>
    <w:rsid w:val="00AD188E"/>
    <w:rsid w:val="00AD3473"/>
    <w:rsid w:val="00AD5CF1"/>
    <w:rsid w:val="00AD7091"/>
    <w:rsid w:val="00AE0DB3"/>
    <w:rsid w:val="00AE13BF"/>
    <w:rsid w:val="00AE180A"/>
    <w:rsid w:val="00AE1E5F"/>
    <w:rsid w:val="00AE21C4"/>
    <w:rsid w:val="00AE220B"/>
    <w:rsid w:val="00AE25CB"/>
    <w:rsid w:val="00AE2928"/>
    <w:rsid w:val="00AE30A7"/>
    <w:rsid w:val="00AE3590"/>
    <w:rsid w:val="00AE413E"/>
    <w:rsid w:val="00AE4D60"/>
    <w:rsid w:val="00AE64B5"/>
    <w:rsid w:val="00AF00EA"/>
    <w:rsid w:val="00AF0794"/>
    <w:rsid w:val="00AF1193"/>
    <w:rsid w:val="00AF127A"/>
    <w:rsid w:val="00AF24C0"/>
    <w:rsid w:val="00AF39C0"/>
    <w:rsid w:val="00AF3F89"/>
    <w:rsid w:val="00AF44D7"/>
    <w:rsid w:val="00AF4BAF"/>
    <w:rsid w:val="00AF6C7C"/>
    <w:rsid w:val="00AF7B49"/>
    <w:rsid w:val="00AF7D77"/>
    <w:rsid w:val="00B001A8"/>
    <w:rsid w:val="00B0089B"/>
    <w:rsid w:val="00B013DE"/>
    <w:rsid w:val="00B01CDC"/>
    <w:rsid w:val="00B0489B"/>
    <w:rsid w:val="00B04C9C"/>
    <w:rsid w:val="00B07337"/>
    <w:rsid w:val="00B1002A"/>
    <w:rsid w:val="00B10E5E"/>
    <w:rsid w:val="00B10E68"/>
    <w:rsid w:val="00B11784"/>
    <w:rsid w:val="00B11FCD"/>
    <w:rsid w:val="00B125B8"/>
    <w:rsid w:val="00B12709"/>
    <w:rsid w:val="00B129E6"/>
    <w:rsid w:val="00B12D77"/>
    <w:rsid w:val="00B130E9"/>
    <w:rsid w:val="00B13BAF"/>
    <w:rsid w:val="00B14251"/>
    <w:rsid w:val="00B148B3"/>
    <w:rsid w:val="00B14E6F"/>
    <w:rsid w:val="00B158F6"/>
    <w:rsid w:val="00B163AF"/>
    <w:rsid w:val="00B16497"/>
    <w:rsid w:val="00B1718B"/>
    <w:rsid w:val="00B22905"/>
    <w:rsid w:val="00B233CE"/>
    <w:rsid w:val="00B23CAA"/>
    <w:rsid w:val="00B23E2A"/>
    <w:rsid w:val="00B24360"/>
    <w:rsid w:val="00B257B4"/>
    <w:rsid w:val="00B277D1"/>
    <w:rsid w:val="00B308B1"/>
    <w:rsid w:val="00B32C43"/>
    <w:rsid w:val="00B33D28"/>
    <w:rsid w:val="00B34B16"/>
    <w:rsid w:val="00B352C3"/>
    <w:rsid w:val="00B354CB"/>
    <w:rsid w:val="00B3552D"/>
    <w:rsid w:val="00B367CC"/>
    <w:rsid w:val="00B377B3"/>
    <w:rsid w:val="00B418D7"/>
    <w:rsid w:val="00B425BD"/>
    <w:rsid w:val="00B42F6D"/>
    <w:rsid w:val="00B42F7F"/>
    <w:rsid w:val="00B4358E"/>
    <w:rsid w:val="00B43BEE"/>
    <w:rsid w:val="00B44077"/>
    <w:rsid w:val="00B44F4D"/>
    <w:rsid w:val="00B4569E"/>
    <w:rsid w:val="00B46C17"/>
    <w:rsid w:val="00B46D89"/>
    <w:rsid w:val="00B46FF7"/>
    <w:rsid w:val="00B47A5A"/>
    <w:rsid w:val="00B47EAF"/>
    <w:rsid w:val="00B500DF"/>
    <w:rsid w:val="00B509B9"/>
    <w:rsid w:val="00B514F9"/>
    <w:rsid w:val="00B51947"/>
    <w:rsid w:val="00B52047"/>
    <w:rsid w:val="00B5229D"/>
    <w:rsid w:val="00B53DA7"/>
    <w:rsid w:val="00B54E0F"/>
    <w:rsid w:val="00B5517E"/>
    <w:rsid w:val="00B5571F"/>
    <w:rsid w:val="00B564AB"/>
    <w:rsid w:val="00B567B0"/>
    <w:rsid w:val="00B6007C"/>
    <w:rsid w:val="00B60801"/>
    <w:rsid w:val="00B6087B"/>
    <w:rsid w:val="00B61E66"/>
    <w:rsid w:val="00B64EF9"/>
    <w:rsid w:val="00B64F90"/>
    <w:rsid w:val="00B65F4C"/>
    <w:rsid w:val="00B66467"/>
    <w:rsid w:val="00B67EB9"/>
    <w:rsid w:val="00B70480"/>
    <w:rsid w:val="00B70992"/>
    <w:rsid w:val="00B7126F"/>
    <w:rsid w:val="00B717DA"/>
    <w:rsid w:val="00B7195F"/>
    <w:rsid w:val="00B7294D"/>
    <w:rsid w:val="00B7740C"/>
    <w:rsid w:val="00B77803"/>
    <w:rsid w:val="00B77F9F"/>
    <w:rsid w:val="00B80FB3"/>
    <w:rsid w:val="00B815F0"/>
    <w:rsid w:val="00B81608"/>
    <w:rsid w:val="00B81713"/>
    <w:rsid w:val="00B81EBB"/>
    <w:rsid w:val="00B8239E"/>
    <w:rsid w:val="00B82638"/>
    <w:rsid w:val="00B82710"/>
    <w:rsid w:val="00B82789"/>
    <w:rsid w:val="00B827BD"/>
    <w:rsid w:val="00B83168"/>
    <w:rsid w:val="00B848B5"/>
    <w:rsid w:val="00B8550F"/>
    <w:rsid w:val="00B871D6"/>
    <w:rsid w:val="00B87E8D"/>
    <w:rsid w:val="00B90A25"/>
    <w:rsid w:val="00B91B9A"/>
    <w:rsid w:val="00B91EAB"/>
    <w:rsid w:val="00B929F2"/>
    <w:rsid w:val="00B92C9E"/>
    <w:rsid w:val="00B938E8"/>
    <w:rsid w:val="00B947A4"/>
    <w:rsid w:val="00B9584B"/>
    <w:rsid w:val="00B9611B"/>
    <w:rsid w:val="00B97F42"/>
    <w:rsid w:val="00BA2DB5"/>
    <w:rsid w:val="00BA318D"/>
    <w:rsid w:val="00BA37D8"/>
    <w:rsid w:val="00BA3B9B"/>
    <w:rsid w:val="00BA3C89"/>
    <w:rsid w:val="00BA40F9"/>
    <w:rsid w:val="00BA497A"/>
    <w:rsid w:val="00BA523B"/>
    <w:rsid w:val="00BA52DE"/>
    <w:rsid w:val="00BA6653"/>
    <w:rsid w:val="00BA6DFB"/>
    <w:rsid w:val="00BA6F5E"/>
    <w:rsid w:val="00BA7234"/>
    <w:rsid w:val="00BA7DC3"/>
    <w:rsid w:val="00BB0241"/>
    <w:rsid w:val="00BB02F4"/>
    <w:rsid w:val="00BB069C"/>
    <w:rsid w:val="00BB1956"/>
    <w:rsid w:val="00BB225E"/>
    <w:rsid w:val="00BB3C43"/>
    <w:rsid w:val="00BB3D1F"/>
    <w:rsid w:val="00BB3DC9"/>
    <w:rsid w:val="00BB404A"/>
    <w:rsid w:val="00BB5E7B"/>
    <w:rsid w:val="00BB6E34"/>
    <w:rsid w:val="00BB7312"/>
    <w:rsid w:val="00BB7B90"/>
    <w:rsid w:val="00BB7F41"/>
    <w:rsid w:val="00BC4A6D"/>
    <w:rsid w:val="00BC758B"/>
    <w:rsid w:val="00BD0DF6"/>
    <w:rsid w:val="00BD2DBF"/>
    <w:rsid w:val="00BD3559"/>
    <w:rsid w:val="00BD4015"/>
    <w:rsid w:val="00BD60DB"/>
    <w:rsid w:val="00BD6376"/>
    <w:rsid w:val="00BD679E"/>
    <w:rsid w:val="00BD69D7"/>
    <w:rsid w:val="00BD75A0"/>
    <w:rsid w:val="00BD7C1C"/>
    <w:rsid w:val="00BD7C7F"/>
    <w:rsid w:val="00BE04EB"/>
    <w:rsid w:val="00BE14E3"/>
    <w:rsid w:val="00BE1FD6"/>
    <w:rsid w:val="00BE2288"/>
    <w:rsid w:val="00BE3325"/>
    <w:rsid w:val="00BE3C5A"/>
    <w:rsid w:val="00BE468D"/>
    <w:rsid w:val="00BE491F"/>
    <w:rsid w:val="00BE4A9B"/>
    <w:rsid w:val="00BE4DDA"/>
    <w:rsid w:val="00BE658E"/>
    <w:rsid w:val="00BE7BE1"/>
    <w:rsid w:val="00BE7FDE"/>
    <w:rsid w:val="00BF02F6"/>
    <w:rsid w:val="00BF1DFF"/>
    <w:rsid w:val="00BF1EE4"/>
    <w:rsid w:val="00BF268B"/>
    <w:rsid w:val="00BF26AD"/>
    <w:rsid w:val="00BF3541"/>
    <w:rsid w:val="00BF4CAF"/>
    <w:rsid w:val="00BF5DD8"/>
    <w:rsid w:val="00BF74E3"/>
    <w:rsid w:val="00BF784E"/>
    <w:rsid w:val="00BF7B67"/>
    <w:rsid w:val="00C000EE"/>
    <w:rsid w:val="00C002B1"/>
    <w:rsid w:val="00C0126A"/>
    <w:rsid w:val="00C021BA"/>
    <w:rsid w:val="00C02CD8"/>
    <w:rsid w:val="00C02EFE"/>
    <w:rsid w:val="00C02F1C"/>
    <w:rsid w:val="00C03F21"/>
    <w:rsid w:val="00C0537C"/>
    <w:rsid w:val="00C0574A"/>
    <w:rsid w:val="00C06AD4"/>
    <w:rsid w:val="00C06BF1"/>
    <w:rsid w:val="00C07865"/>
    <w:rsid w:val="00C10214"/>
    <w:rsid w:val="00C10386"/>
    <w:rsid w:val="00C104BC"/>
    <w:rsid w:val="00C10ADF"/>
    <w:rsid w:val="00C141A8"/>
    <w:rsid w:val="00C14DE6"/>
    <w:rsid w:val="00C177F2"/>
    <w:rsid w:val="00C178E1"/>
    <w:rsid w:val="00C2053F"/>
    <w:rsid w:val="00C208EC"/>
    <w:rsid w:val="00C20909"/>
    <w:rsid w:val="00C20C86"/>
    <w:rsid w:val="00C21D68"/>
    <w:rsid w:val="00C22A9F"/>
    <w:rsid w:val="00C22CFF"/>
    <w:rsid w:val="00C23131"/>
    <w:rsid w:val="00C24C15"/>
    <w:rsid w:val="00C24D62"/>
    <w:rsid w:val="00C24F6F"/>
    <w:rsid w:val="00C25BEB"/>
    <w:rsid w:val="00C25D2B"/>
    <w:rsid w:val="00C25D47"/>
    <w:rsid w:val="00C2611D"/>
    <w:rsid w:val="00C2792C"/>
    <w:rsid w:val="00C27EA4"/>
    <w:rsid w:val="00C31D3F"/>
    <w:rsid w:val="00C31F28"/>
    <w:rsid w:val="00C32D7C"/>
    <w:rsid w:val="00C33BDF"/>
    <w:rsid w:val="00C34BF1"/>
    <w:rsid w:val="00C354E3"/>
    <w:rsid w:val="00C3651E"/>
    <w:rsid w:val="00C36841"/>
    <w:rsid w:val="00C36E04"/>
    <w:rsid w:val="00C41D29"/>
    <w:rsid w:val="00C4264E"/>
    <w:rsid w:val="00C42B20"/>
    <w:rsid w:val="00C43BEB"/>
    <w:rsid w:val="00C45333"/>
    <w:rsid w:val="00C463AF"/>
    <w:rsid w:val="00C47FB3"/>
    <w:rsid w:val="00C543F3"/>
    <w:rsid w:val="00C54E8A"/>
    <w:rsid w:val="00C55725"/>
    <w:rsid w:val="00C561F1"/>
    <w:rsid w:val="00C56BB6"/>
    <w:rsid w:val="00C57A91"/>
    <w:rsid w:val="00C60D43"/>
    <w:rsid w:val="00C61B6B"/>
    <w:rsid w:val="00C62150"/>
    <w:rsid w:val="00C63E44"/>
    <w:rsid w:val="00C6414B"/>
    <w:rsid w:val="00C641CB"/>
    <w:rsid w:val="00C64416"/>
    <w:rsid w:val="00C65074"/>
    <w:rsid w:val="00C654FC"/>
    <w:rsid w:val="00C677D2"/>
    <w:rsid w:val="00C67836"/>
    <w:rsid w:val="00C679E0"/>
    <w:rsid w:val="00C705F7"/>
    <w:rsid w:val="00C70854"/>
    <w:rsid w:val="00C709BF"/>
    <w:rsid w:val="00C70DCD"/>
    <w:rsid w:val="00C71406"/>
    <w:rsid w:val="00C724D2"/>
    <w:rsid w:val="00C73463"/>
    <w:rsid w:val="00C7370F"/>
    <w:rsid w:val="00C7465F"/>
    <w:rsid w:val="00C75FF6"/>
    <w:rsid w:val="00C76530"/>
    <w:rsid w:val="00C76EDA"/>
    <w:rsid w:val="00C776E8"/>
    <w:rsid w:val="00C77D73"/>
    <w:rsid w:val="00C77F02"/>
    <w:rsid w:val="00C8041C"/>
    <w:rsid w:val="00C8050D"/>
    <w:rsid w:val="00C82DEF"/>
    <w:rsid w:val="00C8357E"/>
    <w:rsid w:val="00C83749"/>
    <w:rsid w:val="00C8411E"/>
    <w:rsid w:val="00C84A7E"/>
    <w:rsid w:val="00C85766"/>
    <w:rsid w:val="00C86AE6"/>
    <w:rsid w:val="00C86B04"/>
    <w:rsid w:val="00C91A07"/>
    <w:rsid w:val="00C921D4"/>
    <w:rsid w:val="00C94441"/>
    <w:rsid w:val="00C95363"/>
    <w:rsid w:val="00C956A1"/>
    <w:rsid w:val="00C9669E"/>
    <w:rsid w:val="00C96CC6"/>
    <w:rsid w:val="00C96E2A"/>
    <w:rsid w:val="00C96F73"/>
    <w:rsid w:val="00C97E4F"/>
    <w:rsid w:val="00CA05E6"/>
    <w:rsid w:val="00CA1E1A"/>
    <w:rsid w:val="00CA1F16"/>
    <w:rsid w:val="00CA3BA4"/>
    <w:rsid w:val="00CA42C4"/>
    <w:rsid w:val="00CA452B"/>
    <w:rsid w:val="00CA46FB"/>
    <w:rsid w:val="00CA5FD0"/>
    <w:rsid w:val="00CA720F"/>
    <w:rsid w:val="00CA7DC6"/>
    <w:rsid w:val="00CB1515"/>
    <w:rsid w:val="00CB245D"/>
    <w:rsid w:val="00CB3AC5"/>
    <w:rsid w:val="00CB3B01"/>
    <w:rsid w:val="00CB3E9F"/>
    <w:rsid w:val="00CB5322"/>
    <w:rsid w:val="00CB573B"/>
    <w:rsid w:val="00CB5BCB"/>
    <w:rsid w:val="00CB6B9D"/>
    <w:rsid w:val="00CB7816"/>
    <w:rsid w:val="00CC0B94"/>
    <w:rsid w:val="00CC22DA"/>
    <w:rsid w:val="00CC2361"/>
    <w:rsid w:val="00CC26B1"/>
    <w:rsid w:val="00CC2F80"/>
    <w:rsid w:val="00CC3619"/>
    <w:rsid w:val="00CC424D"/>
    <w:rsid w:val="00CC4C2F"/>
    <w:rsid w:val="00CC666B"/>
    <w:rsid w:val="00CC6835"/>
    <w:rsid w:val="00CC73FB"/>
    <w:rsid w:val="00CC743F"/>
    <w:rsid w:val="00CC7740"/>
    <w:rsid w:val="00CC7D18"/>
    <w:rsid w:val="00CD040D"/>
    <w:rsid w:val="00CD17FC"/>
    <w:rsid w:val="00CD2542"/>
    <w:rsid w:val="00CD2979"/>
    <w:rsid w:val="00CD3DC0"/>
    <w:rsid w:val="00CD4DD1"/>
    <w:rsid w:val="00CD62E3"/>
    <w:rsid w:val="00CD63B1"/>
    <w:rsid w:val="00CD7230"/>
    <w:rsid w:val="00CD7650"/>
    <w:rsid w:val="00CE0174"/>
    <w:rsid w:val="00CE0243"/>
    <w:rsid w:val="00CE05B6"/>
    <w:rsid w:val="00CE21D3"/>
    <w:rsid w:val="00CE4213"/>
    <w:rsid w:val="00CE5CBB"/>
    <w:rsid w:val="00CE5DC8"/>
    <w:rsid w:val="00CE6135"/>
    <w:rsid w:val="00CE69CB"/>
    <w:rsid w:val="00CF14E3"/>
    <w:rsid w:val="00CF275D"/>
    <w:rsid w:val="00CF3160"/>
    <w:rsid w:val="00CF31EA"/>
    <w:rsid w:val="00CF47D6"/>
    <w:rsid w:val="00CF4A3D"/>
    <w:rsid w:val="00CF4A81"/>
    <w:rsid w:val="00CF67C9"/>
    <w:rsid w:val="00CF6A46"/>
    <w:rsid w:val="00CF6A4E"/>
    <w:rsid w:val="00CF75DA"/>
    <w:rsid w:val="00D007C1"/>
    <w:rsid w:val="00D03504"/>
    <w:rsid w:val="00D03877"/>
    <w:rsid w:val="00D03A99"/>
    <w:rsid w:val="00D03C44"/>
    <w:rsid w:val="00D059D3"/>
    <w:rsid w:val="00D071E5"/>
    <w:rsid w:val="00D07685"/>
    <w:rsid w:val="00D07879"/>
    <w:rsid w:val="00D07C63"/>
    <w:rsid w:val="00D11094"/>
    <w:rsid w:val="00D11FC8"/>
    <w:rsid w:val="00D12AC5"/>
    <w:rsid w:val="00D148FA"/>
    <w:rsid w:val="00D14F17"/>
    <w:rsid w:val="00D1551D"/>
    <w:rsid w:val="00D21C59"/>
    <w:rsid w:val="00D222A8"/>
    <w:rsid w:val="00D22366"/>
    <w:rsid w:val="00D22412"/>
    <w:rsid w:val="00D22A0C"/>
    <w:rsid w:val="00D23B83"/>
    <w:rsid w:val="00D24D75"/>
    <w:rsid w:val="00D24F30"/>
    <w:rsid w:val="00D25E5C"/>
    <w:rsid w:val="00D2688F"/>
    <w:rsid w:val="00D26C06"/>
    <w:rsid w:val="00D278EF"/>
    <w:rsid w:val="00D27D04"/>
    <w:rsid w:val="00D3132F"/>
    <w:rsid w:val="00D315F7"/>
    <w:rsid w:val="00D316DF"/>
    <w:rsid w:val="00D31D5C"/>
    <w:rsid w:val="00D328BA"/>
    <w:rsid w:val="00D33206"/>
    <w:rsid w:val="00D36827"/>
    <w:rsid w:val="00D369FD"/>
    <w:rsid w:val="00D36D70"/>
    <w:rsid w:val="00D379DE"/>
    <w:rsid w:val="00D400D2"/>
    <w:rsid w:val="00D4135B"/>
    <w:rsid w:val="00D4254F"/>
    <w:rsid w:val="00D43954"/>
    <w:rsid w:val="00D43C03"/>
    <w:rsid w:val="00D44DAF"/>
    <w:rsid w:val="00D4598B"/>
    <w:rsid w:val="00D459B4"/>
    <w:rsid w:val="00D45B0D"/>
    <w:rsid w:val="00D46400"/>
    <w:rsid w:val="00D47014"/>
    <w:rsid w:val="00D476C2"/>
    <w:rsid w:val="00D47B1D"/>
    <w:rsid w:val="00D50784"/>
    <w:rsid w:val="00D50AC4"/>
    <w:rsid w:val="00D51226"/>
    <w:rsid w:val="00D51A4C"/>
    <w:rsid w:val="00D51DB4"/>
    <w:rsid w:val="00D624D8"/>
    <w:rsid w:val="00D6309F"/>
    <w:rsid w:val="00D64596"/>
    <w:rsid w:val="00D647E3"/>
    <w:rsid w:val="00D64D08"/>
    <w:rsid w:val="00D674C9"/>
    <w:rsid w:val="00D67F9B"/>
    <w:rsid w:val="00D7263A"/>
    <w:rsid w:val="00D74048"/>
    <w:rsid w:val="00D74BF4"/>
    <w:rsid w:val="00D7516B"/>
    <w:rsid w:val="00D75821"/>
    <w:rsid w:val="00D7645E"/>
    <w:rsid w:val="00D76DAB"/>
    <w:rsid w:val="00D81189"/>
    <w:rsid w:val="00D81815"/>
    <w:rsid w:val="00D81E7A"/>
    <w:rsid w:val="00D85365"/>
    <w:rsid w:val="00D8576B"/>
    <w:rsid w:val="00D862BB"/>
    <w:rsid w:val="00D86BED"/>
    <w:rsid w:val="00D87753"/>
    <w:rsid w:val="00D877EB"/>
    <w:rsid w:val="00D93EEA"/>
    <w:rsid w:val="00D94748"/>
    <w:rsid w:val="00D94ACC"/>
    <w:rsid w:val="00D94D3B"/>
    <w:rsid w:val="00D95B1D"/>
    <w:rsid w:val="00D95F12"/>
    <w:rsid w:val="00D95FDB"/>
    <w:rsid w:val="00D96058"/>
    <w:rsid w:val="00D9623F"/>
    <w:rsid w:val="00D9646F"/>
    <w:rsid w:val="00D96498"/>
    <w:rsid w:val="00D975E5"/>
    <w:rsid w:val="00D97AD1"/>
    <w:rsid w:val="00DA06AE"/>
    <w:rsid w:val="00DA2049"/>
    <w:rsid w:val="00DA21E2"/>
    <w:rsid w:val="00DA33D6"/>
    <w:rsid w:val="00DA4E6E"/>
    <w:rsid w:val="00DA505C"/>
    <w:rsid w:val="00DA59F1"/>
    <w:rsid w:val="00DA6018"/>
    <w:rsid w:val="00DA658A"/>
    <w:rsid w:val="00DA66E7"/>
    <w:rsid w:val="00DB0370"/>
    <w:rsid w:val="00DB114F"/>
    <w:rsid w:val="00DB275D"/>
    <w:rsid w:val="00DB2FB5"/>
    <w:rsid w:val="00DB3034"/>
    <w:rsid w:val="00DB3369"/>
    <w:rsid w:val="00DB5ABD"/>
    <w:rsid w:val="00DB6D02"/>
    <w:rsid w:val="00DB7372"/>
    <w:rsid w:val="00DB791E"/>
    <w:rsid w:val="00DC03AE"/>
    <w:rsid w:val="00DC03C7"/>
    <w:rsid w:val="00DC05AD"/>
    <w:rsid w:val="00DC0619"/>
    <w:rsid w:val="00DC2070"/>
    <w:rsid w:val="00DC26B8"/>
    <w:rsid w:val="00DC3448"/>
    <w:rsid w:val="00DC54A5"/>
    <w:rsid w:val="00DC7C5C"/>
    <w:rsid w:val="00DD08B3"/>
    <w:rsid w:val="00DD2061"/>
    <w:rsid w:val="00DD276B"/>
    <w:rsid w:val="00DD31DF"/>
    <w:rsid w:val="00DD3F2B"/>
    <w:rsid w:val="00DD4430"/>
    <w:rsid w:val="00DD47D0"/>
    <w:rsid w:val="00DD518F"/>
    <w:rsid w:val="00DD60CE"/>
    <w:rsid w:val="00DD61CD"/>
    <w:rsid w:val="00DD655D"/>
    <w:rsid w:val="00DD72CF"/>
    <w:rsid w:val="00DD7391"/>
    <w:rsid w:val="00DD73B3"/>
    <w:rsid w:val="00DD7E3E"/>
    <w:rsid w:val="00DD7FA3"/>
    <w:rsid w:val="00DE082D"/>
    <w:rsid w:val="00DE0BA5"/>
    <w:rsid w:val="00DE159D"/>
    <w:rsid w:val="00DE1DA0"/>
    <w:rsid w:val="00DE2C7D"/>
    <w:rsid w:val="00DE2F1A"/>
    <w:rsid w:val="00DE417D"/>
    <w:rsid w:val="00DE4E33"/>
    <w:rsid w:val="00DE7319"/>
    <w:rsid w:val="00DF04F9"/>
    <w:rsid w:val="00DF0B3F"/>
    <w:rsid w:val="00DF18B3"/>
    <w:rsid w:val="00DF2169"/>
    <w:rsid w:val="00DF2A59"/>
    <w:rsid w:val="00DF3734"/>
    <w:rsid w:val="00DF40D7"/>
    <w:rsid w:val="00DF484C"/>
    <w:rsid w:val="00DF4C7C"/>
    <w:rsid w:val="00DF53BC"/>
    <w:rsid w:val="00DF6096"/>
    <w:rsid w:val="00DF6BCE"/>
    <w:rsid w:val="00E00028"/>
    <w:rsid w:val="00E003BB"/>
    <w:rsid w:val="00E00843"/>
    <w:rsid w:val="00E015B9"/>
    <w:rsid w:val="00E018FE"/>
    <w:rsid w:val="00E01AAF"/>
    <w:rsid w:val="00E021AA"/>
    <w:rsid w:val="00E031F1"/>
    <w:rsid w:val="00E04A46"/>
    <w:rsid w:val="00E07449"/>
    <w:rsid w:val="00E07C66"/>
    <w:rsid w:val="00E11C0B"/>
    <w:rsid w:val="00E1227A"/>
    <w:rsid w:val="00E13470"/>
    <w:rsid w:val="00E13EE5"/>
    <w:rsid w:val="00E141B7"/>
    <w:rsid w:val="00E149E7"/>
    <w:rsid w:val="00E14D39"/>
    <w:rsid w:val="00E153C5"/>
    <w:rsid w:val="00E15A1B"/>
    <w:rsid w:val="00E163B0"/>
    <w:rsid w:val="00E163CF"/>
    <w:rsid w:val="00E169F4"/>
    <w:rsid w:val="00E16D0B"/>
    <w:rsid w:val="00E17272"/>
    <w:rsid w:val="00E173AC"/>
    <w:rsid w:val="00E1768C"/>
    <w:rsid w:val="00E17A6F"/>
    <w:rsid w:val="00E17BD9"/>
    <w:rsid w:val="00E17DDA"/>
    <w:rsid w:val="00E204BE"/>
    <w:rsid w:val="00E205DB"/>
    <w:rsid w:val="00E21201"/>
    <w:rsid w:val="00E21214"/>
    <w:rsid w:val="00E21D20"/>
    <w:rsid w:val="00E21ED7"/>
    <w:rsid w:val="00E22FE4"/>
    <w:rsid w:val="00E23ADF"/>
    <w:rsid w:val="00E24116"/>
    <w:rsid w:val="00E24241"/>
    <w:rsid w:val="00E246BA"/>
    <w:rsid w:val="00E24E48"/>
    <w:rsid w:val="00E250D3"/>
    <w:rsid w:val="00E26E72"/>
    <w:rsid w:val="00E274B4"/>
    <w:rsid w:val="00E30E7B"/>
    <w:rsid w:val="00E31080"/>
    <w:rsid w:val="00E319A1"/>
    <w:rsid w:val="00E32BBF"/>
    <w:rsid w:val="00E32FB2"/>
    <w:rsid w:val="00E33680"/>
    <w:rsid w:val="00E340FB"/>
    <w:rsid w:val="00E344A7"/>
    <w:rsid w:val="00E3458C"/>
    <w:rsid w:val="00E35106"/>
    <w:rsid w:val="00E35E44"/>
    <w:rsid w:val="00E35FC8"/>
    <w:rsid w:val="00E37C98"/>
    <w:rsid w:val="00E403D6"/>
    <w:rsid w:val="00E4197B"/>
    <w:rsid w:val="00E43827"/>
    <w:rsid w:val="00E44567"/>
    <w:rsid w:val="00E44948"/>
    <w:rsid w:val="00E449A7"/>
    <w:rsid w:val="00E44F33"/>
    <w:rsid w:val="00E46123"/>
    <w:rsid w:val="00E46A55"/>
    <w:rsid w:val="00E46B1A"/>
    <w:rsid w:val="00E474EF"/>
    <w:rsid w:val="00E47AAE"/>
    <w:rsid w:val="00E50074"/>
    <w:rsid w:val="00E50C20"/>
    <w:rsid w:val="00E53947"/>
    <w:rsid w:val="00E54B4D"/>
    <w:rsid w:val="00E560B3"/>
    <w:rsid w:val="00E57206"/>
    <w:rsid w:val="00E607C6"/>
    <w:rsid w:val="00E61FF3"/>
    <w:rsid w:val="00E63151"/>
    <w:rsid w:val="00E638BB"/>
    <w:rsid w:val="00E642CB"/>
    <w:rsid w:val="00E64B86"/>
    <w:rsid w:val="00E654CA"/>
    <w:rsid w:val="00E65E05"/>
    <w:rsid w:val="00E6620A"/>
    <w:rsid w:val="00E70CC0"/>
    <w:rsid w:val="00E74C79"/>
    <w:rsid w:val="00E77D3C"/>
    <w:rsid w:val="00E82238"/>
    <w:rsid w:val="00E83FED"/>
    <w:rsid w:val="00E847AF"/>
    <w:rsid w:val="00E86CC8"/>
    <w:rsid w:val="00E877A8"/>
    <w:rsid w:val="00E902F5"/>
    <w:rsid w:val="00E9091F"/>
    <w:rsid w:val="00E90A6F"/>
    <w:rsid w:val="00E9106A"/>
    <w:rsid w:val="00E91C37"/>
    <w:rsid w:val="00E91E6E"/>
    <w:rsid w:val="00E9287A"/>
    <w:rsid w:val="00E93193"/>
    <w:rsid w:val="00E9328A"/>
    <w:rsid w:val="00E9434E"/>
    <w:rsid w:val="00E946FA"/>
    <w:rsid w:val="00E95882"/>
    <w:rsid w:val="00E9743A"/>
    <w:rsid w:val="00E97CE3"/>
    <w:rsid w:val="00EA457B"/>
    <w:rsid w:val="00EA5080"/>
    <w:rsid w:val="00EA566E"/>
    <w:rsid w:val="00EA5D99"/>
    <w:rsid w:val="00EA63B4"/>
    <w:rsid w:val="00EA6479"/>
    <w:rsid w:val="00EA69A1"/>
    <w:rsid w:val="00EA6D63"/>
    <w:rsid w:val="00EB08B3"/>
    <w:rsid w:val="00EB138C"/>
    <w:rsid w:val="00EB1C26"/>
    <w:rsid w:val="00EB3609"/>
    <w:rsid w:val="00EB3DBA"/>
    <w:rsid w:val="00EB4BE2"/>
    <w:rsid w:val="00EB5723"/>
    <w:rsid w:val="00EB6328"/>
    <w:rsid w:val="00EB6575"/>
    <w:rsid w:val="00EB66ED"/>
    <w:rsid w:val="00EB71F2"/>
    <w:rsid w:val="00EB727C"/>
    <w:rsid w:val="00EC07CF"/>
    <w:rsid w:val="00EC1621"/>
    <w:rsid w:val="00EC178C"/>
    <w:rsid w:val="00EC279D"/>
    <w:rsid w:val="00EC2981"/>
    <w:rsid w:val="00EC3454"/>
    <w:rsid w:val="00EC401A"/>
    <w:rsid w:val="00EC65ED"/>
    <w:rsid w:val="00EC7D23"/>
    <w:rsid w:val="00ED0398"/>
    <w:rsid w:val="00ED1961"/>
    <w:rsid w:val="00ED1CFF"/>
    <w:rsid w:val="00ED2486"/>
    <w:rsid w:val="00ED2CE9"/>
    <w:rsid w:val="00ED2E4E"/>
    <w:rsid w:val="00ED3602"/>
    <w:rsid w:val="00ED424B"/>
    <w:rsid w:val="00ED5CE2"/>
    <w:rsid w:val="00ED6354"/>
    <w:rsid w:val="00ED6C5E"/>
    <w:rsid w:val="00ED7374"/>
    <w:rsid w:val="00ED796E"/>
    <w:rsid w:val="00EE0DFB"/>
    <w:rsid w:val="00EE15AD"/>
    <w:rsid w:val="00EE15B9"/>
    <w:rsid w:val="00EE2BC4"/>
    <w:rsid w:val="00EE337A"/>
    <w:rsid w:val="00EE3B80"/>
    <w:rsid w:val="00EE609C"/>
    <w:rsid w:val="00EE6331"/>
    <w:rsid w:val="00EE664E"/>
    <w:rsid w:val="00EE6685"/>
    <w:rsid w:val="00EE6976"/>
    <w:rsid w:val="00EF01B6"/>
    <w:rsid w:val="00EF032E"/>
    <w:rsid w:val="00EF0BD6"/>
    <w:rsid w:val="00EF0CE2"/>
    <w:rsid w:val="00EF0EE9"/>
    <w:rsid w:val="00EF10C0"/>
    <w:rsid w:val="00EF4E37"/>
    <w:rsid w:val="00EF784E"/>
    <w:rsid w:val="00F015A7"/>
    <w:rsid w:val="00F0186C"/>
    <w:rsid w:val="00F02454"/>
    <w:rsid w:val="00F024FC"/>
    <w:rsid w:val="00F02721"/>
    <w:rsid w:val="00F029BC"/>
    <w:rsid w:val="00F03346"/>
    <w:rsid w:val="00F0344C"/>
    <w:rsid w:val="00F04DBF"/>
    <w:rsid w:val="00F054FC"/>
    <w:rsid w:val="00F05572"/>
    <w:rsid w:val="00F071FF"/>
    <w:rsid w:val="00F079B6"/>
    <w:rsid w:val="00F11530"/>
    <w:rsid w:val="00F11534"/>
    <w:rsid w:val="00F1240A"/>
    <w:rsid w:val="00F12BE6"/>
    <w:rsid w:val="00F134BC"/>
    <w:rsid w:val="00F15A05"/>
    <w:rsid w:val="00F15E2C"/>
    <w:rsid w:val="00F15F52"/>
    <w:rsid w:val="00F1611A"/>
    <w:rsid w:val="00F16192"/>
    <w:rsid w:val="00F169CD"/>
    <w:rsid w:val="00F16D9A"/>
    <w:rsid w:val="00F212D5"/>
    <w:rsid w:val="00F23F7F"/>
    <w:rsid w:val="00F25569"/>
    <w:rsid w:val="00F25986"/>
    <w:rsid w:val="00F26735"/>
    <w:rsid w:val="00F267E5"/>
    <w:rsid w:val="00F27147"/>
    <w:rsid w:val="00F2714D"/>
    <w:rsid w:val="00F271B1"/>
    <w:rsid w:val="00F278D9"/>
    <w:rsid w:val="00F3027C"/>
    <w:rsid w:val="00F31691"/>
    <w:rsid w:val="00F317FA"/>
    <w:rsid w:val="00F32142"/>
    <w:rsid w:val="00F3258C"/>
    <w:rsid w:val="00F33994"/>
    <w:rsid w:val="00F342E8"/>
    <w:rsid w:val="00F34464"/>
    <w:rsid w:val="00F35A13"/>
    <w:rsid w:val="00F35CEF"/>
    <w:rsid w:val="00F3613E"/>
    <w:rsid w:val="00F374B1"/>
    <w:rsid w:val="00F41255"/>
    <w:rsid w:val="00F42254"/>
    <w:rsid w:val="00F4257D"/>
    <w:rsid w:val="00F42986"/>
    <w:rsid w:val="00F43872"/>
    <w:rsid w:val="00F43F85"/>
    <w:rsid w:val="00F45C93"/>
    <w:rsid w:val="00F45F91"/>
    <w:rsid w:val="00F4662E"/>
    <w:rsid w:val="00F46A49"/>
    <w:rsid w:val="00F47410"/>
    <w:rsid w:val="00F47548"/>
    <w:rsid w:val="00F47E84"/>
    <w:rsid w:val="00F501FD"/>
    <w:rsid w:val="00F509CD"/>
    <w:rsid w:val="00F50F01"/>
    <w:rsid w:val="00F524ED"/>
    <w:rsid w:val="00F5250A"/>
    <w:rsid w:val="00F52F98"/>
    <w:rsid w:val="00F54303"/>
    <w:rsid w:val="00F556BD"/>
    <w:rsid w:val="00F55BA2"/>
    <w:rsid w:val="00F55C65"/>
    <w:rsid w:val="00F569C8"/>
    <w:rsid w:val="00F56ED5"/>
    <w:rsid w:val="00F571C6"/>
    <w:rsid w:val="00F5726E"/>
    <w:rsid w:val="00F60468"/>
    <w:rsid w:val="00F61B62"/>
    <w:rsid w:val="00F6219B"/>
    <w:rsid w:val="00F625C0"/>
    <w:rsid w:val="00F631FF"/>
    <w:rsid w:val="00F67601"/>
    <w:rsid w:val="00F71C13"/>
    <w:rsid w:val="00F75B5B"/>
    <w:rsid w:val="00F76355"/>
    <w:rsid w:val="00F76CA1"/>
    <w:rsid w:val="00F771EE"/>
    <w:rsid w:val="00F803FB"/>
    <w:rsid w:val="00F80826"/>
    <w:rsid w:val="00F8086D"/>
    <w:rsid w:val="00F81BCA"/>
    <w:rsid w:val="00F8331B"/>
    <w:rsid w:val="00F84671"/>
    <w:rsid w:val="00F84D76"/>
    <w:rsid w:val="00F85FAC"/>
    <w:rsid w:val="00F861A7"/>
    <w:rsid w:val="00F86331"/>
    <w:rsid w:val="00F867E9"/>
    <w:rsid w:val="00F872AD"/>
    <w:rsid w:val="00F875D3"/>
    <w:rsid w:val="00F8791D"/>
    <w:rsid w:val="00F902BD"/>
    <w:rsid w:val="00F91128"/>
    <w:rsid w:val="00F91ADC"/>
    <w:rsid w:val="00F9288B"/>
    <w:rsid w:val="00F92E71"/>
    <w:rsid w:val="00F9344C"/>
    <w:rsid w:val="00F93512"/>
    <w:rsid w:val="00F96179"/>
    <w:rsid w:val="00F962AF"/>
    <w:rsid w:val="00F964CE"/>
    <w:rsid w:val="00F973F0"/>
    <w:rsid w:val="00F97C18"/>
    <w:rsid w:val="00F97D1F"/>
    <w:rsid w:val="00FA0007"/>
    <w:rsid w:val="00FA19CE"/>
    <w:rsid w:val="00FA3493"/>
    <w:rsid w:val="00FA36C7"/>
    <w:rsid w:val="00FA3912"/>
    <w:rsid w:val="00FA4C30"/>
    <w:rsid w:val="00FA4D9C"/>
    <w:rsid w:val="00FA6140"/>
    <w:rsid w:val="00FA69AA"/>
    <w:rsid w:val="00FA6C23"/>
    <w:rsid w:val="00FA6C8B"/>
    <w:rsid w:val="00FA6E3F"/>
    <w:rsid w:val="00FB0130"/>
    <w:rsid w:val="00FB0335"/>
    <w:rsid w:val="00FB0615"/>
    <w:rsid w:val="00FB0A17"/>
    <w:rsid w:val="00FB15C7"/>
    <w:rsid w:val="00FB182E"/>
    <w:rsid w:val="00FB1EE5"/>
    <w:rsid w:val="00FB2127"/>
    <w:rsid w:val="00FB28A6"/>
    <w:rsid w:val="00FB3012"/>
    <w:rsid w:val="00FB4489"/>
    <w:rsid w:val="00FB4BF6"/>
    <w:rsid w:val="00FB5702"/>
    <w:rsid w:val="00FB58EB"/>
    <w:rsid w:val="00FB5C9F"/>
    <w:rsid w:val="00FB5F0E"/>
    <w:rsid w:val="00FB7D28"/>
    <w:rsid w:val="00FC0776"/>
    <w:rsid w:val="00FC0A74"/>
    <w:rsid w:val="00FC0EEB"/>
    <w:rsid w:val="00FC1106"/>
    <w:rsid w:val="00FC27D2"/>
    <w:rsid w:val="00FC3C1E"/>
    <w:rsid w:val="00FC5E94"/>
    <w:rsid w:val="00FC6242"/>
    <w:rsid w:val="00FC65E2"/>
    <w:rsid w:val="00FC6C4A"/>
    <w:rsid w:val="00FC6EBB"/>
    <w:rsid w:val="00FC75AA"/>
    <w:rsid w:val="00FD1330"/>
    <w:rsid w:val="00FD1A3B"/>
    <w:rsid w:val="00FD2683"/>
    <w:rsid w:val="00FD2B5E"/>
    <w:rsid w:val="00FD2C52"/>
    <w:rsid w:val="00FD314F"/>
    <w:rsid w:val="00FD4102"/>
    <w:rsid w:val="00FD4645"/>
    <w:rsid w:val="00FD684F"/>
    <w:rsid w:val="00FE0A0E"/>
    <w:rsid w:val="00FE12B3"/>
    <w:rsid w:val="00FE1730"/>
    <w:rsid w:val="00FE2649"/>
    <w:rsid w:val="00FE38C7"/>
    <w:rsid w:val="00FE3B00"/>
    <w:rsid w:val="00FE5CD1"/>
    <w:rsid w:val="00FF2538"/>
    <w:rsid w:val="00FF2BAF"/>
    <w:rsid w:val="00FF3097"/>
    <w:rsid w:val="00FF3261"/>
    <w:rsid w:val="00FF3A3E"/>
    <w:rsid w:val="00FF61E1"/>
    <w:rsid w:val="00FF6D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E55B64"/>
  <w15:docId w15:val="{A872BBDA-AC35-408C-B7AC-384D4BDDB9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1ACF"/>
    <w:rPr>
      <w:rFonts w:cs="Times New Roman"/>
      <w:noProof/>
      <w:szCs w:val="20"/>
      <w:lang w:val="en-GB"/>
    </w:rPr>
  </w:style>
  <w:style w:type="paragraph" w:styleId="Heading1">
    <w:name w:val="heading 1"/>
    <w:basedOn w:val="Normal"/>
    <w:next w:val="Normal"/>
    <w:link w:val="Heading1Char"/>
    <w:autoRedefine/>
    <w:uiPriority w:val="9"/>
    <w:qFormat/>
    <w:rsid w:val="00691116"/>
    <w:pPr>
      <w:keepNext/>
      <w:keepLines/>
      <w:spacing w:before="240" w:line="240" w:lineRule="auto"/>
      <w:outlineLvl w:val="0"/>
    </w:pPr>
    <w:rPr>
      <w:b/>
      <w:color w:val="5B9BD5" w:themeColor="accent5"/>
      <w:sz w:val="32"/>
      <w:szCs w:val="32"/>
      <w:lang w:eastAsia="en-GB"/>
    </w:rPr>
  </w:style>
  <w:style w:type="paragraph" w:styleId="Heading2">
    <w:name w:val="heading 2"/>
    <w:basedOn w:val="Normal"/>
    <w:next w:val="Normal"/>
    <w:link w:val="Heading2Char"/>
    <w:autoRedefine/>
    <w:uiPriority w:val="9"/>
    <w:unhideWhenUsed/>
    <w:qFormat/>
    <w:rsid w:val="00691116"/>
    <w:pPr>
      <w:keepNext/>
      <w:keepLines/>
      <w:spacing w:line="240" w:lineRule="auto"/>
      <w:outlineLvl w:val="1"/>
    </w:pPr>
    <w:rPr>
      <w:rFonts w:eastAsia="Times New Roman" w:cs="Arial"/>
      <w:b/>
      <w:color w:val="5B9BD5" w:themeColor="accent5"/>
      <w:sz w:val="28"/>
      <w:szCs w:val="26"/>
      <w:lang w:eastAsia="en-GB"/>
    </w:rPr>
  </w:style>
  <w:style w:type="paragraph" w:styleId="Heading3">
    <w:name w:val="heading 3"/>
    <w:basedOn w:val="Normal"/>
    <w:next w:val="Normal"/>
    <w:link w:val="Heading3Char"/>
    <w:autoRedefine/>
    <w:uiPriority w:val="9"/>
    <w:unhideWhenUsed/>
    <w:qFormat/>
    <w:rsid w:val="008A04BF"/>
    <w:pPr>
      <w:keepNext/>
      <w:keepLines/>
      <w:spacing w:before="40"/>
      <w:outlineLvl w:val="2"/>
    </w:pPr>
    <w:rPr>
      <w:rFonts w:eastAsiaTheme="majorEastAsia" w:cstheme="majorBidi"/>
      <w:b/>
      <w:color w:val="002060"/>
      <w:szCs w:val="24"/>
    </w:rPr>
  </w:style>
  <w:style w:type="paragraph" w:styleId="Heading4">
    <w:name w:val="heading 4"/>
    <w:basedOn w:val="Normal"/>
    <w:next w:val="Normal"/>
    <w:link w:val="Heading4Char"/>
    <w:uiPriority w:val="9"/>
    <w:unhideWhenUsed/>
    <w:qFormat/>
    <w:rsid w:val="00190069"/>
    <w:pPr>
      <w:keepNext/>
      <w:keepLines/>
      <w:spacing w:before="20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character" w:customStyle="1" w:styleId="Heading2Char">
    <w:name w:val="Heading 2 Char"/>
    <w:basedOn w:val="DefaultParagraphFont"/>
    <w:link w:val="Heading2"/>
    <w:uiPriority w:val="9"/>
    <w:rsid w:val="00691116"/>
    <w:rPr>
      <w:rFonts w:eastAsia="Times New Roman"/>
      <w:b/>
      <w:noProof/>
      <w:color w:val="5B9BD5" w:themeColor="accent5"/>
      <w:sz w:val="28"/>
      <w:szCs w:val="26"/>
      <w:lang w:val="en-GB" w:eastAsia="en-GB"/>
    </w:rPr>
  </w:style>
  <w:style w:type="paragraph" w:styleId="Caption">
    <w:name w:val="caption"/>
    <w:basedOn w:val="Normal"/>
    <w:next w:val="Normal"/>
    <w:autoRedefine/>
    <w:uiPriority w:val="35"/>
    <w:unhideWhenUsed/>
    <w:qFormat/>
    <w:rsid w:val="00691116"/>
    <w:pPr>
      <w:spacing w:after="200" w:line="240" w:lineRule="auto"/>
      <w:jc w:val="center"/>
    </w:pPr>
    <w:rPr>
      <w:rFonts w:eastAsiaTheme="minorHAnsi" w:cstheme="minorBidi"/>
      <w:b/>
      <w:iCs/>
      <w:szCs w:val="18"/>
      <w:lang w:val="en-US"/>
    </w:rPr>
  </w:style>
  <w:style w:type="character" w:customStyle="1" w:styleId="Heading1Char">
    <w:name w:val="Heading 1 Char"/>
    <w:basedOn w:val="DefaultParagraphFont"/>
    <w:link w:val="Heading1"/>
    <w:uiPriority w:val="9"/>
    <w:rsid w:val="00691116"/>
    <w:rPr>
      <w:rFonts w:cs="Times New Roman"/>
      <w:b/>
      <w:noProof/>
      <w:color w:val="5B9BD5" w:themeColor="accent5"/>
      <w:sz w:val="32"/>
      <w:szCs w:val="32"/>
      <w:lang w:val="en-GB" w:eastAsia="en-GB"/>
    </w:rPr>
  </w:style>
  <w:style w:type="table" w:styleId="TableGrid">
    <w:name w:val="Table Grid"/>
    <w:basedOn w:val="TableNormal"/>
    <w:uiPriority w:val="59"/>
    <w:qFormat/>
    <w:rsid w:val="00C27815"/>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11">
    <w:name w:val="Plain Table 11"/>
    <w:basedOn w:val="TableNormal"/>
    <w:uiPriority w:val="41"/>
    <w:rsid w:val="00C27815"/>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rsid w:val="008A04BF"/>
    <w:rPr>
      <w:rFonts w:eastAsiaTheme="majorEastAsia" w:cstheme="majorBidi"/>
      <w:b/>
      <w:noProof/>
      <w:color w:val="002060"/>
      <w:lang w:val="en-GB"/>
    </w:rPr>
  </w:style>
  <w:style w:type="paragraph" w:styleId="Header">
    <w:name w:val="header"/>
    <w:basedOn w:val="Normal"/>
    <w:link w:val="HeaderChar"/>
    <w:uiPriority w:val="99"/>
    <w:unhideWhenUsed/>
    <w:qFormat/>
    <w:rsid w:val="005A0EFC"/>
    <w:pPr>
      <w:tabs>
        <w:tab w:val="center" w:pos="4680"/>
        <w:tab w:val="right" w:pos="9360"/>
      </w:tabs>
      <w:spacing w:line="240" w:lineRule="auto"/>
    </w:pPr>
  </w:style>
  <w:style w:type="character" w:customStyle="1" w:styleId="HeaderChar">
    <w:name w:val="Header Char"/>
    <w:basedOn w:val="DefaultParagraphFont"/>
    <w:link w:val="Header"/>
    <w:uiPriority w:val="99"/>
    <w:qFormat/>
    <w:rsid w:val="005A0EFC"/>
    <w:rPr>
      <w:rFonts w:ascii="Times New Roman" w:hAnsi="Times New Roman" w:cs="Times New Roman"/>
      <w:noProof/>
      <w:sz w:val="24"/>
      <w:szCs w:val="20"/>
      <w:lang w:val="en-GB"/>
    </w:rPr>
  </w:style>
  <w:style w:type="paragraph" w:styleId="Footer">
    <w:name w:val="footer"/>
    <w:basedOn w:val="Normal"/>
    <w:link w:val="FooterChar"/>
    <w:uiPriority w:val="99"/>
    <w:unhideWhenUsed/>
    <w:rsid w:val="005A0EFC"/>
    <w:pPr>
      <w:tabs>
        <w:tab w:val="center" w:pos="4680"/>
        <w:tab w:val="right" w:pos="9360"/>
      </w:tabs>
      <w:spacing w:line="240" w:lineRule="auto"/>
    </w:pPr>
  </w:style>
  <w:style w:type="character" w:customStyle="1" w:styleId="FooterChar">
    <w:name w:val="Footer Char"/>
    <w:basedOn w:val="DefaultParagraphFont"/>
    <w:link w:val="Footer"/>
    <w:uiPriority w:val="99"/>
    <w:rsid w:val="005A0EFC"/>
    <w:rPr>
      <w:rFonts w:ascii="Times New Roman" w:hAnsi="Times New Roman" w:cs="Times New Roman"/>
      <w:noProof/>
      <w:sz w:val="24"/>
      <w:szCs w:val="20"/>
      <w:lang w:val="en-GB"/>
    </w:rPr>
  </w:style>
  <w:style w:type="paragraph" w:styleId="TOCHeading">
    <w:name w:val="TOC Heading"/>
    <w:basedOn w:val="Heading1"/>
    <w:next w:val="Normal"/>
    <w:uiPriority w:val="39"/>
    <w:unhideWhenUsed/>
    <w:qFormat/>
    <w:rsid w:val="004F32E0"/>
    <w:pPr>
      <w:spacing w:line="259" w:lineRule="auto"/>
      <w:jc w:val="left"/>
      <w:outlineLvl w:val="9"/>
    </w:pPr>
    <w:rPr>
      <w:rFonts w:asciiTheme="majorHAnsi" w:eastAsiaTheme="majorEastAsia" w:hAnsiTheme="majorHAnsi" w:cstheme="majorBidi"/>
      <w:b w:val="0"/>
      <w:noProof w:val="0"/>
      <w:color w:val="2F5496" w:themeColor="accent1" w:themeShade="BF"/>
      <w:lang w:val="en-US" w:eastAsia="en-US"/>
    </w:rPr>
  </w:style>
  <w:style w:type="paragraph" w:styleId="TOC1">
    <w:name w:val="toc 1"/>
    <w:basedOn w:val="Normal"/>
    <w:next w:val="Normal"/>
    <w:autoRedefine/>
    <w:uiPriority w:val="39"/>
    <w:unhideWhenUsed/>
    <w:rsid w:val="004F32E0"/>
    <w:pPr>
      <w:spacing w:after="100"/>
    </w:pPr>
  </w:style>
  <w:style w:type="paragraph" w:styleId="TOC2">
    <w:name w:val="toc 2"/>
    <w:basedOn w:val="Normal"/>
    <w:next w:val="Normal"/>
    <w:autoRedefine/>
    <w:uiPriority w:val="39"/>
    <w:unhideWhenUsed/>
    <w:rsid w:val="004F32E0"/>
    <w:pPr>
      <w:spacing w:after="100"/>
      <w:ind w:left="240"/>
    </w:pPr>
  </w:style>
  <w:style w:type="character" w:styleId="Hyperlink">
    <w:name w:val="Hyperlink"/>
    <w:basedOn w:val="DefaultParagraphFont"/>
    <w:uiPriority w:val="99"/>
    <w:unhideWhenUsed/>
    <w:rsid w:val="004F32E0"/>
    <w:rPr>
      <w:color w:val="0563C1" w:themeColor="hyperlink"/>
      <w:u w:val="single"/>
    </w:rPr>
  </w:style>
  <w:style w:type="table" w:customStyle="1" w:styleId="GridTable1Light-Accent31">
    <w:name w:val="Grid Table 1 Light - Accent 31"/>
    <w:basedOn w:val="TableNormal"/>
    <w:uiPriority w:val="46"/>
    <w:rsid w:val="004F32E0"/>
    <w:pPr>
      <w:spacing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paragraph" w:styleId="NormalWeb">
    <w:name w:val="Normal (Web)"/>
    <w:basedOn w:val="Normal"/>
    <w:uiPriority w:val="99"/>
    <w:unhideWhenUsed/>
    <w:rsid w:val="0043072F"/>
    <w:pPr>
      <w:spacing w:before="100" w:beforeAutospacing="1" w:after="100" w:afterAutospacing="1" w:line="240" w:lineRule="auto"/>
      <w:jc w:val="left"/>
    </w:pPr>
    <w:rPr>
      <w:noProof w:val="0"/>
      <w:szCs w:val="24"/>
      <w:lang w:val="en-US"/>
    </w:rPr>
  </w:style>
  <w:style w:type="character" w:styleId="Strong">
    <w:name w:val="Strong"/>
    <w:basedOn w:val="DefaultParagraphFont"/>
    <w:uiPriority w:val="22"/>
    <w:qFormat/>
    <w:rsid w:val="0043072F"/>
    <w:rPr>
      <w:b/>
      <w:bCs/>
    </w:rPr>
  </w:style>
  <w:style w:type="paragraph" w:styleId="ListParagraph">
    <w:name w:val="List Paragraph"/>
    <w:basedOn w:val="Normal"/>
    <w:uiPriority w:val="34"/>
    <w:qFormat/>
    <w:rsid w:val="0091145A"/>
    <w:pPr>
      <w:ind w:left="720"/>
      <w:contextualSpacing/>
    </w:pPr>
  </w:style>
  <w:style w:type="paragraph" w:styleId="TOC3">
    <w:name w:val="toc 3"/>
    <w:basedOn w:val="Normal"/>
    <w:next w:val="Normal"/>
    <w:autoRedefine/>
    <w:uiPriority w:val="39"/>
    <w:unhideWhenUsed/>
    <w:rsid w:val="005C586F"/>
    <w:pPr>
      <w:spacing w:after="100"/>
      <w:ind w:left="480"/>
    </w:pPr>
  </w:style>
  <w:style w:type="paragraph" w:styleId="BalloonText">
    <w:name w:val="Balloon Text"/>
    <w:basedOn w:val="Normal"/>
    <w:link w:val="BalloonTextChar"/>
    <w:uiPriority w:val="99"/>
    <w:semiHidden/>
    <w:unhideWhenUsed/>
    <w:rsid w:val="005C586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586F"/>
    <w:rPr>
      <w:rFonts w:ascii="Tahoma" w:hAnsi="Tahoma" w:cs="Tahoma"/>
      <w:noProof/>
      <w:sz w:val="16"/>
      <w:szCs w:val="16"/>
      <w:lang w:val="en-GB"/>
    </w:rPr>
  </w:style>
  <w:style w:type="table" w:styleId="LightShading-Accent1">
    <w:name w:val="Light Shading Accent 1"/>
    <w:basedOn w:val="TableNormal"/>
    <w:uiPriority w:val="60"/>
    <w:rsid w:val="008813E6"/>
    <w:pPr>
      <w:spacing w:line="240" w:lineRule="auto"/>
    </w:pPr>
    <w:rPr>
      <w:color w:val="2F5496" w:themeColor="accent1" w:themeShade="BF"/>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LightShading-Accent2">
    <w:name w:val="Light Shading Accent 2"/>
    <w:basedOn w:val="TableNormal"/>
    <w:uiPriority w:val="60"/>
    <w:rsid w:val="008813E6"/>
    <w:pPr>
      <w:spacing w:line="240" w:lineRule="auto"/>
    </w:pPr>
    <w:rPr>
      <w:color w:val="C45911" w:themeColor="accent2" w:themeShade="BF"/>
    </w:rPr>
    <w:tblPr>
      <w:tblStyleRowBandSize w:val="1"/>
      <w:tblStyleColBandSize w:val="1"/>
      <w:tblBorders>
        <w:top w:val="single" w:sz="8" w:space="0" w:color="ED7D31" w:themeColor="accent2"/>
        <w:bottom w:val="single" w:sz="8" w:space="0" w:color="ED7D31" w:themeColor="accent2"/>
      </w:tblBorders>
    </w:tblPr>
    <w:tblStylePr w:type="fir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la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left w:val="nil"/>
          <w:right w:val="nil"/>
          <w:insideH w:val="nil"/>
          <w:insideV w:val="nil"/>
        </w:tcBorders>
        <w:shd w:val="clear" w:color="auto" w:fill="FADECB" w:themeFill="accent2" w:themeFillTint="3F"/>
      </w:tcPr>
    </w:tblStylePr>
  </w:style>
  <w:style w:type="table" w:styleId="LightShading-Accent3">
    <w:name w:val="Light Shading Accent 3"/>
    <w:basedOn w:val="TableNormal"/>
    <w:uiPriority w:val="60"/>
    <w:rsid w:val="008813E6"/>
    <w:pPr>
      <w:spacing w:line="240" w:lineRule="auto"/>
    </w:pPr>
    <w:rPr>
      <w:color w:val="7B7B7B" w:themeColor="accent3" w:themeShade="BF"/>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table" w:styleId="LightShading">
    <w:name w:val="Light Shading"/>
    <w:basedOn w:val="TableNormal"/>
    <w:uiPriority w:val="60"/>
    <w:rsid w:val="008813E6"/>
    <w:pPr>
      <w:spacing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character" w:customStyle="1" w:styleId="Heading4Char">
    <w:name w:val="Heading 4 Char"/>
    <w:basedOn w:val="DefaultParagraphFont"/>
    <w:link w:val="Heading4"/>
    <w:uiPriority w:val="9"/>
    <w:rsid w:val="00190069"/>
    <w:rPr>
      <w:rFonts w:asciiTheme="majorHAnsi" w:eastAsiaTheme="majorEastAsia" w:hAnsiTheme="majorHAnsi" w:cstheme="majorBidi"/>
      <w:b/>
      <w:bCs/>
      <w:i/>
      <w:iCs/>
      <w:noProof/>
      <w:color w:val="4472C4" w:themeColor="accent1"/>
      <w:sz w:val="24"/>
      <w:szCs w:val="20"/>
      <w:lang w:val="en-GB"/>
    </w:rPr>
  </w:style>
  <w:style w:type="paragraph" w:customStyle="1" w:styleId="TableParagraph">
    <w:name w:val="Table Paragraph"/>
    <w:basedOn w:val="Normal"/>
    <w:uiPriority w:val="1"/>
    <w:rsid w:val="006311AC"/>
    <w:pPr>
      <w:widowControl w:val="0"/>
      <w:autoSpaceDE w:val="0"/>
      <w:autoSpaceDN w:val="0"/>
      <w:spacing w:line="240" w:lineRule="auto"/>
      <w:ind w:left="102"/>
      <w:jc w:val="left"/>
    </w:pPr>
    <w:rPr>
      <w:rFonts w:cs="Arial"/>
      <w:noProof w:val="0"/>
      <w:sz w:val="22"/>
      <w:szCs w:val="22"/>
      <w:lang w:val="en-US"/>
    </w:rPr>
  </w:style>
  <w:style w:type="character" w:styleId="CommentReference">
    <w:name w:val="annotation reference"/>
    <w:basedOn w:val="DefaultParagraphFont"/>
    <w:uiPriority w:val="99"/>
    <w:semiHidden/>
    <w:unhideWhenUsed/>
    <w:rsid w:val="00567C34"/>
    <w:rPr>
      <w:sz w:val="16"/>
      <w:szCs w:val="16"/>
    </w:rPr>
  </w:style>
  <w:style w:type="paragraph" w:styleId="CommentText">
    <w:name w:val="annotation text"/>
    <w:basedOn w:val="Normal"/>
    <w:link w:val="CommentTextChar"/>
    <w:uiPriority w:val="99"/>
    <w:semiHidden/>
    <w:unhideWhenUsed/>
    <w:rsid w:val="00567C34"/>
    <w:pPr>
      <w:spacing w:line="240" w:lineRule="auto"/>
    </w:pPr>
    <w:rPr>
      <w:sz w:val="20"/>
    </w:rPr>
  </w:style>
  <w:style w:type="character" w:customStyle="1" w:styleId="CommentTextChar">
    <w:name w:val="Comment Text Char"/>
    <w:basedOn w:val="DefaultParagraphFont"/>
    <w:link w:val="CommentText"/>
    <w:uiPriority w:val="99"/>
    <w:semiHidden/>
    <w:rsid w:val="00567C34"/>
    <w:rPr>
      <w:rFonts w:ascii="Arial" w:hAnsi="Arial" w:cs="Times New Roman"/>
      <w:noProof/>
      <w:sz w:val="20"/>
      <w:szCs w:val="20"/>
      <w:lang w:val="en-GB"/>
    </w:rPr>
  </w:style>
  <w:style w:type="paragraph" w:styleId="CommentSubject">
    <w:name w:val="annotation subject"/>
    <w:basedOn w:val="CommentText"/>
    <w:next w:val="CommentText"/>
    <w:link w:val="CommentSubjectChar"/>
    <w:uiPriority w:val="99"/>
    <w:semiHidden/>
    <w:unhideWhenUsed/>
    <w:rsid w:val="00567C34"/>
    <w:rPr>
      <w:b/>
      <w:bCs/>
    </w:rPr>
  </w:style>
  <w:style w:type="character" w:customStyle="1" w:styleId="CommentSubjectChar">
    <w:name w:val="Comment Subject Char"/>
    <w:basedOn w:val="CommentTextChar"/>
    <w:link w:val="CommentSubject"/>
    <w:uiPriority w:val="99"/>
    <w:semiHidden/>
    <w:rsid w:val="00567C34"/>
    <w:rPr>
      <w:rFonts w:ascii="Arial" w:hAnsi="Arial" w:cs="Times New Roman"/>
      <w:b/>
      <w:bCs/>
      <w:noProof/>
      <w:sz w:val="20"/>
      <w:szCs w:val="20"/>
      <w:lang w:val="en-GB"/>
    </w:rPr>
  </w:style>
  <w:style w:type="character" w:styleId="Emphasis">
    <w:name w:val="Emphasis"/>
    <w:basedOn w:val="DefaultParagraphFont"/>
    <w:uiPriority w:val="20"/>
    <w:qFormat/>
    <w:rsid w:val="00F37F15"/>
    <w:rPr>
      <w:i/>
      <w:iCs/>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name w:val="a"/>
    <w:basedOn w:val="TableNormal"/>
    <w:pPr>
      <w:spacing w:line="240" w:lineRule="auto"/>
    </w:pPr>
    <w:rPr>
      <w:color w:val="000000"/>
    </w:rPr>
    <w:tblPr>
      <w:tblStyleRowBandSize w:val="1"/>
      <w:tblStyleColBandSize w:val="1"/>
    </w:tblPr>
  </w:style>
  <w:style w:type="table" w:customStyle="1" w:styleId="a0">
    <w:name w:val="a0"/>
    <w:basedOn w:val="TableNormal"/>
    <w:pPr>
      <w:spacing w:line="240" w:lineRule="auto"/>
    </w:pPr>
    <w:rPr>
      <w:color w:val="000000"/>
    </w:rPr>
    <w:tblPr>
      <w:tblStyleRowBandSize w:val="1"/>
      <w:tblStyleColBandSize w:val="1"/>
    </w:tblPr>
  </w:style>
  <w:style w:type="paragraph" w:styleId="TableofFigures">
    <w:name w:val="table of figures"/>
    <w:basedOn w:val="Normal"/>
    <w:next w:val="Normal"/>
    <w:uiPriority w:val="99"/>
    <w:unhideWhenUsed/>
    <w:rsid w:val="00DE0BA5"/>
  </w:style>
  <w:style w:type="paragraph" w:styleId="NoSpacing">
    <w:name w:val="No Spacing"/>
    <w:uiPriority w:val="1"/>
    <w:qFormat/>
    <w:rsid w:val="007A7E57"/>
    <w:pPr>
      <w:spacing w:line="240" w:lineRule="auto"/>
    </w:pPr>
    <w:rPr>
      <w:rFonts w:cs="Times New Roman"/>
      <w:noProof/>
      <w:szCs w:val="20"/>
      <w:lang w:val="en-GB"/>
    </w:rPr>
  </w:style>
  <w:style w:type="paragraph" w:styleId="BodyText">
    <w:name w:val="Body Text"/>
    <w:basedOn w:val="Normal"/>
    <w:link w:val="BodyTextChar"/>
    <w:uiPriority w:val="99"/>
    <w:rsid w:val="00064518"/>
    <w:pPr>
      <w:widowControl w:val="0"/>
      <w:spacing w:line="240" w:lineRule="auto"/>
    </w:pPr>
    <w:rPr>
      <w:rFonts w:ascii="Calibri Light" w:eastAsia="Times New Roman" w:hAnsi="Calibri Light"/>
      <w:noProof w:val="0"/>
      <w:color w:val="FF0000"/>
      <w:szCs w:val="22"/>
      <w:lang w:eastAsia="en-GB"/>
    </w:rPr>
  </w:style>
  <w:style w:type="character" w:customStyle="1" w:styleId="BodyTextChar">
    <w:name w:val="Body Text Char"/>
    <w:basedOn w:val="DefaultParagraphFont"/>
    <w:link w:val="BodyText"/>
    <w:uiPriority w:val="99"/>
    <w:rsid w:val="00064518"/>
    <w:rPr>
      <w:rFonts w:ascii="Calibri Light" w:eastAsia="Times New Roman" w:hAnsi="Calibri Light" w:cs="Times New Roman"/>
      <w:color w:val="FF0000"/>
      <w:szCs w:val="22"/>
      <w:lang w:val="en-GB" w:eastAsia="en-GB"/>
    </w:rPr>
  </w:style>
  <w:style w:type="character" w:customStyle="1" w:styleId="ms-1">
    <w:name w:val="ms-1"/>
    <w:basedOn w:val="DefaultParagraphFont"/>
    <w:rsid w:val="00274309"/>
  </w:style>
  <w:style w:type="character" w:customStyle="1" w:styleId="max-w-15ch">
    <w:name w:val="max-w-[15ch]"/>
    <w:basedOn w:val="DefaultParagraphFont"/>
    <w:rsid w:val="00274309"/>
  </w:style>
  <w:style w:type="character" w:customStyle="1" w:styleId="-me-1">
    <w:name w:val="-me-1"/>
    <w:basedOn w:val="DefaultParagraphFont"/>
    <w:rsid w:val="00274309"/>
  </w:style>
  <w:style w:type="table" w:customStyle="1" w:styleId="Style52">
    <w:name w:val="_Style 52"/>
    <w:basedOn w:val="TableNormal"/>
    <w:rsid w:val="0047692C"/>
    <w:pPr>
      <w:spacing w:after="200" w:line="276" w:lineRule="auto"/>
      <w:jc w:val="left"/>
    </w:pPr>
    <w:rPr>
      <w:rFonts w:ascii="Tahoma" w:eastAsia="Tahoma" w:hAnsi="Tahoma" w:cs="Tahoma"/>
      <w:sz w:val="20"/>
      <w:szCs w:val="20"/>
    </w:rPr>
    <w:tblPr>
      <w:tblCellMar>
        <w:left w:w="0" w:type="dxa"/>
        <w:right w:w="0" w:type="dxa"/>
      </w:tblCellMar>
    </w:tblPr>
  </w:style>
  <w:style w:type="table" w:customStyle="1" w:styleId="Style53">
    <w:name w:val="_Style 53"/>
    <w:basedOn w:val="TableNormal"/>
    <w:rsid w:val="0047692C"/>
    <w:pPr>
      <w:spacing w:after="200" w:line="276" w:lineRule="auto"/>
      <w:jc w:val="left"/>
    </w:pPr>
    <w:rPr>
      <w:rFonts w:ascii="Tahoma" w:eastAsia="Tahoma" w:hAnsi="Tahoma" w:cs="Tahoma"/>
      <w:sz w:val="20"/>
      <w:szCs w:val="20"/>
    </w:rPr>
    <w:tblPr>
      <w:tblCellMar>
        <w:left w:w="113" w:type="dxa"/>
        <w:right w:w="113" w:type="dxa"/>
      </w:tblCellMar>
    </w:tblPr>
  </w:style>
  <w:style w:type="paragraph" w:styleId="BodyText2">
    <w:name w:val="Body Text 2"/>
    <w:basedOn w:val="Normal"/>
    <w:link w:val="BodyText2Char"/>
    <w:uiPriority w:val="99"/>
    <w:semiHidden/>
    <w:unhideWhenUsed/>
    <w:rsid w:val="00A60FA4"/>
    <w:pPr>
      <w:spacing w:after="120" w:line="480" w:lineRule="auto"/>
    </w:pPr>
  </w:style>
  <w:style w:type="character" w:customStyle="1" w:styleId="BodyText2Char">
    <w:name w:val="Body Text 2 Char"/>
    <w:basedOn w:val="DefaultParagraphFont"/>
    <w:link w:val="BodyText2"/>
    <w:uiPriority w:val="99"/>
    <w:semiHidden/>
    <w:rsid w:val="00A60FA4"/>
    <w:rPr>
      <w:rFonts w:cs="Times New Roman"/>
      <w:noProof/>
      <w:szCs w:val="20"/>
      <w:lang w:val="en-GB"/>
    </w:rPr>
  </w:style>
  <w:style w:type="table" w:styleId="GridTable1Light">
    <w:name w:val="Grid Table 1 Light"/>
    <w:basedOn w:val="TableNormal"/>
    <w:uiPriority w:val="46"/>
    <w:rsid w:val="00EC178C"/>
    <w:pPr>
      <w:spacing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jpeg"/><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image" Target="media/image7.jpeg"/><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yyuCQiOaoh8kZBafzQQmA2UpsAQ==">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</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0647282B-7438-4975-8D55-3A2630A76B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716</TotalTime>
  <Pages>20</Pages>
  <Words>4070</Words>
  <Characters>23200</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CyberSpace</Company>
  <LinksUpToDate>false</LinksUpToDate>
  <CharactersWithSpaces>27216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25</cp:revision>
  <dcterms:created xsi:type="dcterms:W3CDTF">2026-04-02T13:45:00Z</dcterms:created>
  <dcterms:modified xsi:type="dcterms:W3CDTF">2026-04-27T16:47:00Z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b3bad163-4920-40d1-8625-9ac7bb1c796d</vt:lpwstr>
  </property>
</Properties>
</file>