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ascii="Times New Roman" w:eastAsia="Times New Roman" w:hAnsi="Times New Roman" w:cs="Times New Roman"/>
          <w:color w:val="auto"/>
          <w:sz w:val="24"/>
          <w:szCs w:val="24"/>
          <w:lang w:eastAsia="en-GB"/>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77777777" w:rsidR="007D1947" w:rsidRDefault="007D194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name of the assignment</w:t>
              </w:r>
            </w:p>
          </w:sdtContent>
        </w:sdt>
        <w:sdt>
          <w:sdtPr>
            <w:rPr>
              <w:color w:val="5B9BD5" w:themeColor="accent1"/>
              <w:sz w:val="36"/>
              <w:szCs w:val="36"/>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40719D6C" w:rsidR="007D1947" w:rsidRPr="007279BC" w:rsidRDefault="007279BC">
              <w:pPr>
                <w:pStyle w:val="NoSpacing"/>
                <w:jc w:val="center"/>
                <w:rPr>
                  <w:color w:val="5B9BD5" w:themeColor="accent1"/>
                  <w:sz w:val="36"/>
                  <w:szCs w:val="36"/>
                </w:rPr>
              </w:pPr>
              <w:r w:rsidRPr="007279BC">
                <w:rPr>
                  <w:color w:val="5B9BD5" w:themeColor="accent1"/>
                  <w:sz w:val="36"/>
                  <w:szCs w:val="36"/>
                </w:rPr>
                <w:t>BUDGETTING</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27T00:00:00Z">
                                    <w:dateFormat w:val="MMMM d, yyyy"/>
                                    <w:lid w:val="en-US"/>
                                    <w:storeMappedDataAs w:val="dateTime"/>
                                    <w:calendar w:val="gregorian"/>
                                  </w:date>
                                </w:sdtPr>
                                <w:sdtContent>
                                  <w:p w14:paraId="52BAF8D9" w14:textId="5F2EEBF9" w:rsidR="007D1947" w:rsidRDefault="0099581A">
                                    <w:pPr>
                                      <w:pStyle w:val="NoSpacing"/>
                                      <w:spacing w:after="40"/>
                                      <w:jc w:val="center"/>
                                      <w:rPr>
                                        <w:caps/>
                                        <w:color w:val="5B9BD5" w:themeColor="accent1"/>
                                        <w:sz w:val="28"/>
                                        <w:szCs w:val="28"/>
                                      </w:rPr>
                                    </w:pPr>
                                    <w:r>
                                      <w:rPr>
                                        <w:caps/>
                                        <w:color w:val="5B9BD5" w:themeColor="accent1"/>
                                        <w:sz w:val="28"/>
                                        <w:szCs w:val="28"/>
                                      </w:rPr>
                                      <w:t>November 27, 2023</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27T00:00:00Z">
                              <w:dateFormat w:val="MMMM d, yyyy"/>
                              <w:lid w:val="en-US"/>
                              <w:storeMappedDataAs w:val="dateTime"/>
                              <w:calendar w:val="gregorian"/>
                            </w:date>
                          </w:sdtPr>
                          <w:sdtContent>
                            <w:p w14:paraId="52BAF8D9" w14:textId="5F2EEBF9" w:rsidR="007D1947" w:rsidRDefault="0099581A">
                              <w:pPr>
                                <w:pStyle w:val="NoSpacing"/>
                                <w:spacing w:after="40"/>
                                <w:jc w:val="center"/>
                                <w:rPr>
                                  <w:caps/>
                                  <w:color w:val="5B9BD5" w:themeColor="accent1"/>
                                  <w:sz w:val="28"/>
                                  <w:szCs w:val="28"/>
                                </w:rPr>
                              </w:pPr>
                              <w:r>
                                <w:rPr>
                                  <w:caps/>
                                  <w:color w:val="5B9BD5" w:themeColor="accent1"/>
                                  <w:sz w:val="28"/>
                                  <w:szCs w:val="28"/>
                                </w:rPr>
                                <w:t>November 27, 2023</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607ED13" w14:textId="77777777" w:rsidR="0099581A" w:rsidRDefault="0099581A" w:rsidP="007D1947">
          <w:pPr>
            <w:pStyle w:val="Heading1"/>
          </w:pPr>
        </w:p>
        <w:p w14:paraId="4B9AFF4B" w14:textId="77777777" w:rsidR="0099581A" w:rsidRDefault="0099581A" w:rsidP="007D1947">
          <w:pPr>
            <w:pStyle w:val="Heading1"/>
          </w:pPr>
        </w:p>
        <w:p w14:paraId="0EAD00A7" w14:textId="4DF6561B" w:rsidR="007D1947" w:rsidRDefault="0099581A" w:rsidP="0099581A">
          <w:pPr>
            <w:pStyle w:val="Heading1"/>
            <w:jc w:val="center"/>
            <w:rPr>
              <w:sz w:val="48"/>
              <w:szCs w:val="48"/>
            </w:rPr>
          </w:pPr>
          <w:r w:rsidRPr="0099581A">
            <w:rPr>
              <w:sz w:val="48"/>
              <w:szCs w:val="48"/>
            </w:rPr>
            <w:t>ABDOU ABOUELKHEIR (222260</w:t>
          </w:r>
          <w:r w:rsidR="001D32A2">
            <w:rPr>
              <w:sz w:val="48"/>
              <w:szCs w:val="48"/>
            </w:rPr>
            <w:t>9)</w:t>
          </w:r>
        </w:p>
        <w:p w14:paraId="307EE55B" w14:textId="77777777" w:rsidR="001D32A2" w:rsidRDefault="001D32A2" w:rsidP="001D32A2"/>
        <w:p w14:paraId="7FD22342" w14:textId="77777777" w:rsidR="001D32A2" w:rsidRDefault="001D32A2" w:rsidP="001D32A2"/>
        <w:p w14:paraId="7430CF8B" w14:textId="77777777" w:rsidR="001D32A2" w:rsidRDefault="001D32A2" w:rsidP="001D32A2"/>
        <w:p w14:paraId="2D772D93" w14:textId="77777777" w:rsidR="001D32A2" w:rsidRDefault="001D32A2" w:rsidP="001D32A2"/>
        <w:p w14:paraId="64D0DB41" w14:textId="77777777" w:rsidR="001D32A2" w:rsidRDefault="001D32A2" w:rsidP="001D32A2"/>
        <w:p w14:paraId="10392A56" w14:textId="77777777" w:rsidR="001D32A2" w:rsidRDefault="001D32A2" w:rsidP="001D32A2"/>
        <w:p w14:paraId="060F02DB" w14:textId="77777777" w:rsidR="001D32A2" w:rsidRDefault="001D32A2" w:rsidP="001D32A2"/>
        <w:p w14:paraId="120DBD22" w14:textId="77777777" w:rsidR="001D32A2" w:rsidRDefault="001D32A2" w:rsidP="001D32A2"/>
        <w:p w14:paraId="693A3922" w14:textId="77777777" w:rsidR="001D32A2" w:rsidRDefault="001D32A2" w:rsidP="001D32A2"/>
        <w:p w14:paraId="4055E62D" w14:textId="77777777" w:rsidR="001D32A2" w:rsidRDefault="001D32A2" w:rsidP="001D32A2"/>
        <w:p w14:paraId="5F4FF025" w14:textId="77777777" w:rsidR="001D32A2" w:rsidRDefault="001D32A2" w:rsidP="001D32A2"/>
        <w:p w14:paraId="1A2449E0" w14:textId="77777777" w:rsidR="001D32A2" w:rsidRPr="001D32A2" w:rsidRDefault="001D32A2" w:rsidP="001D32A2"/>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1E37C27B" w14:textId="42F2746C" w:rsidR="00084E65" w:rsidRDefault="007D1947">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p>
            <w:p w14:paraId="5C2CA2FA" w14:textId="0397D1E5" w:rsidR="00084E65" w:rsidRDefault="00000000">
              <w:pPr>
                <w:pStyle w:val="TOC1"/>
                <w:tabs>
                  <w:tab w:val="right" w:leader="dot" w:pos="9016"/>
                </w:tabs>
                <w:rPr>
                  <w:rFonts w:eastAsiaTheme="minorEastAsia"/>
                  <w:noProof/>
                  <w:lang w:eastAsia="zh-CN"/>
                </w:rPr>
              </w:pPr>
              <w:hyperlink w:anchor="_Toc115682911" w:history="1">
                <w:r w:rsidR="00084E65" w:rsidRPr="00FD33D0">
                  <w:rPr>
                    <w:rStyle w:val="Hyperlink"/>
                    <w:noProof/>
                  </w:rPr>
                  <w:t xml:space="preserve">Introduction </w:t>
                </w:r>
                <w:r w:rsidR="00084E65">
                  <w:rPr>
                    <w:noProof/>
                    <w:webHidden/>
                  </w:rPr>
                  <w:tab/>
                </w:r>
                <w:r w:rsidR="00EF7ADD">
                  <w:rPr>
                    <w:noProof/>
                    <w:webHidden/>
                  </w:rPr>
                  <w:t>1</w:t>
                </w:r>
              </w:hyperlink>
            </w:p>
            <w:p w14:paraId="4AF7D2DA" w14:textId="4C83DC98" w:rsidR="00084E65" w:rsidRDefault="00000000" w:rsidP="00EF7ADD">
              <w:pPr>
                <w:pStyle w:val="TOC1"/>
                <w:tabs>
                  <w:tab w:val="right" w:leader="dot" w:pos="9016"/>
                </w:tabs>
                <w:rPr>
                  <w:rFonts w:eastAsiaTheme="minorEastAsia"/>
                  <w:noProof/>
                  <w:lang w:eastAsia="zh-CN"/>
                </w:rPr>
              </w:pPr>
              <w:hyperlink w:anchor="_Toc115682912" w:history="1">
                <w:r w:rsidR="00084E65" w:rsidRPr="00FD33D0">
                  <w:rPr>
                    <w:rStyle w:val="Hyperlink"/>
                    <w:noProof/>
                  </w:rPr>
                  <w:t>Main Findings</w:t>
                </w:r>
                <w:r w:rsidR="00084E65">
                  <w:rPr>
                    <w:noProof/>
                    <w:webHidden/>
                  </w:rPr>
                  <w:tab/>
                </w:r>
                <w:r w:rsidR="00EF7ADD">
                  <w:rPr>
                    <w:noProof/>
                    <w:webHidden/>
                  </w:rPr>
                  <w:t>2</w:t>
                </w:r>
              </w:hyperlink>
            </w:p>
            <w:p w14:paraId="2060D9C0" w14:textId="2A478E5B" w:rsidR="00084E65" w:rsidRDefault="00000000">
              <w:pPr>
                <w:pStyle w:val="TOC1"/>
                <w:tabs>
                  <w:tab w:val="right" w:leader="dot" w:pos="9016"/>
                </w:tabs>
                <w:rPr>
                  <w:rFonts w:eastAsiaTheme="minorEastAsia"/>
                  <w:noProof/>
                  <w:lang w:eastAsia="zh-CN"/>
                </w:rPr>
              </w:pPr>
              <w:hyperlink w:anchor="_Toc115682915" w:history="1">
                <w:r w:rsidR="00084E65" w:rsidRPr="00FD33D0">
                  <w:rPr>
                    <w:rStyle w:val="Hyperlink"/>
                    <w:noProof/>
                  </w:rPr>
                  <w:t>Bibliography</w:t>
                </w:r>
                <w:r w:rsidR="00084E65">
                  <w:rPr>
                    <w:noProof/>
                    <w:webHidden/>
                  </w:rPr>
                  <w:tab/>
                </w:r>
                <w:r w:rsidR="00EF7ADD">
                  <w:rPr>
                    <w:noProof/>
                    <w:webHidden/>
                  </w:rPr>
                  <w:t>3</w:t>
                </w:r>
              </w:hyperlink>
            </w:p>
            <w:p w14:paraId="05194699" w14:textId="26365A55"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25DC41A4" w:rsidR="007D1947" w:rsidRDefault="007D1947"/>
        <w:p w14:paraId="0DCF0194" w14:textId="70600FC3" w:rsidR="00084E65" w:rsidRDefault="00084E65"/>
        <w:p w14:paraId="30499783" w14:textId="1246572E" w:rsidR="00084E65" w:rsidRDefault="00084E65"/>
        <w:p w14:paraId="2F8B4A57" w14:textId="0DAFC227" w:rsidR="00084E65" w:rsidRDefault="00084E65"/>
        <w:p w14:paraId="2AB7FDC7" w14:textId="6F8F8A31" w:rsidR="00084E65" w:rsidRDefault="00084E65"/>
        <w:p w14:paraId="70B55DE7" w14:textId="77777777" w:rsidR="00084E65" w:rsidRDefault="00084E65"/>
        <w:p w14:paraId="5CD1CE9F" w14:textId="77777777" w:rsidR="007D1947" w:rsidRDefault="007D1947"/>
        <w:p w14:paraId="77F0A10B" w14:textId="77777777" w:rsidR="007D1947" w:rsidRDefault="007D1947"/>
        <w:p w14:paraId="655F29CA" w14:textId="77777777" w:rsidR="007D1947" w:rsidRDefault="007D1947"/>
        <w:p w14:paraId="14CEE0E7" w14:textId="77777777" w:rsidR="0099581A" w:rsidRDefault="0099581A"/>
        <w:p w14:paraId="3C9FE902" w14:textId="1E7CC43F" w:rsidR="004A11F6" w:rsidRDefault="007D1947" w:rsidP="00EF7ADD">
          <w:pPr>
            <w:pStyle w:val="Heading1"/>
          </w:pPr>
          <w:bookmarkStart w:id="0" w:name="_Toc115682911"/>
          <w:r>
            <w:lastRenderedPageBreak/>
            <w:t>Introduction</w:t>
          </w:r>
          <w:r w:rsidR="00480872">
            <w:t xml:space="preserve"> </w:t>
          </w:r>
          <w:bookmarkEnd w:id="0"/>
        </w:p>
        <w:p w14:paraId="046CB65B" w14:textId="77777777" w:rsidR="00EF7ADD" w:rsidRDefault="00EF7ADD" w:rsidP="00EF7ADD"/>
        <w:p w14:paraId="485733FB" w14:textId="77777777" w:rsidR="00EF7ADD" w:rsidRDefault="00EF7ADD" w:rsidP="00EF7ADD">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Budgeting assumes a paramount significance in the effective management and regulation of fiscal assets within enterprises, particularly amidst a dynamic and rapidly evolving commercial milieu. It furnishes a comprehensive framework for strategizing, apportioning resources, and evaluating performance vis-à-vis predetermined objectives. </w:t>
          </w:r>
          <w:proofErr w:type="gramStart"/>
          <w:r>
            <w:rPr>
              <w:color w:val="000000"/>
              <w:sz w:val="27"/>
              <w:szCs w:val="27"/>
            </w:rPr>
            <w:t>Nevertheless,traditionalbudgetingmethodologyhave</w:t>
          </w:r>
          <w:proofErr w:type="gramEnd"/>
          <w:r>
            <w:rPr>
              <w:color w:val="000000"/>
              <w:sz w:val="27"/>
              <w:szCs w:val="27"/>
            </w:rPr>
            <w:t> encountered reproaches due to their lack of adaptability, protracted nature, and disconnection from the ever-evolving dynamics of enterprises.</w:t>
          </w:r>
        </w:p>
        <w:p w14:paraId="54720FA1" w14:textId="77777777" w:rsidR="00EF7ADD" w:rsidRDefault="00EF7ADD" w:rsidP="00EF7ADD">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According Liyanage and Gooneratne (2021), modern-day organizations have acknowledged the constraints associated </w:t>
          </w:r>
          <w:proofErr w:type="spellStart"/>
          <w:r>
            <w:rPr>
              <w:color w:val="000000"/>
              <w:sz w:val="27"/>
              <w:szCs w:val="27"/>
            </w:rPr>
            <w:t>withtraditionalbudgetingmethodologyand</w:t>
          </w:r>
          <w:proofErr w:type="spellEnd"/>
          <w:r>
            <w:rPr>
              <w:color w:val="000000"/>
              <w:sz w:val="27"/>
              <w:szCs w:val="27"/>
            </w:rPr>
            <w:t> have commenced their exploration of alternative approaches, including enhanced budgeting and the realm beyond budgeting. Improved budgeting entails a pragmatic method that facilitates the deficiencies inherent </w:t>
          </w:r>
          <w:proofErr w:type="spellStart"/>
          <w:r>
            <w:rPr>
              <w:color w:val="000000"/>
              <w:sz w:val="27"/>
              <w:szCs w:val="27"/>
            </w:rPr>
            <w:t>intraditionalbudgeting</w:t>
          </w:r>
          <w:proofErr w:type="spellEnd"/>
          <w:r>
            <w:rPr>
              <w:color w:val="000000"/>
              <w:sz w:val="27"/>
              <w:szCs w:val="27"/>
            </w:rPr>
            <w:t>, whereas beyond budgeting embodies a more radical deviation from established budgeting conventions. The authors underscore the significance of comprehending how organizations adeptly </w:t>
          </w:r>
          <w:proofErr w:type="spellStart"/>
          <w:r>
            <w:rPr>
              <w:color w:val="000000"/>
              <w:sz w:val="27"/>
              <w:szCs w:val="27"/>
            </w:rPr>
            <w:t>maneuver</w:t>
          </w:r>
          <w:proofErr w:type="spellEnd"/>
          <w:r>
            <w:rPr>
              <w:color w:val="000000"/>
              <w:sz w:val="27"/>
              <w:szCs w:val="27"/>
            </w:rPr>
            <w:t> the delicate balance between stability and change during the transition </w:t>
          </w:r>
          <w:proofErr w:type="spellStart"/>
          <w:r>
            <w:rPr>
              <w:color w:val="000000"/>
              <w:sz w:val="27"/>
              <w:szCs w:val="27"/>
            </w:rPr>
            <w:t>fromtraditionalto</w:t>
          </w:r>
          <w:proofErr w:type="spellEnd"/>
          <w:r>
            <w:rPr>
              <w:color w:val="000000"/>
              <w:sz w:val="27"/>
              <w:szCs w:val="27"/>
            </w:rPr>
            <w:t> enhanced budgeting. </w:t>
          </w:r>
          <w:proofErr w:type="spellStart"/>
          <w:r>
            <w:rPr>
              <w:color w:val="000000"/>
              <w:sz w:val="27"/>
              <w:szCs w:val="27"/>
            </w:rPr>
            <w:t>Ploder</w:t>
          </w:r>
          <w:proofErr w:type="spellEnd"/>
          <w:r>
            <w:rPr>
              <w:color w:val="000000"/>
              <w:sz w:val="27"/>
              <w:szCs w:val="27"/>
            </w:rPr>
            <w:t xml:space="preserve"> et al. (2020) underscore the formidable task that organizations encounter when attempting to amalgamate traditional budgeting models with agile project management. The scholars engage in discourse regarding diverse budgeting models, including activity-based </w:t>
          </w:r>
          <w:r>
            <w:rPr>
              <w:color w:val="000000"/>
              <w:sz w:val="27"/>
              <w:szCs w:val="27"/>
            </w:rPr>
            <w:lastRenderedPageBreak/>
            <w:t>budgeting, zero-based budgeting, and rolling budgets. These models, while theoretically proposed, often need help in their compatibility with the dynamic and expeditious characteristics inherent in agile project management.</w:t>
          </w:r>
        </w:p>
        <w:p w14:paraId="36CE7F76" w14:textId="77777777" w:rsidR="00EF7ADD" w:rsidRDefault="00EF7ADD" w:rsidP="00EF7ADD">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These articles elucidate the burgeoning acknowledgment among organizations </w:t>
          </w:r>
          <w:proofErr w:type="spellStart"/>
          <w:r>
            <w:rPr>
              <w:color w:val="000000"/>
              <w:sz w:val="27"/>
              <w:szCs w:val="27"/>
            </w:rPr>
            <w:t>thattraditionalbudgetingmethodologymayneed</w:t>
          </w:r>
          <w:proofErr w:type="spellEnd"/>
          <w:r>
            <w:rPr>
              <w:color w:val="000000"/>
              <w:sz w:val="27"/>
              <w:szCs w:val="27"/>
            </w:rPr>
            <w:t xml:space="preserve"> to be more harmonious with the contemporary, rapidly evolving business milieu. The inherent constraints of traditional budgeting, characterized by its rigidity, absence of adaptability, and detachment from the intricacies of business operations, have compelled organizations to explore alternative </w:t>
          </w:r>
          <w:proofErr w:type="spellStart"/>
          <w:proofErr w:type="gramStart"/>
          <w:r>
            <w:rPr>
              <w:color w:val="000000"/>
              <w:sz w:val="27"/>
              <w:szCs w:val="27"/>
            </w:rPr>
            <w:t>methodologies.Enhanced</w:t>
          </w:r>
          <w:proofErr w:type="spellEnd"/>
          <w:proofErr w:type="gramEnd"/>
          <w:r>
            <w:rPr>
              <w:color w:val="000000"/>
              <w:sz w:val="27"/>
              <w:szCs w:val="27"/>
            </w:rPr>
            <w:t xml:space="preserve"> fiscal management, as elucidated by Liyanage and Gooneratne (2021), proffers a pragmatic remedy to redress the constraints inherent </w:t>
          </w:r>
          <w:proofErr w:type="spellStart"/>
          <w:r>
            <w:rPr>
              <w:color w:val="000000"/>
              <w:sz w:val="27"/>
              <w:szCs w:val="27"/>
            </w:rPr>
            <w:t>intraditionalbudgetary</w:t>
          </w:r>
          <w:proofErr w:type="spellEnd"/>
          <w:r>
            <w:rPr>
              <w:color w:val="000000"/>
              <w:sz w:val="27"/>
              <w:szCs w:val="27"/>
            </w:rPr>
            <w:t> practices. It enables organizations to enhance their fiscal control while concurrently upholding stability in their budgeting practices. This approach duly acknowledges the imperative for change and adaptation while simultaneously recognizing the paramount significance of peace in the realms of financial planning and resource allocation.</w:t>
          </w:r>
        </w:p>
        <w:p w14:paraId="2AFCA1E4" w14:textId="77777777" w:rsidR="00EF7ADD" w:rsidRDefault="00EF7ADD" w:rsidP="00EF7ADD">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In contrast, </w:t>
          </w:r>
          <w:proofErr w:type="spellStart"/>
          <w:r>
            <w:rPr>
              <w:color w:val="000000"/>
              <w:sz w:val="27"/>
              <w:szCs w:val="27"/>
            </w:rPr>
            <w:t>Ploder</w:t>
          </w:r>
          <w:proofErr w:type="spellEnd"/>
          <w:r>
            <w:rPr>
              <w:color w:val="000000"/>
              <w:sz w:val="27"/>
              <w:szCs w:val="27"/>
            </w:rPr>
            <w:t xml:space="preserve"> et al. (2020) elucidate the formidable task of amalgamating financial planning components within agile project management. This methodology places utmost emphasis on adaptability and promptness. The authors posit a synergistic framework that seeks to reconcile the divergence between agile project management and traditional budgeting models, empowering organizations </w:t>
          </w:r>
          <w:r>
            <w:rPr>
              <w:color w:val="000000"/>
              <w:sz w:val="27"/>
              <w:szCs w:val="27"/>
            </w:rPr>
            <w:lastRenderedPageBreak/>
            <w:t>to proficiently administer their fiscal resources while wholeheartedly embracing the elegant ethos.</w:t>
          </w:r>
        </w:p>
        <w:p w14:paraId="648B2248" w14:textId="77777777" w:rsidR="00EF7ADD" w:rsidRPr="00EF7ADD" w:rsidRDefault="00EF7ADD" w:rsidP="00EF7ADD"/>
        <w:p w14:paraId="5DBAD65B" w14:textId="77777777" w:rsidR="004A11F6" w:rsidRDefault="004A11F6" w:rsidP="007D1947"/>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0EB1AA98" w14:textId="77777777" w:rsidR="004A11F6" w:rsidRDefault="004A11F6" w:rsidP="007D1947"/>
        <w:p w14:paraId="50EA4EC0" w14:textId="77777777" w:rsidR="004A11F6" w:rsidRDefault="004A11F6" w:rsidP="007D1947"/>
        <w:p w14:paraId="47DC0B2B" w14:textId="77777777" w:rsidR="004A11F6" w:rsidRDefault="004A11F6" w:rsidP="007D1947"/>
        <w:p w14:paraId="5FA54E48" w14:textId="77777777" w:rsidR="004A11F6" w:rsidRDefault="004A11F6" w:rsidP="007D1947"/>
        <w:p w14:paraId="63B8FBF1" w14:textId="77777777" w:rsidR="004A11F6" w:rsidRDefault="004A11F6" w:rsidP="007D1947"/>
        <w:p w14:paraId="4AA639F2" w14:textId="77777777" w:rsidR="004A11F6" w:rsidRDefault="004A11F6" w:rsidP="007D1947"/>
        <w:p w14:paraId="6609DA3E" w14:textId="77777777" w:rsidR="004A11F6" w:rsidRDefault="004A11F6" w:rsidP="007D1947"/>
        <w:p w14:paraId="23067ADB" w14:textId="77777777" w:rsidR="004A11F6" w:rsidRDefault="004A11F6" w:rsidP="007D1947"/>
        <w:p w14:paraId="4AA3E07A" w14:textId="77777777" w:rsidR="004A11F6" w:rsidRDefault="004A11F6" w:rsidP="007D1947"/>
        <w:p w14:paraId="0BE775A6" w14:textId="77777777" w:rsidR="004A11F6" w:rsidRDefault="004A11F6" w:rsidP="007D1947"/>
        <w:p w14:paraId="4999262A" w14:textId="77777777" w:rsidR="004A11F6" w:rsidRDefault="004A11F6" w:rsidP="007D1947"/>
        <w:p w14:paraId="1359F054" w14:textId="77777777" w:rsidR="004A11F6" w:rsidRDefault="004A11F6" w:rsidP="007D1947"/>
        <w:p w14:paraId="7C657C89" w14:textId="77777777" w:rsidR="00AA2A91" w:rsidRDefault="00AA2A91" w:rsidP="004D519C"/>
        <w:p w14:paraId="2E293EB9" w14:textId="77777777" w:rsidR="00480872" w:rsidRDefault="00480872" w:rsidP="00AA2A91">
          <w:pPr>
            <w:pStyle w:val="Heading1"/>
          </w:pPr>
          <w:bookmarkStart w:id="1" w:name="_Toc115682912"/>
          <w:r>
            <w:lastRenderedPageBreak/>
            <w:t>Main Findings</w:t>
          </w:r>
          <w:bookmarkEnd w:id="1"/>
        </w:p>
        <w:p w14:paraId="4133DA70" w14:textId="5950E7A1" w:rsidR="00480872" w:rsidRDefault="00480872" w:rsidP="00480872">
          <w:pPr>
            <w:pStyle w:val="Heading2"/>
          </w:pPr>
        </w:p>
        <w:p w14:paraId="4FF6E35F" w14:textId="77777777" w:rsidR="0099581A" w:rsidRDefault="0099581A" w:rsidP="0099581A">
          <w:pPr>
            <w:pStyle w:val="NormalWeb"/>
            <w:shd w:val="clear" w:color="auto" w:fill="FFFFFF"/>
            <w:spacing w:before="0" w:beforeAutospacing="0" w:after="0" w:afterAutospacing="0" w:line="480" w:lineRule="auto"/>
            <w:jc w:val="center"/>
            <w:rPr>
              <w:rFonts w:ascii="-webkit-standard" w:hAnsi="-webkit-standard"/>
              <w:color w:val="000000"/>
              <w:sz w:val="27"/>
              <w:szCs w:val="27"/>
            </w:rPr>
          </w:pPr>
          <w:r>
            <w:rPr>
              <w:b/>
              <w:bCs/>
              <w:color w:val="000000"/>
              <w:sz w:val="27"/>
              <w:szCs w:val="27"/>
            </w:rPr>
            <w:t>Critique of Traditional Budgeting Approaches</w:t>
          </w:r>
        </w:p>
        <w:p w14:paraId="4D7D8914" w14:textId="77777777" w:rsidR="0099581A" w:rsidRDefault="0099581A" w:rsidP="0099581A">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The traditional approaches to budgeting have faced enduring criticism due to their inherent weakness, thereby impeding the successful execution of alternative frameworks for strategic transformation. The flaws above encompass a need for more malleability and adaptability, a preoccupation with ephemeral objectives, a prioritization of marginal modifications over ground-breaking advancements, and a protracted and resource-intensive undertaking.</w:t>
          </w:r>
        </w:p>
        <w:p w14:paraId="6400AEBD" w14:textId="77777777" w:rsidR="0099581A" w:rsidRDefault="0099581A" w:rsidP="0099581A">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First it is imperative to note that traditional budgeting methods exhibit an absence need of more flexibility and adaptability, owing to their inherent reliance on predetermined objectives and inflexible disbursement allocations. This phenomenon may lead to a lack of adaptability in the face of unforeseen alterations, such as fluctuations in external circumstances or internal focal points. According to Mauro et al. (2019), the absence of flexibility can impede the budget's capacity to adapt to evolving needs and strategic goals effectively. This deficiency inhibits the productive implementation of alternative models, as it constrains the organization's capacity to allocate resources and respond to emerging opportunities or challenges dynamically.</w:t>
          </w:r>
        </w:p>
        <w:p w14:paraId="093C66C6" w14:textId="77777777" w:rsidR="0099581A" w:rsidRDefault="0099581A" w:rsidP="0099581A">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 xml:space="preserve">Furthermore, it is worth noting that traditional budgeting approaches often prioritize immediate objectives and outcomes, neglecting the broader, long-term strategic aims. The myopic nature of this short-term orientation may engender suboptimal decision-making, as the allocation of resources may be skewed towards </w:t>
          </w:r>
          <w:r>
            <w:rPr>
              <w:color w:val="000000"/>
              <w:sz w:val="27"/>
              <w:szCs w:val="27"/>
            </w:rPr>
            <w:lastRenderedPageBreak/>
            <w:t>maximizing immediate gains, thereby neglecting the imperative of bolstering long-term strategic objectives. Bergmann et al. (2020) emphasize that a myopic perspective can impede the productive implementation of alternative frameworks prioritizing enduring sustainable growth and innovation. Performance-based budgeting (PBB), conversely, </w:t>
          </w:r>
          <w:proofErr w:type="spellStart"/>
          <w:r>
            <w:rPr>
              <w:color w:val="000000"/>
              <w:sz w:val="27"/>
              <w:szCs w:val="27"/>
            </w:rPr>
            <w:t>endeavors</w:t>
          </w:r>
          <w:proofErr w:type="spellEnd"/>
          <w:r>
            <w:rPr>
              <w:color w:val="000000"/>
              <w:sz w:val="27"/>
              <w:szCs w:val="27"/>
            </w:rPr>
            <w:t> to synchronize budgetary determinations with strategic objectives and outcomes, thus effectively mitigating this inherent deficiency. In their recent study, </w:t>
          </w:r>
          <w:proofErr w:type="spellStart"/>
          <w:r>
            <w:rPr>
              <w:color w:val="000000"/>
              <w:sz w:val="27"/>
              <w:szCs w:val="27"/>
            </w:rPr>
            <w:t>Pratolo</w:t>
          </w:r>
          <w:proofErr w:type="spellEnd"/>
          <w:r>
            <w:rPr>
              <w:color w:val="000000"/>
              <w:sz w:val="27"/>
              <w:szCs w:val="27"/>
            </w:rPr>
            <w:t> et al. (2020) ascertain that the implementation of Performance-Based Budgeting (PBB) within higher education institutions yields a </w:t>
          </w:r>
          <w:proofErr w:type="spellStart"/>
          <w:r>
            <w:rPr>
              <w:color w:val="000000"/>
              <w:sz w:val="27"/>
              <w:szCs w:val="27"/>
            </w:rPr>
            <w:t>favorable</w:t>
          </w:r>
          <w:proofErr w:type="spellEnd"/>
          <w:r>
            <w:rPr>
              <w:color w:val="000000"/>
              <w:sz w:val="27"/>
              <w:szCs w:val="27"/>
            </w:rPr>
            <w:t> impact on quality. This finding implies that a deliberate emphasis on long-term objectives and outcomes enhances the efficacy of budgetary processes.</w:t>
          </w:r>
        </w:p>
        <w:p w14:paraId="6D3F72CC" w14:textId="77777777" w:rsidR="0099581A" w:rsidRDefault="0099581A" w:rsidP="0099581A">
          <w:pPr>
            <w:pStyle w:val="NormalWeb"/>
            <w:shd w:val="clear" w:color="auto" w:fill="FFFFFF"/>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3623F724" w14:textId="77777777" w:rsidR="0099581A" w:rsidRDefault="0099581A" w:rsidP="0099581A">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 xml:space="preserve">Furthermore, traditional budgeting methodology exhibits a propensity for endorsing incremental modifications instead of fostering innovation. This phenomenon can be attributed to the historical emphasis on cost containment and a prudent strategy for resource allocation. According to Mauro et al. (2020), the absence of more stress placed on innovation hampers the flourishing of creativity and constrains organizations' capacity to respond to dynamic environments effectively. Alternative models for strategic change, such as zero-based or activity-based budgeting, manifest a heightened emphasis on innovation and the optimization of resources. These models foster a culture of critical inquiry within organizations, prompting them to scrutinize prevailing practices and judiciously </w:t>
          </w:r>
          <w:r>
            <w:rPr>
              <w:color w:val="000000"/>
              <w:sz w:val="27"/>
              <w:szCs w:val="27"/>
            </w:rPr>
            <w:lastRenderedPageBreak/>
            <w:t>allocate resources by their intrinsic value and prospective impact. By engaging in such actions, they foster a climate conducive to innovation and empower organizations to address nascent challenges and seize emerging opportunities adeptly.</w:t>
          </w:r>
        </w:p>
        <w:p w14:paraId="1CCD03CF" w14:textId="77777777" w:rsidR="0099581A" w:rsidRDefault="0099581A" w:rsidP="0099581A">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Traditional budgeting methods are commonly regarded as laborious and demanding regarding time and resources. The considerable duration and exertion necessitated to prepare, scrutinize, and deliberate budgets may divert precious resources from other consequential </w:t>
          </w:r>
          <w:proofErr w:type="spellStart"/>
          <w:r>
            <w:rPr>
              <w:color w:val="000000"/>
              <w:sz w:val="27"/>
              <w:szCs w:val="27"/>
            </w:rPr>
            <w:t>endeavors</w:t>
          </w:r>
          <w:proofErr w:type="spellEnd"/>
          <w:r>
            <w:rPr>
              <w:color w:val="000000"/>
              <w:sz w:val="27"/>
              <w:szCs w:val="27"/>
            </w:rPr>
            <w:t xml:space="preserve">. According to Mauro et al. (2019), it is contended that such circumstances can give rise to a shortage of engagement and participation among pivotal organizational stakeholders, thereby impeding the productive execution of alternative frameworks for strategic transformation. The utilization of business analytics and the digitization of the budgeting process, as elucidated by Bergmann et al. (2020), can alleviate this </w:t>
          </w:r>
          <w:proofErr w:type="gramStart"/>
          <w:r>
            <w:rPr>
              <w:color w:val="000000"/>
              <w:sz w:val="27"/>
              <w:szCs w:val="27"/>
            </w:rPr>
            <w:t>particular weakness</w:t>
          </w:r>
          <w:proofErr w:type="gramEnd"/>
          <w:r>
            <w:rPr>
              <w:color w:val="000000"/>
              <w:sz w:val="27"/>
              <w:szCs w:val="27"/>
            </w:rPr>
            <w:t xml:space="preserve"> by efficaciously streamlining the budgeting process and mitigating the strain on resources. Through the implementation of automated processes and the provision of real-time data and analytics, organizations can enhance their ability to make well-informed and highly efficient budgetary decisions. This, in turn, allows for allocating resources towards other strategic initiatives, thereby optimizing overall operational effectiveness.</w:t>
          </w:r>
        </w:p>
        <w:p w14:paraId="0017ECFA" w14:textId="77777777" w:rsidR="0099581A" w:rsidRDefault="0099581A" w:rsidP="0099581A">
          <w:pPr>
            <w:pStyle w:val="NormalWeb"/>
            <w:shd w:val="clear" w:color="auto" w:fill="FFFFFF"/>
            <w:spacing w:before="0" w:beforeAutospacing="0" w:after="0" w:afterAutospacing="0" w:line="480" w:lineRule="auto"/>
            <w:jc w:val="center"/>
            <w:rPr>
              <w:rFonts w:ascii="-webkit-standard" w:hAnsi="-webkit-standard"/>
              <w:color w:val="000000"/>
              <w:sz w:val="27"/>
              <w:szCs w:val="27"/>
            </w:rPr>
          </w:pPr>
          <w:r>
            <w:rPr>
              <w:b/>
              <w:bCs/>
              <w:color w:val="000000"/>
              <w:sz w:val="27"/>
              <w:szCs w:val="27"/>
            </w:rPr>
            <w:t>Introduction to the Beyond Budgeting Model</w:t>
          </w:r>
        </w:p>
        <w:p w14:paraId="30EADEF4" w14:textId="77777777" w:rsidR="0099581A" w:rsidRDefault="0099581A" w:rsidP="0099581A">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 xml:space="preserve">The Beyond Budgeting Model emerged in response to acknowledging the constraints inherent in conventional budgeting methodologies. Traditional </w:t>
          </w:r>
          <w:r>
            <w:rPr>
              <w:color w:val="000000"/>
              <w:sz w:val="27"/>
              <w:szCs w:val="27"/>
            </w:rPr>
            <w:lastRenderedPageBreak/>
            <w:t>budgeting emphasizes inflexible targets, meticulous planning, and centralized control, thereby impeding the adaptability and skill of contemporary organizations. Organizations operating within dynamic and uncertain business environments necessitate a heightened emphasis on adaptability and responsiveness in their budgeting strategies.</w:t>
          </w:r>
        </w:p>
        <w:p w14:paraId="3D780FF5" w14:textId="77777777" w:rsidR="0099581A" w:rsidRDefault="0099581A" w:rsidP="0099581A">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According to </w:t>
          </w:r>
          <w:proofErr w:type="spellStart"/>
          <w:r>
            <w:rPr>
              <w:color w:val="000000"/>
              <w:sz w:val="27"/>
              <w:szCs w:val="27"/>
            </w:rPr>
            <w:t>Sandalgaard</w:t>
          </w:r>
          <w:proofErr w:type="spellEnd"/>
          <w:r>
            <w:rPr>
              <w:color w:val="000000"/>
              <w:sz w:val="27"/>
              <w:szCs w:val="27"/>
            </w:rPr>
            <w:t> and Bukh (2014), the emergence of the Beyond Budgeting Model can be attributed to a yearning for a heightened level of flexibility and dynamism in Budgeting, empowering organizations to adapt to ever-changing circumstances swiftly. This model underscores organizations' need to exhibit agility, empower employees, and foster decentralized decision-making. It promotes organizations transitioning away from rigid objectives and yearly fiscal cycles and instead prioritizing ongoing strategic planning and resource distribution.</w:t>
          </w:r>
        </w:p>
        <w:p w14:paraId="4208FEE6" w14:textId="77777777" w:rsidR="0099581A" w:rsidRDefault="0099581A" w:rsidP="0099581A">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The Beyond Budgeting Model places a paramount emphasis on the principles of empowerment and autonomy in decision-making. It acknowledges the detrimental effects of hierarchical control and excessive managerial oversight on the fostering of creativity and innovation. By bestowing authority upon employees and fostering a culture of distributed decision-making, organizations can harness the aptitudes and erudition of their workforce, thereby resulting in heightened levels of engagement, innovation, and problem-solving proficiencies.</w:t>
          </w:r>
        </w:p>
        <w:p w14:paraId="6E278FAC" w14:textId="77777777" w:rsidR="0099581A" w:rsidRDefault="0099581A" w:rsidP="0099581A">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 xml:space="preserve">The efficacy of the Beyond Budgeting Model has been evaluated via comprehensive case studies and empirical substantiation. In their seminal work, Matějka et al. (2021) undertook a thorough investigation, juxtaposing the </w:t>
          </w:r>
          <w:r>
            <w:rPr>
              <w:color w:val="000000"/>
              <w:sz w:val="27"/>
              <w:szCs w:val="27"/>
            </w:rPr>
            <w:lastRenderedPageBreak/>
            <w:t xml:space="preserve">management control practices of organizations that have embraced the paradigm of Beyond Budgeting with those that have remained steadfast in traditional approaches. It has been observed that enterprises that adopt the Beyond Budgeting approach exhibit a propensity for employing elevated degrees of decentralization, embracing resource allocations that lack rigid temporal constraints, using relative target-setting methodologies, and utilizing individual incentives of a relatively weaker </w:t>
          </w:r>
          <w:proofErr w:type="spellStart"/>
          <w:r>
            <w:rPr>
              <w:color w:val="000000"/>
              <w:sz w:val="27"/>
              <w:szCs w:val="27"/>
            </w:rPr>
            <w:t>nature.The</w:t>
          </w:r>
          <w:proofErr w:type="spellEnd"/>
          <w:r>
            <w:rPr>
              <w:color w:val="000000"/>
              <w:sz w:val="27"/>
              <w:szCs w:val="27"/>
            </w:rPr>
            <w:t xml:space="preserve"> findings above indicate that the Beyond Budgeting Model has effectively facilitated the promotion of decentralized decision-making and the empowerment of employees. By bestowing upon </w:t>
          </w:r>
          <w:proofErr w:type="gramStart"/>
          <w:r>
            <w:rPr>
              <w:color w:val="000000"/>
              <w:sz w:val="27"/>
              <w:szCs w:val="27"/>
            </w:rPr>
            <w:t>employees</w:t>
          </w:r>
          <w:proofErr w:type="gramEnd"/>
          <w:r>
            <w:rPr>
              <w:color w:val="000000"/>
              <w:sz w:val="27"/>
              <w:szCs w:val="27"/>
            </w:rPr>
            <w:t> a greater degree of autonomy and flexibility in the allocation of resources, organizations are apt to exhibit a heightened capacity to adapt to the ever-evolving dynamics of the market, thereby fostering a climate conducive to the cultivation of innovation.</w:t>
          </w:r>
        </w:p>
        <w:p w14:paraId="7EBFBCAE" w14:textId="77777777" w:rsidR="0099581A" w:rsidRDefault="0099581A" w:rsidP="0099581A">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Nevertheless, the research additionally discovered that numerous establishments </w:t>
          </w:r>
          <w:proofErr w:type="spellStart"/>
          <w:r>
            <w:rPr>
              <w:color w:val="000000"/>
              <w:sz w:val="27"/>
              <w:szCs w:val="27"/>
            </w:rPr>
            <w:t>endeavoring</w:t>
          </w:r>
          <w:proofErr w:type="spellEnd"/>
          <w:r>
            <w:rPr>
              <w:color w:val="000000"/>
              <w:sz w:val="27"/>
              <w:szCs w:val="27"/>
            </w:rPr>
            <w:t> to implement Beyond Budgeting continue to encounter challenges in diminishing their dependence on inflexible yearly budgets for decision-making purposes, as well as employing financial performance measures for evaluating performance. This observation suggests that although the Beyond Budgeting Model promotes adaptability, specific organizations encounter difficulties in wholeheartedly adopting this novel approach.</w:t>
          </w:r>
        </w:p>
        <w:p w14:paraId="1CB66184" w14:textId="77777777" w:rsidR="0099581A" w:rsidRDefault="0099581A" w:rsidP="0099581A">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 xml:space="preserve">Hansen (2011) presents a comprehensive theoretical examination of the ramifications associated with adopting Beyond Budgeting in contrast to conventional budgeting alternatives such as rolling budgets and activity-based </w:t>
          </w:r>
          <w:r>
            <w:rPr>
              <w:color w:val="000000"/>
              <w:sz w:val="27"/>
              <w:szCs w:val="27"/>
            </w:rPr>
            <w:lastRenderedPageBreak/>
            <w:t>Budgeting. Hansen's analysis reveals that, from a holistic organizational standpoint, each budgeting alternative exhibits a positive impact on profitability. This proposition posits that the implementation of Beyond Budgeting has the potential to yield a </w:t>
          </w:r>
          <w:proofErr w:type="spellStart"/>
          <w:r>
            <w:rPr>
              <w:color w:val="000000"/>
              <w:sz w:val="27"/>
              <w:szCs w:val="27"/>
            </w:rPr>
            <w:t>favorable</w:t>
          </w:r>
          <w:proofErr w:type="spellEnd"/>
          <w:r>
            <w:rPr>
              <w:color w:val="000000"/>
              <w:sz w:val="27"/>
              <w:szCs w:val="27"/>
            </w:rPr>
            <w:t> influence on the overall performance of an organization.</w:t>
          </w:r>
        </w:p>
        <w:p w14:paraId="1BC7B3A3" w14:textId="77777777" w:rsidR="0099581A" w:rsidRDefault="0099581A" w:rsidP="0099581A">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The scholarly literature additionally underscores the prospective advantages of the Beyond Budgeting Model in fostering innovation. Through the strategic empowerment of employees and the cultivation of a corporate culture that values autonomy and encourages creativity, organizations can unlock the untapped reservoir of innovative potential within their workforce. This notion is substantiated by </w:t>
          </w:r>
          <w:proofErr w:type="spellStart"/>
          <w:r>
            <w:rPr>
              <w:color w:val="000000"/>
              <w:sz w:val="27"/>
              <w:szCs w:val="27"/>
            </w:rPr>
            <w:t>Sandalgaard</w:t>
          </w:r>
          <w:proofErr w:type="spellEnd"/>
          <w:r>
            <w:rPr>
              <w:color w:val="000000"/>
              <w:sz w:val="27"/>
              <w:szCs w:val="27"/>
            </w:rPr>
            <w:t> and Bukh (2014), who posit that the Beyond Budgeting Model fosters innovation by affording organizations the agility to promptly respond to dynamic circumstances and harness the expertise and understanding of their personnel.</w:t>
          </w:r>
        </w:p>
        <w:p w14:paraId="57432DE9" w14:textId="77777777" w:rsidR="0099581A" w:rsidRDefault="0099581A" w:rsidP="0099581A">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Nevertheless, it is imperative to acknowledge that the triumph of the Beyond Budgeting Model may exhibit variability contingent upon the contextual circumstances and precise execution. In their seminal work, </w:t>
          </w:r>
          <w:proofErr w:type="spellStart"/>
          <w:r>
            <w:rPr>
              <w:color w:val="000000"/>
              <w:sz w:val="27"/>
              <w:szCs w:val="27"/>
            </w:rPr>
            <w:t>Sandalgaard</w:t>
          </w:r>
          <w:proofErr w:type="spellEnd"/>
          <w:r>
            <w:rPr>
              <w:color w:val="000000"/>
              <w:sz w:val="27"/>
              <w:szCs w:val="27"/>
            </w:rPr>
            <w:t xml:space="preserve"> and Bukh (2014) discovered that the absence of internal benchmarks and the imperative to meet anticipated outcomes for company proprietors could impede the adoption of the Beyond Budgeting Model, as expounded upon in the practitioner-oriented literature. This elucidates the formidable obstacles that organizations may </w:t>
          </w:r>
          <w:r>
            <w:rPr>
              <w:color w:val="000000"/>
              <w:sz w:val="27"/>
              <w:szCs w:val="27"/>
            </w:rPr>
            <w:lastRenderedPageBreak/>
            <w:t>encounter in wholeheartedly embracing and executing the Beyond Budgeting philosophy.</w:t>
          </w:r>
        </w:p>
        <w:p w14:paraId="4745183D" w14:textId="77777777" w:rsidR="0099581A" w:rsidRDefault="0099581A" w:rsidP="0099581A">
          <w:pPr>
            <w:pStyle w:val="NormalWeb"/>
            <w:shd w:val="clear" w:color="auto" w:fill="FFFFFF"/>
            <w:spacing w:before="0" w:beforeAutospacing="0" w:after="0" w:afterAutospacing="0" w:line="480" w:lineRule="auto"/>
            <w:jc w:val="center"/>
            <w:rPr>
              <w:rFonts w:ascii="-webkit-standard" w:hAnsi="-webkit-standard"/>
              <w:color w:val="000000"/>
              <w:sz w:val="27"/>
              <w:szCs w:val="27"/>
            </w:rPr>
          </w:pPr>
          <w:r>
            <w:rPr>
              <w:b/>
              <w:bCs/>
              <w:color w:val="000000"/>
              <w:sz w:val="27"/>
              <w:szCs w:val="27"/>
            </w:rPr>
            <w:t>Barriers to Implementing the Beyond Budgeting Model</w:t>
          </w:r>
        </w:p>
        <w:p w14:paraId="40BFB8C6" w14:textId="77777777" w:rsidR="0099581A" w:rsidRDefault="0099581A" w:rsidP="0099581A">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The Beyond Budgeting Model represents a contemporary approach to performance management, seeking to supplant conventional budgeting procedures. Although this model has demonstrated successful implementation in specific organizations, it is essential to acknowledge the existence of various barriers that may impede its effective execution. This discourse shall </w:t>
          </w:r>
          <w:proofErr w:type="spellStart"/>
          <w:r>
            <w:rPr>
              <w:color w:val="000000"/>
              <w:sz w:val="27"/>
              <w:szCs w:val="27"/>
            </w:rPr>
            <w:t>endeavor</w:t>
          </w:r>
          <w:proofErr w:type="spellEnd"/>
          <w:r>
            <w:rPr>
              <w:color w:val="000000"/>
              <w:sz w:val="27"/>
              <w:szCs w:val="27"/>
            </w:rPr>
            <w:t> to discern and assess the prospective impediments while examining the influence of the industry within which an organization operates in augmenting or diminishing said barriers.</w:t>
          </w:r>
        </w:p>
        <w:p w14:paraId="16204AE4" w14:textId="77777777" w:rsidR="0099581A" w:rsidRDefault="0099581A" w:rsidP="0099581A">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One conceivable obstacle to implementing the Beyond Budgeting Model resides in the prevailing resistance to change exhibited by both management and employees. This resistance may arise due to apprehension towards the unfamiliar, the preference for established procedures, or anxieties surrounding employment stability. The scholarly publication authored by Velazquez and </w:t>
          </w:r>
          <w:proofErr w:type="spellStart"/>
          <w:r>
            <w:rPr>
              <w:color w:val="000000"/>
              <w:sz w:val="27"/>
              <w:szCs w:val="27"/>
            </w:rPr>
            <w:t>Urmaničová</w:t>
          </w:r>
          <w:proofErr w:type="spellEnd"/>
          <w:r>
            <w:rPr>
              <w:color w:val="000000"/>
              <w:sz w:val="27"/>
              <w:szCs w:val="27"/>
            </w:rPr>
            <w:t> (2019) elucidates the paramount significance of culture and leaders in effectively navigating and addressing this prevailing resistance. If the organizational culture fosters an environment conducive to innovation and perpetual enhancement, and if the leaders serve as catalysts for progress, the impediment of resistance can be surmounted. Nevertheless, should the organizational culture exhibit a steadfast aversion to change, or should the leaders fail to endorse the implementation of the model above, surmounting this obstacle may be a formidable task.</w:t>
          </w:r>
        </w:p>
        <w:p w14:paraId="6FE5C0D3" w14:textId="77777777" w:rsidR="0099581A" w:rsidRDefault="0099581A" w:rsidP="0099581A">
          <w:pPr>
            <w:pStyle w:val="NormalWeb"/>
            <w:shd w:val="clear" w:color="auto" w:fill="FFFFFF"/>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lastRenderedPageBreak/>
            <w:t>​</w:t>
          </w:r>
          <w:r>
            <w:rPr>
              <w:color w:val="000000"/>
              <w:sz w:val="27"/>
              <w:szCs w:val="27"/>
            </w:rPr>
            <w:t>One additional impediment to the successful implementation of the Beyond Budgeting Model resides in the absence of more support and endorsement from upper management and pivotal stakeholders. Implementing any substantial change within an organization can prove to be a formidable task without the invaluable help and blessing of esteemed senior leaders. The scholarly publication by Velazquez and </w:t>
          </w:r>
          <w:proofErr w:type="spellStart"/>
          <w:r>
            <w:rPr>
              <w:color w:val="000000"/>
              <w:sz w:val="27"/>
              <w:szCs w:val="27"/>
            </w:rPr>
            <w:t>Urmaničov</w:t>
          </w:r>
          <w:proofErr w:type="spellEnd"/>
          <w:r>
            <w:rPr>
              <w:color w:val="000000"/>
              <w:sz w:val="27"/>
              <w:szCs w:val="27"/>
            </w:rPr>
            <w:t> á (2019) underscores the paramount significance of leaders as catalysts for propelling transformative progress. Suppose the highest echelons of management do not exhibit unwavering dedication to implementing the Beyond Budgeting Model. In that case, it has the potential to impede the forward momentum and widespread acceptance of this novel approach.</w:t>
          </w:r>
        </w:p>
        <w:p w14:paraId="5C23611A" w14:textId="77777777" w:rsidR="0099581A" w:rsidRDefault="0099581A" w:rsidP="0099581A">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Insufficient transparency and comprehension of the principles and methodologies of the Beyond Budgeting Model pose an impediment to its successful implementation. If employees and managers need more understanding regarding the underlying logic of the model or its divergence from conventional budgeting practices, it may engender opposition and a hesitancy to embrace the novel methodology. This obstacle can be surmounted using efficacious communication, comprehensive training, and erudition about the principles and methods of the Beyond Budgeting Model.</w:t>
          </w:r>
        </w:p>
        <w:p w14:paraId="5451056D" w14:textId="77777777" w:rsidR="0099581A" w:rsidRDefault="0099581A" w:rsidP="0099581A">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 xml:space="preserve">The organizational culture and structure may also impede the implementation of the Beyond Budgeting Model. Should an organization possess a culture and structure that is hierarchical and centralized, it is likely to exhibit resistance toward embracing the decentralized and agile characteristics inherent in the Beyond </w:t>
          </w:r>
          <w:r>
            <w:rPr>
              <w:color w:val="000000"/>
              <w:sz w:val="27"/>
              <w:szCs w:val="27"/>
            </w:rPr>
            <w:lastRenderedPageBreak/>
            <w:t>Budgeting Model. The scholarly article authored by da Silva (2015) delves into the examination of how the Beyond Budgeting Model facilitates the cultivation of strategic alignment and decentralization within organizational structures, thereby potentially engendering discord with conventional hierarchical cultures. To surmount this impediment, one must undertake a transformative cultural paradigm shift and engage in a comprehensive reassessment of the organization's framework and operational methodologies.</w:t>
          </w:r>
        </w:p>
        <w:p w14:paraId="4349FE6A" w14:textId="77777777" w:rsidR="0099581A" w:rsidRDefault="0099581A" w:rsidP="0099581A">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The sector in which an organization operates can augment or diminish the impediments to executing the Beyond Budgeting Model. Various industry-specific factors, including but not limited to competition, regulations, and market volatility, can exert a substantial influence on the feasibility and ultimate triumph of implementing the Beyond Budgeting Model. Industries characterized by intense competition may exhibit a greater degree of resistance to change owing to the preoccupation of organizations with immediate objectives and performance targets. Likewise, industries characterized by stringent regulations or compliance obligations may need help in effectively implementing the adaptable and decentralized nature of the proposed model.</w:t>
          </w:r>
        </w:p>
        <w:p w14:paraId="08B1FDDB" w14:textId="77777777" w:rsidR="0099581A" w:rsidRDefault="0099581A" w:rsidP="0099581A">
          <w:pPr>
            <w:pStyle w:val="NormalWeb"/>
            <w:shd w:val="clear" w:color="auto" w:fill="FFFFFF"/>
            <w:spacing w:before="0" w:beforeAutospacing="0" w:after="0" w:afterAutospacing="0" w:line="480" w:lineRule="auto"/>
            <w:ind w:firstLine="540"/>
            <w:rPr>
              <w:rFonts w:ascii="-webkit-standard" w:hAnsi="-webkit-standard"/>
              <w:color w:val="000000"/>
              <w:sz w:val="27"/>
              <w:szCs w:val="27"/>
            </w:rPr>
          </w:pPr>
          <w:r>
            <w:rPr>
              <w:color w:val="000000"/>
              <w:sz w:val="27"/>
              <w:szCs w:val="27"/>
            </w:rPr>
            <w:t xml:space="preserve">Moreover, the degree of organizational and industry maturation in embracing alternative budgeting methodologies can significantly impact the impediments to implementing the Beyond Budgeting Model. Organizations and enterprises with a rich legacy of embracing innovation and readily adopting novel methods are likely to exhibit heightened receptiveness and adaptability towards the Beyond Budgeting </w:t>
          </w:r>
          <w:r>
            <w:rPr>
              <w:color w:val="000000"/>
              <w:sz w:val="27"/>
              <w:szCs w:val="27"/>
            </w:rPr>
            <w:lastRenderedPageBreak/>
            <w:t>Model. In contrast, organizations and industries that adhere to conventional practices and show a greater aversion to change may encounter heightened obstacles when implementing the model above.</w:t>
          </w:r>
          <w:r>
            <w:rPr>
              <w:rFonts w:ascii="-webkit-standard" w:hAnsi="-webkit-standard"/>
              <w:color w:val="000000"/>
              <w:sz w:val="27"/>
              <w:szCs w:val="27"/>
            </w:rPr>
            <w:t>​</w:t>
          </w:r>
        </w:p>
        <w:p w14:paraId="2F6469C4" w14:textId="77777777" w:rsidR="0099581A" w:rsidRDefault="0099581A" w:rsidP="0099581A">
          <w:pPr>
            <w:pStyle w:val="NormalWeb"/>
            <w:shd w:val="clear" w:color="auto" w:fill="FFFFFF"/>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3A3A4850" w14:textId="77777777" w:rsidR="0099581A" w:rsidRDefault="0099581A" w:rsidP="0099581A">
          <w:pPr>
            <w:pStyle w:val="NormalWeb"/>
            <w:shd w:val="clear" w:color="auto" w:fill="FFFFFF"/>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68F5032C" w14:textId="77777777" w:rsidR="0099581A" w:rsidRDefault="0099581A" w:rsidP="0099581A">
          <w:pPr>
            <w:pStyle w:val="NormalWeb"/>
            <w:shd w:val="clear" w:color="auto" w:fill="FFFFFF"/>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1A878E39" w14:textId="77777777" w:rsidR="0099581A" w:rsidRDefault="0099581A" w:rsidP="0099581A">
          <w:pPr>
            <w:pStyle w:val="NormalWeb"/>
            <w:shd w:val="clear" w:color="auto" w:fill="FFFFFF"/>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5D67CF03" w14:textId="77777777" w:rsidR="0099581A" w:rsidRDefault="0099581A" w:rsidP="0099581A">
          <w:pPr>
            <w:pStyle w:val="NormalWeb"/>
            <w:shd w:val="clear" w:color="auto" w:fill="FFFFFF"/>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727D89AB" w14:textId="77777777" w:rsidR="0099581A" w:rsidRDefault="0099581A" w:rsidP="0099581A">
          <w:pPr>
            <w:pStyle w:val="NormalWeb"/>
            <w:shd w:val="clear" w:color="auto" w:fill="FFFFFF"/>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55174E52" w14:textId="77777777" w:rsidR="0099581A" w:rsidRDefault="0099581A" w:rsidP="0099581A">
          <w:pPr>
            <w:pStyle w:val="NormalWeb"/>
            <w:shd w:val="clear" w:color="auto" w:fill="FFFFFF"/>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7A247A86" w14:textId="77777777" w:rsidR="0099581A" w:rsidRDefault="0099581A" w:rsidP="0099581A">
          <w:pPr>
            <w:pStyle w:val="NormalWeb"/>
            <w:shd w:val="clear" w:color="auto" w:fill="FFFFFF"/>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647D659B" w14:textId="77777777" w:rsidR="0099581A" w:rsidRDefault="0099581A" w:rsidP="0099581A">
          <w:pPr>
            <w:pStyle w:val="NormalWeb"/>
            <w:shd w:val="clear" w:color="auto" w:fill="FFFFFF"/>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39AFE01F" w14:textId="77777777" w:rsidR="0099581A" w:rsidRDefault="0099581A" w:rsidP="0099581A">
          <w:pPr>
            <w:pStyle w:val="NormalWeb"/>
            <w:shd w:val="clear" w:color="auto" w:fill="FFFFFF"/>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2B35E5EC" w14:textId="77777777" w:rsidR="0099581A" w:rsidRDefault="0099581A" w:rsidP="0099581A">
          <w:pPr>
            <w:pStyle w:val="NormalWeb"/>
            <w:shd w:val="clear" w:color="auto" w:fill="FFFFFF"/>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4DC24E59" w14:textId="77777777" w:rsidR="0099581A" w:rsidRDefault="0099581A" w:rsidP="0099581A">
          <w:pPr>
            <w:pStyle w:val="NormalWeb"/>
            <w:shd w:val="clear" w:color="auto" w:fill="FFFFFF"/>
            <w:spacing w:before="0" w:beforeAutospacing="0" w:after="0" w:afterAutospacing="0" w:line="480" w:lineRule="auto"/>
            <w:rPr>
              <w:rFonts w:ascii="-webkit-standard" w:hAnsi="-webkit-standard"/>
              <w:color w:val="000000"/>
              <w:sz w:val="27"/>
              <w:szCs w:val="27"/>
            </w:rPr>
          </w:pPr>
          <w:r>
            <w:rPr>
              <w:rFonts w:ascii="-webkit-standard" w:hAnsi="-webkit-standard"/>
              <w:color w:val="000000"/>
              <w:sz w:val="27"/>
              <w:szCs w:val="27"/>
            </w:rPr>
            <w:t> </w:t>
          </w:r>
        </w:p>
        <w:p w14:paraId="2C12F264" w14:textId="77777777" w:rsidR="0099581A" w:rsidRPr="0099581A" w:rsidRDefault="0099581A" w:rsidP="0099581A"/>
        <w:p w14:paraId="7D4FC40A" w14:textId="77777777" w:rsidR="00480872" w:rsidRDefault="00480872" w:rsidP="00AA2A91">
          <w:pPr>
            <w:pStyle w:val="Heading1"/>
          </w:pPr>
        </w:p>
        <w:p w14:paraId="7820AD2A" w14:textId="77777777" w:rsidR="00480872" w:rsidRDefault="00480872" w:rsidP="00AA2A91">
          <w:pPr>
            <w:pStyle w:val="Heading1"/>
          </w:pPr>
        </w:p>
        <w:p w14:paraId="18A01614" w14:textId="77777777" w:rsidR="00480872" w:rsidRDefault="00480872" w:rsidP="00AA2A91">
          <w:pPr>
            <w:pStyle w:val="Heading1"/>
          </w:pPr>
        </w:p>
        <w:p w14:paraId="3C2C4E14" w14:textId="37DCD5B5" w:rsidR="00AA2A91" w:rsidRDefault="00AA2A91" w:rsidP="0099581A">
          <w:pPr>
            <w:pStyle w:val="Heading1"/>
          </w:pPr>
        </w:p>
        <w:p w14:paraId="37185857" w14:textId="77777777" w:rsidR="0099581A" w:rsidRPr="0099581A" w:rsidRDefault="0099581A" w:rsidP="0099581A"/>
        <w:p w14:paraId="0ABC39D3" w14:textId="77777777" w:rsidR="00AA2A91" w:rsidRDefault="00AA2A91" w:rsidP="00AA2A91"/>
        <w:p w14:paraId="7202FDFC" w14:textId="77777777" w:rsidR="00AA2A91" w:rsidRPr="00AA2A91" w:rsidRDefault="00AA2A91" w:rsidP="00AA2A91">
          <w:pPr>
            <w:pStyle w:val="Heading1"/>
          </w:pPr>
          <w:bookmarkStart w:id="2" w:name="_Toc115682915"/>
          <w:r>
            <w:lastRenderedPageBreak/>
            <w:t>Bibliography</w:t>
          </w:r>
          <w:bookmarkEnd w:id="2"/>
        </w:p>
        <w:p w14:paraId="77D69E6F" w14:textId="77777777" w:rsidR="004A11F6" w:rsidRPr="007D1947" w:rsidRDefault="004A11F6" w:rsidP="007D1947"/>
        <w:p w14:paraId="00A06D62" w14:textId="77777777" w:rsidR="0099581A" w:rsidRDefault="00000000" w:rsidP="0099581A">
          <w:pPr>
            <w:pStyle w:val="NormalWeb"/>
            <w:shd w:val="clear" w:color="auto" w:fill="FFFFFF"/>
            <w:spacing w:before="0" w:beforeAutospacing="0" w:after="0" w:afterAutospacing="0" w:line="480" w:lineRule="auto"/>
            <w:ind w:left="540"/>
          </w:pPr>
        </w:p>
      </w:sdtContent>
    </w:sdt>
    <w:p w14:paraId="72A1A0EF" w14:textId="1B2F4CC2" w:rsidR="0099581A" w:rsidRPr="0099581A" w:rsidRDefault="0099581A" w:rsidP="0099581A">
      <w:pPr>
        <w:pStyle w:val="NormalWeb"/>
        <w:shd w:val="clear" w:color="auto" w:fill="FFFFFF"/>
        <w:spacing w:before="0" w:beforeAutospacing="0" w:after="0" w:afterAutospacing="0" w:line="480" w:lineRule="auto"/>
        <w:ind w:left="540"/>
        <w:rPr>
          <w:rFonts w:ascii="-webkit-standard" w:hAnsi="-webkit-standard" w:cs="Arial"/>
          <w:color w:val="000000"/>
          <w:sz w:val="27"/>
          <w:szCs w:val="27"/>
        </w:rPr>
      </w:pPr>
      <w:r w:rsidRPr="0099581A">
        <w:rPr>
          <w:color w:val="000000"/>
          <w:sz w:val="27"/>
          <w:szCs w:val="27"/>
        </w:rPr>
        <w:t>Bergmann, M., Brück, C., Knauer, T. and Schwering, A., 2020. Digitization of the budgeting process: determinants of the use of business analytics and its effect on satisfaction with the budgeting process. </w:t>
      </w:r>
      <w:r w:rsidRPr="0099581A">
        <w:rPr>
          <w:i/>
          <w:iCs/>
          <w:color w:val="000000"/>
          <w:sz w:val="27"/>
          <w:szCs w:val="27"/>
        </w:rPr>
        <w:t>Journal of Management Control</w:t>
      </w:r>
      <w:r w:rsidRPr="0099581A">
        <w:rPr>
          <w:color w:val="000000"/>
          <w:sz w:val="27"/>
          <w:szCs w:val="27"/>
        </w:rPr>
        <w:t>, </w:t>
      </w:r>
      <w:r w:rsidRPr="0099581A">
        <w:rPr>
          <w:i/>
          <w:iCs/>
          <w:color w:val="000000"/>
          <w:sz w:val="27"/>
          <w:szCs w:val="27"/>
        </w:rPr>
        <w:t>31</w:t>
      </w:r>
      <w:r w:rsidRPr="0099581A">
        <w:rPr>
          <w:color w:val="000000"/>
          <w:sz w:val="27"/>
          <w:szCs w:val="27"/>
        </w:rPr>
        <w:t>(1-2), pp.25-54.</w:t>
      </w:r>
    </w:p>
    <w:p w14:paraId="3DA7EFD4" w14:textId="77777777" w:rsidR="0099581A" w:rsidRPr="0099581A" w:rsidRDefault="0099581A" w:rsidP="0099581A">
      <w:pPr>
        <w:shd w:val="clear" w:color="auto" w:fill="FFFFFF"/>
        <w:spacing w:after="0" w:line="480" w:lineRule="auto"/>
        <w:ind w:left="540"/>
        <w:rPr>
          <w:rFonts w:ascii="-webkit-standard" w:eastAsia="Times New Roman" w:hAnsi="-webkit-standard" w:cs="Arial"/>
          <w:color w:val="000000"/>
          <w:sz w:val="27"/>
          <w:szCs w:val="27"/>
          <w:lang w:eastAsia="en-GB"/>
        </w:rPr>
      </w:pPr>
      <w:r w:rsidRPr="0099581A">
        <w:rPr>
          <w:rFonts w:ascii="Times New Roman" w:eastAsia="Times New Roman" w:hAnsi="Times New Roman" w:cs="Times New Roman"/>
          <w:color w:val="000000"/>
          <w:sz w:val="27"/>
          <w:szCs w:val="27"/>
          <w:lang w:eastAsia="en-GB"/>
        </w:rPr>
        <w:t>da Silva, A.P.S., 2015. Nors case study: traditional budgeting process transformation into beyond budgeting model.</w:t>
      </w:r>
    </w:p>
    <w:p w14:paraId="6EA86D5B" w14:textId="77777777" w:rsidR="0099581A" w:rsidRPr="0099581A" w:rsidRDefault="0099581A" w:rsidP="0099581A">
      <w:pPr>
        <w:shd w:val="clear" w:color="auto" w:fill="FFFFFF"/>
        <w:spacing w:after="0" w:line="480" w:lineRule="auto"/>
        <w:ind w:left="540"/>
        <w:rPr>
          <w:rFonts w:ascii="-webkit-standard" w:eastAsia="Times New Roman" w:hAnsi="-webkit-standard" w:cs="Arial"/>
          <w:color w:val="000000"/>
          <w:sz w:val="27"/>
          <w:szCs w:val="27"/>
          <w:lang w:eastAsia="en-GB"/>
        </w:rPr>
      </w:pPr>
      <w:r w:rsidRPr="0099581A">
        <w:rPr>
          <w:rFonts w:ascii="Times New Roman" w:eastAsia="Times New Roman" w:hAnsi="Times New Roman" w:cs="Times New Roman"/>
          <w:color w:val="000000"/>
          <w:sz w:val="27"/>
          <w:szCs w:val="27"/>
          <w:lang w:eastAsia="en-GB"/>
        </w:rPr>
        <w:t>Hansen, S.C., 2011. A theoretical analysis of the impact of adopting rolling budgets, activity-based budgeting and beyond budgeting. </w:t>
      </w:r>
      <w:r w:rsidRPr="0099581A">
        <w:rPr>
          <w:rFonts w:ascii="Times New Roman" w:eastAsia="Times New Roman" w:hAnsi="Times New Roman" w:cs="Times New Roman"/>
          <w:i/>
          <w:iCs/>
          <w:color w:val="000000"/>
          <w:sz w:val="27"/>
          <w:szCs w:val="27"/>
          <w:lang w:eastAsia="en-GB"/>
        </w:rPr>
        <w:t>European Accounting Review</w:t>
      </w:r>
      <w:r w:rsidRPr="0099581A">
        <w:rPr>
          <w:rFonts w:ascii="Times New Roman" w:eastAsia="Times New Roman" w:hAnsi="Times New Roman" w:cs="Times New Roman"/>
          <w:color w:val="000000"/>
          <w:sz w:val="27"/>
          <w:szCs w:val="27"/>
          <w:lang w:eastAsia="en-GB"/>
        </w:rPr>
        <w:t>, </w:t>
      </w:r>
      <w:r w:rsidRPr="0099581A">
        <w:rPr>
          <w:rFonts w:ascii="Times New Roman" w:eastAsia="Times New Roman" w:hAnsi="Times New Roman" w:cs="Times New Roman"/>
          <w:i/>
          <w:iCs/>
          <w:color w:val="000000"/>
          <w:sz w:val="27"/>
          <w:szCs w:val="27"/>
          <w:lang w:eastAsia="en-GB"/>
        </w:rPr>
        <w:t>20</w:t>
      </w:r>
      <w:r w:rsidRPr="0099581A">
        <w:rPr>
          <w:rFonts w:ascii="Times New Roman" w:eastAsia="Times New Roman" w:hAnsi="Times New Roman" w:cs="Times New Roman"/>
          <w:color w:val="000000"/>
          <w:sz w:val="27"/>
          <w:szCs w:val="27"/>
          <w:lang w:eastAsia="en-GB"/>
        </w:rPr>
        <w:t>(2), pp.289-319.</w:t>
      </w:r>
    </w:p>
    <w:p w14:paraId="4E7837FD" w14:textId="77777777" w:rsidR="0099581A" w:rsidRPr="0099581A" w:rsidRDefault="0099581A" w:rsidP="0099581A">
      <w:pPr>
        <w:shd w:val="clear" w:color="auto" w:fill="FFFFFF"/>
        <w:spacing w:after="0" w:line="480" w:lineRule="auto"/>
        <w:ind w:left="540"/>
        <w:rPr>
          <w:rFonts w:ascii="-webkit-standard" w:eastAsia="Times New Roman" w:hAnsi="-webkit-standard" w:cs="Arial"/>
          <w:color w:val="000000"/>
          <w:sz w:val="27"/>
          <w:szCs w:val="27"/>
          <w:lang w:eastAsia="en-GB"/>
        </w:rPr>
      </w:pPr>
      <w:r w:rsidRPr="0099581A">
        <w:rPr>
          <w:rFonts w:ascii="Times New Roman" w:eastAsia="Times New Roman" w:hAnsi="Times New Roman" w:cs="Times New Roman"/>
          <w:color w:val="000000"/>
          <w:sz w:val="27"/>
          <w:szCs w:val="27"/>
          <w:lang w:eastAsia="en-GB"/>
        </w:rPr>
        <w:t>Liyanage, T. and Gooneratne, T., 2021. </w:t>
      </w:r>
      <w:proofErr w:type="spellStart"/>
      <w:r w:rsidRPr="0099581A">
        <w:rPr>
          <w:rFonts w:ascii="Times New Roman" w:eastAsia="Times New Roman" w:hAnsi="Times New Roman" w:cs="Times New Roman"/>
          <w:color w:val="000000"/>
          <w:sz w:val="27"/>
          <w:szCs w:val="27"/>
          <w:lang w:eastAsia="en-GB"/>
        </w:rPr>
        <w:t>From'Traditional'Budgeting</w:t>
      </w:r>
      <w:proofErr w:type="spellEnd"/>
      <w:r w:rsidRPr="0099581A">
        <w:rPr>
          <w:rFonts w:ascii="Times New Roman" w:eastAsia="Times New Roman" w:hAnsi="Times New Roman" w:cs="Times New Roman"/>
          <w:color w:val="000000"/>
          <w:sz w:val="27"/>
          <w:szCs w:val="27"/>
          <w:lang w:eastAsia="en-GB"/>
        </w:rPr>
        <w:t> </w:t>
      </w:r>
      <w:proofErr w:type="spellStart"/>
      <w:r w:rsidRPr="0099581A">
        <w:rPr>
          <w:rFonts w:ascii="Times New Roman" w:eastAsia="Times New Roman" w:hAnsi="Times New Roman" w:cs="Times New Roman"/>
          <w:color w:val="000000"/>
          <w:sz w:val="27"/>
          <w:szCs w:val="27"/>
          <w:lang w:eastAsia="en-GB"/>
        </w:rPr>
        <w:t>to'Better'Budgeting</w:t>
      </w:r>
      <w:proofErr w:type="spellEnd"/>
      <w:r w:rsidRPr="0099581A">
        <w:rPr>
          <w:rFonts w:ascii="Times New Roman" w:eastAsia="Times New Roman" w:hAnsi="Times New Roman" w:cs="Times New Roman"/>
          <w:color w:val="000000"/>
          <w:sz w:val="27"/>
          <w:szCs w:val="27"/>
          <w:lang w:eastAsia="en-GB"/>
        </w:rPr>
        <w:t>: Navigating </w:t>
      </w:r>
      <w:proofErr w:type="spellStart"/>
      <w:r w:rsidRPr="0099581A">
        <w:rPr>
          <w:rFonts w:ascii="Times New Roman" w:eastAsia="Times New Roman" w:hAnsi="Times New Roman" w:cs="Times New Roman"/>
          <w:color w:val="000000"/>
          <w:sz w:val="27"/>
          <w:szCs w:val="27"/>
          <w:lang w:eastAsia="en-GB"/>
        </w:rPr>
        <w:t>through'Stability'and'Change</w:t>
      </w:r>
      <w:proofErr w:type="spellEnd"/>
      <w:r w:rsidRPr="0099581A">
        <w:rPr>
          <w:rFonts w:ascii="Times New Roman" w:eastAsia="Times New Roman" w:hAnsi="Times New Roman" w:cs="Times New Roman"/>
          <w:color w:val="000000"/>
          <w:sz w:val="27"/>
          <w:szCs w:val="27"/>
          <w:lang w:eastAsia="en-GB"/>
        </w:rPr>
        <w:t>'. </w:t>
      </w:r>
      <w:r w:rsidRPr="0099581A">
        <w:rPr>
          <w:rFonts w:ascii="Times New Roman" w:eastAsia="Times New Roman" w:hAnsi="Times New Roman" w:cs="Times New Roman"/>
          <w:i/>
          <w:iCs/>
          <w:color w:val="000000"/>
          <w:sz w:val="27"/>
          <w:szCs w:val="27"/>
          <w:lang w:eastAsia="en-GB"/>
        </w:rPr>
        <w:t>Management Accounting Frontiers</w:t>
      </w:r>
      <w:r w:rsidRPr="0099581A">
        <w:rPr>
          <w:rFonts w:ascii="Times New Roman" w:eastAsia="Times New Roman" w:hAnsi="Times New Roman" w:cs="Times New Roman"/>
          <w:color w:val="000000"/>
          <w:sz w:val="27"/>
          <w:szCs w:val="27"/>
          <w:lang w:eastAsia="en-GB"/>
        </w:rPr>
        <w:t>, </w:t>
      </w:r>
      <w:r w:rsidRPr="0099581A">
        <w:rPr>
          <w:rFonts w:ascii="Times New Roman" w:eastAsia="Times New Roman" w:hAnsi="Times New Roman" w:cs="Times New Roman"/>
          <w:i/>
          <w:iCs/>
          <w:color w:val="000000"/>
          <w:sz w:val="27"/>
          <w:szCs w:val="27"/>
          <w:lang w:eastAsia="en-GB"/>
        </w:rPr>
        <w:t>4</w:t>
      </w:r>
      <w:r w:rsidRPr="0099581A">
        <w:rPr>
          <w:rFonts w:ascii="Times New Roman" w:eastAsia="Times New Roman" w:hAnsi="Times New Roman" w:cs="Times New Roman"/>
          <w:color w:val="000000"/>
          <w:sz w:val="27"/>
          <w:szCs w:val="27"/>
          <w:lang w:eastAsia="en-GB"/>
        </w:rPr>
        <w:t>, pp.27-50.</w:t>
      </w:r>
    </w:p>
    <w:p w14:paraId="7508CF88" w14:textId="77777777" w:rsidR="0099581A" w:rsidRPr="0099581A" w:rsidRDefault="0099581A" w:rsidP="0099581A">
      <w:pPr>
        <w:shd w:val="clear" w:color="auto" w:fill="FFFFFF"/>
        <w:spacing w:after="0" w:line="480" w:lineRule="auto"/>
        <w:ind w:left="540"/>
        <w:rPr>
          <w:rFonts w:ascii="-webkit-standard" w:eastAsia="Times New Roman" w:hAnsi="-webkit-standard" w:cs="Arial"/>
          <w:color w:val="000000"/>
          <w:sz w:val="27"/>
          <w:szCs w:val="27"/>
          <w:lang w:eastAsia="en-GB"/>
        </w:rPr>
      </w:pPr>
      <w:r w:rsidRPr="0099581A">
        <w:rPr>
          <w:rFonts w:ascii="Times New Roman" w:eastAsia="Times New Roman" w:hAnsi="Times New Roman" w:cs="Times New Roman"/>
          <w:color w:val="000000"/>
          <w:sz w:val="27"/>
          <w:szCs w:val="27"/>
          <w:lang w:eastAsia="en-GB"/>
        </w:rPr>
        <w:t>Mauro, S.G., Cinquini, L. and </w:t>
      </w:r>
      <w:proofErr w:type="spellStart"/>
      <w:r w:rsidRPr="0099581A">
        <w:rPr>
          <w:rFonts w:ascii="Times New Roman" w:eastAsia="Times New Roman" w:hAnsi="Times New Roman" w:cs="Times New Roman"/>
          <w:color w:val="000000"/>
          <w:sz w:val="27"/>
          <w:szCs w:val="27"/>
          <w:lang w:eastAsia="en-GB"/>
        </w:rPr>
        <w:t>Sinervo</w:t>
      </w:r>
      <w:proofErr w:type="spellEnd"/>
      <w:r w:rsidRPr="0099581A">
        <w:rPr>
          <w:rFonts w:ascii="Times New Roman" w:eastAsia="Times New Roman" w:hAnsi="Times New Roman" w:cs="Times New Roman"/>
          <w:color w:val="000000"/>
          <w:sz w:val="27"/>
          <w:szCs w:val="27"/>
          <w:lang w:eastAsia="en-GB"/>
        </w:rPr>
        <w:t>, L.M., 2019. Actors’ dynamics toward performance-based budgeting: a mix of change and </w:t>
      </w:r>
      <w:proofErr w:type="gramStart"/>
      <w:r w:rsidRPr="0099581A">
        <w:rPr>
          <w:rFonts w:ascii="Times New Roman" w:eastAsia="Times New Roman" w:hAnsi="Times New Roman" w:cs="Times New Roman"/>
          <w:color w:val="000000"/>
          <w:sz w:val="27"/>
          <w:szCs w:val="27"/>
          <w:lang w:eastAsia="en-GB"/>
        </w:rPr>
        <w:t>stability?.</w:t>
      </w:r>
      <w:proofErr w:type="gramEnd"/>
      <w:r w:rsidRPr="0099581A">
        <w:rPr>
          <w:rFonts w:ascii="Times New Roman" w:eastAsia="Times New Roman" w:hAnsi="Times New Roman" w:cs="Times New Roman"/>
          <w:color w:val="000000"/>
          <w:sz w:val="27"/>
          <w:szCs w:val="27"/>
          <w:lang w:eastAsia="en-GB"/>
        </w:rPr>
        <w:t> </w:t>
      </w:r>
      <w:r w:rsidRPr="0099581A">
        <w:rPr>
          <w:rFonts w:ascii="Times New Roman" w:eastAsia="Times New Roman" w:hAnsi="Times New Roman" w:cs="Times New Roman"/>
          <w:i/>
          <w:iCs/>
          <w:color w:val="000000"/>
          <w:sz w:val="27"/>
          <w:szCs w:val="27"/>
          <w:lang w:eastAsia="en-GB"/>
        </w:rPr>
        <w:t>Journal of Public Budgeting, Accounting &amp; Financial Management</w:t>
      </w:r>
      <w:r w:rsidRPr="0099581A">
        <w:rPr>
          <w:rFonts w:ascii="Times New Roman" w:eastAsia="Times New Roman" w:hAnsi="Times New Roman" w:cs="Times New Roman"/>
          <w:color w:val="000000"/>
          <w:sz w:val="27"/>
          <w:szCs w:val="27"/>
          <w:lang w:eastAsia="en-GB"/>
        </w:rPr>
        <w:t>, </w:t>
      </w:r>
      <w:r w:rsidRPr="0099581A">
        <w:rPr>
          <w:rFonts w:ascii="Times New Roman" w:eastAsia="Times New Roman" w:hAnsi="Times New Roman" w:cs="Times New Roman"/>
          <w:i/>
          <w:iCs/>
          <w:color w:val="000000"/>
          <w:sz w:val="27"/>
          <w:szCs w:val="27"/>
          <w:lang w:eastAsia="en-GB"/>
        </w:rPr>
        <w:t>31</w:t>
      </w:r>
      <w:r w:rsidRPr="0099581A">
        <w:rPr>
          <w:rFonts w:ascii="Times New Roman" w:eastAsia="Times New Roman" w:hAnsi="Times New Roman" w:cs="Times New Roman"/>
          <w:color w:val="000000"/>
          <w:sz w:val="27"/>
          <w:szCs w:val="27"/>
          <w:lang w:eastAsia="en-GB"/>
        </w:rPr>
        <w:t>(2), pp.158-177.</w:t>
      </w:r>
    </w:p>
    <w:p w14:paraId="6E0E8073" w14:textId="77777777" w:rsidR="0099581A" w:rsidRPr="0099581A" w:rsidRDefault="0099581A" w:rsidP="0099581A">
      <w:pPr>
        <w:shd w:val="clear" w:color="auto" w:fill="FFFFFF"/>
        <w:spacing w:after="0" w:line="480" w:lineRule="auto"/>
        <w:ind w:left="540"/>
        <w:rPr>
          <w:rFonts w:ascii="-webkit-standard" w:eastAsia="Times New Roman" w:hAnsi="-webkit-standard" w:cs="Arial"/>
          <w:color w:val="000000"/>
          <w:sz w:val="27"/>
          <w:szCs w:val="27"/>
          <w:lang w:eastAsia="en-GB"/>
        </w:rPr>
      </w:pPr>
      <w:r w:rsidRPr="0099581A">
        <w:rPr>
          <w:rFonts w:ascii="Times New Roman" w:eastAsia="Times New Roman" w:hAnsi="Times New Roman" w:cs="Times New Roman"/>
          <w:color w:val="000000"/>
          <w:sz w:val="27"/>
          <w:szCs w:val="27"/>
          <w:lang w:eastAsia="en-GB"/>
        </w:rPr>
        <w:t>Mauro, S.G., Cinquini, L. and Grossi, G., 2020. Insights into performance-based budgeting in the public sector: a literature review and a research agenda. </w:t>
      </w:r>
      <w:r w:rsidRPr="0099581A">
        <w:rPr>
          <w:rFonts w:ascii="Times New Roman" w:eastAsia="Times New Roman" w:hAnsi="Times New Roman" w:cs="Times New Roman"/>
          <w:i/>
          <w:iCs/>
          <w:color w:val="000000"/>
          <w:sz w:val="27"/>
          <w:szCs w:val="27"/>
          <w:lang w:eastAsia="en-GB"/>
        </w:rPr>
        <w:t>Public Budgeting in Search for an Identity</w:t>
      </w:r>
      <w:r w:rsidRPr="0099581A">
        <w:rPr>
          <w:rFonts w:ascii="Times New Roman" w:eastAsia="Times New Roman" w:hAnsi="Times New Roman" w:cs="Times New Roman"/>
          <w:color w:val="000000"/>
          <w:sz w:val="27"/>
          <w:szCs w:val="27"/>
          <w:lang w:eastAsia="en-GB"/>
        </w:rPr>
        <w:t>, pp.7-27.</w:t>
      </w:r>
    </w:p>
    <w:p w14:paraId="3D62B948" w14:textId="77777777" w:rsidR="0099581A" w:rsidRPr="0099581A" w:rsidRDefault="0099581A" w:rsidP="0099581A">
      <w:pPr>
        <w:shd w:val="clear" w:color="auto" w:fill="FFFFFF"/>
        <w:spacing w:after="0" w:line="480" w:lineRule="auto"/>
        <w:ind w:left="540"/>
        <w:rPr>
          <w:rFonts w:ascii="-webkit-standard" w:eastAsia="Times New Roman" w:hAnsi="-webkit-standard" w:cs="Arial"/>
          <w:color w:val="000000"/>
          <w:sz w:val="27"/>
          <w:szCs w:val="27"/>
          <w:lang w:eastAsia="en-GB"/>
        </w:rPr>
      </w:pPr>
      <w:r w:rsidRPr="0099581A">
        <w:rPr>
          <w:rFonts w:ascii="Times New Roman" w:eastAsia="Times New Roman" w:hAnsi="Times New Roman" w:cs="Times New Roman"/>
          <w:color w:val="000000"/>
          <w:sz w:val="27"/>
          <w:szCs w:val="27"/>
          <w:lang w:eastAsia="en-GB"/>
        </w:rPr>
        <w:lastRenderedPageBreak/>
        <w:t>Matějka, M., Merchant, K.A. and O'Grady, W., 2021. An empirical investigation of beyond budgeting practices. </w:t>
      </w:r>
      <w:r w:rsidRPr="0099581A">
        <w:rPr>
          <w:rFonts w:ascii="Times New Roman" w:eastAsia="Times New Roman" w:hAnsi="Times New Roman" w:cs="Times New Roman"/>
          <w:i/>
          <w:iCs/>
          <w:color w:val="000000"/>
          <w:sz w:val="27"/>
          <w:szCs w:val="27"/>
          <w:lang w:eastAsia="en-GB"/>
        </w:rPr>
        <w:t>Journal of Management Accounting Research</w:t>
      </w:r>
      <w:r w:rsidRPr="0099581A">
        <w:rPr>
          <w:rFonts w:ascii="Times New Roman" w:eastAsia="Times New Roman" w:hAnsi="Times New Roman" w:cs="Times New Roman"/>
          <w:color w:val="000000"/>
          <w:sz w:val="27"/>
          <w:szCs w:val="27"/>
          <w:lang w:eastAsia="en-GB"/>
        </w:rPr>
        <w:t>, </w:t>
      </w:r>
      <w:r w:rsidRPr="0099581A">
        <w:rPr>
          <w:rFonts w:ascii="Times New Roman" w:eastAsia="Times New Roman" w:hAnsi="Times New Roman" w:cs="Times New Roman"/>
          <w:i/>
          <w:iCs/>
          <w:color w:val="000000"/>
          <w:sz w:val="27"/>
          <w:szCs w:val="27"/>
          <w:lang w:eastAsia="en-GB"/>
        </w:rPr>
        <w:t>33</w:t>
      </w:r>
      <w:r w:rsidRPr="0099581A">
        <w:rPr>
          <w:rFonts w:ascii="Times New Roman" w:eastAsia="Times New Roman" w:hAnsi="Times New Roman" w:cs="Times New Roman"/>
          <w:color w:val="000000"/>
          <w:sz w:val="27"/>
          <w:szCs w:val="27"/>
          <w:lang w:eastAsia="en-GB"/>
        </w:rPr>
        <w:t>(2), pp.167-189.</w:t>
      </w:r>
    </w:p>
    <w:p w14:paraId="0F6AE297" w14:textId="77777777" w:rsidR="0099581A" w:rsidRPr="0099581A" w:rsidRDefault="0099581A" w:rsidP="0099581A">
      <w:pPr>
        <w:shd w:val="clear" w:color="auto" w:fill="FFFFFF"/>
        <w:spacing w:after="0" w:line="480" w:lineRule="auto"/>
        <w:ind w:left="540"/>
        <w:rPr>
          <w:rFonts w:ascii="-webkit-standard" w:eastAsia="Times New Roman" w:hAnsi="-webkit-standard" w:cs="Arial"/>
          <w:color w:val="000000"/>
          <w:sz w:val="27"/>
          <w:szCs w:val="27"/>
          <w:lang w:eastAsia="en-GB"/>
        </w:rPr>
      </w:pPr>
      <w:proofErr w:type="spellStart"/>
      <w:r w:rsidRPr="0099581A">
        <w:rPr>
          <w:rFonts w:ascii="Times New Roman" w:eastAsia="Times New Roman" w:hAnsi="Times New Roman" w:cs="Times New Roman"/>
          <w:color w:val="000000"/>
          <w:sz w:val="27"/>
          <w:szCs w:val="27"/>
          <w:lang w:eastAsia="en-GB"/>
        </w:rPr>
        <w:t>Pratolo</w:t>
      </w:r>
      <w:proofErr w:type="spellEnd"/>
      <w:r w:rsidRPr="0099581A">
        <w:rPr>
          <w:rFonts w:ascii="Times New Roman" w:eastAsia="Times New Roman" w:hAnsi="Times New Roman" w:cs="Times New Roman"/>
          <w:color w:val="000000"/>
          <w:sz w:val="27"/>
          <w:szCs w:val="27"/>
          <w:lang w:eastAsia="en-GB"/>
        </w:rPr>
        <w:t>, S., </w:t>
      </w:r>
      <w:proofErr w:type="spellStart"/>
      <w:r w:rsidRPr="0099581A">
        <w:rPr>
          <w:rFonts w:ascii="Times New Roman" w:eastAsia="Times New Roman" w:hAnsi="Times New Roman" w:cs="Times New Roman"/>
          <w:color w:val="000000"/>
          <w:sz w:val="27"/>
          <w:szCs w:val="27"/>
          <w:lang w:eastAsia="en-GB"/>
        </w:rPr>
        <w:t>Sofyani</w:t>
      </w:r>
      <w:proofErr w:type="spellEnd"/>
      <w:r w:rsidRPr="0099581A">
        <w:rPr>
          <w:rFonts w:ascii="Times New Roman" w:eastAsia="Times New Roman" w:hAnsi="Times New Roman" w:cs="Times New Roman"/>
          <w:color w:val="000000"/>
          <w:sz w:val="27"/>
          <w:szCs w:val="27"/>
          <w:lang w:eastAsia="en-GB"/>
        </w:rPr>
        <w:t>, H. and Anwar, M., 2020. Performance-based budgeting implementation in higher education institutions: Determinants and impact on quality. </w:t>
      </w:r>
      <w:r w:rsidRPr="0099581A">
        <w:rPr>
          <w:rFonts w:ascii="Times New Roman" w:eastAsia="Times New Roman" w:hAnsi="Times New Roman" w:cs="Times New Roman"/>
          <w:i/>
          <w:iCs/>
          <w:color w:val="000000"/>
          <w:sz w:val="27"/>
          <w:szCs w:val="27"/>
          <w:lang w:eastAsia="en-GB"/>
        </w:rPr>
        <w:t>Cogent Business &amp; Management</w:t>
      </w:r>
      <w:r w:rsidRPr="0099581A">
        <w:rPr>
          <w:rFonts w:ascii="Times New Roman" w:eastAsia="Times New Roman" w:hAnsi="Times New Roman" w:cs="Times New Roman"/>
          <w:color w:val="000000"/>
          <w:sz w:val="27"/>
          <w:szCs w:val="27"/>
          <w:lang w:eastAsia="en-GB"/>
        </w:rPr>
        <w:t>, </w:t>
      </w:r>
      <w:r w:rsidRPr="0099581A">
        <w:rPr>
          <w:rFonts w:ascii="Times New Roman" w:eastAsia="Times New Roman" w:hAnsi="Times New Roman" w:cs="Times New Roman"/>
          <w:i/>
          <w:iCs/>
          <w:color w:val="000000"/>
          <w:sz w:val="27"/>
          <w:szCs w:val="27"/>
          <w:lang w:eastAsia="en-GB"/>
        </w:rPr>
        <w:t>7</w:t>
      </w:r>
      <w:r w:rsidRPr="0099581A">
        <w:rPr>
          <w:rFonts w:ascii="Times New Roman" w:eastAsia="Times New Roman" w:hAnsi="Times New Roman" w:cs="Times New Roman"/>
          <w:color w:val="000000"/>
          <w:sz w:val="27"/>
          <w:szCs w:val="27"/>
          <w:lang w:eastAsia="en-GB"/>
        </w:rPr>
        <w:t>(1), p.1786315.</w:t>
      </w:r>
    </w:p>
    <w:p w14:paraId="12836FC2" w14:textId="77777777" w:rsidR="0099581A" w:rsidRPr="0099581A" w:rsidRDefault="0099581A" w:rsidP="0099581A">
      <w:pPr>
        <w:shd w:val="clear" w:color="auto" w:fill="FFFFFF"/>
        <w:spacing w:after="0" w:line="480" w:lineRule="auto"/>
        <w:ind w:left="540"/>
        <w:rPr>
          <w:rFonts w:ascii="-webkit-standard" w:eastAsia="Times New Roman" w:hAnsi="-webkit-standard" w:cs="Arial"/>
          <w:color w:val="000000"/>
          <w:sz w:val="27"/>
          <w:szCs w:val="27"/>
          <w:lang w:eastAsia="en-GB"/>
        </w:rPr>
      </w:pPr>
      <w:proofErr w:type="spellStart"/>
      <w:r w:rsidRPr="0099581A">
        <w:rPr>
          <w:rFonts w:ascii="Times New Roman" w:eastAsia="Times New Roman" w:hAnsi="Times New Roman" w:cs="Times New Roman"/>
          <w:color w:val="000000"/>
          <w:sz w:val="27"/>
          <w:szCs w:val="27"/>
          <w:lang w:eastAsia="en-GB"/>
        </w:rPr>
        <w:t>Ploder</w:t>
      </w:r>
      <w:proofErr w:type="spellEnd"/>
      <w:r w:rsidRPr="0099581A">
        <w:rPr>
          <w:rFonts w:ascii="Times New Roman" w:eastAsia="Times New Roman" w:hAnsi="Times New Roman" w:cs="Times New Roman"/>
          <w:color w:val="000000"/>
          <w:sz w:val="27"/>
          <w:szCs w:val="27"/>
          <w:lang w:eastAsia="en-GB"/>
        </w:rPr>
        <w:t>, C., Dilger, T. and Bernsteiner, R., 2020. A Framework to Combine Corporate Budgeting with Agile Project Management. In </w:t>
      </w:r>
      <w:r w:rsidRPr="0099581A">
        <w:rPr>
          <w:rFonts w:ascii="Times New Roman" w:eastAsia="Times New Roman" w:hAnsi="Times New Roman" w:cs="Times New Roman"/>
          <w:i/>
          <w:iCs/>
          <w:color w:val="000000"/>
          <w:sz w:val="27"/>
          <w:szCs w:val="27"/>
          <w:lang w:eastAsia="en-GB"/>
        </w:rPr>
        <w:t>Software Engineering (Workshops)</w:t>
      </w:r>
      <w:r w:rsidRPr="0099581A">
        <w:rPr>
          <w:rFonts w:ascii="Times New Roman" w:eastAsia="Times New Roman" w:hAnsi="Times New Roman" w:cs="Times New Roman"/>
          <w:color w:val="000000"/>
          <w:sz w:val="27"/>
          <w:szCs w:val="27"/>
          <w:lang w:eastAsia="en-GB"/>
        </w:rPr>
        <w:t>.</w:t>
      </w:r>
    </w:p>
    <w:p w14:paraId="57632218" w14:textId="77777777" w:rsidR="0099581A" w:rsidRPr="0099581A" w:rsidRDefault="0099581A" w:rsidP="0099581A">
      <w:pPr>
        <w:shd w:val="clear" w:color="auto" w:fill="FFFFFF"/>
        <w:spacing w:after="0" w:line="480" w:lineRule="auto"/>
        <w:ind w:left="540"/>
        <w:rPr>
          <w:rFonts w:ascii="-webkit-standard" w:eastAsia="Times New Roman" w:hAnsi="-webkit-standard" w:cs="Arial"/>
          <w:color w:val="000000"/>
          <w:sz w:val="27"/>
          <w:szCs w:val="27"/>
          <w:lang w:eastAsia="en-GB"/>
        </w:rPr>
      </w:pPr>
      <w:proofErr w:type="spellStart"/>
      <w:r w:rsidRPr="0099581A">
        <w:rPr>
          <w:rFonts w:ascii="Times New Roman" w:eastAsia="Times New Roman" w:hAnsi="Times New Roman" w:cs="Times New Roman"/>
          <w:color w:val="000000"/>
          <w:sz w:val="27"/>
          <w:szCs w:val="27"/>
          <w:lang w:eastAsia="en-GB"/>
        </w:rPr>
        <w:t>Sandalgaard</w:t>
      </w:r>
      <w:proofErr w:type="spellEnd"/>
      <w:r w:rsidRPr="0099581A">
        <w:rPr>
          <w:rFonts w:ascii="Times New Roman" w:eastAsia="Times New Roman" w:hAnsi="Times New Roman" w:cs="Times New Roman"/>
          <w:color w:val="000000"/>
          <w:sz w:val="27"/>
          <w:szCs w:val="27"/>
          <w:lang w:eastAsia="en-GB"/>
        </w:rPr>
        <w:t>, N. and Nikolaj Bukh, P., 2014. Beyond budgeting and change: A case study. </w:t>
      </w:r>
      <w:r w:rsidRPr="0099581A">
        <w:rPr>
          <w:rFonts w:ascii="Times New Roman" w:eastAsia="Times New Roman" w:hAnsi="Times New Roman" w:cs="Times New Roman"/>
          <w:i/>
          <w:iCs/>
          <w:color w:val="000000"/>
          <w:sz w:val="27"/>
          <w:szCs w:val="27"/>
          <w:lang w:eastAsia="en-GB"/>
        </w:rPr>
        <w:t>Journal of Accounting &amp; Organizational Change</w:t>
      </w:r>
      <w:r w:rsidRPr="0099581A">
        <w:rPr>
          <w:rFonts w:ascii="Times New Roman" w:eastAsia="Times New Roman" w:hAnsi="Times New Roman" w:cs="Times New Roman"/>
          <w:color w:val="000000"/>
          <w:sz w:val="27"/>
          <w:szCs w:val="27"/>
          <w:lang w:eastAsia="en-GB"/>
        </w:rPr>
        <w:t>, </w:t>
      </w:r>
      <w:r w:rsidRPr="0099581A">
        <w:rPr>
          <w:rFonts w:ascii="Times New Roman" w:eastAsia="Times New Roman" w:hAnsi="Times New Roman" w:cs="Times New Roman"/>
          <w:i/>
          <w:iCs/>
          <w:color w:val="000000"/>
          <w:sz w:val="27"/>
          <w:szCs w:val="27"/>
          <w:lang w:eastAsia="en-GB"/>
        </w:rPr>
        <w:t>10</w:t>
      </w:r>
      <w:r w:rsidRPr="0099581A">
        <w:rPr>
          <w:rFonts w:ascii="Times New Roman" w:eastAsia="Times New Roman" w:hAnsi="Times New Roman" w:cs="Times New Roman"/>
          <w:color w:val="000000"/>
          <w:sz w:val="27"/>
          <w:szCs w:val="27"/>
          <w:lang w:eastAsia="en-GB"/>
        </w:rPr>
        <w:t>(3), pp.409-423.</w:t>
      </w:r>
    </w:p>
    <w:p w14:paraId="0A15911B" w14:textId="036C62AC" w:rsidR="0099581A" w:rsidRPr="0099581A" w:rsidRDefault="0099581A" w:rsidP="0099581A">
      <w:pPr>
        <w:shd w:val="clear" w:color="auto" w:fill="FFFFFF"/>
        <w:spacing w:after="0" w:line="480" w:lineRule="auto"/>
        <w:ind w:left="540"/>
        <w:rPr>
          <w:rFonts w:ascii="-webkit-standard" w:eastAsia="Times New Roman" w:hAnsi="-webkit-standard" w:cs="Arial"/>
          <w:color w:val="000000"/>
          <w:sz w:val="27"/>
          <w:szCs w:val="27"/>
          <w:lang w:eastAsia="en-GB"/>
        </w:rPr>
      </w:pPr>
      <w:r w:rsidRPr="0099581A">
        <w:rPr>
          <w:rFonts w:ascii="Times New Roman" w:eastAsia="Times New Roman" w:hAnsi="Times New Roman" w:cs="Times New Roman"/>
          <w:color w:val="000000"/>
          <w:sz w:val="27"/>
          <w:szCs w:val="27"/>
          <w:lang w:eastAsia="en-GB"/>
        </w:rPr>
        <w:t>Velazquez, L. and </w:t>
      </w:r>
      <w:proofErr w:type="spellStart"/>
      <w:r w:rsidRPr="0099581A">
        <w:rPr>
          <w:rFonts w:ascii="Times New Roman" w:eastAsia="Times New Roman" w:hAnsi="Times New Roman" w:cs="Times New Roman"/>
          <w:color w:val="000000"/>
          <w:sz w:val="27"/>
          <w:szCs w:val="27"/>
          <w:lang w:eastAsia="en-GB"/>
        </w:rPr>
        <w:t>Urmaničová</w:t>
      </w:r>
      <w:proofErr w:type="spellEnd"/>
      <w:r w:rsidRPr="0099581A">
        <w:rPr>
          <w:rFonts w:ascii="Times New Roman" w:eastAsia="Times New Roman" w:hAnsi="Times New Roman" w:cs="Times New Roman"/>
          <w:color w:val="000000"/>
          <w:sz w:val="27"/>
          <w:szCs w:val="27"/>
          <w:lang w:eastAsia="en-GB"/>
        </w:rPr>
        <w:t>, T., 2019. The Initial Stage of Beyond Budgeting Implementation: A Case Study of an Automotive Company.</w:t>
      </w:r>
    </w:p>
    <w:sectPr w:rsidR="0099581A" w:rsidRPr="0099581A"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84E65"/>
    <w:rsid w:val="00107936"/>
    <w:rsid w:val="00115B96"/>
    <w:rsid w:val="001D32A2"/>
    <w:rsid w:val="00324CCD"/>
    <w:rsid w:val="00480872"/>
    <w:rsid w:val="004A11F6"/>
    <w:rsid w:val="004D519C"/>
    <w:rsid w:val="007279BC"/>
    <w:rsid w:val="007D1947"/>
    <w:rsid w:val="00931CAA"/>
    <w:rsid w:val="0099581A"/>
    <w:rsid w:val="00A12B58"/>
    <w:rsid w:val="00AA2A91"/>
    <w:rsid w:val="00BF4E0F"/>
    <w:rsid w:val="00CA09F3"/>
    <w:rsid w:val="00D854A5"/>
    <w:rsid w:val="00EF7A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semiHidden/>
    <w:unhideWhenUsed/>
    <w:rsid w:val="00EF7AD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737051">
      <w:bodyDiv w:val="1"/>
      <w:marLeft w:val="0"/>
      <w:marRight w:val="0"/>
      <w:marTop w:val="0"/>
      <w:marBottom w:val="0"/>
      <w:divBdr>
        <w:top w:val="none" w:sz="0" w:space="0" w:color="auto"/>
        <w:left w:val="none" w:sz="0" w:space="0" w:color="auto"/>
        <w:bottom w:val="none" w:sz="0" w:space="0" w:color="auto"/>
        <w:right w:val="none" w:sz="0" w:space="0" w:color="auto"/>
      </w:divBdr>
    </w:div>
    <w:div w:id="918710493">
      <w:bodyDiv w:val="1"/>
      <w:marLeft w:val="0"/>
      <w:marRight w:val="0"/>
      <w:marTop w:val="0"/>
      <w:marBottom w:val="0"/>
      <w:divBdr>
        <w:top w:val="none" w:sz="0" w:space="0" w:color="auto"/>
        <w:left w:val="none" w:sz="0" w:space="0" w:color="auto"/>
        <w:bottom w:val="none" w:sz="0" w:space="0" w:color="auto"/>
        <w:right w:val="none" w:sz="0" w:space="0" w:color="auto"/>
      </w:divBdr>
    </w:div>
    <w:div w:id="1612587788">
      <w:bodyDiv w:val="1"/>
      <w:marLeft w:val="0"/>
      <w:marRight w:val="0"/>
      <w:marTop w:val="0"/>
      <w:marBottom w:val="0"/>
      <w:divBdr>
        <w:top w:val="none" w:sz="0" w:space="0" w:color="auto"/>
        <w:left w:val="none" w:sz="0" w:space="0" w:color="auto"/>
        <w:bottom w:val="none" w:sz="0" w:space="0" w:color="auto"/>
        <w:right w:val="none" w:sz="0" w:space="0" w:color="auto"/>
      </w:divBdr>
      <w:divsChild>
        <w:div w:id="73862750">
          <w:marLeft w:val="0"/>
          <w:marRight w:val="0"/>
          <w:marTop w:val="0"/>
          <w:marBottom w:val="0"/>
          <w:divBdr>
            <w:top w:val="none" w:sz="0" w:space="0" w:color="auto"/>
            <w:left w:val="none" w:sz="0" w:space="0" w:color="auto"/>
            <w:bottom w:val="none" w:sz="0" w:space="0" w:color="auto"/>
            <w:right w:val="none" w:sz="0" w:space="0" w:color="auto"/>
          </w:divBdr>
          <w:divsChild>
            <w:div w:id="1236818110">
              <w:marLeft w:val="0"/>
              <w:marRight w:val="0"/>
              <w:marTop w:val="0"/>
              <w:marBottom w:val="0"/>
              <w:divBdr>
                <w:top w:val="none" w:sz="0" w:space="0" w:color="auto"/>
                <w:left w:val="none" w:sz="0" w:space="0" w:color="auto"/>
                <w:bottom w:val="none" w:sz="0" w:space="0" w:color="auto"/>
                <w:right w:val="none" w:sz="0" w:space="0" w:color="auto"/>
              </w:divBdr>
              <w:divsChild>
                <w:div w:id="651174669">
                  <w:marLeft w:val="0"/>
                  <w:marRight w:val="0"/>
                  <w:marTop w:val="0"/>
                  <w:marBottom w:val="0"/>
                  <w:divBdr>
                    <w:top w:val="none" w:sz="0" w:space="0" w:color="auto"/>
                    <w:left w:val="none" w:sz="0" w:space="0" w:color="auto"/>
                    <w:bottom w:val="none" w:sz="0" w:space="0" w:color="auto"/>
                    <w:right w:val="none" w:sz="0" w:space="0" w:color="auto"/>
                  </w:divBdr>
                  <w:divsChild>
                    <w:div w:id="722095160">
                      <w:marLeft w:val="0"/>
                      <w:marRight w:val="0"/>
                      <w:marTop w:val="120"/>
                      <w:marBottom w:val="0"/>
                      <w:divBdr>
                        <w:top w:val="none" w:sz="0" w:space="0" w:color="auto"/>
                        <w:left w:val="none" w:sz="0" w:space="0" w:color="auto"/>
                        <w:bottom w:val="none" w:sz="0" w:space="0" w:color="auto"/>
                        <w:right w:val="none" w:sz="0" w:space="0" w:color="auto"/>
                      </w:divBdr>
                      <w:divsChild>
                        <w:div w:id="538319985">
                          <w:marLeft w:val="0"/>
                          <w:marRight w:val="0"/>
                          <w:marTop w:val="0"/>
                          <w:marBottom w:val="0"/>
                          <w:divBdr>
                            <w:top w:val="none" w:sz="0" w:space="0" w:color="auto"/>
                            <w:left w:val="none" w:sz="0" w:space="0" w:color="auto"/>
                            <w:bottom w:val="none" w:sz="0" w:space="0" w:color="auto"/>
                            <w:right w:val="none" w:sz="0" w:space="0" w:color="auto"/>
                          </w:divBdr>
                          <w:divsChild>
                            <w:div w:id="202328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8830153">
          <w:marLeft w:val="0"/>
          <w:marRight w:val="0"/>
          <w:marTop w:val="0"/>
          <w:marBottom w:val="0"/>
          <w:divBdr>
            <w:top w:val="none" w:sz="0" w:space="0" w:color="auto"/>
            <w:left w:val="none" w:sz="0" w:space="0" w:color="auto"/>
            <w:bottom w:val="none" w:sz="0" w:space="0" w:color="auto"/>
            <w:right w:val="none" w:sz="0" w:space="0" w:color="auto"/>
          </w:divBdr>
          <w:divsChild>
            <w:div w:id="2062287726">
              <w:marLeft w:val="0"/>
              <w:marRight w:val="0"/>
              <w:marTop w:val="0"/>
              <w:marBottom w:val="0"/>
              <w:divBdr>
                <w:top w:val="none" w:sz="0" w:space="0" w:color="auto"/>
                <w:left w:val="none" w:sz="0" w:space="0" w:color="auto"/>
                <w:bottom w:val="none" w:sz="0" w:space="0" w:color="auto"/>
                <w:right w:val="none" w:sz="0" w:space="0" w:color="auto"/>
              </w:divBdr>
              <w:divsChild>
                <w:div w:id="1523519068">
                  <w:marLeft w:val="0"/>
                  <w:marRight w:val="0"/>
                  <w:marTop w:val="0"/>
                  <w:marBottom w:val="0"/>
                  <w:divBdr>
                    <w:top w:val="none" w:sz="0" w:space="0" w:color="auto"/>
                    <w:left w:val="none" w:sz="0" w:space="0" w:color="auto"/>
                    <w:bottom w:val="none" w:sz="0" w:space="0" w:color="auto"/>
                    <w:right w:val="none" w:sz="0" w:space="0" w:color="auto"/>
                  </w:divBdr>
                  <w:divsChild>
                    <w:div w:id="630791396">
                      <w:marLeft w:val="0"/>
                      <w:marRight w:val="0"/>
                      <w:marTop w:val="0"/>
                      <w:marBottom w:val="0"/>
                      <w:divBdr>
                        <w:top w:val="none" w:sz="0" w:space="0" w:color="auto"/>
                        <w:left w:val="none" w:sz="0" w:space="0" w:color="auto"/>
                        <w:bottom w:val="none" w:sz="0" w:space="0" w:color="auto"/>
                        <w:right w:val="none" w:sz="0" w:space="0" w:color="auto"/>
                      </w:divBdr>
                      <w:divsChild>
                        <w:div w:id="1556503513">
                          <w:marLeft w:val="0"/>
                          <w:marRight w:val="0"/>
                          <w:marTop w:val="0"/>
                          <w:marBottom w:val="0"/>
                          <w:divBdr>
                            <w:top w:val="none" w:sz="0" w:space="0" w:color="auto"/>
                            <w:left w:val="none" w:sz="0" w:space="0" w:color="auto"/>
                            <w:bottom w:val="none" w:sz="0" w:space="0" w:color="auto"/>
                            <w:right w:val="none" w:sz="0" w:space="0" w:color="auto"/>
                          </w:divBdr>
                          <w:divsChild>
                            <w:div w:id="87427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855FAA"/>
    <w:rsid w:val="00A34C42"/>
    <w:rsid w:val="00BC1251"/>
    <w:rsid w:val="00C67429"/>
    <w:rsid w:val="00E00C6B"/>
    <w:rsid w:val="00EA086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Pages>
  <Words>3010</Words>
  <Characters>17162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BUDGETTING</dc:subject>
  <dc:creator>Marie Pitson</dc:creator>
  <cp:keywords/>
  <dc:description/>
  <cp:lastModifiedBy>Abdou Abouelkheir (2222609)</cp:lastModifiedBy>
  <cp:revision>4</cp:revision>
  <dcterms:created xsi:type="dcterms:W3CDTF">2023-11-21T15:52:00Z</dcterms:created>
  <dcterms:modified xsi:type="dcterms:W3CDTF">2023-11-21T16:30:00Z</dcterms:modified>
</cp:coreProperties>
</file>