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84375" w14:textId="23875600" w:rsidR="00525D77" w:rsidRDefault="00512457" w:rsidP="00AF187E">
      <w:pPr>
        <w:spacing w:line="360" w:lineRule="auto"/>
      </w:pPr>
      <w:r>
        <w:t>Charles-Elizabeth Boyles</w:t>
      </w:r>
    </w:p>
    <w:p w14:paraId="4F4D361B" w14:textId="6D212E65" w:rsidR="00512457" w:rsidRDefault="00512457" w:rsidP="00AF187E">
      <w:pPr>
        <w:spacing w:line="360" w:lineRule="auto"/>
      </w:pPr>
      <w:r>
        <w:t>HPLA7023</w:t>
      </w:r>
    </w:p>
    <w:p w14:paraId="322B5127" w14:textId="77C02B47" w:rsidR="00D06362" w:rsidRDefault="00D06362" w:rsidP="00AF187E">
      <w:pPr>
        <w:spacing w:line="360" w:lineRule="auto"/>
      </w:pPr>
      <w:r>
        <w:t>28 March 2025</w:t>
      </w:r>
    </w:p>
    <w:p w14:paraId="1F40547E" w14:textId="77777777" w:rsidR="00512457" w:rsidRDefault="00512457" w:rsidP="00AF187E">
      <w:pPr>
        <w:spacing w:line="360" w:lineRule="auto"/>
      </w:pPr>
    </w:p>
    <w:p w14:paraId="5C277BE8" w14:textId="32B4BA1C" w:rsidR="00512457" w:rsidRDefault="00512457" w:rsidP="00AF187E">
      <w:pPr>
        <w:spacing w:line="360" w:lineRule="auto"/>
        <w:jc w:val="center"/>
      </w:pPr>
      <w:r>
        <w:rPr>
          <w:u w:val="single"/>
        </w:rPr>
        <w:t>Catiline’s</w:t>
      </w:r>
      <w:r w:rsidR="00D06362">
        <w:rPr>
          <w:u w:val="single"/>
        </w:rPr>
        <w:t xml:space="preserve"> Proleptic</w:t>
      </w:r>
      <w:r>
        <w:rPr>
          <w:u w:val="single"/>
        </w:rPr>
        <w:t xml:space="preserve"> Homelessness in </w:t>
      </w:r>
      <w:r>
        <w:rPr>
          <w:i/>
          <w:iCs/>
          <w:u w:val="single"/>
        </w:rPr>
        <w:t xml:space="preserve">In </w:t>
      </w:r>
      <w:proofErr w:type="spellStart"/>
      <w:r>
        <w:rPr>
          <w:i/>
          <w:iCs/>
          <w:u w:val="single"/>
        </w:rPr>
        <w:t>Cat</w:t>
      </w:r>
      <w:r w:rsidR="00DA11A6">
        <w:rPr>
          <w:i/>
          <w:iCs/>
          <w:u w:val="single"/>
        </w:rPr>
        <w:t>ilinam</w:t>
      </w:r>
      <w:proofErr w:type="spellEnd"/>
      <w:r>
        <w:rPr>
          <w:u w:val="single"/>
        </w:rPr>
        <w:t xml:space="preserve"> 1.17-19</w:t>
      </w:r>
    </w:p>
    <w:p w14:paraId="2DC066D9" w14:textId="77777777" w:rsidR="00512457" w:rsidRDefault="00512457" w:rsidP="00AF187E">
      <w:pPr>
        <w:spacing w:line="360" w:lineRule="auto"/>
        <w:jc w:val="center"/>
      </w:pPr>
    </w:p>
    <w:p w14:paraId="69E0DA83" w14:textId="4BAF6E33" w:rsidR="00512457" w:rsidRDefault="00157106" w:rsidP="00AF187E">
      <w:pPr>
        <w:spacing w:line="360" w:lineRule="auto"/>
        <w:ind w:firstLine="720"/>
      </w:pPr>
      <w:r>
        <w:t xml:space="preserve">It is perhaps </w:t>
      </w:r>
      <w:proofErr w:type="gramStart"/>
      <w:r>
        <w:t>a commonplace</w:t>
      </w:r>
      <w:proofErr w:type="gramEnd"/>
      <w:r>
        <w:t xml:space="preserve"> to note that the home occupied a critical place in Roman aristocratic society</w:t>
      </w:r>
      <w:r w:rsidR="00993F9A">
        <w:t xml:space="preserve">. Cicero, in his writing on his own home after its destruction during his exile, </w:t>
      </w:r>
      <w:r w:rsidR="00F223B8">
        <w:t>offers a</w:t>
      </w:r>
      <w:r w:rsidR="00993F9A">
        <w:t xml:space="preserve"> major source </w:t>
      </w:r>
      <w:proofErr w:type="gramStart"/>
      <w:r w:rsidR="00993F9A">
        <w:t>on</w:t>
      </w:r>
      <w:proofErr w:type="gramEnd"/>
      <w:r w:rsidR="00993F9A">
        <w:t xml:space="preserve"> attitudes towards the home in his day. But in </w:t>
      </w:r>
      <w:r w:rsidR="00993F9A">
        <w:rPr>
          <w:i/>
          <w:iCs/>
        </w:rPr>
        <w:t xml:space="preserve">In </w:t>
      </w:r>
      <w:proofErr w:type="spellStart"/>
      <w:r w:rsidR="00993F9A">
        <w:rPr>
          <w:i/>
          <w:iCs/>
        </w:rPr>
        <w:t>Catilinam</w:t>
      </w:r>
      <w:proofErr w:type="spellEnd"/>
      <w:r w:rsidR="00993F9A">
        <w:t xml:space="preserve"> 1.17-19, as he inveigles against Catiline before the senate and Catiline himself, Cicero positions Catiline </w:t>
      </w:r>
      <w:r w:rsidR="00512457">
        <w:t xml:space="preserve">as essentially </w:t>
      </w:r>
      <w:r w:rsidR="00993F9A">
        <w:t xml:space="preserve">already </w:t>
      </w:r>
      <w:r w:rsidR="00512457">
        <w:t>homeless</w:t>
      </w:r>
      <w:r w:rsidR="004F638B">
        <w:t xml:space="preserve">, leveraging his rhetorical skills and Roman constructions of home and family to persuade Catiline, the listening senators, and subsequent readers that Catiline’s exile was </w:t>
      </w:r>
      <w:r w:rsidR="00DA11A6">
        <w:t xml:space="preserve">a </w:t>
      </w:r>
      <w:r w:rsidR="00DA11A6">
        <w:rPr>
          <w:i/>
          <w:iCs/>
        </w:rPr>
        <w:t>fait accompli</w:t>
      </w:r>
      <w:r w:rsidR="004F638B">
        <w:t>.</w:t>
      </w:r>
    </w:p>
    <w:p w14:paraId="63A4DD79" w14:textId="174D0FAF" w:rsidR="00512457" w:rsidRDefault="008701C6" w:rsidP="00AF187E">
      <w:pPr>
        <w:spacing w:line="360" w:lineRule="auto"/>
        <w:ind w:firstLine="720"/>
      </w:pPr>
      <w:r>
        <w:t xml:space="preserve">Although by no means the first time Cicero has alluded to Catiline’s potential exit from the city, the theme is broached again </w:t>
      </w:r>
      <w:proofErr w:type="gramStart"/>
      <w:r>
        <w:t>in</w:t>
      </w:r>
      <w:proofErr w:type="gramEnd"/>
      <w:r>
        <w:t xml:space="preserve"> 1.17 in the form of a counterfactual: Cicero says that, if his slaves were as frightened of him as the city is of Catiline, he would be planning to leave. With the use of the future passive participle </w:t>
      </w:r>
      <w:proofErr w:type="spellStart"/>
      <w:r>
        <w:rPr>
          <w:i/>
          <w:iCs/>
        </w:rPr>
        <w:t>relinquendam</w:t>
      </w:r>
      <w:proofErr w:type="spellEnd"/>
      <w:r>
        <w:t xml:space="preserve">, the </w:t>
      </w:r>
      <w:proofErr w:type="spellStart"/>
      <w:r>
        <w:t>counterfactuality</w:t>
      </w:r>
      <w:proofErr w:type="spellEnd"/>
      <w:r>
        <w:t xml:space="preserve"> of the statement is complicated by the near-jussive force of the verb form, while nonetheless leaving Catiline to judge for himself (</w:t>
      </w:r>
      <w:proofErr w:type="spellStart"/>
      <w:r>
        <w:rPr>
          <w:i/>
          <w:iCs/>
        </w:rPr>
        <w:t>arbitraris</w:t>
      </w:r>
      <w:proofErr w:type="spellEnd"/>
      <w:r>
        <w:t>). After another counterfactual, appealing to Cicero’s imagined and Catiline’s implied desire to escape from the hostile gaze of his fellow citizens, Cicero then turns to an appeal to Catiline’s parents. Not content to leave the question of whether Catiline’s parents do, in fact, fear and detest him (</w:t>
      </w:r>
      <w:proofErr w:type="spellStart"/>
      <w:r w:rsidR="00015C58">
        <w:rPr>
          <w:i/>
          <w:iCs/>
        </w:rPr>
        <w:t>timerent</w:t>
      </w:r>
      <w:proofErr w:type="spellEnd"/>
      <w:r w:rsidR="00015C58">
        <w:rPr>
          <w:i/>
          <w:iCs/>
        </w:rPr>
        <w:t xml:space="preserve"> </w:t>
      </w:r>
      <w:proofErr w:type="spellStart"/>
      <w:r w:rsidR="00015C58">
        <w:rPr>
          <w:i/>
          <w:iCs/>
        </w:rPr>
        <w:t>atque</w:t>
      </w:r>
      <w:proofErr w:type="spellEnd"/>
      <w:r w:rsidR="00015C58">
        <w:rPr>
          <w:i/>
          <w:iCs/>
        </w:rPr>
        <w:t xml:space="preserve"> </w:t>
      </w:r>
      <w:proofErr w:type="spellStart"/>
      <w:r w:rsidR="00015C58">
        <w:rPr>
          <w:i/>
          <w:iCs/>
        </w:rPr>
        <w:t>odissent</w:t>
      </w:r>
      <w:proofErr w:type="spellEnd"/>
      <w:r w:rsidR="00015C58">
        <w:t>), Cicero weighs in, suggesting that he believes that they do loathe their son and there is nothing he can do to win back their affection (</w:t>
      </w:r>
      <w:proofErr w:type="spellStart"/>
      <w:r w:rsidR="00015C58">
        <w:rPr>
          <w:i/>
          <w:iCs/>
        </w:rPr>
        <w:t>ut</w:t>
      </w:r>
      <w:proofErr w:type="spellEnd"/>
      <w:r w:rsidR="00015C58">
        <w:rPr>
          <w:i/>
          <w:iCs/>
        </w:rPr>
        <w:t xml:space="preserve"> </w:t>
      </w:r>
      <w:proofErr w:type="spellStart"/>
      <w:r w:rsidR="00015C58">
        <w:rPr>
          <w:i/>
          <w:iCs/>
        </w:rPr>
        <w:t>opinor</w:t>
      </w:r>
      <w:proofErr w:type="spellEnd"/>
      <w:r w:rsidR="00015C58">
        <w:t>) – a cruel, yet humorous, aside. In a bit of a logical leap, Cicero then imagines the opinion of the “parent of our whole community” (</w:t>
      </w:r>
      <w:r w:rsidR="00015C58">
        <w:rPr>
          <w:i/>
          <w:iCs/>
        </w:rPr>
        <w:t>communis</w:t>
      </w:r>
      <w:r w:rsidR="00D06362">
        <w:rPr>
          <w:i/>
          <w:iCs/>
        </w:rPr>
        <w:t xml:space="preserve"> </w:t>
      </w:r>
      <w:proofErr w:type="spellStart"/>
      <w:r w:rsidR="00D06362">
        <w:rPr>
          <w:i/>
          <w:iCs/>
        </w:rPr>
        <w:t>est</w:t>
      </w:r>
      <w:proofErr w:type="spellEnd"/>
      <w:r w:rsidR="00015C58">
        <w:rPr>
          <w:i/>
          <w:iCs/>
        </w:rPr>
        <w:t xml:space="preserve"> </w:t>
      </w:r>
      <w:proofErr w:type="spellStart"/>
      <w:r w:rsidR="00015C58">
        <w:rPr>
          <w:i/>
          <w:iCs/>
        </w:rPr>
        <w:t>parens</w:t>
      </w:r>
      <w:proofErr w:type="spellEnd"/>
      <w:r w:rsidR="00015C58">
        <w:rPr>
          <w:i/>
          <w:iCs/>
        </w:rPr>
        <w:t xml:space="preserve"> omnium nostrum</w:t>
      </w:r>
      <w:r w:rsidR="00015C58">
        <w:t xml:space="preserve">), </w:t>
      </w:r>
      <w:r w:rsidR="001E7DF5" w:rsidRPr="001E7DF5">
        <w:rPr>
          <w:i/>
          <w:iCs/>
        </w:rPr>
        <w:t>p</w:t>
      </w:r>
      <w:r w:rsidR="00015C58" w:rsidRPr="001E7DF5">
        <w:rPr>
          <w:i/>
          <w:iCs/>
        </w:rPr>
        <w:t>atria</w:t>
      </w:r>
      <w:r w:rsidR="00015C58">
        <w:t xml:space="preserve"> herself, and it is she who narrates the bulk of the next section. </w:t>
      </w:r>
    </w:p>
    <w:p w14:paraId="30D00C3B" w14:textId="04E8A33E" w:rsidR="000E475C" w:rsidRDefault="00015C58" w:rsidP="00AF187E">
      <w:pPr>
        <w:spacing w:line="360" w:lineRule="auto"/>
        <w:ind w:firstLine="720"/>
      </w:pPr>
      <w:r>
        <w:t xml:space="preserve">Although </w:t>
      </w:r>
      <w:r w:rsidR="001E7DF5" w:rsidRPr="001E7DF5">
        <w:rPr>
          <w:i/>
          <w:iCs/>
        </w:rPr>
        <w:t>p</w:t>
      </w:r>
      <w:r w:rsidRPr="001E7DF5">
        <w:rPr>
          <w:i/>
          <w:iCs/>
        </w:rPr>
        <w:t>atria</w:t>
      </w:r>
      <w:r>
        <w:t xml:space="preserve"> speaks “somehow silently” (</w:t>
      </w:r>
      <w:r>
        <w:rPr>
          <w:i/>
          <w:iCs/>
        </w:rPr>
        <w:t xml:space="preserve">modo </w:t>
      </w:r>
      <w:proofErr w:type="spellStart"/>
      <w:r>
        <w:rPr>
          <w:i/>
          <w:iCs/>
        </w:rPr>
        <w:t>tacita</w:t>
      </w:r>
      <w:proofErr w:type="spellEnd"/>
      <w:r>
        <w:t>)</w:t>
      </w:r>
      <w:r w:rsidR="00A94A2F">
        <w:t xml:space="preserve"> in 1.18</w:t>
      </w:r>
      <w:r>
        <w:t xml:space="preserve">, she does have quite a bit to say. </w:t>
      </w:r>
      <w:r w:rsidR="000E475C">
        <w:t>Catiline, she says, has been able to run roughshod over Roman society with no real consequences for himself. He prevailed, she says, in neglecting law and inquiry – not just neglecting them, but overturning and shattering them</w:t>
      </w:r>
      <w:r w:rsidR="001E7DF5">
        <w:t xml:space="preserve"> (</w:t>
      </w:r>
      <w:proofErr w:type="spellStart"/>
      <w:r w:rsidR="001E7DF5">
        <w:rPr>
          <w:i/>
          <w:iCs/>
        </w:rPr>
        <w:t>neglegendas</w:t>
      </w:r>
      <w:proofErr w:type="spellEnd"/>
      <w:r w:rsidR="001E7DF5">
        <w:rPr>
          <w:i/>
          <w:iCs/>
        </w:rPr>
        <w:t xml:space="preserve"> leges et quaestiones verum </w:t>
      </w:r>
      <w:proofErr w:type="spellStart"/>
      <w:r w:rsidR="001E7DF5">
        <w:rPr>
          <w:i/>
          <w:iCs/>
        </w:rPr>
        <w:lastRenderedPageBreak/>
        <w:t>etiam</w:t>
      </w:r>
      <w:proofErr w:type="spellEnd"/>
      <w:r w:rsidR="001E7DF5">
        <w:rPr>
          <w:i/>
          <w:iCs/>
        </w:rPr>
        <w:t xml:space="preserve"> </w:t>
      </w:r>
      <w:proofErr w:type="spellStart"/>
      <w:r w:rsidR="001E7DF5">
        <w:rPr>
          <w:i/>
          <w:iCs/>
        </w:rPr>
        <w:t>ad</w:t>
      </w:r>
      <w:proofErr w:type="spellEnd"/>
      <w:r w:rsidR="001E7DF5">
        <w:rPr>
          <w:i/>
          <w:iCs/>
        </w:rPr>
        <w:t xml:space="preserve"> </w:t>
      </w:r>
      <w:proofErr w:type="spellStart"/>
      <w:r w:rsidR="001E7DF5">
        <w:rPr>
          <w:i/>
          <w:iCs/>
        </w:rPr>
        <w:t>evertendas</w:t>
      </w:r>
      <w:proofErr w:type="spellEnd"/>
      <w:r w:rsidR="001E7DF5">
        <w:rPr>
          <w:i/>
          <w:iCs/>
        </w:rPr>
        <w:t xml:space="preserve"> </w:t>
      </w:r>
      <w:proofErr w:type="spellStart"/>
      <w:r w:rsidR="001E7DF5">
        <w:rPr>
          <w:i/>
          <w:iCs/>
        </w:rPr>
        <w:t>perfringendasque</w:t>
      </w:r>
      <w:proofErr w:type="spellEnd"/>
      <w:r w:rsidR="001E7DF5">
        <w:t>)</w:t>
      </w:r>
      <w:r w:rsidR="000E475C">
        <w:t>. She is ambivalent about whether the accusations levelled against him are true or false</w:t>
      </w:r>
      <w:r w:rsidR="00D06362">
        <w:t>, saying that, if they are true, he ought not to oppress her further, and if they are false, she should be freed from fear (</w:t>
      </w:r>
      <w:proofErr w:type="spellStart"/>
      <w:r w:rsidR="00D06362">
        <w:rPr>
          <w:i/>
          <w:iCs/>
        </w:rPr>
        <w:t>si</w:t>
      </w:r>
      <w:proofErr w:type="spellEnd"/>
      <w:r w:rsidR="00D06362">
        <w:rPr>
          <w:i/>
          <w:iCs/>
        </w:rPr>
        <w:t xml:space="preserve"> </w:t>
      </w:r>
      <w:proofErr w:type="spellStart"/>
      <w:r w:rsidR="00D06362">
        <w:rPr>
          <w:i/>
          <w:iCs/>
        </w:rPr>
        <w:t>est</w:t>
      </w:r>
      <w:proofErr w:type="spellEnd"/>
      <w:r w:rsidR="00D06362">
        <w:rPr>
          <w:i/>
          <w:iCs/>
        </w:rPr>
        <w:t xml:space="preserve"> </w:t>
      </w:r>
      <w:proofErr w:type="spellStart"/>
      <w:r w:rsidR="00D06362">
        <w:rPr>
          <w:i/>
          <w:iCs/>
        </w:rPr>
        <w:t>verus</w:t>
      </w:r>
      <w:proofErr w:type="spellEnd"/>
      <w:r w:rsidR="00D06362">
        <w:rPr>
          <w:i/>
          <w:iCs/>
        </w:rPr>
        <w:t xml:space="preserve">, ne </w:t>
      </w:r>
      <w:proofErr w:type="spellStart"/>
      <w:r w:rsidR="00D06362">
        <w:rPr>
          <w:i/>
          <w:iCs/>
        </w:rPr>
        <w:t>opprimar</w:t>
      </w:r>
      <w:proofErr w:type="spellEnd"/>
      <w:r w:rsidR="00D06362">
        <w:rPr>
          <w:i/>
          <w:iCs/>
        </w:rPr>
        <w:t xml:space="preserve">, sin </w:t>
      </w:r>
      <w:proofErr w:type="spellStart"/>
      <w:r w:rsidR="00D06362">
        <w:rPr>
          <w:i/>
          <w:iCs/>
        </w:rPr>
        <w:t>falsus</w:t>
      </w:r>
      <w:proofErr w:type="spellEnd"/>
      <w:r w:rsidR="00D06362">
        <w:rPr>
          <w:i/>
          <w:iCs/>
        </w:rPr>
        <w:t xml:space="preserve">, </w:t>
      </w:r>
      <w:proofErr w:type="spellStart"/>
      <w:r w:rsidR="00D06362">
        <w:rPr>
          <w:i/>
          <w:iCs/>
        </w:rPr>
        <w:t>ut</w:t>
      </w:r>
      <w:proofErr w:type="spellEnd"/>
      <w:r w:rsidR="00D06362">
        <w:rPr>
          <w:i/>
          <w:iCs/>
        </w:rPr>
        <w:t xml:space="preserve"> tandem </w:t>
      </w:r>
      <w:proofErr w:type="spellStart"/>
      <w:r w:rsidR="00D06362">
        <w:rPr>
          <w:i/>
          <w:iCs/>
        </w:rPr>
        <w:t>aliquando</w:t>
      </w:r>
      <w:proofErr w:type="spellEnd"/>
      <w:r w:rsidR="00D06362">
        <w:rPr>
          <w:i/>
          <w:iCs/>
        </w:rPr>
        <w:t xml:space="preserve"> </w:t>
      </w:r>
      <w:proofErr w:type="spellStart"/>
      <w:r w:rsidR="00D06362">
        <w:rPr>
          <w:i/>
          <w:iCs/>
        </w:rPr>
        <w:t>timere</w:t>
      </w:r>
      <w:proofErr w:type="spellEnd"/>
      <w:r w:rsidR="00D06362">
        <w:rPr>
          <w:i/>
          <w:iCs/>
        </w:rPr>
        <w:t xml:space="preserve"> </w:t>
      </w:r>
      <w:proofErr w:type="spellStart"/>
      <w:r w:rsidR="00D06362">
        <w:rPr>
          <w:i/>
          <w:iCs/>
        </w:rPr>
        <w:t>desinam</w:t>
      </w:r>
      <w:proofErr w:type="spellEnd"/>
      <w:r w:rsidR="00D06362">
        <w:t>). A</w:t>
      </w:r>
      <w:r w:rsidR="001E7DF5">
        <w:t xml:space="preserve">s Dyck notes, this allows Cicero to “construct the </w:t>
      </w:r>
      <w:r w:rsidR="001E7DF5">
        <w:rPr>
          <w:i/>
          <w:iCs/>
        </w:rPr>
        <w:t>patria</w:t>
      </w:r>
      <w:r w:rsidR="001E7DF5">
        <w:t xml:space="preserve"> as a spokesperson for the average senator”</w:t>
      </w:r>
      <w:r w:rsidR="001E7DF5">
        <w:rPr>
          <w:rStyle w:val="FootnoteReference"/>
        </w:rPr>
        <w:footnoteReference w:id="1"/>
      </w:r>
      <w:r w:rsidR="001E7DF5">
        <w:t xml:space="preserve"> – </w:t>
      </w:r>
      <w:r w:rsidR="000E475C">
        <w:t>but</w:t>
      </w:r>
      <w:r w:rsidR="00D06362">
        <w:t xml:space="preserve"> </w:t>
      </w:r>
      <w:r w:rsidR="00D06362">
        <w:rPr>
          <w:i/>
          <w:iCs/>
        </w:rPr>
        <w:t>patria</w:t>
      </w:r>
      <w:r w:rsidR="000E475C">
        <w:t xml:space="preserve"> nonetheless concludes her </w:t>
      </w:r>
      <w:proofErr w:type="spellStart"/>
      <w:r w:rsidR="000E475C">
        <w:t>prosopopeic</w:t>
      </w:r>
      <w:proofErr w:type="spellEnd"/>
      <w:r w:rsidR="000E475C">
        <w:t xml:space="preserve"> remarks by encouraging Catiline to leave the city and spare her from fear (</w:t>
      </w:r>
      <w:proofErr w:type="spellStart"/>
      <w:r w:rsidR="000E475C">
        <w:rPr>
          <w:i/>
          <w:iCs/>
        </w:rPr>
        <w:t>discede</w:t>
      </w:r>
      <w:proofErr w:type="spellEnd"/>
      <w:r w:rsidR="000E475C">
        <w:rPr>
          <w:i/>
          <w:iCs/>
        </w:rPr>
        <w:t xml:space="preserve"> </w:t>
      </w:r>
      <w:proofErr w:type="spellStart"/>
      <w:r w:rsidR="000E475C">
        <w:rPr>
          <w:i/>
          <w:iCs/>
        </w:rPr>
        <w:t>atque</w:t>
      </w:r>
      <w:proofErr w:type="spellEnd"/>
      <w:r w:rsidR="000E475C">
        <w:rPr>
          <w:i/>
          <w:iCs/>
        </w:rPr>
        <w:t xml:space="preserve"> </w:t>
      </w:r>
      <w:proofErr w:type="spellStart"/>
      <w:r w:rsidR="000E475C">
        <w:rPr>
          <w:i/>
          <w:iCs/>
        </w:rPr>
        <w:t>hunc</w:t>
      </w:r>
      <w:proofErr w:type="spellEnd"/>
      <w:r w:rsidR="000E475C">
        <w:rPr>
          <w:i/>
          <w:iCs/>
        </w:rPr>
        <w:t xml:space="preserve"> mihi </w:t>
      </w:r>
      <w:proofErr w:type="spellStart"/>
      <w:r w:rsidR="000E475C">
        <w:rPr>
          <w:i/>
          <w:iCs/>
        </w:rPr>
        <w:t>timorem</w:t>
      </w:r>
      <w:proofErr w:type="spellEnd"/>
      <w:r w:rsidR="000E475C">
        <w:rPr>
          <w:i/>
          <w:iCs/>
        </w:rPr>
        <w:t xml:space="preserve"> </w:t>
      </w:r>
      <w:proofErr w:type="spellStart"/>
      <w:r w:rsidR="000E475C">
        <w:rPr>
          <w:i/>
          <w:iCs/>
        </w:rPr>
        <w:t>eripe</w:t>
      </w:r>
      <w:proofErr w:type="spellEnd"/>
      <w:r w:rsidR="000E475C">
        <w:t xml:space="preserve">). </w:t>
      </w:r>
    </w:p>
    <w:p w14:paraId="04FF61AD" w14:textId="6E336284" w:rsidR="00D04EEA" w:rsidRDefault="000E475C" w:rsidP="00AF187E">
      <w:pPr>
        <w:spacing w:line="360" w:lineRule="auto"/>
        <w:ind w:firstLine="720"/>
      </w:pPr>
      <w:r>
        <w:t xml:space="preserve">Cicero, unsurprisingly, opens 1.19 by agreeing with the imagined personification of </w:t>
      </w:r>
      <w:r w:rsidR="001E7DF5" w:rsidRPr="001E7DF5">
        <w:rPr>
          <w:i/>
          <w:iCs/>
        </w:rPr>
        <w:t>p</w:t>
      </w:r>
      <w:r w:rsidRPr="001E7DF5">
        <w:rPr>
          <w:i/>
          <w:iCs/>
        </w:rPr>
        <w:t>atria</w:t>
      </w:r>
      <w:r>
        <w:t xml:space="preserve"> he has conjured, but then launches into a different line of attack: outlining the several people from whom Catiline sought protection. </w:t>
      </w:r>
      <w:r w:rsidR="006A5DC5">
        <w:t>Dyck, in his commentary</w:t>
      </w:r>
      <w:r w:rsidR="006A5DC5">
        <w:rPr>
          <w:rStyle w:val="FootnoteReference"/>
        </w:rPr>
        <w:footnoteReference w:id="2"/>
      </w:r>
      <w:r w:rsidR="006A5DC5">
        <w:t>, discusses who these people are or might be to Catiline</w:t>
      </w:r>
      <w:r w:rsidR="001E7DF5">
        <w:t>.</w:t>
      </w:r>
      <w:r w:rsidR="006A5DC5">
        <w:t xml:space="preserve"> Cicero</w:t>
      </w:r>
      <w:r w:rsidR="001E7DF5">
        <w:t xml:space="preserve"> further claims that</w:t>
      </w:r>
      <w:r w:rsidR="006A5DC5">
        <w:t xml:space="preserve"> himself was asked to host the man he now </w:t>
      </w:r>
      <w:r w:rsidR="001E7DF5">
        <w:t>orates</w:t>
      </w:r>
      <w:r w:rsidR="006A5DC5">
        <w:t xml:space="preserve"> against, which he reports with no little affront, before levelling the accusation that such behavior befits a man who knows he should be clapped in irons. More material, however, than the specific identities of the people Catiline sought shelter with is the fact that they all rejected him</w:t>
      </w:r>
      <w:r w:rsidR="001E7DF5">
        <w:t xml:space="preserve">. We will return to the significance of that rejection later. </w:t>
      </w:r>
    </w:p>
    <w:p w14:paraId="00CA77D6" w14:textId="7AE527FD" w:rsidR="005D0D6A" w:rsidRPr="00DA11A6" w:rsidRDefault="009F6046" w:rsidP="00AF187E">
      <w:pPr>
        <w:spacing w:line="360" w:lineRule="auto"/>
        <w:ind w:firstLine="720"/>
      </w:pPr>
      <w:r>
        <w:t xml:space="preserve">Although she treats of </w:t>
      </w:r>
      <w:r w:rsidR="00DA11A6">
        <w:t xml:space="preserve">Cicero’s later exile – as do several of the other sources cited here </w:t>
      </w:r>
      <w:proofErr w:type="gramStart"/>
      <w:r w:rsidR="00DA11A6">
        <w:t xml:space="preserve">– </w:t>
      </w:r>
      <w:r>
        <w:t xml:space="preserve"> Hales</w:t>
      </w:r>
      <w:proofErr w:type="gramEnd"/>
      <w:r>
        <w:t xml:space="preserve"> offers some insight into the ways Cicero is seeking to evict Catiline from Roman public life. As she points out, the house of a Roman of the senatorial class played a critical role in “communicating news of the family’s continued success to the populace at large.”</w:t>
      </w:r>
      <w:r>
        <w:rPr>
          <w:rStyle w:val="FootnoteReference"/>
        </w:rPr>
        <w:footnoteReference w:id="3"/>
      </w:r>
      <w:r>
        <w:t xml:space="preserve"> </w:t>
      </w:r>
      <w:r w:rsidR="005D0D6A">
        <w:t>But the role of the house – and its links to family establishment – run deeper, suggesting that “the house is city condensed,” and clarifying that “the city was not simply the place for collective identity to be expressed, it was the breeding ground for individual family competition.”</w:t>
      </w:r>
      <w:r w:rsidR="005D0D6A">
        <w:rPr>
          <w:rStyle w:val="FootnoteReference"/>
        </w:rPr>
        <w:footnoteReference w:id="4"/>
      </w:r>
      <w:r w:rsidR="005D0D6A">
        <w:t xml:space="preserve"> In her examination of the loss of Cicero’s own home on the Palatine, Hales offers a way into the rhetorical techniques Cicero is using</w:t>
      </w:r>
      <w:r w:rsidR="00DA11A6">
        <w:t xml:space="preserve">, and points towards Cicero’s use of the nuclear family unit as a kind of synecdoche for the home, itself the city and the </w:t>
      </w:r>
      <w:r w:rsidR="00DA11A6">
        <w:rPr>
          <w:i/>
          <w:iCs/>
        </w:rPr>
        <w:t>patria</w:t>
      </w:r>
      <w:r w:rsidR="00DA11A6">
        <w:t xml:space="preserve"> in miniature. </w:t>
      </w:r>
    </w:p>
    <w:p w14:paraId="464C0B07" w14:textId="6A86422D" w:rsidR="00E1408B" w:rsidRDefault="00E1408B" w:rsidP="00AF187E">
      <w:pPr>
        <w:spacing w:line="360" w:lineRule="auto"/>
        <w:ind w:firstLine="720"/>
      </w:pPr>
      <w:r>
        <w:t xml:space="preserve">The orders Cicero wishes to make – for Catiline’s death, or for his exile – here focus much more on his exile, and in the passages under consideration, play with what, precisely, exile might mean for a man like Catiline. Coming from a more established family than Cicero, who </w:t>
      </w:r>
      <w:r>
        <w:lastRenderedPageBreak/>
        <w:t xml:space="preserve">was still a </w:t>
      </w:r>
      <w:r>
        <w:rPr>
          <w:i/>
          <w:iCs/>
        </w:rPr>
        <w:t>novus homo</w:t>
      </w:r>
      <w:r>
        <w:t xml:space="preserve"> despite recent successes, Catiline’s </w:t>
      </w:r>
      <w:r>
        <w:rPr>
          <w:i/>
          <w:iCs/>
        </w:rPr>
        <w:t>domus</w:t>
      </w:r>
      <w:r>
        <w:t xml:space="preserve"> is of rather more significance than Cicero’s. But it is his own home that Cicero invokes: “I would plan to leave my home” (</w:t>
      </w:r>
      <w:proofErr w:type="spellStart"/>
      <w:r>
        <w:rPr>
          <w:i/>
          <w:iCs/>
        </w:rPr>
        <w:t>domum</w:t>
      </w:r>
      <w:proofErr w:type="spellEnd"/>
      <w:r>
        <w:rPr>
          <w:i/>
          <w:iCs/>
        </w:rPr>
        <w:t xml:space="preserve"> </w:t>
      </w:r>
      <w:proofErr w:type="spellStart"/>
      <w:r>
        <w:rPr>
          <w:i/>
          <w:iCs/>
        </w:rPr>
        <w:t>meam</w:t>
      </w:r>
      <w:proofErr w:type="spellEnd"/>
      <w:r>
        <w:rPr>
          <w:i/>
          <w:iCs/>
        </w:rPr>
        <w:t xml:space="preserve"> </w:t>
      </w:r>
      <w:proofErr w:type="spellStart"/>
      <w:r>
        <w:rPr>
          <w:i/>
          <w:iCs/>
        </w:rPr>
        <w:t>relinquandam</w:t>
      </w:r>
      <w:proofErr w:type="spellEnd"/>
      <w:r>
        <w:rPr>
          <w:i/>
          <w:iCs/>
        </w:rPr>
        <w:t xml:space="preserve"> </w:t>
      </w:r>
      <w:proofErr w:type="spellStart"/>
      <w:r>
        <w:rPr>
          <w:i/>
          <w:iCs/>
        </w:rPr>
        <w:t>putarem</w:t>
      </w:r>
      <w:proofErr w:type="spellEnd"/>
      <w:r>
        <w:t xml:space="preserve">, 1.17), which is no mean feat. </w:t>
      </w:r>
      <w:r w:rsidR="00D633C5">
        <w:t>In invoking not only his home but his slaves (</w:t>
      </w:r>
      <w:proofErr w:type="spellStart"/>
      <w:r w:rsidR="00D633C5">
        <w:rPr>
          <w:i/>
          <w:iCs/>
        </w:rPr>
        <w:t>servi</w:t>
      </w:r>
      <w:proofErr w:type="spellEnd"/>
      <w:r w:rsidR="00D633C5">
        <w:t xml:space="preserve">, 1.17), Cicero relies on the definition of </w:t>
      </w:r>
      <w:r w:rsidR="00D633C5">
        <w:rPr>
          <w:i/>
          <w:iCs/>
        </w:rPr>
        <w:t>domus</w:t>
      </w:r>
      <w:r w:rsidR="00D633C5">
        <w:t xml:space="preserve"> explored by Saller, including not only the nuclear family core, but also “the wider kinship group</w:t>
      </w:r>
      <w:r w:rsidR="00A94A2F">
        <w:t>,</w:t>
      </w:r>
      <w:r w:rsidR="00D633C5">
        <w:t>”</w:t>
      </w:r>
      <w:r w:rsidR="00D633C5">
        <w:rPr>
          <w:rStyle w:val="FootnoteReference"/>
        </w:rPr>
        <w:footnoteReference w:id="5"/>
      </w:r>
      <w:r w:rsidR="00A94A2F">
        <w:t xml:space="preserve"> later clarifying that the word was “used with regard to household and kinship to mean the physical house, the household including family and slaves, the broad kinship group including agnates and cognates, ancestors and descendants, and the patrimony.”</w:t>
      </w:r>
      <w:r w:rsidR="00A94A2F">
        <w:rPr>
          <w:rStyle w:val="FootnoteReference"/>
        </w:rPr>
        <w:footnoteReference w:id="6"/>
      </w:r>
    </w:p>
    <w:p w14:paraId="7ED84507" w14:textId="5FCF84CF" w:rsidR="00A94A2F" w:rsidRDefault="00A94A2F" w:rsidP="00AF187E">
      <w:pPr>
        <w:spacing w:line="360" w:lineRule="auto"/>
        <w:ind w:firstLine="720"/>
      </w:pPr>
      <w:r>
        <w:t xml:space="preserve">Saller, as he explores the differences and overlaps in the senses of </w:t>
      </w:r>
      <w:r>
        <w:rPr>
          <w:i/>
          <w:iCs/>
        </w:rPr>
        <w:t>familia</w:t>
      </w:r>
      <w:r>
        <w:t xml:space="preserve"> and </w:t>
      </w:r>
      <w:r>
        <w:rPr>
          <w:i/>
          <w:iCs/>
        </w:rPr>
        <w:t>domus</w:t>
      </w:r>
      <w:r>
        <w:t xml:space="preserve">, also touches on what it might mean to be deprived of, or removed from, one’s </w:t>
      </w:r>
      <w:r>
        <w:rPr>
          <w:i/>
          <w:iCs/>
        </w:rPr>
        <w:t>domus</w:t>
      </w:r>
      <w:r>
        <w:t xml:space="preserve">, as Cicero and his imagined </w:t>
      </w:r>
      <w:r w:rsidR="001E7DF5" w:rsidRPr="001E7DF5">
        <w:rPr>
          <w:i/>
          <w:iCs/>
        </w:rPr>
        <w:t>p</w:t>
      </w:r>
      <w:r w:rsidRPr="001E7DF5">
        <w:rPr>
          <w:i/>
          <w:iCs/>
        </w:rPr>
        <w:t>atria</w:t>
      </w:r>
      <w:r>
        <w:t xml:space="preserve"> </w:t>
      </w:r>
      <w:proofErr w:type="gramStart"/>
      <w:r>
        <w:t>enjoin</w:t>
      </w:r>
      <w:proofErr w:type="gramEnd"/>
      <w:r>
        <w:t xml:space="preserve"> Catiline to do. </w:t>
      </w:r>
      <w:r w:rsidR="0065730B">
        <w:t>After pointing out that “</w:t>
      </w:r>
      <w:r w:rsidR="0065730B">
        <w:rPr>
          <w:i/>
          <w:iCs/>
        </w:rPr>
        <w:t>domus</w:t>
      </w:r>
      <w:r w:rsidR="0065730B">
        <w:t xml:space="preserve"> as house and household had a direct bearing on a man’s standing and prestige…. The </w:t>
      </w:r>
      <w:r w:rsidR="0065730B">
        <w:rPr>
          <w:i/>
          <w:iCs/>
        </w:rPr>
        <w:t>domus</w:t>
      </w:r>
      <w:r w:rsidR="0065730B">
        <w:t xml:space="preserve"> was a central symbol of status and honor,”</w:t>
      </w:r>
      <w:r w:rsidR="0065730B">
        <w:rPr>
          <w:rStyle w:val="FootnoteReference"/>
        </w:rPr>
        <w:footnoteReference w:id="7"/>
      </w:r>
      <w:r w:rsidR="0065730B">
        <w:t xml:space="preserve"> he notes that “the virtue of the household contributed to [its] prestige.”</w:t>
      </w:r>
      <w:r w:rsidR="0065730B">
        <w:rPr>
          <w:rStyle w:val="FootnoteReference"/>
        </w:rPr>
        <w:footnoteReference w:id="8"/>
      </w:r>
      <w:r w:rsidR="0065730B">
        <w:t xml:space="preserve"> When Cicero invokes Catiline’s parents in 1.17, he does so with full awareness that, by maintaining that Catiline is hateful and fearful to them with no way to win back their affection (</w:t>
      </w:r>
      <w:r w:rsidR="0065730B">
        <w:rPr>
          <w:i/>
          <w:iCs/>
        </w:rPr>
        <w:t xml:space="preserve">Si </w:t>
      </w:r>
      <w:proofErr w:type="spellStart"/>
      <w:r w:rsidR="0065730B">
        <w:rPr>
          <w:i/>
          <w:iCs/>
        </w:rPr>
        <w:t>te</w:t>
      </w:r>
      <w:proofErr w:type="spellEnd"/>
      <w:r w:rsidR="0065730B">
        <w:rPr>
          <w:i/>
          <w:iCs/>
        </w:rPr>
        <w:t xml:space="preserve"> </w:t>
      </w:r>
      <w:proofErr w:type="spellStart"/>
      <w:r w:rsidR="0065730B">
        <w:rPr>
          <w:i/>
          <w:iCs/>
        </w:rPr>
        <w:t>parentes</w:t>
      </w:r>
      <w:proofErr w:type="spellEnd"/>
      <w:r w:rsidR="0065730B">
        <w:rPr>
          <w:i/>
          <w:iCs/>
        </w:rPr>
        <w:t xml:space="preserve"> </w:t>
      </w:r>
      <w:proofErr w:type="spellStart"/>
      <w:r w:rsidR="0065730B">
        <w:rPr>
          <w:i/>
          <w:iCs/>
        </w:rPr>
        <w:t>timerent</w:t>
      </w:r>
      <w:proofErr w:type="spellEnd"/>
      <w:r w:rsidR="0065730B">
        <w:rPr>
          <w:i/>
          <w:iCs/>
        </w:rPr>
        <w:t xml:space="preserve"> </w:t>
      </w:r>
      <w:proofErr w:type="spellStart"/>
      <w:r w:rsidR="0065730B">
        <w:rPr>
          <w:i/>
          <w:iCs/>
        </w:rPr>
        <w:t>atque</w:t>
      </w:r>
      <w:proofErr w:type="spellEnd"/>
      <w:r w:rsidR="0065730B">
        <w:rPr>
          <w:i/>
          <w:iCs/>
        </w:rPr>
        <w:t xml:space="preserve"> </w:t>
      </w:r>
      <w:proofErr w:type="spellStart"/>
      <w:r w:rsidR="0065730B">
        <w:rPr>
          <w:i/>
          <w:iCs/>
        </w:rPr>
        <w:t>odissent</w:t>
      </w:r>
      <w:proofErr w:type="spellEnd"/>
      <w:r w:rsidR="0065730B">
        <w:rPr>
          <w:i/>
          <w:iCs/>
        </w:rPr>
        <w:t xml:space="preserve"> tui </w:t>
      </w:r>
      <w:proofErr w:type="spellStart"/>
      <w:r w:rsidR="0065730B">
        <w:rPr>
          <w:i/>
          <w:iCs/>
        </w:rPr>
        <w:t>neque</w:t>
      </w:r>
      <w:proofErr w:type="spellEnd"/>
      <w:r w:rsidR="0065730B">
        <w:rPr>
          <w:i/>
          <w:iCs/>
        </w:rPr>
        <w:t xml:space="preserve"> </w:t>
      </w:r>
      <w:proofErr w:type="spellStart"/>
      <w:r w:rsidR="0065730B">
        <w:rPr>
          <w:i/>
          <w:iCs/>
        </w:rPr>
        <w:t>eos</w:t>
      </w:r>
      <w:proofErr w:type="spellEnd"/>
      <w:r w:rsidR="0065730B">
        <w:rPr>
          <w:i/>
          <w:iCs/>
        </w:rPr>
        <w:t xml:space="preserve"> ratione </w:t>
      </w:r>
      <w:proofErr w:type="spellStart"/>
      <w:r w:rsidR="0065730B">
        <w:rPr>
          <w:i/>
          <w:iCs/>
        </w:rPr>
        <w:t>ulla</w:t>
      </w:r>
      <w:proofErr w:type="spellEnd"/>
      <w:r w:rsidR="0065730B">
        <w:rPr>
          <w:i/>
          <w:iCs/>
        </w:rPr>
        <w:t xml:space="preserve"> </w:t>
      </w:r>
      <w:proofErr w:type="spellStart"/>
      <w:r w:rsidR="0065730B">
        <w:rPr>
          <w:i/>
          <w:iCs/>
        </w:rPr>
        <w:t>placare</w:t>
      </w:r>
      <w:proofErr w:type="spellEnd"/>
      <w:r w:rsidR="0065730B">
        <w:rPr>
          <w:i/>
          <w:iCs/>
        </w:rPr>
        <w:t xml:space="preserve"> </w:t>
      </w:r>
      <w:proofErr w:type="spellStart"/>
      <w:r w:rsidR="0065730B">
        <w:rPr>
          <w:i/>
          <w:iCs/>
        </w:rPr>
        <w:t>posses</w:t>
      </w:r>
      <w:proofErr w:type="spellEnd"/>
      <w:r w:rsidR="0065730B">
        <w:t xml:space="preserve">, 1.17), he can both show appropriate deference to an old family, and suggest that this particular scion of it is currently in the act of dishonoring it. He then presses his attack, </w:t>
      </w:r>
      <w:r w:rsidR="008F2F75">
        <w:t xml:space="preserve">offering the </w:t>
      </w:r>
      <w:proofErr w:type="spellStart"/>
      <w:r w:rsidR="008F2F75">
        <w:t>proso</w:t>
      </w:r>
      <w:r w:rsidR="00FC30F4">
        <w:t>po</w:t>
      </w:r>
      <w:r w:rsidR="008F2F75">
        <w:t>peia</w:t>
      </w:r>
      <w:proofErr w:type="spellEnd"/>
      <w:r w:rsidR="008F2F75">
        <w:t xml:space="preserve"> from </w:t>
      </w:r>
      <w:r w:rsidR="008F2F75" w:rsidRPr="00FC30F4">
        <w:rPr>
          <w:i/>
          <w:iCs/>
        </w:rPr>
        <w:t>patria</w:t>
      </w:r>
      <w:r w:rsidR="008F2F75">
        <w:t xml:space="preserve"> in what Berry characterizes as “a highlight of both the delivered and the published speech, and was perhaps intended from the outset to acquire classic status.”</w:t>
      </w:r>
      <w:r w:rsidR="008F2F75">
        <w:rPr>
          <w:rStyle w:val="FootnoteReference"/>
        </w:rPr>
        <w:footnoteReference w:id="9"/>
      </w:r>
      <w:r w:rsidR="008F2F75">
        <w:t xml:space="preserve"> </w:t>
      </w:r>
    </w:p>
    <w:p w14:paraId="6F00A114" w14:textId="079C09B7" w:rsidR="002C3174" w:rsidRDefault="008F2F75" w:rsidP="00AF187E">
      <w:pPr>
        <w:spacing w:line="360" w:lineRule="auto"/>
        <w:ind w:firstLine="720"/>
      </w:pPr>
      <w:r>
        <w:t xml:space="preserve">This attack from the nation herself is no small matter on its own: as Saller notes, “Romans were asked to fight for </w:t>
      </w:r>
      <w:r>
        <w:rPr>
          <w:i/>
          <w:iCs/>
        </w:rPr>
        <w:t xml:space="preserve">patria </w:t>
      </w:r>
      <w:proofErr w:type="spellStart"/>
      <w:r>
        <w:rPr>
          <w:i/>
          <w:iCs/>
        </w:rPr>
        <w:t>domusque</w:t>
      </w:r>
      <w:proofErr w:type="spellEnd"/>
      <w:r>
        <w:t>,”</w:t>
      </w:r>
      <w:r>
        <w:rPr>
          <w:rStyle w:val="FootnoteReference"/>
        </w:rPr>
        <w:footnoteReference w:id="10"/>
      </w:r>
      <w:r>
        <w:t xml:space="preserve"> though he refers to later sources than Cicero to support that point. Still, the combination of the nation with the invocation of the nuclear family unit and specifically the parents as reasons for Catiline to quit the city is incredibly potent. </w:t>
      </w:r>
    </w:p>
    <w:p w14:paraId="4F282C74" w14:textId="22B870DF" w:rsidR="002C3174" w:rsidRDefault="002C3174" w:rsidP="00AF187E">
      <w:pPr>
        <w:spacing w:line="360" w:lineRule="auto"/>
        <w:ind w:firstLine="720"/>
      </w:pPr>
      <w:r>
        <w:lastRenderedPageBreak/>
        <w:t>As Berry points out,</w:t>
      </w:r>
      <w:r w:rsidR="006156A6" w:rsidRPr="006156A6">
        <w:rPr>
          <w:rStyle w:val="FootnoteReference"/>
        </w:rPr>
        <w:t xml:space="preserve"> </w:t>
      </w:r>
      <w:r w:rsidR="006156A6">
        <w:rPr>
          <w:rStyle w:val="FootnoteReference"/>
        </w:rPr>
        <w:footnoteReference w:id="11"/>
      </w:r>
      <w:r>
        <w:t xml:space="preserve"> however, Catiline isn’t only suffering from the opprobrium of his own parents and </w:t>
      </w:r>
      <w:r>
        <w:rPr>
          <w:i/>
          <w:iCs/>
        </w:rPr>
        <w:t>patria</w:t>
      </w:r>
      <w:r>
        <w:t>: none of his supposed friends will take him in, to say nothing of the attitude of his enemies</w:t>
      </w:r>
      <w:r w:rsidR="006156A6">
        <w:t xml:space="preserve"> – Cicero maintains that there was no way he would be safe within the same walls as Catiline (</w:t>
      </w:r>
      <w:r w:rsidR="006156A6">
        <w:rPr>
          <w:i/>
          <w:iCs/>
        </w:rPr>
        <w:t xml:space="preserve">me </w:t>
      </w:r>
      <w:proofErr w:type="spellStart"/>
      <w:r w:rsidR="006156A6">
        <w:rPr>
          <w:i/>
          <w:iCs/>
        </w:rPr>
        <w:t>nullo</w:t>
      </w:r>
      <w:proofErr w:type="spellEnd"/>
      <w:r w:rsidR="006156A6">
        <w:rPr>
          <w:i/>
          <w:iCs/>
        </w:rPr>
        <w:t xml:space="preserve"> modo posse </w:t>
      </w:r>
      <w:proofErr w:type="spellStart"/>
      <w:r w:rsidR="006156A6">
        <w:rPr>
          <w:i/>
          <w:iCs/>
        </w:rPr>
        <w:t>isdem</w:t>
      </w:r>
      <w:proofErr w:type="spellEnd"/>
      <w:r w:rsidR="006156A6">
        <w:rPr>
          <w:i/>
          <w:iCs/>
        </w:rPr>
        <w:t xml:space="preserve"> </w:t>
      </w:r>
      <w:proofErr w:type="spellStart"/>
      <w:r w:rsidR="006156A6">
        <w:rPr>
          <w:i/>
          <w:iCs/>
        </w:rPr>
        <w:t>parietibus</w:t>
      </w:r>
      <w:proofErr w:type="spellEnd"/>
      <w:r w:rsidR="006156A6">
        <w:rPr>
          <w:i/>
          <w:iCs/>
        </w:rPr>
        <w:t xml:space="preserve"> </w:t>
      </w:r>
      <w:proofErr w:type="spellStart"/>
      <w:r w:rsidR="006156A6">
        <w:rPr>
          <w:i/>
          <w:iCs/>
        </w:rPr>
        <w:t>tuto</w:t>
      </w:r>
      <w:proofErr w:type="spellEnd"/>
      <w:r w:rsidR="006156A6">
        <w:rPr>
          <w:i/>
          <w:iCs/>
        </w:rPr>
        <w:t xml:space="preserve"> </w:t>
      </w:r>
      <w:proofErr w:type="spellStart"/>
      <w:r w:rsidR="006156A6">
        <w:rPr>
          <w:i/>
          <w:iCs/>
        </w:rPr>
        <w:t>esse</w:t>
      </w:r>
      <w:proofErr w:type="spellEnd"/>
      <w:r w:rsidR="006156A6">
        <w:rPr>
          <w:i/>
          <w:iCs/>
        </w:rPr>
        <w:t xml:space="preserve"> tecum</w:t>
      </w:r>
      <w:r w:rsidR="006156A6">
        <w:t>, 1.19).</w:t>
      </w:r>
      <w:r>
        <w:t xml:space="preserve"> Dyck explains what Catiline was attempting to do</w:t>
      </w:r>
      <w:r w:rsidR="006156A6">
        <w:t xml:space="preserve"> in presenting himself at these various houses</w:t>
      </w:r>
      <w:r>
        <w:t xml:space="preserve">, clarifying that, “Upper-class defendants awaiting trial were standardly free on bail. Alternatively, citizens of standing who were suspected of a crime could, at the magistrate’s discretion, be consigned to </w:t>
      </w:r>
      <w:r>
        <w:rPr>
          <w:i/>
          <w:iCs/>
        </w:rPr>
        <w:t>libera custodia</w:t>
      </w:r>
      <w:r>
        <w:t>… a kind of house arrest by which the host in effect stood bail.”</w:t>
      </w:r>
      <w:r>
        <w:rPr>
          <w:rStyle w:val="FootnoteReference"/>
        </w:rPr>
        <w:footnoteReference w:id="12"/>
      </w:r>
    </w:p>
    <w:p w14:paraId="624D2724" w14:textId="1F5C1D63" w:rsidR="00042769" w:rsidRDefault="002C3174" w:rsidP="00AF187E">
      <w:pPr>
        <w:spacing w:line="360" w:lineRule="auto"/>
        <w:ind w:firstLine="720"/>
      </w:pPr>
      <w:r>
        <w:t>It is not merely the immediate family on which a Roman man’s honor depends; his circle of acquaintance is also critical to his standing</w:t>
      </w:r>
      <w:r w:rsidR="003146F9">
        <w:t xml:space="preserve">, a circle in part demarcated by the people he takes into his home. Roller brushes up against this idea in his lengthy essay on the demolishing of the Roman aristocratic home (an act he positions as negative memorialization, rather than total effacement), noting that, “through domestic cult practice as well as architecture and decoration, the elite </w:t>
      </w:r>
      <w:r w:rsidR="003146F9">
        <w:rPr>
          <w:i/>
          <w:iCs/>
        </w:rPr>
        <w:t>domus</w:t>
      </w:r>
      <w:r w:rsidR="003146F9">
        <w:t xml:space="preserve"> articulated its owner’s relationship to his slaves and dependents, family and ancestry, </w:t>
      </w:r>
      <w:r w:rsidR="003146F9" w:rsidRPr="00D06362">
        <w:rPr>
          <w:b/>
          <w:bCs/>
        </w:rPr>
        <w:t>supporters and peers</w:t>
      </w:r>
      <w:r w:rsidR="003146F9">
        <w:t>, in ways that underpinned his claim to social power and prestige”</w:t>
      </w:r>
      <w:r w:rsidR="003146F9">
        <w:rPr>
          <w:rStyle w:val="FootnoteReference"/>
        </w:rPr>
        <w:footnoteReference w:id="13"/>
      </w:r>
      <w:r w:rsidR="003146F9">
        <w:t xml:space="preserve"> (emphasis mine). He goes on to conclude that, “Would-be </w:t>
      </w:r>
      <w:r w:rsidR="003146F9">
        <w:rPr>
          <w:i/>
          <w:iCs/>
        </w:rPr>
        <w:t>reges</w:t>
      </w:r>
      <w:r w:rsidR="003146F9">
        <w:t xml:space="preserve"> who plot revolution among their supporters in their houses seem to be the ‘best examples’ of candidates for demolition.”</w:t>
      </w:r>
      <w:r w:rsidR="003146F9">
        <w:rPr>
          <w:rStyle w:val="FootnoteReference"/>
        </w:rPr>
        <w:footnoteReference w:id="14"/>
      </w:r>
      <w:r w:rsidR="003146F9">
        <w:t xml:space="preserve"> It bears mentioning that this kind activity – fomenting revolution in a private dwelling – is something Cicero accuses Catiline of engaging in multiple times </w:t>
      </w:r>
      <w:r w:rsidR="00FC30F4">
        <w:t>throughout</w:t>
      </w:r>
      <w:r w:rsidR="003146F9">
        <w:t xml:space="preserve"> the course of </w:t>
      </w:r>
      <w:r w:rsidR="003146F9">
        <w:rPr>
          <w:i/>
          <w:iCs/>
        </w:rPr>
        <w:t xml:space="preserve">In </w:t>
      </w:r>
      <w:proofErr w:type="spellStart"/>
      <w:r w:rsidR="003146F9">
        <w:rPr>
          <w:i/>
          <w:iCs/>
        </w:rPr>
        <w:t>Catilinam</w:t>
      </w:r>
      <w:proofErr w:type="spellEnd"/>
      <w:r w:rsidR="003146F9">
        <w:rPr>
          <w:i/>
          <w:iCs/>
        </w:rPr>
        <w:t xml:space="preserve"> 1</w:t>
      </w:r>
      <w:r w:rsidR="003146F9">
        <w:t>, beginning in 1.6, when he makes the suggestion that, if neither night nor the walls of private houses can hide his conspiracy, Catiline might as well go into exile (</w:t>
      </w:r>
      <w:proofErr w:type="spellStart"/>
      <w:r w:rsidR="00042769">
        <w:rPr>
          <w:i/>
          <w:iCs/>
        </w:rPr>
        <w:t>Etenim</w:t>
      </w:r>
      <w:proofErr w:type="spellEnd"/>
      <w:r w:rsidR="00042769">
        <w:rPr>
          <w:i/>
          <w:iCs/>
        </w:rPr>
        <w:t xml:space="preserve"> quid </w:t>
      </w:r>
      <w:proofErr w:type="spellStart"/>
      <w:r w:rsidR="00042769">
        <w:rPr>
          <w:i/>
          <w:iCs/>
        </w:rPr>
        <w:t>est</w:t>
      </w:r>
      <w:proofErr w:type="spellEnd"/>
      <w:r w:rsidR="00FC30F4">
        <w:rPr>
          <w:i/>
          <w:iCs/>
        </w:rPr>
        <w:t xml:space="preserve">, Catilina, quo diam </w:t>
      </w:r>
      <w:proofErr w:type="spellStart"/>
      <w:r w:rsidR="00FC30F4">
        <w:rPr>
          <w:i/>
          <w:iCs/>
        </w:rPr>
        <w:t>amplius</w:t>
      </w:r>
      <w:proofErr w:type="spellEnd"/>
      <w:r w:rsidR="00FC30F4">
        <w:rPr>
          <w:i/>
          <w:iCs/>
        </w:rPr>
        <w:t xml:space="preserve"> </w:t>
      </w:r>
      <w:proofErr w:type="spellStart"/>
      <w:r w:rsidR="00FC30F4">
        <w:rPr>
          <w:i/>
          <w:iCs/>
        </w:rPr>
        <w:t>expspectes</w:t>
      </w:r>
      <w:proofErr w:type="spellEnd"/>
      <w:r w:rsidR="00FC30F4">
        <w:rPr>
          <w:i/>
          <w:iCs/>
        </w:rPr>
        <w:t xml:space="preserve">, </w:t>
      </w:r>
      <w:proofErr w:type="spellStart"/>
      <w:r w:rsidR="00FC30F4">
        <w:rPr>
          <w:i/>
          <w:iCs/>
        </w:rPr>
        <w:t>si</w:t>
      </w:r>
      <w:proofErr w:type="spellEnd"/>
      <w:r w:rsidR="00FC30F4">
        <w:rPr>
          <w:i/>
          <w:iCs/>
        </w:rPr>
        <w:t xml:space="preserve"> </w:t>
      </w:r>
      <w:proofErr w:type="spellStart"/>
      <w:r w:rsidR="00FC30F4">
        <w:rPr>
          <w:i/>
          <w:iCs/>
        </w:rPr>
        <w:t>neque</w:t>
      </w:r>
      <w:proofErr w:type="spellEnd"/>
      <w:r w:rsidR="00FC30F4">
        <w:rPr>
          <w:i/>
          <w:iCs/>
        </w:rPr>
        <w:t xml:space="preserve"> </w:t>
      </w:r>
      <w:proofErr w:type="spellStart"/>
      <w:r w:rsidR="00FC30F4">
        <w:rPr>
          <w:i/>
          <w:iCs/>
        </w:rPr>
        <w:t>nox</w:t>
      </w:r>
      <w:proofErr w:type="spellEnd"/>
      <w:r w:rsidR="00FC30F4">
        <w:rPr>
          <w:i/>
          <w:iCs/>
        </w:rPr>
        <w:t xml:space="preserve"> </w:t>
      </w:r>
      <w:proofErr w:type="spellStart"/>
      <w:r w:rsidR="00FC30F4">
        <w:rPr>
          <w:i/>
          <w:iCs/>
        </w:rPr>
        <w:t>tenebris</w:t>
      </w:r>
      <w:proofErr w:type="spellEnd"/>
      <w:r w:rsidR="00FC30F4">
        <w:rPr>
          <w:i/>
          <w:iCs/>
        </w:rPr>
        <w:t xml:space="preserve"> </w:t>
      </w:r>
      <w:proofErr w:type="spellStart"/>
      <w:r w:rsidR="00FC30F4">
        <w:rPr>
          <w:i/>
          <w:iCs/>
        </w:rPr>
        <w:t>obscurare</w:t>
      </w:r>
      <w:proofErr w:type="spellEnd"/>
      <w:r w:rsidR="00FC30F4">
        <w:rPr>
          <w:i/>
          <w:iCs/>
        </w:rPr>
        <w:t xml:space="preserve"> </w:t>
      </w:r>
      <w:proofErr w:type="spellStart"/>
      <w:r w:rsidR="00FC30F4">
        <w:rPr>
          <w:i/>
          <w:iCs/>
        </w:rPr>
        <w:t>coetus</w:t>
      </w:r>
      <w:proofErr w:type="spellEnd"/>
      <w:r w:rsidR="00FC30F4">
        <w:rPr>
          <w:i/>
          <w:iCs/>
        </w:rPr>
        <w:t xml:space="preserve"> nefarious nec private domus </w:t>
      </w:r>
      <w:proofErr w:type="spellStart"/>
      <w:r w:rsidR="00FC30F4">
        <w:rPr>
          <w:i/>
          <w:iCs/>
        </w:rPr>
        <w:t>parietibus</w:t>
      </w:r>
      <w:proofErr w:type="spellEnd"/>
      <w:r w:rsidR="00FC30F4">
        <w:rPr>
          <w:i/>
          <w:iCs/>
        </w:rPr>
        <w:t xml:space="preserve"> </w:t>
      </w:r>
      <w:proofErr w:type="spellStart"/>
      <w:r w:rsidR="00FC30F4">
        <w:rPr>
          <w:i/>
          <w:iCs/>
        </w:rPr>
        <w:t>continere</w:t>
      </w:r>
      <w:proofErr w:type="spellEnd"/>
      <w:r w:rsidR="00FC30F4">
        <w:rPr>
          <w:i/>
          <w:iCs/>
        </w:rPr>
        <w:t xml:space="preserve"> voces </w:t>
      </w:r>
      <w:proofErr w:type="spellStart"/>
      <w:r w:rsidR="00FC30F4">
        <w:rPr>
          <w:i/>
          <w:iCs/>
        </w:rPr>
        <w:t>coniurationis</w:t>
      </w:r>
      <w:proofErr w:type="spellEnd"/>
      <w:r w:rsidR="00FC30F4">
        <w:rPr>
          <w:i/>
          <w:iCs/>
        </w:rPr>
        <w:t xml:space="preserve"> </w:t>
      </w:r>
      <w:proofErr w:type="spellStart"/>
      <w:r w:rsidR="00FC30F4">
        <w:rPr>
          <w:i/>
          <w:iCs/>
        </w:rPr>
        <w:t>tuae</w:t>
      </w:r>
      <w:proofErr w:type="spellEnd"/>
      <w:r w:rsidR="00FC30F4">
        <w:rPr>
          <w:i/>
          <w:iCs/>
        </w:rPr>
        <w:t xml:space="preserve"> </w:t>
      </w:r>
      <w:proofErr w:type="spellStart"/>
      <w:r w:rsidR="00FC30F4">
        <w:rPr>
          <w:i/>
          <w:iCs/>
        </w:rPr>
        <w:t>potest</w:t>
      </w:r>
      <w:proofErr w:type="spellEnd"/>
      <w:r w:rsidR="00FC30F4">
        <w:rPr>
          <w:i/>
          <w:iCs/>
        </w:rPr>
        <w:t xml:space="preserve">, </w:t>
      </w:r>
      <w:proofErr w:type="spellStart"/>
      <w:r w:rsidR="00FC30F4">
        <w:rPr>
          <w:i/>
          <w:iCs/>
        </w:rPr>
        <w:t>si</w:t>
      </w:r>
      <w:proofErr w:type="spellEnd"/>
      <w:r w:rsidR="00FC30F4">
        <w:rPr>
          <w:i/>
          <w:iCs/>
        </w:rPr>
        <w:t xml:space="preserve"> </w:t>
      </w:r>
      <w:proofErr w:type="spellStart"/>
      <w:r w:rsidR="00FC30F4">
        <w:rPr>
          <w:i/>
          <w:iCs/>
        </w:rPr>
        <w:t>inlustrantur</w:t>
      </w:r>
      <w:proofErr w:type="spellEnd"/>
      <w:r w:rsidR="00FC30F4">
        <w:rPr>
          <w:i/>
          <w:iCs/>
        </w:rPr>
        <w:t xml:space="preserve">, </w:t>
      </w:r>
      <w:proofErr w:type="spellStart"/>
      <w:r w:rsidR="00042769">
        <w:rPr>
          <w:i/>
          <w:iCs/>
        </w:rPr>
        <w:t>si</w:t>
      </w:r>
      <w:proofErr w:type="spellEnd"/>
      <w:r w:rsidR="00042769">
        <w:rPr>
          <w:i/>
          <w:iCs/>
        </w:rPr>
        <w:t xml:space="preserve"> </w:t>
      </w:r>
      <w:proofErr w:type="spellStart"/>
      <w:r w:rsidR="00042769">
        <w:rPr>
          <w:i/>
          <w:iCs/>
        </w:rPr>
        <w:t>erumpunt</w:t>
      </w:r>
      <w:proofErr w:type="spellEnd"/>
      <w:r w:rsidR="00042769">
        <w:rPr>
          <w:i/>
          <w:iCs/>
        </w:rPr>
        <w:t xml:space="preserve"> omnia</w:t>
      </w:r>
      <w:r w:rsidR="00042769">
        <w:t xml:space="preserve">, 1.6). </w:t>
      </w:r>
    </w:p>
    <w:p w14:paraId="30DFA58C" w14:textId="528F23E5" w:rsidR="00157106" w:rsidRPr="00157106" w:rsidRDefault="00042769" w:rsidP="00AF187E">
      <w:pPr>
        <w:spacing w:line="360" w:lineRule="auto"/>
        <w:ind w:firstLine="720"/>
      </w:pPr>
      <w:r>
        <w:t>The reappearance of private dwellings, and of specific men who will not admit Catiline into theirs, forms a turning point in the overall argument. Although Dyck provides more detail about the nature</w:t>
      </w:r>
      <w:r w:rsidR="00157106">
        <w:t xml:space="preserve"> and identities</w:t>
      </w:r>
      <w:r>
        <w:t xml:space="preserve"> of the </w:t>
      </w:r>
      <w:r w:rsidR="0048698C">
        <w:t>men</w:t>
      </w:r>
      <w:r w:rsidR="0048698C">
        <w:rPr>
          <w:rStyle w:val="FootnoteReference"/>
        </w:rPr>
        <w:footnoteReference w:id="15"/>
      </w:r>
      <w:r>
        <w:t xml:space="preserve"> </w:t>
      </w:r>
      <w:r w:rsidR="0048698C">
        <w:t>to</w:t>
      </w:r>
      <w:r>
        <w:t xml:space="preserve"> whom Catiline seeks to give himself </w:t>
      </w:r>
      <w:r w:rsidR="0048698C">
        <w:t>in</w:t>
      </w:r>
      <w:r>
        <w:t xml:space="preserve"> custody, </w:t>
      </w:r>
      <w:r>
        <w:lastRenderedPageBreak/>
        <w:t>the critical point here is that they are men from whom Catiline expected at least this measure of support, and from whom he did not get it.</w:t>
      </w:r>
      <w:r w:rsidR="00157106">
        <w:t xml:space="preserve"> Indeed, Marcus Metellus is characterized as one of Catiline’s </w:t>
      </w:r>
      <w:proofErr w:type="spellStart"/>
      <w:r w:rsidR="00157106">
        <w:rPr>
          <w:i/>
          <w:iCs/>
        </w:rPr>
        <w:t>sodales</w:t>
      </w:r>
      <w:proofErr w:type="spellEnd"/>
      <w:r w:rsidR="00157106">
        <w:t xml:space="preserve"> – a friend, but also a “member of an unlawful association”</w:t>
      </w:r>
      <w:r w:rsidR="00157106">
        <w:rPr>
          <w:rStyle w:val="FootnoteReference"/>
        </w:rPr>
        <w:footnoteReference w:id="16"/>
      </w:r>
      <w:r w:rsidR="00157106">
        <w:t xml:space="preserve"> – from whom Catiline had expected diligent guardianship, wise wariness, and forceful vengeance (</w:t>
      </w:r>
      <w:proofErr w:type="spellStart"/>
      <w:r w:rsidR="00157106">
        <w:rPr>
          <w:i/>
          <w:iCs/>
        </w:rPr>
        <w:t>quem</w:t>
      </w:r>
      <w:proofErr w:type="spellEnd"/>
      <w:r w:rsidR="00157106">
        <w:rPr>
          <w:i/>
          <w:iCs/>
        </w:rPr>
        <w:t xml:space="preserve"> </w:t>
      </w:r>
      <w:proofErr w:type="spellStart"/>
      <w:r w:rsidR="00157106">
        <w:rPr>
          <w:i/>
          <w:iCs/>
        </w:rPr>
        <w:t>tu</w:t>
      </w:r>
      <w:proofErr w:type="spellEnd"/>
      <w:r w:rsidR="00157106">
        <w:rPr>
          <w:i/>
          <w:iCs/>
        </w:rPr>
        <w:t xml:space="preserve"> videlicet</w:t>
      </w:r>
      <w:r w:rsidR="00FC30F4">
        <w:rPr>
          <w:i/>
          <w:iCs/>
        </w:rPr>
        <w:t xml:space="preserve"> et as </w:t>
      </w:r>
      <w:proofErr w:type="spellStart"/>
      <w:r w:rsidR="00FC30F4">
        <w:rPr>
          <w:i/>
          <w:iCs/>
        </w:rPr>
        <w:t>custodiendum</w:t>
      </w:r>
      <w:proofErr w:type="spellEnd"/>
      <w:r w:rsidR="00FC30F4">
        <w:rPr>
          <w:i/>
          <w:iCs/>
        </w:rPr>
        <w:t xml:space="preserve"> </w:t>
      </w:r>
      <w:proofErr w:type="spellStart"/>
      <w:r w:rsidR="00FC30F4">
        <w:rPr>
          <w:i/>
          <w:iCs/>
        </w:rPr>
        <w:t>te</w:t>
      </w:r>
      <w:proofErr w:type="spellEnd"/>
      <w:r w:rsidR="00FC30F4">
        <w:rPr>
          <w:i/>
          <w:iCs/>
        </w:rPr>
        <w:t xml:space="preserve"> </w:t>
      </w:r>
      <w:proofErr w:type="spellStart"/>
      <w:r w:rsidR="00FC30F4">
        <w:rPr>
          <w:i/>
          <w:iCs/>
        </w:rPr>
        <w:t>diligentissimum</w:t>
      </w:r>
      <w:proofErr w:type="spellEnd"/>
      <w:r w:rsidR="00FC30F4">
        <w:rPr>
          <w:i/>
          <w:iCs/>
        </w:rPr>
        <w:t xml:space="preserve"> et ad </w:t>
      </w:r>
      <w:proofErr w:type="spellStart"/>
      <w:r w:rsidR="00FC30F4">
        <w:rPr>
          <w:i/>
          <w:iCs/>
        </w:rPr>
        <w:t>suspicandum</w:t>
      </w:r>
      <w:proofErr w:type="spellEnd"/>
      <w:r w:rsidR="00FC30F4">
        <w:rPr>
          <w:i/>
          <w:iCs/>
        </w:rPr>
        <w:t xml:space="preserve"> </w:t>
      </w:r>
      <w:proofErr w:type="spellStart"/>
      <w:r w:rsidR="00FC30F4">
        <w:rPr>
          <w:i/>
          <w:iCs/>
        </w:rPr>
        <w:t>sagacissimum</w:t>
      </w:r>
      <w:proofErr w:type="spellEnd"/>
      <w:r w:rsidR="00FC30F4">
        <w:rPr>
          <w:i/>
          <w:iCs/>
        </w:rPr>
        <w:t xml:space="preserve"> et ad </w:t>
      </w:r>
      <w:proofErr w:type="spellStart"/>
      <w:r w:rsidR="00FC30F4">
        <w:rPr>
          <w:i/>
          <w:iCs/>
        </w:rPr>
        <w:t>vindicandum</w:t>
      </w:r>
      <w:proofErr w:type="spellEnd"/>
      <w:r w:rsidR="00FC30F4">
        <w:rPr>
          <w:i/>
          <w:iCs/>
        </w:rPr>
        <w:t xml:space="preserve"> </w:t>
      </w:r>
      <w:proofErr w:type="spellStart"/>
      <w:r w:rsidR="00FC30F4">
        <w:rPr>
          <w:i/>
          <w:iCs/>
        </w:rPr>
        <w:t>fortissimum</w:t>
      </w:r>
      <w:proofErr w:type="spellEnd"/>
      <w:r w:rsidR="00FC30F4">
        <w:rPr>
          <w:i/>
          <w:iCs/>
        </w:rPr>
        <w:t xml:space="preserve"> </w:t>
      </w:r>
      <w:r w:rsidR="00157106">
        <w:rPr>
          <w:i/>
          <w:iCs/>
        </w:rPr>
        <w:t xml:space="preserve">fore </w:t>
      </w:r>
      <w:proofErr w:type="spellStart"/>
      <w:r w:rsidR="00157106">
        <w:rPr>
          <w:i/>
          <w:iCs/>
        </w:rPr>
        <w:t>putasti</w:t>
      </w:r>
      <w:proofErr w:type="spellEnd"/>
      <w:r w:rsidR="00157106">
        <w:t>, 1.19). That Catiline did not receive any such welcome, even from someone with whom he apparently shared such a close relationship, is another point against his continued well-being and welcome in any home.</w:t>
      </w:r>
    </w:p>
    <w:p w14:paraId="06335880" w14:textId="0256C80D" w:rsidR="002C3174" w:rsidRDefault="0048698C" w:rsidP="00AF187E">
      <w:pPr>
        <w:spacing w:line="360" w:lineRule="auto"/>
        <w:ind w:firstLine="720"/>
      </w:pPr>
      <w:r>
        <w:t xml:space="preserve">To extrapolate a little from Roller’s remarks about friends and supporters as part of the household, Catiline is now unwelcome not only in his own home as represented by his parents, </w:t>
      </w:r>
      <w:r w:rsidR="00FC30F4">
        <w:t>in</w:t>
      </w:r>
      <w:r>
        <w:t xml:space="preserve"> his country as represented by the </w:t>
      </w:r>
      <w:proofErr w:type="spellStart"/>
      <w:r>
        <w:t>pros</w:t>
      </w:r>
      <w:r w:rsidR="00FC30F4">
        <w:t>o</w:t>
      </w:r>
      <w:r>
        <w:t>popeic</w:t>
      </w:r>
      <w:proofErr w:type="spellEnd"/>
      <w:r>
        <w:t xml:space="preserve"> appearance of </w:t>
      </w:r>
      <w:r>
        <w:rPr>
          <w:i/>
          <w:iCs/>
        </w:rPr>
        <w:t>patria</w:t>
      </w:r>
      <w:r>
        <w:t>, but now he has been made unwelcome by his friends and countrymen. If, as Roller, citing Livy, notes,</w:t>
      </w:r>
      <w:r>
        <w:rPr>
          <w:rStyle w:val="FootnoteReference"/>
        </w:rPr>
        <w:footnoteReference w:id="17"/>
      </w:r>
      <w:r>
        <w:t xml:space="preserve"> the destruction of a house is also the destruction of the circle of friendship, acquaintanceship, and conspiracy that resides in it, it seems reasonable to </w:t>
      </w:r>
      <w:r w:rsidR="00FC30F4">
        <w:t>view</w:t>
      </w:r>
      <w:r>
        <w:t xml:space="preserve"> Catiline’s displacement from the homes of his former connections </w:t>
      </w:r>
      <w:r w:rsidR="00FC30F4">
        <w:t>as</w:t>
      </w:r>
      <w:r>
        <w:t xml:space="preserve"> another way in which Catiline is rendered homeless.</w:t>
      </w:r>
    </w:p>
    <w:p w14:paraId="51D5DA6A" w14:textId="5A54A3C7" w:rsidR="0048698C" w:rsidRDefault="0048698C" w:rsidP="00AF187E">
      <w:pPr>
        <w:spacing w:line="360" w:lineRule="auto"/>
        <w:ind w:firstLine="720"/>
      </w:pPr>
      <w:r>
        <w:t xml:space="preserve">Critically, however, Catiline is not actually homeless. He has not actually been </w:t>
      </w:r>
      <w:r w:rsidR="00FC30F4">
        <w:t>imprisoned</w:t>
      </w:r>
      <w:r>
        <w:t xml:space="preserve">, nor has he </w:t>
      </w:r>
      <w:proofErr w:type="gramStart"/>
      <w:r>
        <w:t>actually been</w:t>
      </w:r>
      <w:proofErr w:type="gramEnd"/>
      <w:r>
        <w:t xml:space="preserve"> expelled from his </w:t>
      </w:r>
      <w:r>
        <w:rPr>
          <w:i/>
          <w:iCs/>
        </w:rPr>
        <w:t>domus</w:t>
      </w:r>
      <w:r>
        <w:t xml:space="preserve"> or the city</w:t>
      </w:r>
      <w:r w:rsidR="006A2479">
        <w:t xml:space="preserve">; Cicero must invoke Catiline’s actual parents, and </w:t>
      </w:r>
      <w:proofErr w:type="gramStart"/>
      <w:r w:rsidR="006A2479">
        <w:rPr>
          <w:i/>
          <w:iCs/>
        </w:rPr>
        <w:t>patria</w:t>
      </w:r>
      <w:proofErr w:type="gramEnd"/>
      <w:r w:rsidR="006A2479">
        <w:t xml:space="preserve"> as everyone’s parent, because he himself has not yet been given the </w:t>
      </w:r>
      <w:r w:rsidR="006A2479">
        <w:rPr>
          <w:i/>
          <w:iCs/>
        </w:rPr>
        <w:t>pater patriae</w:t>
      </w:r>
      <w:r w:rsidR="006A2479">
        <w:t xml:space="preserve">. </w:t>
      </w:r>
      <w:r w:rsidR="00B95446">
        <w:t xml:space="preserve">The hortatory quality of </w:t>
      </w:r>
      <w:r w:rsidR="00B95446">
        <w:rPr>
          <w:i/>
          <w:iCs/>
        </w:rPr>
        <w:t xml:space="preserve">In </w:t>
      </w:r>
      <w:proofErr w:type="spellStart"/>
      <w:r w:rsidR="00B95446">
        <w:rPr>
          <w:i/>
          <w:iCs/>
        </w:rPr>
        <w:t>Catilinam</w:t>
      </w:r>
      <w:proofErr w:type="spellEnd"/>
      <w:r w:rsidR="00B95446">
        <w:rPr>
          <w:i/>
          <w:iCs/>
        </w:rPr>
        <w:t xml:space="preserve"> 1</w:t>
      </w:r>
      <w:r w:rsidR="00B95446">
        <w:t xml:space="preserve"> </w:t>
      </w:r>
      <w:proofErr w:type="gramStart"/>
      <w:r w:rsidR="00B95446">
        <w:t>as a whole forms</w:t>
      </w:r>
      <w:proofErr w:type="gramEnd"/>
      <w:r w:rsidR="00B95446">
        <w:t xml:space="preserve"> a superstructure to the fact that none of the things Cicero invokes for Catiline have happened yet, and a great deal depends on how much of Cicero’s information was accurate. Berry </w:t>
      </w:r>
      <w:r w:rsidR="004F638B">
        <w:t>outlines what</w:t>
      </w:r>
      <w:r w:rsidR="00B95446">
        <w:t xml:space="preserve"> </w:t>
      </w:r>
      <w:r w:rsidR="004F638B">
        <w:t>evidence Cicero had to support</w:t>
      </w:r>
      <w:r w:rsidR="00B95446">
        <w:t xml:space="preserve"> his claims</w:t>
      </w:r>
      <w:r w:rsidR="004F638B">
        <w:t>, and it is not inconsiderable</w:t>
      </w:r>
      <w:r w:rsidR="00B95446">
        <w:t>,</w:t>
      </w:r>
      <w:r w:rsidR="004F638B">
        <w:rPr>
          <w:rStyle w:val="FootnoteReference"/>
        </w:rPr>
        <w:footnoteReference w:id="18"/>
      </w:r>
      <w:r w:rsidR="00B95446">
        <w:t xml:space="preserve"> but </w:t>
      </w:r>
      <w:r w:rsidR="00FC30F4">
        <w:t>the true force</w:t>
      </w:r>
      <w:r w:rsidR="00B95446">
        <w:t xml:space="preserve"> of the argument</w:t>
      </w:r>
      <w:r w:rsidR="004F638B">
        <w:t xml:space="preserve">, especially in the first Catilinarian, is dependent on </w:t>
      </w:r>
      <w:r w:rsidR="00B95446">
        <w:t xml:space="preserve">Cicero’s own personality, reputation, and rhetorical skills. </w:t>
      </w:r>
    </w:p>
    <w:p w14:paraId="6946AEF3" w14:textId="248D74E7" w:rsidR="00FC30F4" w:rsidRPr="00107070" w:rsidRDefault="00FC30F4" w:rsidP="00AF187E">
      <w:pPr>
        <w:spacing w:line="360" w:lineRule="auto"/>
        <w:ind w:firstLine="720"/>
      </w:pPr>
      <w:r>
        <w:t xml:space="preserve">It is a testament to Cicero’s ability – whether as an editor after the fact, or as an actual speaker, or both – that he was able to offer an argument based in </w:t>
      </w:r>
      <w:r w:rsidR="00D06362">
        <w:t xml:space="preserve">such </w:t>
      </w:r>
      <w:r>
        <w:t xml:space="preserve">large part on </w:t>
      </w:r>
      <w:proofErr w:type="gramStart"/>
      <w:r>
        <w:t>prolepsis, and</w:t>
      </w:r>
      <w:proofErr w:type="gramEnd"/>
      <w:r>
        <w:t xml:space="preserve"> have such an argument be accepted. Not only was it accepted, </w:t>
      </w:r>
      <w:proofErr w:type="gramStart"/>
      <w:r>
        <w:t>it</w:t>
      </w:r>
      <w:proofErr w:type="gramEnd"/>
      <w:r>
        <w:t xml:space="preserve"> furthered his own career significantly (for a while, at least). </w:t>
      </w:r>
      <w:r w:rsidR="00107070">
        <w:t xml:space="preserve">In the passage under discussion here, we see just one of the </w:t>
      </w:r>
      <w:r w:rsidR="00107070">
        <w:lastRenderedPageBreak/>
        <w:t xml:space="preserve">routes of attack used by Cicero to attain his stated goal. By invoking the home – Cicero’s own, first counterfactually and then actually, as well as those of Catiline’s so-called friends – the family, and the </w:t>
      </w:r>
      <w:r w:rsidR="00107070">
        <w:rPr>
          <w:i/>
          <w:iCs/>
        </w:rPr>
        <w:t>patria</w:t>
      </w:r>
      <w:r w:rsidR="00107070">
        <w:t xml:space="preserve">, Cicero calls upon some of the core components of Roman society. They are invoked only to show how Catiline has been forced out of them, removed from every good grace that might have been available to him, but nonetheless in a roundabout way: through counterfactuals, suggestions, </w:t>
      </w:r>
      <w:proofErr w:type="spellStart"/>
      <w:r w:rsidR="00107070">
        <w:rPr>
          <w:i/>
          <w:iCs/>
        </w:rPr>
        <w:t>patria</w:t>
      </w:r>
      <w:r w:rsidR="00107070">
        <w:t>’s</w:t>
      </w:r>
      <w:proofErr w:type="spellEnd"/>
      <w:r w:rsidR="00107070">
        <w:t xml:space="preserve"> delicious </w:t>
      </w:r>
      <w:proofErr w:type="spellStart"/>
      <w:r w:rsidR="00107070">
        <w:t>prosopopeia</w:t>
      </w:r>
      <w:proofErr w:type="spellEnd"/>
      <w:r w:rsidR="00107070">
        <w:t xml:space="preserve">, hortatory subjunctives and future passive participles, Cicero avoids direct commitment to what might amount to slander, while still achieving his aims. For the fact remains that Catiline did leave Rome, and was killed, his conspiracy uncovered – which was accomplished in no small part by Cicero leveraging Catiline’s eventual exit as a </w:t>
      </w:r>
      <w:r w:rsidR="00107070">
        <w:rPr>
          <w:i/>
          <w:iCs/>
        </w:rPr>
        <w:t>fait accompli</w:t>
      </w:r>
      <w:r w:rsidR="00107070">
        <w:t xml:space="preserve">, </w:t>
      </w:r>
      <w:r w:rsidR="00D06362">
        <w:t xml:space="preserve">of which the passages under discussion here offer a fine example. </w:t>
      </w:r>
    </w:p>
    <w:p w14:paraId="3649D05A" w14:textId="48CAD11B" w:rsidR="005C6713" w:rsidRDefault="005C6713" w:rsidP="00AF187E">
      <w:pPr>
        <w:spacing w:after="160" w:line="360" w:lineRule="auto"/>
      </w:pPr>
      <w:r>
        <w:br w:type="page"/>
      </w:r>
    </w:p>
    <w:p w14:paraId="27C4CC6E" w14:textId="30E7E45E" w:rsidR="005C6713" w:rsidRDefault="005C6713" w:rsidP="00AF187E">
      <w:pPr>
        <w:spacing w:line="360" w:lineRule="auto"/>
      </w:pPr>
      <w:r>
        <w:rPr>
          <w:u w:val="single"/>
        </w:rPr>
        <w:lastRenderedPageBreak/>
        <w:t>Bibliography</w:t>
      </w:r>
    </w:p>
    <w:p w14:paraId="264C3012" w14:textId="3840D2B2" w:rsidR="005C6713" w:rsidRPr="002B7B1F" w:rsidRDefault="005C6713" w:rsidP="00AF187E">
      <w:pPr>
        <w:spacing w:line="360" w:lineRule="auto"/>
      </w:pPr>
      <w:r>
        <w:t>Berry</w:t>
      </w:r>
      <w:r w:rsidR="002B7B1F">
        <w:t xml:space="preserve">, D. H. (2020). </w:t>
      </w:r>
      <w:r w:rsidR="002B7B1F">
        <w:rPr>
          <w:i/>
          <w:iCs/>
        </w:rPr>
        <w:t>Cicero’s</w:t>
      </w:r>
      <w:r w:rsidR="002B7B1F">
        <w:t xml:space="preserve"> </w:t>
      </w:r>
      <w:proofErr w:type="spellStart"/>
      <w:r w:rsidR="002B7B1F">
        <w:t>Catilinarians</w:t>
      </w:r>
      <w:proofErr w:type="spellEnd"/>
      <w:r w:rsidR="002B7B1F">
        <w:t>. Oxford: Oxford University Press.</w:t>
      </w:r>
    </w:p>
    <w:p w14:paraId="4CD8A890" w14:textId="7C53A4C4" w:rsidR="005C6713" w:rsidRPr="002B7B1F" w:rsidRDefault="005C6713" w:rsidP="00AF187E">
      <w:pPr>
        <w:spacing w:line="360" w:lineRule="auto"/>
      </w:pPr>
      <w:r>
        <w:t>Dyck</w:t>
      </w:r>
      <w:r w:rsidR="002B7B1F">
        <w:t xml:space="preserve">, A. (2008). </w:t>
      </w:r>
      <w:r w:rsidR="002B7B1F">
        <w:rPr>
          <w:i/>
          <w:iCs/>
        </w:rPr>
        <w:t xml:space="preserve">Cicero: </w:t>
      </w:r>
      <w:proofErr w:type="spellStart"/>
      <w:r w:rsidR="002B7B1F">
        <w:rPr>
          <w:i/>
          <w:iCs/>
        </w:rPr>
        <w:t>Catilinarians</w:t>
      </w:r>
      <w:proofErr w:type="spellEnd"/>
      <w:r w:rsidR="002B7B1F">
        <w:t>. Cambridge: Cambridge University Press.</w:t>
      </w:r>
    </w:p>
    <w:p w14:paraId="3899AC43" w14:textId="757DFAB5" w:rsidR="005C6713" w:rsidRPr="002B7B1F" w:rsidRDefault="005C6713" w:rsidP="00AF187E">
      <w:pPr>
        <w:spacing w:line="360" w:lineRule="auto"/>
      </w:pPr>
      <w:r>
        <w:t>Hales</w:t>
      </w:r>
      <w:r w:rsidR="002B7B1F">
        <w:t xml:space="preserve">, S. (2000). At Home with Cicero. </w:t>
      </w:r>
      <w:r w:rsidR="002B7B1F">
        <w:rPr>
          <w:i/>
          <w:iCs/>
        </w:rPr>
        <w:t>Greece &amp; Rome</w:t>
      </w:r>
      <w:r w:rsidR="002B7B1F">
        <w:t xml:space="preserve"> 47(1), 44-55. </w:t>
      </w:r>
      <w:r w:rsidR="002B7B1F" w:rsidRPr="002B7B1F">
        <w:t>https://www.jstor.org/stable/826946</w:t>
      </w:r>
    </w:p>
    <w:p w14:paraId="3C147372" w14:textId="2FA92235" w:rsidR="005C6713" w:rsidRPr="002B7B1F" w:rsidRDefault="005C6713" w:rsidP="00AF187E">
      <w:pPr>
        <w:spacing w:line="360" w:lineRule="auto"/>
      </w:pPr>
      <w:r>
        <w:t>Roller</w:t>
      </w:r>
      <w:r w:rsidR="002B7B1F">
        <w:t xml:space="preserve">, M. (2010). Demolished Houses, Monumentality, and Memory in Roman Culture. </w:t>
      </w:r>
      <w:r w:rsidR="002B7B1F">
        <w:rPr>
          <w:i/>
          <w:iCs/>
        </w:rPr>
        <w:t>Classical Antiquity</w:t>
      </w:r>
      <w:r w:rsidR="002B7B1F">
        <w:t xml:space="preserve"> 29(1), 117-180. </w:t>
      </w:r>
      <w:r w:rsidR="002B7B1F" w:rsidRPr="002B7B1F">
        <w:t>https://www.jstor.org/stable/10.1525/ca.2010.29.1.117</w:t>
      </w:r>
    </w:p>
    <w:p w14:paraId="47CEBAA0" w14:textId="0CF6F875" w:rsidR="005C6713" w:rsidRPr="002B7B1F" w:rsidRDefault="005C6713" w:rsidP="00AF187E">
      <w:pPr>
        <w:spacing w:line="360" w:lineRule="auto"/>
      </w:pPr>
      <w:r>
        <w:t>Saller</w:t>
      </w:r>
      <w:r w:rsidR="002B7B1F">
        <w:t xml:space="preserve">, R. (1984). “Familia, Domus”, and the Roman Conception of the Family. </w:t>
      </w:r>
      <w:r w:rsidR="002B7B1F">
        <w:rPr>
          <w:i/>
          <w:iCs/>
        </w:rPr>
        <w:t>Phoenix</w:t>
      </w:r>
      <w:r w:rsidR="002B7B1F">
        <w:t xml:space="preserve"> 38(4), 336-355. </w:t>
      </w:r>
      <w:r w:rsidR="002B7B1F" w:rsidRPr="002B7B1F">
        <w:t>https://www.jstor.org/stable/1088380</w:t>
      </w:r>
    </w:p>
    <w:p w14:paraId="40D43069" w14:textId="795259DF" w:rsidR="002B7B1F" w:rsidRPr="005C6713" w:rsidRDefault="002B7B1F" w:rsidP="00AF187E">
      <w:pPr>
        <w:spacing w:line="360" w:lineRule="auto"/>
      </w:pPr>
      <w:r w:rsidRPr="002B7B1F">
        <w:t>Smith, W. and Lockwood, J. (2005). Chambers Murray Latin-English Dictionary. Edinburgh: Chambers.</w:t>
      </w:r>
    </w:p>
    <w:sectPr w:rsidR="002B7B1F" w:rsidRPr="005C67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36B2B" w14:textId="77777777" w:rsidR="001360B2" w:rsidRDefault="001360B2" w:rsidP="006A5DC5">
      <w:pPr>
        <w:spacing w:after="0" w:line="240" w:lineRule="auto"/>
      </w:pPr>
      <w:r>
        <w:separator/>
      </w:r>
    </w:p>
  </w:endnote>
  <w:endnote w:type="continuationSeparator" w:id="0">
    <w:p w14:paraId="37249518" w14:textId="77777777" w:rsidR="001360B2" w:rsidRDefault="001360B2" w:rsidP="006A5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DE3F7" w14:textId="77777777" w:rsidR="001360B2" w:rsidRDefault="001360B2" w:rsidP="006A5DC5">
      <w:pPr>
        <w:spacing w:after="0" w:line="240" w:lineRule="auto"/>
      </w:pPr>
      <w:r>
        <w:separator/>
      </w:r>
    </w:p>
  </w:footnote>
  <w:footnote w:type="continuationSeparator" w:id="0">
    <w:p w14:paraId="5DB7D126" w14:textId="77777777" w:rsidR="001360B2" w:rsidRDefault="001360B2" w:rsidP="006A5DC5">
      <w:pPr>
        <w:spacing w:after="0" w:line="240" w:lineRule="auto"/>
      </w:pPr>
      <w:r>
        <w:continuationSeparator/>
      </w:r>
    </w:p>
  </w:footnote>
  <w:footnote w:id="1">
    <w:p w14:paraId="4A5504D4" w14:textId="09DD75C6" w:rsidR="001E7DF5" w:rsidRDefault="001E7DF5">
      <w:pPr>
        <w:pStyle w:val="FootnoteText"/>
      </w:pPr>
      <w:r>
        <w:rPr>
          <w:rStyle w:val="FootnoteReference"/>
        </w:rPr>
        <w:footnoteRef/>
      </w:r>
      <w:r>
        <w:t xml:space="preserve"> Dyck</w:t>
      </w:r>
      <w:r w:rsidR="00A4507C">
        <w:t>, 2008, p.</w:t>
      </w:r>
      <w:r>
        <w:t xml:space="preserve"> 101</w:t>
      </w:r>
    </w:p>
  </w:footnote>
  <w:footnote w:id="2">
    <w:p w14:paraId="0C516F7B" w14:textId="100B342F" w:rsidR="006A5DC5" w:rsidRDefault="006A5DC5">
      <w:pPr>
        <w:pStyle w:val="FootnoteText"/>
      </w:pPr>
      <w:r>
        <w:rPr>
          <w:rStyle w:val="FootnoteReference"/>
        </w:rPr>
        <w:footnoteRef/>
      </w:r>
      <w:r>
        <w:t xml:space="preserve"> Dyck,</w:t>
      </w:r>
      <w:r w:rsidR="00A4507C">
        <w:t xml:space="preserve"> 2008, pp.</w:t>
      </w:r>
      <w:r>
        <w:t xml:space="preserve"> 101-3</w:t>
      </w:r>
    </w:p>
  </w:footnote>
  <w:footnote w:id="3">
    <w:p w14:paraId="76514285" w14:textId="43BC07C6" w:rsidR="009F6046" w:rsidRDefault="009F6046">
      <w:pPr>
        <w:pStyle w:val="FootnoteText"/>
      </w:pPr>
      <w:r>
        <w:rPr>
          <w:rStyle w:val="FootnoteReference"/>
        </w:rPr>
        <w:footnoteRef/>
      </w:r>
      <w:r>
        <w:t xml:space="preserve"> Hales, </w:t>
      </w:r>
      <w:r w:rsidR="00A4507C">
        <w:t>2000, p.</w:t>
      </w:r>
      <w:r>
        <w:t xml:space="preserve"> 46</w:t>
      </w:r>
    </w:p>
  </w:footnote>
  <w:footnote w:id="4">
    <w:p w14:paraId="7B35C7E0" w14:textId="18ACBF9D" w:rsidR="005D0D6A" w:rsidRDefault="005D0D6A">
      <w:pPr>
        <w:pStyle w:val="FootnoteText"/>
      </w:pPr>
      <w:r>
        <w:rPr>
          <w:rStyle w:val="FootnoteReference"/>
        </w:rPr>
        <w:footnoteRef/>
      </w:r>
      <w:r>
        <w:t xml:space="preserve"> Hales, </w:t>
      </w:r>
      <w:r w:rsidR="00A4507C">
        <w:t xml:space="preserve">2000, p. </w:t>
      </w:r>
      <w:r>
        <w:t>47</w:t>
      </w:r>
    </w:p>
  </w:footnote>
  <w:footnote w:id="5">
    <w:p w14:paraId="7C0D9443" w14:textId="03B4703B" w:rsidR="00D633C5" w:rsidRDefault="00D633C5">
      <w:pPr>
        <w:pStyle w:val="FootnoteText"/>
      </w:pPr>
      <w:r>
        <w:rPr>
          <w:rStyle w:val="FootnoteReference"/>
        </w:rPr>
        <w:footnoteRef/>
      </w:r>
      <w:r>
        <w:t xml:space="preserve"> Saller, </w:t>
      </w:r>
      <w:r w:rsidR="00A4507C">
        <w:t xml:space="preserve">1984, p. </w:t>
      </w:r>
      <w:r w:rsidRPr="00D633C5">
        <w:t>337</w:t>
      </w:r>
    </w:p>
  </w:footnote>
  <w:footnote w:id="6">
    <w:p w14:paraId="3BA5A6B8" w14:textId="494C5482" w:rsidR="00A94A2F" w:rsidRDefault="00A94A2F">
      <w:pPr>
        <w:pStyle w:val="FootnoteText"/>
      </w:pPr>
      <w:r>
        <w:rPr>
          <w:rStyle w:val="FootnoteReference"/>
        </w:rPr>
        <w:footnoteRef/>
      </w:r>
      <w:r>
        <w:t xml:space="preserve"> Saller, </w:t>
      </w:r>
      <w:r w:rsidR="00A4507C">
        <w:t xml:space="preserve">1984, p. </w:t>
      </w:r>
      <w:r>
        <w:t>342</w:t>
      </w:r>
    </w:p>
  </w:footnote>
  <w:footnote w:id="7">
    <w:p w14:paraId="44D7B3BA" w14:textId="0A5F319D" w:rsidR="0065730B" w:rsidRDefault="0065730B">
      <w:pPr>
        <w:pStyle w:val="FootnoteText"/>
      </w:pPr>
      <w:r>
        <w:rPr>
          <w:rStyle w:val="FootnoteReference"/>
        </w:rPr>
        <w:footnoteRef/>
      </w:r>
      <w:r>
        <w:t xml:space="preserve"> Saller, </w:t>
      </w:r>
      <w:r w:rsidR="00A4507C">
        <w:t xml:space="preserve">1984, p. </w:t>
      </w:r>
      <w:r>
        <w:t>349</w:t>
      </w:r>
    </w:p>
  </w:footnote>
  <w:footnote w:id="8">
    <w:p w14:paraId="4B8F92B5" w14:textId="62B001EA" w:rsidR="0065730B" w:rsidRDefault="0065730B">
      <w:pPr>
        <w:pStyle w:val="FootnoteText"/>
      </w:pPr>
      <w:r>
        <w:rPr>
          <w:rStyle w:val="FootnoteReference"/>
        </w:rPr>
        <w:footnoteRef/>
      </w:r>
      <w:r>
        <w:t xml:space="preserve"> Saller, </w:t>
      </w:r>
      <w:r w:rsidR="00A4507C">
        <w:t xml:space="preserve">1984, p. </w:t>
      </w:r>
      <w:r>
        <w:t>353</w:t>
      </w:r>
    </w:p>
  </w:footnote>
  <w:footnote w:id="9">
    <w:p w14:paraId="61063AED" w14:textId="73F1571C" w:rsidR="008F2F75" w:rsidRPr="008F2F75" w:rsidRDefault="008F2F75">
      <w:pPr>
        <w:pStyle w:val="FootnoteText"/>
      </w:pPr>
      <w:r>
        <w:rPr>
          <w:rStyle w:val="FootnoteReference"/>
        </w:rPr>
        <w:footnoteRef/>
      </w:r>
      <w:r>
        <w:t xml:space="preserve"> Berry,</w:t>
      </w:r>
      <w:r w:rsidR="00A4507C">
        <w:t xml:space="preserve"> 2020, p.</w:t>
      </w:r>
      <w:r>
        <w:t xml:space="preserve"> 99</w:t>
      </w:r>
    </w:p>
  </w:footnote>
  <w:footnote w:id="10">
    <w:p w14:paraId="06BA4AE3" w14:textId="37A9D564" w:rsidR="008F2F75" w:rsidRDefault="008F2F75">
      <w:pPr>
        <w:pStyle w:val="FootnoteText"/>
      </w:pPr>
      <w:r>
        <w:rPr>
          <w:rStyle w:val="FootnoteReference"/>
        </w:rPr>
        <w:footnoteRef/>
      </w:r>
      <w:r>
        <w:t xml:space="preserve"> Saller, </w:t>
      </w:r>
      <w:r w:rsidR="00A4507C">
        <w:t xml:space="preserve">1984, p. </w:t>
      </w:r>
      <w:r>
        <w:t>350</w:t>
      </w:r>
    </w:p>
  </w:footnote>
  <w:footnote w:id="11">
    <w:p w14:paraId="1EFE7418" w14:textId="77777777" w:rsidR="006156A6" w:rsidRDefault="006156A6" w:rsidP="006156A6">
      <w:pPr>
        <w:pStyle w:val="FootnoteText"/>
      </w:pPr>
      <w:r>
        <w:rPr>
          <w:rStyle w:val="FootnoteReference"/>
        </w:rPr>
        <w:footnoteRef/>
      </w:r>
      <w:r>
        <w:t xml:space="preserve"> Berry, 2020, p. 99</w:t>
      </w:r>
    </w:p>
  </w:footnote>
  <w:footnote w:id="12">
    <w:p w14:paraId="21F32EA3" w14:textId="6C8E75F7" w:rsidR="002C3174" w:rsidRDefault="002C3174">
      <w:pPr>
        <w:pStyle w:val="FootnoteText"/>
      </w:pPr>
      <w:r>
        <w:rPr>
          <w:rStyle w:val="FootnoteReference"/>
        </w:rPr>
        <w:footnoteRef/>
      </w:r>
      <w:r>
        <w:t xml:space="preserve"> Dyck, </w:t>
      </w:r>
      <w:r w:rsidR="00A4507C">
        <w:t xml:space="preserve">2008, p. </w:t>
      </w:r>
      <w:r>
        <w:t>101</w:t>
      </w:r>
    </w:p>
  </w:footnote>
  <w:footnote w:id="13">
    <w:p w14:paraId="2426F12A" w14:textId="773E6809" w:rsidR="003146F9" w:rsidRDefault="003146F9">
      <w:pPr>
        <w:pStyle w:val="FootnoteText"/>
      </w:pPr>
      <w:r>
        <w:rPr>
          <w:rStyle w:val="FootnoteReference"/>
        </w:rPr>
        <w:footnoteRef/>
      </w:r>
      <w:r>
        <w:t xml:space="preserve"> Roller, </w:t>
      </w:r>
      <w:r w:rsidR="00A4507C">
        <w:t>2010, pp.</w:t>
      </w:r>
      <w:r>
        <w:t xml:space="preserve"> 124-5</w:t>
      </w:r>
    </w:p>
  </w:footnote>
  <w:footnote w:id="14">
    <w:p w14:paraId="5A112D7B" w14:textId="6502273E" w:rsidR="003146F9" w:rsidRDefault="003146F9">
      <w:pPr>
        <w:pStyle w:val="FootnoteText"/>
      </w:pPr>
      <w:r>
        <w:rPr>
          <w:rStyle w:val="FootnoteReference"/>
        </w:rPr>
        <w:footnoteRef/>
      </w:r>
      <w:r>
        <w:t xml:space="preserve"> Roller, </w:t>
      </w:r>
      <w:r w:rsidR="00A4507C">
        <w:t xml:space="preserve">2010, p. </w:t>
      </w:r>
      <w:r>
        <w:t>171</w:t>
      </w:r>
    </w:p>
  </w:footnote>
  <w:footnote w:id="15">
    <w:p w14:paraId="3AA0DC8B" w14:textId="5B31454E" w:rsidR="0048698C" w:rsidRDefault="0048698C">
      <w:pPr>
        <w:pStyle w:val="FootnoteText"/>
      </w:pPr>
      <w:r>
        <w:rPr>
          <w:rStyle w:val="FootnoteReference"/>
        </w:rPr>
        <w:footnoteRef/>
      </w:r>
      <w:r>
        <w:t xml:space="preserve"> Dyck, </w:t>
      </w:r>
      <w:r w:rsidR="00A4507C">
        <w:t xml:space="preserve">2008, pp. </w:t>
      </w:r>
      <w:r>
        <w:t>101-2</w:t>
      </w:r>
    </w:p>
  </w:footnote>
  <w:footnote w:id="16">
    <w:p w14:paraId="1FB91ACF" w14:textId="6E57FA26" w:rsidR="00157106" w:rsidRDefault="00157106">
      <w:pPr>
        <w:pStyle w:val="FootnoteText"/>
      </w:pPr>
      <w:r>
        <w:rPr>
          <w:rStyle w:val="FootnoteReference"/>
        </w:rPr>
        <w:footnoteRef/>
      </w:r>
      <w:r>
        <w:t xml:space="preserve"> </w:t>
      </w:r>
      <w:r w:rsidR="00A4507C">
        <w:t xml:space="preserve">Smith. W. and Lockwood, J., 2005, </w:t>
      </w:r>
      <w:r>
        <w:t>693</w:t>
      </w:r>
    </w:p>
  </w:footnote>
  <w:footnote w:id="17">
    <w:p w14:paraId="4ED650A5" w14:textId="55D1D12F" w:rsidR="0048698C" w:rsidRDefault="0048698C">
      <w:pPr>
        <w:pStyle w:val="FootnoteText"/>
      </w:pPr>
      <w:r>
        <w:rPr>
          <w:rStyle w:val="FootnoteReference"/>
        </w:rPr>
        <w:footnoteRef/>
      </w:r>
      <w:r>
        <w:t xml:space="preserve"> Roller, </w:t>
      </w:r>
      <w:r w:rsidR="00A4507C">
        <w:t xml:space="preserve">2010, pp. </w:t>
      </w:r>
      <w:r>
        <w:t>130-1</w:t>
      </w:r>
    </w:p>
  </w:footnote>
  <w:footnote w:id="18">
    <w:p w14:paraId="373D7BF8" w14:textId="5635A219" w:rsidR="004F638B" w:rsidRDefault="004F638B">
      <w:pPr>
        <w:pStyle w:val="FootnoteText"/>
      </w:pPr>
      <w:r>
        <w:rPr>
          <w:rStyle w:val="FootnoteReference"/>
        </w:rPr>
        <w:footnoteRef/>
      </w:r>
      <w:r>
        <w:t xml:space="preserve"> Berry, </w:t>
      </w:r>
      <w:r w:rsidR="00A4507C">
        <w:t xml:space="preserve">2020, pp. </w:t>
      </w:r>
      <w:r>
        <w:t>31-2, 35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457"/>
    <w:rsid w:val="00015C58"/>
    <w:rsid w:val="00042769"/>
    <w:rsid w:val="000B1221"/>
    <w:rsid w:val="000E475C"/>
    <w:rsid w:val="00107070"/>
    <w:rsid w:val="001360B2"/>
    <w:rsid w:val="00157106"/>
    <w:rsid w:val="001E7DF5"/>
    <w:rsid w:val="002B7B1F"/>
    <w:rsid w:val="002C3174"/>
    <w:rsid w:val="003146F9"/>
    <w:rsid w:val="003273C7"/>
    <w:rsid w:val="00420219"/>
    <w:rsid w:val="0048698C"/>
    <w:rsid w:val="004A0445"/>
    <w:rsid w:val="004F638B"/>
    <w:rsid w:val="00512457"/>
    <w:rsid w:val="00525D77"/>
    <w:rsid w:val="005C6713"/>
    <w:rsid w:val="005D0D6A"/>
    <w:rsid w:val="006156A6"/>
    <w:rsid w:val="0065730B"/>
    <w:rsid w:val="006A2479"/>
    <w:rsid w:val="006A5DC5"/>
    <w:rsid w:val="008701C6"/>
    <w:rsid w:val="008F2F75"/>
    <w:rsid w:val="00993F9A"/>
    <w:rsid w:val="009F6046"/>
    <w:rsid w:val="00A4507C"/>
    <w:rsid w:val="00A94A2F"/>
    <w:rsid w:val="00AF187E"/>
    <w:rsid w:val="00B95446"/>
    <w:rsid w:val="00B96FE2"/>
    <w:rsid w:val="00D04EEA"/>
    <w:rsid w:val="00D06362"/>
    <w:rsid w:val="00D54418"/>
    <w:rsid w:val="00D633C5"/>
    <w:rsid w:val="00D84C6C"/>
    <w:rsid w:val="00DA11A6"/>
    <w:rsid w:val="00E1408B"/>
    <w:rsid w:val="00F223B8"/>
    <w:rsid w:val="00FA7CE5"/>
    <w:rsid w:val="00FC30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1A82D"/>
  <w15:chartTrackingRefBased/>
  <w15:docId w15:val="{3EAE19DA-11BC-4DF8-ADB1-9DB4F2C5E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418"/>
    <w:pPr>
      <w:spacing w:after="40"/>
    </w:pPr>
    <w:rPr>
      <w:rFonts w:ascii="Times New Roman" w:hAnsi="Times New Roman"/>
      <w:sz w:val="24"/>
    </w:rPr>
  </w:style>
  <w:style w:type="paragraph" w:styleId="Heading1">
    <w:name w:val="heading 1"/>
    <w:basedOn w:val="Normal"/>
    <w:next w:val="Normal"/>
    <w:link w:val="Heading1Char"/>
    <w:uiPriority w:val="9"/>
    <w:qFormat/>
    <w:rsid w:val="005124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124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245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2457"/>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12457"/>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124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24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24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24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24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124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24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2457"/>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1245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1245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1245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1245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1245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12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2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245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2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245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2457"/>
    <w:rPr>
      <w:rFonts w:ascii="Times New Roman" w:hAnsi="Times New Roman"/>
      <w:i/>
      <w:iCs/>
      <w:color w:val="404040" w:themeColor="text1" w:themeTint="BF"/>
      <w:sz w:val="24"/>
    </w:rPr>
  </w:style>
  <w:style w:type="paragraph" w:styleId="ListParagraph">
    <w:name w:val="List Paragraph"/>
    <w:basedOn w:val="Normal"/>
    <w:uiPriority w:val="34"/>
    <w:qFormat/>
    <w:rsid w:val="00512457"/>
    <w:pPr>
      <w:ind w:left="720"/>
      <w:contextualSpacing/>
    </w:pPr>
  </w:style>
  <w:style w:type="character" w:styleId="IntenseEmphasis">
    <w:name w:val="Intense Emphasis"/>
    <w:basedOn w:val="DefaultParagraphFont"/>
    <w:uiPriority w:val="21"/>
    <w:qFormat/>
    <w:rsid w:val="00512457"/>
    <w:rPr>
      <w:i/>
      <w:iCs/>
      <w:color w:val="2F5496" w:themeColor="accent1" w:themeShade="BF"/>
    </w:rPr>
  </w:style>
  <w:style w:type="paragraph" w:styleId="IntenseQuote">
    <w:name w:val="Intense Quote"/>
    <w:basedOn w:val="Normal"/>
    <w:next w:val="Normal"/>
    <w:link w:val="IntenseQuoteChar"/>
    <w:uiPriority w:val="30"/>
    <w:qFormat/>
    <w:rsid w:val="005124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245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12457"/>
    <w:rPr>
      <w:b/>
      <w:bCs/>
      <w:smallCaps/>
      <w:color w:val="2F5496" w:themeColor="accent1" w:themeShade="BF"/>
      <w:spacing w:val="5"/>
    </w:rPr>
  </w:style>
  <w:style w:type="paragraph" w:styleId="FootnoteText">
    <w:name w:val="footnote text"/>
    <w:basedOn w:val="Normal"/>
    <w:link w:val="FootnoteTextChar"/>
    <w:uiPriority w:val="99"/>
    <w:semiHidden/>
    <w:unhideWhenUsed/>
    <w:rsid w:val="006A5D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5DC5"/>
    <w:rPr>
      <w:rFonts w:ascii="Times New Roman" w:hAnsi="Times New Roman"/>
      <w:sz w:val="20"/>
      <w:szCs w:val="20"/>
    </w:rPr>
  </w:style>
  <w:style w:type="character" w:styleId="FootnoteReference">
    <w:name w:val="footnote reference"/>
    <w:basedOn w:val="DefaultParagraphFont"/>
    <w:uiPriority w:val="99"/>
    <w:semiHidden/>
    <w:unhideWhenUsed/>
    <w:rsid w:val="006A5DC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3BA1C-D0C5-4E96-9A6F-CA8A1F511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2034</Words>
  <Characters>11596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Boyles</dc:creator>
  <cp:keywords/>
  <dc:description/>
  <cp:lastModifiedBy>Elizabeth Boyles</cp:lastModifiedBy>
  <cp:revision>6</cp:revision>
  <dcterms:created xsi:type="dcterms:W3CDTF">2025-03-28T20:06:00Z</dcterms:created>
  <dcterms:modified xsi:type="dcterms:W3CDTF">2025-03-28T20:49:00Z</dcterms:modified>
</cp:coreProperties>
</file>