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b/>
          <w:bCs/>
        </w:rPr>
        <w:t>The Politics of Opera in Handel's Britain.  By Thomas McGeary.  Cambridge: Cambridge University Press, 2013.  [xii, 407 p. ISBN 978-1-107009-88-2.  £65 / $99]</w:t>
      </w:r>
    </w:p>
    <w:p>
      <w:pPr>
        <w:pStyle w:val="Normal"/>
        <w:rPr>
          <w:b/>
          <w:b/>
          <w:bCs/>
          <w:i/>
          <w:i/>
          <w:iCs/>
        </w:rPr>
      </w:pPr>
      <w:r>
        <w:rPr/>
      </w:r>
    </w:p>
    <w:p>
      <w:pPr>
        <w:pStyle w:val="Normal"/>
        <w:rPr/>
      </w:pPr>
      <w:r>
        <w:rPr>
          <w:i/>
          <w:iCs/>
        </w:rPr>
        <w:t>The Politics of Opera in Handel's Britain</w:t>
      </w:r>
      <w:r>
        <w:rPr/>
        <w:t xml:space="preserve"> is a misnomer, for it appears to be the author's intention to take the politics out of opera.  The book is a battery of brickbats against the '”generic expectation” [a phrase borrowed from Robert Hume] that operas are allegorical or allusive of contemporary politics and the monarch, statesmen, or the royal family.'  He gives a copious profusion of illustrations to his point.  </w:t>
      </w:r>
      <w:r>
        <w:rPr>
          <w:i/>
          <w:iCs/>
        </w:rPr>
        <w:t>Floridante</w:t>
      </w:r>
      <w:r>
        <w:rPr/>
        <w:t xml:space="preserve"> was not a critique of the King, the Jacobites or of Marlborough; </w:t>
      </w:r>
      <w:r>
        <w:rPr>
          <w:i/>
          <w:iCs/>
        </w:rPr>
        <w:t>Riccardo Primo</w:t>
      </w:r>
      <w:r>
        <w:rPr/>
        <w:t xml:space="preserve"> had little to do with either George I (king during its composition) or George II (its eventual dedicatee), and even less to do with trade and islands in the Mediterranean.  To read Theseus and Ariadne (</w:t>
      </w:r>
      <w:r>
        <w:rPr>
          <w:i/>
          <w:iCs/>
        </w:rPr>
        <w:t>Arianna in Creta</w:t>
      </w:r>
      <w:r>
        <w:rPr/>
        <w:t>) as William and Anne is a mistake, especially given the concurrent version by Porpora, which includes Ariadne's abandonment by Theseus – and also because Handel provided another entertainment specifically for the wedding (</w:t>
      </w:r>
      <w:r>
        <w:rPr>
          <w:i/>
          <w:iCs/>
        </w:rPr>
        <w:t>Parnasso in Festa</w:t>
      </w:r>
      <w:r>
        <w:rPr/>
        <w:t xml:space="preserve">).  </w:t>
      </w:r>
      <w:r>
        <w:rPr>
          <w:i/>
          <w:iCs/>
        </w:rPr>
        <w:t>Giustino</w:t>
      </w:r>
      <w:r>
        <w:rPr/>
        <w:t xml:space="preserve"> is not a representation of the rise of the hard-working middle class, but just about belligerent man favoured by Fortune.</w:t>
      </w:r>
    </w:p>
    <w:p>
      <w:pPr>
        <w:pStyle w:val="Normal"/>
        <w:rPr/>
      </w:pPr>
      <w:r>
        <w:rPr/>
        <w:tab/>
        <w:t xml:space="preserve">These operas are to be compared, McGeary argues, with less nebulously political dramas such as that damning critique of Walpole, </w:t>
      </w:r>
      <w:r>
        <w:rPr>
          <w:i/>
          <w:iCs/>
        </w:rPr>
        <w:t>The</w:t>
      </w:r>
      <w:r>
        <w:rPr/>
        <w:t xml:space="preserve"> </w:t>
      </w:r>
      <w:r>
        <w:rPr>
          <w:i/>
          <w:iCs/>
        </w:rPr>
        <w:t>Beggar's Opera</w:t>
      </w:r>
      <w:r>
        <w:rPr/>
        <w:t xml:space="preserve">, or </w:t>
      </w:r>
      <w:r>
        <w:rPr>
          <w:i/>
          <w:iCs/>
        </w:rPr>
        <w:t>Alfred</w:t>
      </w:r>
      <w:r>
        <w:rPr/>
        <w:t xml:space="preserve"> by Thomas Arne.  The latter was one of 'the Patriot dramas of the 1730s … based on historical subjects … [but] written to personate current persons or to be applied to current topical politics' – in marked contrast to Italian operas, where politics were left at the theatre doors.</w:t>
      </w:r>
      <w:r>
        <w:rPr/>
        <w:t xml:space="preserve">  This is seen obviously, he writes, in Arminius, the subject of an opera by Handel (1737) and a play by William Paterson (1739).  Paterson's play was banned, apparently for speeches criticising Walpole's policy of peace; Handel's opera, on the other hand, 'steered clear of any topicality.'</w:t>
      </w:r>
      <w:r>
        <w:rPr/>
        <w:t xml:space="preserve">  While the Arminius of the play could be identified with either Frederick, Prince of Wales or his younger brother the Duke of Cumberland (its dedicatee), the Arminius of the opera certainly cannot.</w:t>
      </w:r>
    </w:p>
    <w:p>
      <w:pPr>
        <w:pStyle w:val="Normal"/>
        <w:rPr/>
      </w:pPr>
      <w:r>
        <w:rPr/>
        <w:tab/>
        <w:t xml:space="preserve">McGeary does have a point:  scholars can sometimes read too much into things  and see parallels and references where there were none intended (the current REF climate of publish or perish does not help this).  Of course, audiences at the time could be guilty of this, too – as perhaps William Stratford's letter to Edward Harley about </w:t>
      </w:r>
      <w:r>
        <w:rPr>
          <w:i/>
          <w:iCs/>
        </w:rPr>
        <w:t>Floridante</w:t>
      </w:r>
      <w:r>
        <w:rPr/>
        <w:t xml:space="preserve"> illustrates.</w:t>
      </w:r>
      <w:r>
        <w:rPr/>
        <w:t xml:space="preserve">  Stratford noted the 'great offence' given by this opera, and various scholars have used his comments to discuss the interpretation and possible politics of the opera.  McGeary, however, says that 'Stratford's letter, as we will see, is misleading and has sent scholars on the wrong track...'.  The problem is that we do not see:  he dismisses all interpretations offered by other scholars, and proposes that </w:t>
      </w:r>
      <w:r>
        <w:rPr>
          <w:i/>
          <w:iCs/>
        </w:rPr>
        <w:t>Floridante</w:t>
      </w:r>
      <w:r>
        <w:rPr/>
        <w:t xml:space="preserve"> is no political allegory; but he leaves Stratford's letter hanging mid-air – and, in so doing, the question of intention and, more importantly in this case, interpretation.</w:t>
      </w:r>
    </w:p>
    <w:p>
      <w:pPr>
        <w:pStyle w:val="Normal"/>
        <w:rPr/>
      </w:pPr>
      <w:r>
        <w:rPr/>
        <w:tab/>
        <w:t xml:space="preserve">McGeary's thesis is that Handel's operas were apolitical, and that this was understood at the time:  somehow, all theatre-goers knew to leave their politics at home; somehow, everyone would know when to read between the lines and when just to read the lines.  This is a hard argument to sustain:  people are very bad at dropping politics off, and they have a habit of reading meaning into poetry, drama or prose – the potential for doing so is one of the lasting attractions of literature.  Shakespeare's </w:t>
      </w:r>
      <w:r>
        <w:rPr>
          <w:i/>
        </w:rPr>
        <w:t>Henry V</w:t>
      </w:r>
      <w:r>
        <w:rPr/>
        <w:t xml:space="preserve"> could be easily turned into Tony Blair; Tolkien's “One Ring” could be read as an allusion to the Bomb.  Both interpretations are anachronistic and unintended by the authors, but the interpretations and their reception are nonetheless helpful for studying the social and political values and concerns of their times.  </w:t>
      </w:r>
      <w:r>
        <w:rPr>
          <w:i/>
          <w:iCs/>
        </w:rPr>
        <w:t>Quot homines, tot sententiae</w:t>
      </w:r>
      <w:r>
        <w:rPr/>
        <w:t xml:space="preserve">:  it is difficult to draw any firm conclusions about how something may have been interpreted by an audience running to triple figures; it is slightly easier to limit one's conclusions to the author's intentions.  McGeary criticises scholars for reading a political intention or subtext into </w:t>
      </w:r>
      <w:r>
        <w:rPr>
          <w:i/>
          <w:iCs/>
        </w:rPr>
        <w:t>Floridante</w:t>
      </w:r>
      <w:r>
        <w:rPr/>
        <w:t xml:space="preserve">, but two of these scholars, Elizabeth Gibson and Donald Burrows, make no claim that </w:t>
      </w:r>
      <w:r>
        <w:rPr>
          <w:i/>
          <w:iCs/>
        </w:rPr>
        <w:t>Floridante</w:t>
      </w:r>
      <w:r>
        <w:rPr/>
        <w:t xml:space="preserve"> was meant as a political allegory.  (This throws up another problem with McGeary's text:  he sometimes criticises scholars for arguing something that they did not, in fact, argue.)</w:t>
      </w:r>
      <w:r>
        <w:rPr>
          <w:vertAlign w:val="superscript"/>
        </w:rPr>
        <w:t xml:space="preserve"> 1</w:t>
      </w:r>
      <w:r>
        <w:rPr/>
        <w:t xml:space="preserve">  At the end of the section on </w:t>
      </w:r>
      <w:r>
        <w:rPr>
          <w:i/>
          <w:iCs/>
        </w:rPr>
        <w:t>Floridante</w:t>
      </w:r>
      <w:r>
        <w:rPr/>
        <w:t>, we are none the wiser about why there was 'unseasonable Clapping' and in front of which 'Great ones.'</w:t>
      </w:r>
    </w:p>
    <w:p>
      <w:pPr>
        <w:pStyle w:val="Normal"/>
        <w:rPr/>
      </w:pPr>
      <w:r>
        <w:rPr/>
        <w:tab/>
        <w:t xml:space="preserve">Elsewhere, McGeary asserts that 'the crucial test for determining a political work is that there is an answer to the question </w:t>
      </w:r>
      <w:r>
        <w:rPr>
          <w:i/>
          <w:iCs/>
        </w:rPr>
        <w:t>Cui bono?</w:t>
      </w:r>
      <w:r>
        <w:rPr/>
        <w:t xml:space="preserve">  Political texts do “political work”'.</w:t>
      </w:r>
      <w:r>
        <w:rPr/>
        <w:t xml:space="preserve">  However, The question </w:t>
      </w:r>
      <w:r>
        <w:rPr>
          <w:i/>
          <w:iCs/>
        </w:rPr>
        <w:t xml:space="preserve">cui bono? </w:t>
      </w:r>
      <w:r>
        <w:rPr/>
        <w:t xml:space="preserve">does not necessarily determine whether a work is political or not.  Nobody particular need benefit from a political text – who, to take a modern example, benefits from the British satirical magazine </w:t>
      </w:r>
      <w:r>
        <w:rPr>
          <w:i/>
          <w:iCs/>
        </w:rPr>
        <w:t>Private Eye</w:t>
      </w:r>
      <w:r>
        <w:rPr/>
        <w:t xml:space="preserve">?  While there were works of partisan polemic, it was possible to have political comment without political statement – and possible for people to find political resonances in an apolitical text without their digesting it as a political allegory.  It is perfectly reasonable to suppose that certain members of the audience of </w:t>
      </w:r>
      <w:r>
        <w:rPr>
          <w:i/>
          <w:iCs/>
        </w:rPr>
        <w:t>Floridante</w:t>
      </w:r>
      <w:r>
        <w:rPr/>
        <w:t xml:space="preserve"> would have drawn political references, even if inexact, unintended by the composer/ librettist and left behind in the theatre at the opera's end.  Furthermore, even being seen at a production can be a political statement and thus, in a very loose way, make the opera a political event, as shown by George I and his son George attending the first night of </w:t>
      </w:r>
      <w:r>
        <w:rPr>
          <w:i/>
          <w:iCs/>
        </w:rPr>
        <w:t>Radamisto</w:t>
      </w:r>
      <w:r>
        <w:rPr/>
        <w:t xml:space="preserve"> together.</w:t>
      </w:r>
    </w:p>
    <w:p>
      <w:pPr>
        <w:pStyle w:val="Normal"/>
        <w:rPr/>
      </w:pPr>
      <w:r>
        <w:rPr/>
        <w:tab/>
        <w:t xml:space="preserve">Dedications are another of McGeary's bonnet-loving bees.  Just because an opera is dedicated to the King or the Prince of Wales, he says, this does not mean that the opera is political, or even that the dedication should be seen in terms of party politics.  To take </w:t>
      </w:r>
      <w:r>
        <w:rPr>
          <w:i/>
          <w:iCs/>
        </w:rPr>
        <w:t>Floridante</w:t>
      </w:r>
      <w:r>
        <w:rPr/>
        <w:t xml:space="preserve"> again, he throws off the dedication to the Prince of Wales as 'of little significance'.  This seems fair enough, but the dedication, on the other hand, of the play </w:t>
      </w:r>
      <w:r>
        <w:rPr>
          <w:i/>
          <w:iCs/>
        </w:rPr>
        <w:t>Arminius</w:t>
      </w:r>
      <w:r>
        <w:rPr/>
        <w:t xml:space="preserve"> to the Duke of Cumberland reveals the play to be 'unashamedly Hanoverian', and thus to the </w:t>
      </w:r>
      <w:r>
        <w:rPr>
          <w:i/>
          <w:iCs/>
        </w:rPr>
        <w:t>bonum</w:t>
      </w:r>
      <w:r>
        <w:rPr/>
        <w:t xml:space="preserve"> of the ruling family.</w:t>
      </w:r>
      <w:r>
        <w:rPr/>
        <w:t xml:space="preserve">  In one case the dedication is deemed irrelevant; in another, it is very relevant:  this appears to be a case of having one's cake and eating it.  Perhaps this could have been explained further in a section dedicated to dedications.</w:t>
      </w:r>
    </w:p>
    <w:p>
      <w:pPr>
        <w:pStyle w:val="Normal"/>
        <w:rPr/>
      </w:pPr>
      <w:r>
        <w:rPr/>
        <w:tab/>
        <w:t xml:space="preserve">One opera that had a fulsome royal dedication was </w:t>
      </w:r>
      <w:r>
        <w:rPr>
          <w:i/>
          <w:iCs/>
        </w:rPr>
        <w:t>Riccardo Primo</w:t>
      </w:r>
      <w:r>
        <w:rPr/>
        <w:t xml:space="preserve">.  McGeary slates Strohm's interpretation that </w:t>
      </w:r>
      <w:r>
        <w:rPr>
          <w:i/>
        </w:rPr>
        <w:t>Riccardo</w:t>
      </w:r>
      <w:r>
        <w:rPr/>
        <w:t xml:space="preserve"> was a commemoration of the new king; he is right to do so, for this interpretation falls down when the original date of composition is looked at – it was written while George I was king, not George II, as has been pointed out by others in previous articles.  He also dismisses the allegorical identification of George II with Richard I:  instead, 'Rolli is holding up for George the ... Mirror for Princes'.  This is a fair point, but it does not explain (if, of course, explanation is needed) why Handel chose </w:t>
      </w:r>
      <w:r>
        <w:rPr>
          <w:i/>
          <w:iCs/>
        </w:rPr>
        <w:t>Riccardo Primo</w:t>
      </w:r>
      <w:r>
        <w:rPr/>
        <w:t>, especially since Richard was 'such an odious figure.'</w:t>
      </w:r>
      <w:r>
        <w:rPr/>
        <w:t xml:space="preserve">  McGeary's last dismissal is Ellen Harris' thesis that </w:t>
      </w:r>
      <w:r>
        <w:rPr>
          <w:i/>
          <w:iCs/>
        </w:rPr>
        <w:t>Riccardo</w:t>
      </w:r>
      <w:r>
        <w:rPr/>
        <w:t xml:space="preserve"> had something to do with the Gibraltar crisis which peaked in 1727 – and yet Gibraltar seems to him politically significant enough to spend five pages discussing it and the allegorising of it with Faustina, Cuzzoni and Senesino.</w:t>
      </w:r>
    </w:p>
    <w:p>
      <w:pPr>
        <w:pStyle w:val="Normal"/>
        <w:rPr/>
      </w:pPr>
      <w:r>
        <w:rPr/>
        <w:tab/>
        <w:t xml:space="preserve">McGeary himself seems to have a problem of intention:  it is unclear what sort of reader this book is for.  The seasoned Handel scholar will know much of this material, for very little of it, if any, is new, and McGeary goes into so much historical narrative that this reads very much like a student textbook.  There will, no doubt, be students for whom this is valuable, but the book is not laid out like a textbook and the first third is taken up with a rather long-winded exordium, setting out the case for de-politicising Handel's operas, but not doing a proper literature/ historiographical review.  Students might be somewhat confused by instances like the following.  On pp. 58-9, he discusses the link between the decline in opera between 1717 and 1720 and the falling-out of the King and the Prince of Wales:  'Attractive as this narrative might be for putting opera at the center of politics, the timing of some events does not agree and others may be just coincidence.'  He refers to Gibson's article on the Royal Academy and the Schirmer edition of Burrows' </w:t>
      </w:r>
      <w:r>
        <w:rPr>
          <w:i/>
          <w:iCs/>
        </w:rPr>
        <w:t>Handel</w:t>
      </w:r>
      <w:r>
        <w:rPr/>
        <w:t xml:space="preserve">.  Having neither to hand at the time, I turned to Burrows' Master Musicans </w:t>
      </w:r>
      <w:r>
        <w:rPr>
          <w:i/>
          <w:iCs/>
        </w:rPr>
        <w:t>Handel</w:t>
      </w:r>
      <w:r>
        <w:rPr/>
        <w:t>, where he says:  'While the deadweight of accumulating managerial and financial problems may have played a part in closing the company, this aspect should not be exaggerated:  opera in London was always expensive, but could more or less survive while a sufficient number of enthusiastic patrons were willing to pay.  The critical factor in 1717 was a political and social division among the patrons.'</w:t>
      </w:r>
      <w:r>
        <w:rPr>
          <w:vertAlign w:val="superscript"/>
        </w:rPr>
        <w:t>2</w:t>
      </w:r>
      <w:r>
        <w:rPr/>
        <w:t xml:space="preserve">  Neither author cites any first-hand evidence for their conclusions, and thus it is impossible to prove or disprove either argument.</w:t>
      </w:r>
    </w:p>
    <w:p>
      <w:pPr>
        <w:pStyle w:val="Normal"/>
        <w:rPr/>
      </w:pPr>
      <w:r>
        <w:rPr/>
        <w:tab/>
        <w:t xml:space="preserve">The editing is somewhat lackadaisical.  The author is allowed repetitive statements; for example, on p. 202, he writes that Arminius 'asserts (like Cato of Utica) that ... death is better than slavery', and, on p. 204, 'Like Cato of Utica, Arminius would die rather than live under the rule of Rome'; on p. 153, 'Hervey's memoirs must be suspect of his own animus against Frederick', and p. 157, 'in dealing with Frederick, however, Hervey's judgements must be suspected of reflecting his own personal bitterness and vengeance'.  The index is a shambles:  for example, Handel's works are sometimes under Handel and sometimes not – and sometimes both under Handel </w:t>
      </w:r>
      <w:r>
        <w:rPr>
          <w:i/>
          <w:iCs/>
        </w:rPr>
        <w:t>and</w:t>
      </w:r>
      <w:r>
        <w:rPr/>
        <w:t xml:space="preserve"> entries in their own rights.  Cambridge University Press indulges in the appalling, inhuman practice of end notes; this is a particularly end-notey book, and it is a nuisance having to flick back and forth (without losing your place) – sometimes to read things which should be in the main text.</w:t>
      </w:r>
    </w:p>
    <w:p>
      <w:pPr>
        <w:pStyle w:val="Normal"/>
        <w:rPr/>
      </w:pPr>
      <w:r>
        <w:rPr/>
        <w:tab/>
        <w:t>There are some very good points in this book, but the whole thing is more like a draft of a book:  the structure is not always clear and some arguments are not always concluded.  There does need to be a book knitting together the large number of studies of individual operas and their performance and reception; sadly, this is not it.  A second volume is planned; this, I fear, will be a superfluity.  Whilst, no doubt, McGeary has many more 'unused squibs and satires' (p. ix), it must be questioned whether another book is the best outlet for them.</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aramond">
    <w:charset w:val="01"/>
    <w:family w:val="roman"/>
    <w:pitch w:val="default"/>
  </w:font>
</w:fonts>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SimSun" w:cs="Lucida Sans"/>
        <w:kern w:val="2"/>
        <w:sz w:val="24"/>
        <w:szCs w:val="24"/>
        <w:lang w:val="en-GB" w:eastAsia="zh-CN" w:bidi="hi-IN"/>
      </w:rPr>
    </w:rPrDefault>
    <w:pPrDefault>
      <w:pPr>
        <w:widowControl/>
      </w:pPr>
    </w:pPrDefault>
  </w:docDefaults>
  <w:style w:type="paragraph" w:styleId="Normal">
    <w:name w:val="Normal"/>
    <w:qFormat/>
    <w:pPr>
      <w:widowControl/>
    </w:pPr>
    <w:rPr>
      <w:rFonts w:ascii="Garamond" w:hAnsi="Garamond" w:eastAsia="SimSun" w:cs="Lucida Sans"/>
      <w:color w:val="auto"/>
      <w:kern w:val="2"/>
      <w:sz w:val="24"/>
      <w:szCs w:val="24"/>
      <w:lang w:val="en-GB" w:eastAsia="zh-CN" w:bidi="hi-IN"/>
    </w:rPr>
  </w:style>
  <w:style w:type="character" w:styleId="FootnoteReference">
    <w:name w:val="Footnote Reference"/>
    <w:qFormat/>
    <w:rPr>
      <w:vertAlign w:val="superscript"/>
    </w:rPr>
  </w:style>
  <w:style w:type="paragraph" w:styleId="Heading">
    <w:name w:val="Heading"/>
    <w:basedOn w:val="Normal"/>
    <w:next w:val="TextBody"/>
    <w:qFormat/>
    <w:pPr>
      <w:keepNext w:val="true"/>
      <w:spacing w:before="240" w:after="120"/>
    </w:pPr>
    <w:rPr>
      <w:rFonts w:ascii="Garamond" w:hAnsi="Garamond" w:eastAsia="SimSun"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LibreOffice/6.0.7.3$MacOSX_X86_64 LibreOffice_project/dc89aa7a9eabfd848af146d5086077aeed2ae4a5</Application>
  <Pages>3</Pages>
  <Words>1781</Words>
  <Characters>9000</Characters>
  <CharactersWithSpaces>10858</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2023-10-10T10:41:44Z</dcterms:created>
  <dc:creator>KRH </dc:creator>
  <dc:description/>
  <dc:language>en-GB</dc:language>
  <cp:lastModifiedBy>KRH </cp:lastModifiedBy>
  <dcterms:modified xsi:type="dcterms:W3CDTF">2023-10-10T10:43:08Z</dcterms:modified>
  <cp:revision>1</cp:revision>
  <dc:subject/>
  <dc:title/>
</cp:coreProperties>
</file>