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4A535" w14:textId="77777777" w:rsidR="0071572E" w:rsidRPr="0071572E" w:rsidRDefault="0071572E" w:rsidP="0071572E">
      <w:pPr>
        <w:spacing w:before="240" w:after="720" w:line="562" w:lineRule="atLeast"/>
        <w:outlineLvl w:val="0"/>
        <w:rPr>
          <w:rFonts w:ascii="LinLibertine" w:eastAsia="Times New Roman" w:hAnsi="LinLibertine" w:cs="Times New Roman"/>
          <w:b/>
          <w:bCs/>
          <w:color w:val="000000"/>
          <w:kern w:val="36"/>
          <w:sz w:val="43"/>
          <w:szCs w:val="43"/>
          <w:lang w:eastAsia="en-GB"/>
        </w:rPr>
      </w:pPr>
      <w:r w:rsidRPr="0071572E">
        <w:rPr>
          <w:rFonts w:ascii="LinLibertine" w:eastAsia="Times New Roman" w:hAnsi="LinLibertine" w:cs="Times New Roman"/>
          <w:b/>
          <w:bCs/>
          <w:color w:val="000000"/>
          <w:kern w:val="36"/>
          <w:sz w:val="43"/>
          <w:szCs w:val="43"/>
          <w:lang w:eastAsia="en-GB"/>
        </w:rPr>
        <w:fldChar w:fldCharType="begin"/>
      </w:r>
      <w:r w:rsidRPr="0071572E">
        <w:rPr>
          <w:rFonts w:ascii="LinLibertine" w:eastAsia="Times New Roman" w:hAnsi="LinLibertine" w:cs="Times New Roman"/>
          <w:b/>
          <w:bCs/>
          <w:color w:val="000000"/>
          <w:kern w:val="36"/>
          <w:sz w:val="43"/>
          <w:szCs w:val="43"/>
          <w:lang w:eastAsia="en-GB"/>
        </w:rPr>
        <w:instrText xml:space="preserve"> HYPERLINK "https://jigsaw.vitalsource.com/books/9781317435839/epub/OEBPS/xhtml/content.xhtml" \l "bck_Ch015" </w:instrText>
      </w:r>
      <w:r w:rsidRPr="0071572E">
        <w:rPr>
          <w:rFonts w:ascii="LinLibertine" w:eastAsia="Times New Roman" w:hAnsi="LinLibertine" w:cs="Times New Roman"/>
          <w:b/>
          <w:bCs/>
          <w:color w:val="000000"/>
          <w:kern w:val="36"/>
          <w:sz w:val="43"/>
          <w:szCs w:val="43"/>
          <w:lang w:eastAsia="en-GB"/>
        </w:rPr>
        <w:fldChar w:fldCharType="separate"/>
      </w:r>
      <w:r w:rsidRPr="0071572E">
        <w:rPr>
          <w:rFonts w:ascii="LinLibertine" w:eastAsia="Times New Roman" w:hAnsi="LinLibertine" w:cs="Times New Roman"/>
          <w:b/>
          <w:bCs/>
          <w:color w:val="0000FF"/>
          <w:kern w:val="36"/>
          <w:sz w:val="43"/>
          <w:szCs w:val="43"/>
          <w:u w:val="single"/>
          <w:lang w:eastAsia="en-GB"/>
        </w:rPr>
        <w:t>15</w:t>
      </w:r>
      <w:r w:rsidRPr="0071572E">
        <w:rPr>
          <w:rFonts w:ascii="LinLibertine" w:eastAsia="Times New Roman" w:hAnsi="LinLibertine" w:cs="Times New Roman"/>
          <w:b/>
          <w:bCs/>
          <w:color w:val="0000FF"/>
          <w:kern w:val="36"/>
          <w:sz w:val="43"/>
          <w:szCs w:val="43"/>
          <w:u w:val="single"/>
          <w:lang w:eastAsia="en-GB"/>
        </w:rPr>
        <w:br/>
        <w:t>Public governance in a network society</w:t>
      </w:r>
      <w:r w:rsidRPr="0071572E">
        <w:rPr>
          <w:rFonts w:ascii="LinLibertine" w:eastAsia="Times New Roman" w:hAnsi="LinLibertine" w:cs="Times New Roman"/>
          <w:b/>
          <w:bCs/>
          <w:color w:val="000000"/>
          <w:kern w:val="36"/>
          <w:sz w:val="43"/>
          <w:szCs w:val="43"/>
          <w:lang w:eastAsia="en-GB"/>
        </w:rPr>
        <w:fldChar w:fldCharType="end"/>
      </w:r>
    </w:p>
    <w:p w14:paraId="6852AE3B" w14:textId="77777777" w:rsidR="0071572E" w:rsidRPr="0071572E" w:rsidRDefault="0071572E" w:rsidP="0071572E">
      <w:pPr>
        <w:spacing w:after="720" w:line="437" w:lineRule="atLeast"/>
        <w:rPr>
          <w:rFonts w:ascii="LinLibertine" w:eastAsia="Times New Roman" w:hAnsi="LinLibertine" w:cs="Times New Roman"/>
          <w:i/>
          <w:iCs/>
          <w:color w:val="000000"/>
          <w:sz w:val="34"/>
          <w:szCs w:val="34"/>
          <w:lang w:eastAsia="en-GB"/>
        </w:rPr>
      </w:pPr>
      <w:r w:rsidRPr="0071572E">
        <w:rPr>
          <w:rFonts w:ascii="LinLibertine" w:eastAsia="Times New Roman" w:hAnsi="LinLibertine" w:cs="Times New Roman"/>
          <w:i/>
          <w:iCs/>
          <w:color w:val="000000"/>
          <w:sz w:val="34"/>
          <w:szCs w:val="34"/>
          <w:lang w:eastAsia="en-GB"/>
        </w:rPr>
        <w:t>Elke Loeffler</w:t>
      </w:r>
    </w:p>
    <w:p w14:paraId="46F2EE51"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Introduction</w:t>
      </w:r>
    </w:p>
    <w:p w14:paraId="70AD6DF1"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There is now a huge academic literature on public governance, public policy networks and network management in the public sector – and new variations on these ideas keep being invented – but much confusion remains about these concepts and, for most practitioners, they don’t mean much at all. Does this mean that concepts of good governance are simply the abstract invention of political scientists and international organizations and are of little importance in practice?</w:t>
      </w:r>
    </w:p>
    <w:p w14:paraId="485FB28F"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 want to argue that the reality is quite the opposite – governance is really critically important. However, it is indeed the case that most public managers and citizens are not interested in fancy ‘wish-lists’ of governance principles – it is specific governance issues affecting perceived public outcomes and the quality of life of citizens that get their attention.</w:t>
      </w:r>
    </w:p>
    <w:p w14:paraId="1A51E31B"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As this chapter will show, public decision-making and the delivery of public services have undergone fundamental changes in the last 15 years or so. This is partly because we now have a more fragmented state, with far more public agencies (see </w:t>
      </w:r>
      <w:hyperlink r:id="rId7" w:history="1">
        <w:r w:rsidRPr="0071572E">
          <w:rPr>
            <w:rFonts w:ascii="LinLibertine" w:eastAsia="Times New Roman" w:hAnsi="LinLibertine" w:cs="Times New Roman"/>
            <w:color w:val="0000FF"/>
            <w:sz w:val="24"/>
            <w:szCs w:val="24"/>
            <w:u w:val="single"/>
            <w:lang w:eastAsia="en-GB"/>
          </w:rPr>
          <w:t>chapters 2</w:t>
        </w:r>
      </w:hyperlink>
      <w:r w:rsidRPr="0071572E">
        <w:rPr>
          <w:rFonts w:ascii="LinLibertine" w:eastAsia="Times New Roman" w:hAnsi="LinLibertine" w:cs="Times New Roman"/>
          <w:color w:val="000000"/>
          <w:sz w:val="24"/>
          <w:szCs w:val="24"/>
          <w:lang w:eastAsia="en-GB"/>
        </w:rPr>
        <w:t>, </w:t>
      </w:r>
      <w:hyperlink r:id="rId8" w:history="1">
        <w:r w:rsidRPr="0071572E">
          <w:rPr>
            <w:rFonts w:ascii="LinLibertine" w:eastAsia="Times New Roman" w:hAnsi="LinLibertine" w:cs="Times New Roman"/>
            <w:color w:val="0000FF"/>
            <w:sz w:val="24"/>
            <w:szCs w:val="24"/>
            <w:u w:val="single"/>
            <w:lang w:eastAsia="en-GB"/>
          </w:rPr>
          <w:t>4</w:t>
        </w:r>
      </w:hyperlink>
      <w:r w:rsidRPr="0071572E">
        <w:rPr>
          <w:rFonts w:ascii="LinLibertine" w:eastAsia="Times New Roman" w:hAnsi="LinLibertine" w:cs="Times New Roman"/>
          <w:color w:val="000000"/>
          <w:sz w:val="24"/>
          <w:szCs w:val="24"/>
          <w:lang w:eastAsia="en-GB"/>
        </w:rPr>
        <w:t> and </w:t>
      </w:r>
      <w:hyperlink r:id="rId9" w:history="1">
        <w:r w:rsidRPr="0071572E">
          <w:rPr>
            <w:rFonts w:ascii="LinLibertine" w:eastAsia="Times New Roman" w:hAnsi="LinLibertine" w:cs="Times New Roman"/>
            <w:color w:val="0000FF"/>
            <w:sz w:val="24"/>
            <w:szCs w:val="24"/>
            <w:u w:val="single"/>
            <w:lang w:eastAsia="en-GB"/>
          </w:rPr>
          <w:t>17</w:t>
        </w:r>
      </w:hyperlink>
      <w:r w:rsidRPr="0071572E">
        <w:rPr>
          <w:rFonts w:ascii="LinLibertine" w:eastAsia="Times New Roman" w:hAnsi="LinLibertine" w:cs="Times New Roman"/>
          <w:color w:val="000000"/>
          <w:sz w:val="24"/>
          <w:szCs w:val="24"/>
          <w:lang w:eastAsia="en-GB"/>
        </w:rPr>
        <w:t>). It is also partly because citizens now expect different types of information (see </w:t>
      </w:r>
      <w:hyperlink r:id="rId10" w:history="1">
        <w:r w:rsidRPr="0071572E">
          <w:rPr>
            <w:rFonts w:ascii="LinLibertine" w:eastAsia="Times New Roman" w:hAnsi="LinLibertine" w:cs="Times New Roman"/>
            <w:color w:val="0000FF"/>
            <w:sz w:val="24"/>
            <w:szCs w:val="24"/>
            <w:u w:val="single"/>
            <w:lang w:eastAsia="en-GB"/>
          </w:rPr>
          <w:t>chapter 11</w:t>
        </w:r>
      </w:hyperlink>
      <w:r w:rsidRPr="0071572E">
        <w:rPr>
          <w:rFonts w:ascii="LinLibertine" w:eastAsia="Times New Roman" w:hAnsi="LinLibertine" w:cs="Times New Roman"/>
          <w:color w:val="000000"/>
          <w:sz w:val="24"/>
          <w:szCs w:val="24"/>
          <w:lang w:eastAsia="en-GB"/>
        </w:rPr>
        <w:t>), better communication (see </w:t>
      </w:r>
      <w:hyperlink r:id="rId11" w:history="1">
        <w:r w:rsidRPr="0071572E">
          <w:rPr>
            <w:rFonts w:ascii="LinLibertine" w:eastAsia="Times New Roman" w:hAnsi="LinLibertine" w:cs="Times New Roman"/>
            <w:color w:val="0000FF"/>
            <w:sz w:val="24"/>
            <w:szCs w:val="24"/>
            <w:u w:val="single"/>
            <w:lang w:eastAsia="en-GB"/>
          </w:rPr>
          <w:t>chapter 6</w:t>
        </w:r>
      </w:hyperlink>
      <w:r w:rsidRPr="0071572E">
        <w:rPr>
          <w:rFonts w:ascii="LinLibertine" w:eastAsia="Times New Roman" w:hAnsi="LinLibertine" w:cs="Times New Roman"/>
          <w:color w:val="000000"/>
          <w:sz w:val="24"/>
          <w:szCs w:val="24"/>
          <w:lang w:eastAsia="en-GB"/>
        </w:rPr>
        <w:t>) and, in some limited (but sometimes very vocal) cases, are keener to engage in public decision-making processes (see </w:t>
      </w:r>
      <w:hyperlink r:id="rId12" w:history="1">
        <w:r w:rsidRPr="0071572E">
          <w:rPr>
            <w:rFonts w:ascii="LinLibertine" w:eastAsia="Times New Roman" w:hAnsi="LinLibertine" w:cs="Times New Roman"/>
            <w:color w:val="0000FF"/>
            <w:sz w:val="24"/>
            <w:szCs w:val="24"/>
            <w:u w:val="single"/>
            <w:lang w:eastAsia="en-GB"/>
          </w:rPr>
          <w:t>chapter 22</w:t>
        </w:r>
      </w:hyperlink>
      <w:r w:rsidRPr="0071572E">
        <w:rPr>
          <w:rFonts w:ascii="LinLibertine" w:eastAsia="Times New Roman" w:hAnsi="LinLibertine" w:cs="Times New Roman"/>
          <w:color w:val="000000"/>
          <w:sz w:val="24"/>
          <w:szCs w:val="24"/>
          <w:lang w:eastAsia="en-GB"/>
        </w:rPr>
        <w:t>). Perhaps most important of all, it has come about because of ‘wicked’ policy problems, which make partnership working (see </w:t>
      </w:r>
      <w:hyperlink r:id="rId13" w:history="1">
        <w:r w:rsidRPr="0071572E">
          <w:rPr>
            <w:rFonts w:ascii="LinLibertine" w:eastAsia="Times New Roman" w:hAnsi="LinLibertine" w:cs="Times New Roman"/>
            <w:color w:val="0000FF"/>
            <w:sz w:val="24"/>
            <w:szCs w:val="24"/>
            <w:u w:val="single"/>
            <w:lang w:eastAsia="en-GB"/>
          </w:rPr>
          <w:t>chapter 17</w:t>
        </w:r>
      </w:hyperlink>
      <w:r w:rsidRPr="0071572E">
        <w:rPr>
          <w:rFonts w:ascii="LinLibertine" w:eastAsia="Times New Roman" w:hAnsi="LinLibertine" w:cs="Times New Roman"/>
          <w:color w:val="000000"/>
          <w:sz w:val="24"/>
          <w:szCs w:val="24"/>
          <w:lang w:eastAsia="en-GB"/>
        </w:rPr>
        <w:t>) and co-production with citizens and communities (see </w:t>
      </w:r>
      <w:hyperlink r:id="rId14" w:history="1">
        <w:r w:rsidRPr="0071572E">
          <w:rPr>
            <w:rFonts w:ascii="LinLibertine" w:eastAsia="Times New Roman" w:hAnsi="LinLibertine" w:cs="Times New Roman"/>
            <w:color w:val="0000FF"/>
            <w:sz w:val="24"/>
            <w:szCs w:val="24"/>
            <w:u w:val="single"/>
            <w:lang w:eastAsia="en-GB"/>
          </w:rPr>
          <w:t>chapter 23</w:t>
        </w:r>
      </w:hyperlink>
      <w:r w:rsidRPr="0071572E">
        <w:rPr>
          <w:rFonts w:ascii="LinLibertine" w:eastAsia="Times New Roman" w:hAnsi="LinLibertine" w:cs="Times New Roman"/>
          <w:color w:val="000000"/>
          <w:sz w:val="24"/>
          <w:szCs w:val="24"/>
          <w:lang w:eastAsia="en-GB"/>
        </w:rPr>
        <w:t>) key for all public sector organizations and other public service providers.</w:t>
      </w:r>
    </w:p>
    <w:p w14:paraId="52823D67"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As a result, public organizations no longer just have to be good at getting their internal management systems right – e.g. financial management, human resource management, ICT (information and communications technologies) and performance management – but they also have to manage their most important external stakeholders well in order to achieve the desired policy outcomes. In other words, network management has become a key competence for public sector organizations.</w:t>
      </w:r>
    </w:p>
    <w:p w14:paraId="697A73E7" w14:textId="77777777" w:rsidR="0071572E" w:rsidRPr="0071572E" w:rsidRDefault="0071572E" w:rsidP="0071572E">
      <w:pPr>
        <w:shd w:val="clear" w:color="auto" w:fill="E7E7E8"/>
        <w:spacing w:after="240" w:line="240" w:lineRule="auto"/>
        <w:rPr>
          <w:rFonts w:ascii="LinLibertine" w:eastAsia="Times New Roman" w:hAnsi="LinLibertine" w:cs="Times New Roman"/>
          <w:b/>
          <w:bCs/>
          <w:color w:val="000000"/>
          <w:sz w:val="31"/>
          <w:szCs w:val="31"/>
          <w:lang w:eastAsia="en-GB"/>
        </w:rPr>
      </w:pPr>
      <w:r w:rsidRPr="0071572E">
        <w:rPr>
          <w:rFonts w:ascii="LinLibertine" w:eastAsia="Times New Roman" w:hAnsi="LinLibertine" w:cs="Times New Roman"/>
          <w:b/>
          <w:bCs/>
          <w:color w:val="000000"/>
          <w:sz w:val="31"/>
          <w:szCs w:val="31"/>
          <w:lang w:eastAsia="en-GB"/>
        </w:rPr>
        <w:t>Learning objectives</w:t>
      </w:r>
    </w:p>
    <w:p w14:paraId="19BD5CCE" w14:textId="77777777" w:rsidR="0071572E" w:rsidRPr="0071572E" w:rsidRDefault="0071572E" w:rsidP="0071572E">
      <w:pPr>
        <w:shd w:val="clear" w:color="auto" w:fill="E7E7E8"/>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This chapter will help readers:</w:t>
      </w:r>
    </w:p>
    <w:p w14:paraId="109E164B" w14:textId="77777777" w:rsidR="0071572E" w:rsidRPr="0071572E" w:rsidRDefault="0071572E" w:rsidP="0071572E">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 distinguish key concepts in public governance;</w:t>
      </w:r>
    </w:p>
    <w:p w14:paraId="1BC9EB5A" w14:textId="77777777" w:rsidR="0071572E" w:rsidRPr="0071572E" w:rsidRDefault="0071572E" w:rsidP="0071572E">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 identify the most important stakeholders in public governance;</w:t>
      </w:r>
    </w:p>
    <w:p w14:paraId="2C56A6B3" w14:textId="77777777" w:rsidR="0071572E" w:rsidRPr="0071572E" w:rsidRDefault="0071572E" w:rsidP="0071572E">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 understand network management as a specific mode of public governance.</w:t>
      </w:r>
    </w:p>
    <w:p w14:paraId="1345F40D"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lastRenderedPageBreak/>
        <w:t>Sorting it all out: key governance concepts</w:t>
      </w:r>
    </w:p>
    <w:p w14:paraId="7DB05416"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Governance is not a new term. Indeed, it was first used in France in the fourteenth century where it meant ‘seat of government’ (Pierre and Peters, 2000: 1). The term became much more popular when the World Bank ‘reinvented’ governance in a World Bank Report of 1989 (see </w:t>
      </w:r>
      <w:hyperlink r:id="rId15" w:anchor="box15_1" w:history="1">
        <w:r w:rsidRPr="0071572E">
          <w:rPr>
            <w:rFonts w:ascii="LinLibertine" w:eastAsia="Times New Roman" w:hAnsi="LinLibertine" w:cs="Times New Roman"/>
            <w:color w:val="0000FF"/>
            <w:sz w:val="24"/>
            <w:szCs w:val="24"/>
            <w:u w:val="single"/>
            <w:lang w:eastAsia="en-GB"/>
          </w:rPr>
          <w:t>Box 15.1</w:t>
        </w:r>
      </w:hyperlink>
      <w:r w:rsidRPr="0071572E">
        <w:rPr>
          <w:rFonts w:ascii="LinLibertine" w:eastAsia="Times New Roman" w:hAnsi="LinLibertine" w:cs="Times New Roman"/>
          <w:color w:val="000000"/>
          <w:sz w:val="24"/>
          <w:szCs w:val="24"/>
          <w:lang w:eastAsia="en-GB"/>
        </w:rPr>
        <w:t>). This use of the term governance signalled a new approach to development, based on the belief that economic prosperity is not possible without a minimum level of rule of law and democracy. At the same time, use of the seemingly apolitical term ‘governance’ was valuable in preventing criticism that the World Bank was trying to interfere in the political decisions made by debtor countries.</w:t>
      </w:r>
    </w:p>
    <w:p w14:paraId="7096C720"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Today, governance is a highly topical issue for international organizations – the United Nations, the Organisation for Economic Co-operation and Development (OECD) and the Council of Europe all produce policy-relevant advice and research on governance issues. For example, the Council of Europe recently endorsed a Strategy on Innovation and Good Governance at local level, aimed at mobilizing action by national and local authorities through a public commitment to 12 Principles of Good Democratic Governance. This initiative particularly hopes to improve public governance through external certification for local authorities – the European Label of Innovation and Good Governance (</w:t>
      </w:r>
      <w:proofErr w:type="spellStart"/>
      <w:r w:rsidRPr="0071572E">
        <w:rPr>
          <w:rFonts w:ascii="LinLibertine" w:eastAsia="Times New Roman" w:hAnsi="LinLibertine" w:cs="Times New Roman"/>
          <w:color w:val="000000"/>
          <w:sz w:val="24"/>
          <w:szCs w:val="24"/>
          <w:lang w:eastAsia="en-GB"/>
        </w:rPr>
        <w:t>ELoGE</w:t>
      </w:r>
      <w:proofErr w:type="spellEnd"/>
      <w:r w:rsidRPr="0071572E">
        <w:rPr>
          <w:rFonts w:ascii="LinLibertine" w:eastAsia="Times New Roman" w:hAnsi="LinLibertine" w:cs="Times New Roman"/>
          <w:color w:val="000000"/>
          <w:sz w:val="24"/>
          <w:szCs w:val="24"/>
          <w:lang w:eastAsia="en-GB"/>
        </w:rPr>
        <w:t xml:space="preserve"> – see the 2007 Valencia Declaration, </w:t>
      </w:r>
      <w:hyperlink r:id="rId16" w:history="1">
        <w:r w:rsidRPr="0071572E">
          <w:rPr>
            <w:rFonts w:ascii="LinLibertine" w:eastAsia="Times New Roman" w:hAnsi="LinLibertine" w:cs="Times New Roman"/>
            <w:color w:val="0000FF"/>
            <w:sz w:val="24"/>
            <w:szCs w:val="24"/>
            <w:u w:val="single"/>
            <w:lang w:eastAsia="en-GB"/>
          </w:rPr>
          <w:t>www.coe.int/t/e/legal_affairs/local_and_regional_democracy/Main_Bodies/Conference_Specialised_Ministers/Valencia_2007/MCL-15(2007)5final_EN.pdf</w:t>
        </w:r>
      </w:hyperlink>
      <w:r w:rsidRPr="0071572E">
        <w:rPr>
          <w:rFonts w:ascii="LinLibertine" w:eastAsia="Times New Roman" w:hAnsi="LinLibertine" w:cs="Times New Roman"/>
          <w:color w:val="000000"/>
          <w:sz w:val="24"/>
          <w:szCs w:val="24"/>
          <w:lang w:eastAsia="en-GB"/>
        </w:rPr>
        <w:t>). </w:t>
      </w:r>
      <w:hyperlink r:id="rId17" w:anchor="ce15_1" w:history="1">
        <w:r w:rsidRPr="0071572E">
          <w:rPr>
            <w:rFonts w:ascii="LinLibertine" w:eastAsia="Times New Roman" w:hAnsi="LinLibertine" w:cs="Times New Roman"/>
            <w:color w:val="0000FF"/>
            <w:sz w:val="24"/>
            <w:szCs w:val="24"/>
            <w:u w:val="single"/>
            <w:lang w:eastAsia="en-GB"/>
          </w:rPr>
          <w:t>Case example 15.1</w:t>
        </w:r>
      </w:hyperlink>
      <w:r w:rsidRPr="0071572E">
        <w:rPr>
          <w:rFonts w:ascii="LinLibertine" w:eastAsia="Times New Roman" w:hAnsi="LinLibertine" w:cs="Times New Roman"/>
          <w:color w:val="000000"/>
          <w:sz w:val="24"/>
          <w:szCs w:val="24"/>
          <w:lang w:eastAsia="en-GB"/>
        </w:rPr>
        <w:t> shows how this good governance initiative has supported an internal drive for improving governance in the local authority of Time in Norway.</w:t>
      </w:r>
    </w:p>
    <w:p w14:paraId="63620FA2"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Such initiatives indicate the topicality of ‘good governance’. However, it is interesting to observe that a previous, high-profile European governance initiative, widely promoted in a White Paper on Governance (European Commission, 2001) has now been ‘archived’.</w:t>
      </w:r>
    </w:p>
    <w:p w14:paraId="43FEA12E" w14:textId="77777777" w:rsidR="0071572E" w:rsidRPr="0071572E" w:rsidRDefault="00B466F0" w:rsidP="0071572E">
      <w:pPr>
        <w:spacing w:after="240" w:line="240" w:lineRule="auto"/>
        <w:rPr>
          <w:rFonts w:ascii="LinLibertine" w:eastAsia="Times New Roman" w:hAnsi="LinLibertine" w:cs="Times New Roman"/>
          <w:b/>
          <w:bCs/>
          <w:color w:val="000000"/>
          <w:sz w:val="31"/>
          <w:szCs w:val="31"/>
          <w:lang w:eastAsia="en-GB"/>
        </w:rPr>
      </w:pPr>
      <w:hyperlink r:id="rId18" w:anchor="bck_box15_1" w:history="1">
        <w:r w:rsidR="0071572E" w:rsidRPr="0071572E">
          <w:rPr>
            <w:rFonts w:ascii="LinLibertine" w:eastAsia="Times New Roman" w:hAnsi="LinLibertine" w:cs="Times New Roman"/>
            <w:b/>
            <w:bCs/>
            <w:color w:val="0000FF"/>
            <w:sz w:val="31"/>
            <w:szCs w:val="31"/>
            <w:u w:val="single"/>
            <w:lang w:eastAsia="en-GB"/>
          </w:rPr>
          <w:t>Box 15.1</w:t>
        </w:r>
      </w:hyperlink>
      <w:r w:rsidR="0071572E" w:rsidRPr="0071572E">
        <w:rPr>
          <w:rFonts w:ascii="LinLibertine" w:eastAsia="Times New Roman" w:hAnsi="LinLibertine" w:cs="Times New Roman"/>
          <w:b/>
          <w:bCs/>
          <w:color w:val="000000"/>
          <w:sz w:val="31"/>
          <w:szCs w:val="31"/>
          <w:lang w:eastAsia="en-GB"/>
        </w:rPr>
        <w:t> Definitions of governance</w:t>
      </w:r>
    </w:p>
    <w:p w14:paraId="1A7A27B2" w14:textId="77777777" w:rsidR="0071572E" w:rsidRPr="0071572E" w:rsidRDefault="0071572E" w:rsidP="0071572E">
      <w:pPr>
        <w:spacing w:after="0"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The exercise of political power to manage a nation’s affairs.</w:t>
      </w:r>
    </w:p>
    <w:p w14:paraId="5B51A42A" w14:textId="77777777" w:rsidR="0071572E" w:rsidRPr="0071572E" w:rsidRDefault="0071572E" w:rsidP="0071572E">
      <w:pPr>
        <w:spacing w:before="120" w:line="281" w:lineRule="atLeast"/>
        <w:jc w:val="right"/>
        <w:rPr>
          <w:rFonts w:ascii="LinLibertine" w:eastAsia="Times New Roman" w:hAnsi="LinLibertine" w:cs="Times New Roman"/>
          <w:color w:val="000000"/>
          <w:sz w:val="19"/>
          <w:szCs w:val="19"/>
          <w:lang w:eastAsia="en-GB"/>
        </w:rPr>
      </w:pPr>
      <w:r w:rsidRPr="0071572E">
        <w:rPr>
          <w:rFonts w:ascii="LinLibertine" w:eastAsia="Times New Roman" w:hAnsi="LinLibertine" w:cs="Times New Roman"/>
          <w:color w:val="000000"/>
          <w:sz w:val="19"/>
          <w:szCs w:val="19"/>
          <w:lang w:eastAsia="en-GB"/>
        </w:rPr>
        <w:t>(World Bank, 1989: 60)</w:t>
      </w:r>
    </w:p>
    <w:p w14:paraId="6613CA8E" w14:textId="77777777" w:rsidR="0071572E" w:rsidRPr="0071572E" w:rsidRDefault="0071572E" w:rsidP="0071572E">
      <w:pPr>
        <w:spacing w:after="0"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Governance is the process whereby societies or organizations make important decisions, determine whom they involve and how they render account.</w:t>
      </w:r>
    </w:p>
    <w:p w14:paraId="204E87A0" w14:textId="77777777" w:rsidR="0071572E" w:rsidRPr="0071572E" w:rsidRDefault="0071572E" w:rsidP="0071572E">
      <w:pPr>
        <w:spacing w:before="120" w:line="281" w:lineRule="atLeast"/>
        <w:jc w:val="right"/>
        <w:rPr>
          <w:rFonts w:ascii="LinLibertine" w:eastAsia="Times New Roman" w:hAnsi="LinLibertine" w:cs="Times New Roman"/>
          <w:color w:val="000000"/>
          <w:sz w:val="19"/>
          <w:szCs w:val="19"/>
          <w:lang w:eastAsia="en-GB"/>
        </w:rPr>
      </w:pPr>
      <w:r w:rsidRPr="0071572E">
        <w:rPr>
          <w:rFonts w:ascii="LinLibertine" w:eastAsia="Times New Roman" w:hAnsi="LinLibertine" w:cs="Times New Roman"/>
          <w:color w:val="000000"/>
          <w:sz w:val="19"/>
          <w:szCs w:val="19"/>
          <w:lang w:eastAsia="en-GB"/>
        </w:rPr>
        <w:t>(Canadian Institute on Governance, </w:t>
      </w:r>
      <w:hyperlink r:id="rId19" w:history="1">
        <w:r w:rsidRPr="0071572E">
          <w:rPr>
            <w:rFonts w:ascii="LinLibertine" w:eastAsia="Times New Roman" w:hAnsi="LinLibertine" w:cs="Times New Roman"/>
            <w:color w:val="0000FF"/>
            <w:sz w:val="19"/>
            <w:szCs w:val="19"/>
            <w:u w:val="single"/>
            <w:lang w:eastAsia="en-GB"/>
          </w:rPr>
          <w:t>www.iog.ca</w:t>
        </w:r>
      </w:hyperlink>
      <w:r w:rsidRPr="0071572E">
        <w:rPr>
          <w:rFonts w:ascii="LinLibertine" w:eastAsia="Times New Roman" w:hAnsi="LinLibertine" w:cs="Times New Roman"/>
          <w:color w:val="000000"/>
          <w:sz w:val="19"/>
          <w:szCs w:val="19"/>
          <w:lang w:eastAsia="en-GB"/>
        </w:rPr>
        <w:t>)</w:t>
      </w:r>
    </w:p>
    <w:p w14:paraId="7FB5B706" w14:textId="77777777" w:rsidR="0071572E" w:rsidRPr="0071572E" w:rsidRDefault="0071572E" w:rsidP="0071572E">
      <w:pPr>
        <w:spacing w:after="0"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Public governance is how an organization works with its partners, stakeholders and networks to influence the outcomes of public policies.</w:t>
      </w:r>
    </w:p>
    <w:p w14:paraId="793B6054" w14:textId="77777777" w:rsidR="0071572E" w:rsidRPr="0071572E" w:rsidRDefault="0071572E" w:rsidP="0071572E">
      <w:pPr>
        <w:spacing w:before="120" w:line="281" w:lineRule="atLeast"/>
        <w:jc w:val="right"/>
        <w:rPr>
          <w:rFonts w:ascii="LinLibertine" w:eastAsia="Times New Roman" w:hAnsi="LinLibertine" w:cs="Times New Roman"/>
          <w:color w:val="000000"/>
          <w:sz w:val="19"/>
          <w:szCs w:val="19"/>
          <w:lang w:eastAsia="en-GB"/>
        </w:rPr>
      </w:pPr>
      <w:r w:rsidRPr="0071572E">
        <w:rPr>
          <w:rFonts w:ascii="LinLibertine" w:eastAsia="Times New Roman" w:hAnsi="LinLibertine" w:cs="Times New Roman"/>
          <w:color w:val="000000"/>
          <w:sz w:val="19"/>
          <w:szCs w:val="19"/>
          <w:lang w:eastAsia="en-GB"/>
        </w:rPr>
        <w:t>(Governance International, UK, </w:t>
      </w:r>
      <w:hyperlink r:id="rId20" w:history="1">
        <w:r w:rsidRPr="0071572E">
          <w:rPr>
            <w:rFonts w:ascii="LinLibertine" w:eastAsia="Times New Roman" w:hAnsi="LinLibertine" w:cs="Times New Roman"/>
            <w:color w:val="0000FF"/>
            <w:sz w:val="19"/>
            <w:szCs w:val="19"/>
            <w:u w:val="single"/>
            <w:lang w:eastAsia="en-GB"/>
          </w:rPr>
          <w:t>www.govint.org</w:t>
        </w:r>
      </w:hyperlink>
      <w:r w:rsidRPr="0071572E">
        <w:rPr>
          <w:rFonts w:ascii="LinLibertine" w:eastAsia="Times New Roman" w:hAnsi="LinLibertine" w:cs="Times New Roman"/>
          <w:color w:val="000000"/>
          <w:sz w:val="19"/>
          <w:szCs w:val="19"/>
          <w:lang w:eastAsia="en-GB"/>
        </w:rPr>
        <w:t>)</w:t>
      </w:r>
    </w:p>
    <w:p w14:paraId="75EB8028" w14:textId="77777777" w:rsidR="0071572E" w:rsidRPr="0071572E" w:rsidRDefault="0071572E" w:rsidP="0071572E">
      <w:pPr>
        <w:spacing w:after="0"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The pattern or structure that emerges in a socio-political system as a ‘common’ result or outcome of the interacting intervention efforts of all involved actors. This pattern cannot be reduced to [the outcome produced by] one actor or groups of actors in particular.</w:t>
      </w:r>
    </w:p>
    <w:p w14:paraId="66A0724B" w14:textId="77777777" w:rsidR="0071572E" w:rsidRPr="0071572E" w:rsidRDefault="0071572E" w:rsidP="0071572E">
      <w:pPr>
        <w:spacing w:before="120" w:line="281" w:lineRule="atLeast"/>
        <w:jc w:val="right"/>
        <w:rPr>
          <w:rFonts w:ascii="LinLibertine" w:eastAsia="Times New Roman" w:hAnsi="LinLibertine" w:cs="Times New Roman"/>
          <w:color w:val="000000"/>
          <w:sz w:val="19"/>
          <w:szCs w:val="19"/>
          <w:lang w:eastAsia="en-GB"/>
        </w:rPr>
      </w:pPr>
      <w:r w:rsidRPr="0071572E">
        <w:rPr>
          <w:rFonts w:ascii="LinLibertine" w:eastAsia="Times New Roman" w:hAnsi="LinLibertine" w:cs="Times New Roman"/>
          <w:color w:val="000000"/>
          <w:sz w:val="19"/>
          <w:szCs w:val="19"/>
          <w:lang w:eastAsia="en-GB"/>
        </w:rPr>
        <w:t>(</w:t>
      </w:r>
      <w:proofErr w:type="spellStart"/>
      <w:r w:rsidRPr="0071572E">
        <w:rPr>
          <w:rFonts w:ascii="LinLibertine" w:eastAsia="Times New Roman" w:hAnsi="LinLibertine" w:cs="Times New Roman"/>
          <w:color w:val="000000"/>
          <w:sz w:val="19"/>
          <w:szCs w:val="19"/>
          <w:lang w:eastAsia="en-GB"/>
        </w:rPr>
        <w:t>Kooiman</w:t>
      </w:r>
      <w:proofErr w:type="spellEnd"/>
      <w:r w:rsidRPr="0071572E">
        <w:rPr>
          <w:rFonts w:ascii="LinLibertine" w:eastAsia="Times New Roman" w:hAnsi="LinLibertine" w:cs="Times New Roman"/>
          <w:color w:val="000000"/>
          <w:sz w:val="19"/>
          <w:szCs w:val="19"/>
          <w:lang w:eastAsia="en-GB"/>
        </w:rPr>
        <w:t>, 1993: 258)</w:t>
      </w:r>
    </w:p>
    <w:p w14:paraId="344D9983"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In contrast to this enthusiasm for governance amongst international organizations, and national aid donors dealing with developing countries, the concept of good governance is given much less priority by most old European member countries (except perhaps in formal speeches at political gatherings). This can be seen, for example, in the fact that </w:t>
      </w:r>
      <w:r w:rsidRPr="0071572E">
        <w:rPr>
          <w:rFonts w:ascii="LinLibertine" w:eastAsia="Times New Roman" w:hAnsi="LinLibertine" w:cs="Times New Roman"/>
          <w:color w:val="000000"/>
          <w:sz w:val="24"/>
          <w:szCs w:val="24"/>
          <w:lang w:eastAsia="en-GB"/>
        </w:rPr>
        <w:lastRenderedPageBreak/>
        <w:t>there are very few staff in public organizations with the job title ‘governance officer’ – and, where such a post exists (as in some UK public sector organizations), it is often a relatively junior post limited to undertaking ‘tick-box exercises’ for reassuring regulators and auditors. It appears that governments find it more congenial to recommend good governance to others than to deal with uncomfortable governance issues themselves. In particular, in times of austerity there is an even greater reluctance to invest in ‘fuzzy’ governance initiatives. Nevertheless, governance crises, such as corruption scandals or government pay discrimination on grounds of gender, ethnicity, etc., put public governance issues firmly on the political agenda from time to time. For example, the UK government gave a high profile to the Nolan Public Standards Committee after issues of ‘sleaze’ in public life achieved high media attention (see </w:t>
      </w:r>
      <w:hyperlink r:id="rId21" w:history="1">
        <w:r w:rsidRPr="0071572E">
          <w:rPr>
            <w:rFonts w:ascii="LinLibertine" w:eastAsia="Times New Roman" w:hAnsi="LinLibertine" w:cs="Times New Roman"/>
            <w:color w:val="0000FF"/>
            <w:sz w:val="24"/>
            <w:szCs w:val="24"/>
            <w:u w:val="single"/>
            <w:lang w:eastAsia="en-GB"/>
          </w:rPr>
          <w:t>chapter 26</w:t>
        </w:r>
      </w:hyperlink>
      <w:r w:rsidRPr="0071572E">
        <w:rPr>
          <w:rFonts w:ascii="LinLibertine" w:eastAsia="Times New Roman" w:hAnsi="LinLibertine" w:cs="Times New Roman"/>
          <w:color w:val="000000"/>
          <w:sz w:val="24"/>
          <w:szCs w:val="24"/>
          <w:lang w:eastAsia="en-GB"/>
        </w:rPr>
        <w:t>). We can also observe the emergence of a wide range of new think tanks and consultancy organizations aimed at fostering governance in the public domain.</w:t>
      </w:r>
    </w:p>
    <w:p w14:paraId="20071082" w14:textId="77777777" w:rsidR="0071572E" w:rsidRPr="0071572E" w:rsidRDefault="00B466F0" w:rsidP="0071572E">
      <w:pPr>
        <w:spacing w:after="240" w:line="240" w:lineRule="auto"/>
        <w:rPr>
          <w:rFonts w:ascii="LinLibertine" w:eastAsia="Times New Roman" w:hAnsi="LinLibertine" w:cs="Times New Roman"/>
          <w:b/>
          <w:bCs/>
          <w:color w:val="000000"/>
          <w:sz w:val="31"/>
          <w:szCs w:val="31"/>
          <w:lang w:eastAsia="en-GB"/>
        </w:rPr>
      </w:pPr>
      <w:hyperlink r:id="rId22" w:anchor="bck_ce15_1" w:history="1">
        <w:r w:rsidR="0071572E" w:rsidRPr="0071572E">
          <w:rPr>
            <w:rFonts w:ascii="LinLibertine" w:eastAsia="Times New Roman" w:hAnsi="LinLibertine" w:cs="Times New Roman"/>
            <w:b/>
            <w:bCs/>
            <w:color w:val="0000FF"/>
            <w:sz w:val="31"/>
            <w:szCs w:val="31"/>
            <w:u w:val="single"/>
            <w:lang w:eastAsia="en-GB"/>
          </w:rPr>
          <w:t>Case example 15.1</w:t>
        </w:r>
      </w:hyperlink>
      <w:r w:rsidR="0071572E" w:rsidRPr="0071572E">
        <w:rPr>
          <w:rFonts w:ascii="LinLibertine" w:eastAsia="Times New Roman" w:hAnsi="LinLibertine" w:cs="Times New Roman"/>
          <w:b/>
          <w:bCs/>
          <w:color w:val="000000"/>
          <w:sz w:val="31"/>
          <w:szCs w:val="31"/>
          <w:lang w:eastAsia="en-GB"/>
        </w:rPr>
        <w:t xml:space="preserve"> Improving local democracy through </w:t>
      </w:r>
      <w:proofErr w:type="spellStart"/>
      <w:r w:rsidR="0071572E" w:rsidRPr="0071572E">
        <w:rPr>
          <w:rFonts w:ascii="LinLibertine" w:eastAsia="Times New Roman" w:hAnsi="LinLibertine" w:cs="Times New Roman"/>
          <w:b/>
          <w:bCs/>
          <w:color w:val="000000"/>
          <w:sz w:val="31"/>
          <w:szCs w:val="31"/>
          <w:lang w:eastAsia="en-GB"/>
        </w:rPr>
        <w:t>ELoGE</w:t>
      </w:r>
      <w:proofErr w:type="spellEnd"/>
      <w:r w:rsidR="0071572E" w:rsidRPr="0071572E">
        <w:rPr>
          <w:rFonts w:ascii="LinLibertine" w:eastAsia="Times New Roman" w:hAnsi="LinLibertine" w:cs="Times New Roman"/>
          <w:b/>
          <w:bCs/>
          <w:color w:val="000000"/>
          <w:sz w:val="31"/>
          <w:szCs w:val="31"/>
          <w:lang w:eastAsia="en-GB"/>
        </w:rPr>
        <w:t>: Time’s good governance journey in Norway</w:t>
      </w:r>
    </w:p>
    <w:p w14:paraId="4A10FD81"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For the municipality Time (18,000 inhabitants) in the scenic Stavanger Region on the south-west coast of Norway, a local voter turnout of 67 per cent was not seen as good enough. The local council therefore decided to pilot the </w:t>
      </w:r>
      <w:r w:rsidRPr="0071572E">
        <w:rPr>
          <w:rFonts w:ascii="LinLibertine" w:eastAsia="Times New Roman" w:hAnsi="LinLibertine" w:cs="Times New Roman"/>
          <w:i/>
          <w:iCs/>
          <w:color w:val="000000"/>
          <w:sz w:val="24"/>
          <w:szCs w:val="24"/>
          <w:lang w:eastAsia="en-GB"/>
        </w:rPr>
        <w:t xml:space="preserve">European Label of Governance </w:t>
      </w:r>
      <w:proofErr w:type="gramStart"/>
      <w:r w:rsidRPr="0071572E">
        <w:rPr>
          <w:rFonts w:ascii="LinLibertine" w:eastAsia="Times New Roman" w:hAnsi="LinLibertine" w:cs="Times New Roman"/>
          <w:i/>
          <w:iCs/>
          <w:color w:val="000000"/>
          <w:sz w:val="24"/>
          <w:szCs w:val="24"/>
          <w:lang w:eastAsia="en-GB"/>
        </w:rPr>
        <w:t>Excellence</w:t>
      </w:r>
      <w:r w:rsidRPr="0071572E">
        <w:rPr>
          <w:rFonts w:ascii="LinLibertine" w:eastAsia="Times New Roman" w:hAnsi="LinLibertine" w:cs="Times New Roman"/>
          <w:color w:val="000000"/>
          <w:sz w:val="24"/>
          <w:szCs w:val="24"/>
          <w:lang w:eastAsia="en-GB"/>
        </w:rPr>
        <w:t>(</w:t>
      </w:r>
      <w:proofErr w:type="spellStart"/>
      <w:proofErr w:type="gramEnd"/>
      <w:r w:rsidRPr="0071572E">
        <w:rPr>
          <w:rFonts w:ascii="LinLibertine" w:eastAsia="Times New Roman" w:hAnsi="LinLibertine" w:cs="Times New Roman"/>
          <w:color w:val="000000"/>
          <w:sz w:val="24"/>
          <w:szCs w:val="24"/>
          <w:lang w:eastAsia="en-GB"/>
        </w:rPr>
        <w:t>ELoGE</w:t>
      </w:r>
      <w:proofErr w:type="spellEnd"/>
      <w:r w:rsidRPr="0071572E">
        <w:rPr>
          <w:rFonts w:ascii="LinLibertine" w:eastAsia="Times New Roman" w:hAnsi="LinLibertine" w:cs="Times New Roman"/>
          <w:color w:val="000000"/>
          <w:sz w:val="24"/>
          <w:szCs w:val="24"/>
          <w:lang w:eastAsia="en-GB"/>
        </w:rPr>
        <w:t>) in 2012 to get a full picture of the state of local democracy in the municipality.</w:t>
      </w:r>
    </w:p>
    <w:p w14:paraId="08DA1323"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proofErr w:type="spellStart"/>
      <w:r w:rsidRPr="0071572E">
        <w:rPr>
          <w:rFonts w:ascii="LinLibertine" w:eastAsia="Times New Roman" w:hAnsi="LinLibertine" w:cs="Times New Roman"/>
          <w:color w:val="000000"/>
          <w:sz w:val="24"/>
          <w:szCs w:val="24"/>
          <w:lang w:eastAsia="en-GB"/>
        </w:rPr>
        <w:t>EloGE</w:t>
      </w:r>
      <w:proofErr w:type="spellEnd"/>
      <w:r w:rsidRPr="0071572E">
        <w:rPr>
          <w:rFonts w:ascii="LinLibertine" w:eastAsia="Times New Roman" w:hAnsi="LinLibertine" w:cs="Times New Roman"/>
          <w:color w:val="000000"/>
          <w:sz w:val="24"/>
          <w:szCs w:val="24"/>
          <w:lang w:eastAsia="en-GB"/>
        </w:rPr>
        <w:t xml:space="preserve"> is a tool launched in 2008 by the Council of Europe in Strasbourg to promote its Strategy for Innovation and Good Governance by providing its 48 member states with an assessment framework for good governance in local government. It is based on a common vision, expressed in 12 Good Democratic Governance Principles at Local Level, agreed by the Committee of Ministers of the Council of Europe:</w:t>
      </w:r>
    </w:p>
    <w:p w14:paraId="311CCDF4"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fair conduct of elections, representation and participation</w:t>
      </w:r>
    </w:p>
    <w:p w14:paraId="3915D1DF"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responsiveness</w:t>
      </w:r>
    </w:p>
    <w:p w14:paraId="152135C0"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efficiency and effectiveness</w:t>
      </w:r>
    </w:p>
    <w:p w14:paraId="3617C325"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openness and transparency</w:t>
      </w:r>
    </w:p>
    <w:p w14:paraId="48A6255A"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rule of law</w:t>
      </w:r>
    </w:p>
    <w:p w14:paraId="28F3CF67"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ethical conduct</w:t>
      </w:r>
    </w:p>
    <w:p w14:paraId="2C6876DD"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competence and capacity</w:t>
      </w:r>
    </w:p>
    <w:p w14:paraId="3EA4CAF6"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innovation and openness to change</w:t>
      </w:r>
    </w:p>
    <w:p w14:paraId="530B0E91"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sustainability and long-term orientation</w:t>
      </w:r>
    </w:p>
    <w:p w14:paraId="6A3AAA4A"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sound financial management</w:t>
      </w:r>
    </w:p>
    <w:p w14:paraId="67A3BC03"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human rights, cultural diversity and social cohesion</w:t>
      </w:r>
    </w:p>
    <w:p w14:paraId="0F70A4D9" w14:textId="77777777" w:rsidR="0071572E" w:rsidRPr="0071572E" w:rsidRDefault="0071572E" w:rsidP="0071572E">
      <w:pPr>
        <w:numPr>
          <w:ilvl w:val="0"/>
          <w:numId w:val="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accountability.</w:t>
      </w:r>
    </w:p>
    <w:p w14:paraId="6F70BF91"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Based on these 12 principles, the Centre for Local Democracy of the Council of Europe developed three sets of questionnaires to assess the state of good governance from the perspective of three stakeholders: local government officers, citizens and local councillors. Local authorities wishing to obtain </w:t>
      </w:r>
      <w:proofErr w:type="spellStart"/>
      <w:r w:rsidRPr="0071572E">
        <w:rPr>
          <w:rFonts w:ascii="LinLibertine" w:eastAsia="Times New Roman" w:hAnsi="LinLibertine" w:cs="Times New Roman"/>
          <w:color w:val="000000"/>
          <w:sz w:val="24"/>
          <w:szCs w:val="24"/>
          <w:lang w:eastAsia="en-GB"/>
        </w:rPr>
        <w:t>EloGE</w:t>
      </w:r>
      <w:proofErr w:type="spellEnd"/>
      <w:r w:rsidRPr="0071572E">
        <w:rPr>
          <w:rFonts w:ascii="LinLibertine" w:eastAsia="Times New Roman" w:hAnsi="LinLibertine" w:cs="Times New Roman"/>
          <w:color w:val="000000"/>
          <w:sz w:val="24"/>
          <w:szCs w:val="24"/>
          <w:lang w:eastAsia="en-GB"/>
        </w:rPr>
        <w:t xml:space="preserve"> certification have a site visit by external evaluators to verify the results provided by a self-assessment done by the local authority. If the scoring of the external assessment meets a predefined minimum standard for each of the 12 good governance principles, the </w:t>
      </w:r>
      <w:proofErr w:type="spellStart"/>
      <w:r w:rsidRPr="0071572E">
        <w:rPr>
          <w:rFonts w:ascii="LinLibertine" w:eastAsia="Times New Roman" w:hAnsi="LinLibertine" w:cs="Times New Roman"/>
          <w:color w:val="000000"/>
          <w:sz w:val="24"/>
          <w:szCs w:val="24"/>
          <w:lang w:eastAsia="en-GB"/>
        </w:rPr>
        <w:t>EloGE</w:t>
      </w:r>
      <w:proofErr w:type="spellEnd"/>
      <w:r w:rsidRPr="0071572E">
        <w:rPr>
          <w:rFonts w:ascii="LinLibertine" w:eastAsia="Times New Roman" w:hAnsi="LinLibertine" w:cs="Times New Roman"/>
          <w:color w:val="000000"/>
          <w:sz w:val="24"/>
          <w:szCs w:val="24"/>
          <w:lang w:eastAsia="en-GB"/>
        </w:rPr>
        <w:t xml:space="preserve"> certificate is awarded.</w:t>
      </w:r>
    </w:p>
    <w:p w14:paraId="53721A5B"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For Time municipality the key objective of piloting </w:t>
      </w:r>
      <w:proofErr w:type="spellStart"/>
      <w:r w:rsidRPr="0071572E">
        <w:rPr>
          <w:rFonts w:ascii="LinLibertine" w:eastAsia="Times New Roman" w:hAnsi="LinLibertine" w:cs="Times New Roman"/>
          <w:color w:val="000000"/>
          <w:sz w:val="24"/>
          <w:szCs w:val="24"/>
          <w:lang w:eastAsia="en-GB"/>
        </w:rPr>
        <w:t>EloGE</w:t>
      </w:r>
      <w:proofErr w:type="spellEnd"/>
      <w:r w:rsidRPr="0071572E">
        <w:rPr>
          <w:rFonts w:ascii="LinLibertine" w:eastAsia="Times New Roman" w:hAnsi="LinLibertine" w:cs="Times New Roman"/>
          <w:color w:val="000000"/>
          <w:sz w:val="24"/>
          <w:szCs w:val="24"/>
          <w:lang w:eastAsia="en-GB"/>
        </w:rPr>
        <w:t xml:space="preserve"> was to gain new insights from working with this comprehensive tool. At the same time, gaining the external certification </w:t>
      </w:r>
      <w:r w:rsidRPr="0071572E">
        <w:rPr>
          <w:rFonts w:ascii="LinLibertine" w:eastAsia="Times New Roman" w:hAnsi="LinLibertine" w:cs="Times New Roman"/>
          <w:color w:val="000000"/>
          <w:sz w:val="24"/>
          <w:szCs w:val="24"/>
          <w:lang w:eastAsia="en-GB"/>
        </w:rPr>
        <w:lastRenderedPageBreak/>
        <w:t>was seen as important in motivating everybody involved to invest time, resources and commitment in delivering the resulting governance improvement plans.</w:t>
      </w:r>
    </w:p>
    <w:p w14:paraId="5B69F87D" w14:textId="77777777" w:rsidR="0071572E" w:rsidRPr="0071572E" w:rsidRDefault="0071572E" w:rsidP="0071572E">
      <w:pPr>
        <w:spacing w:before="24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Source: Adapted from </w:t>
      </w:r>
      <w:proofErr w:type="spellStart"/>
      <w:r w:rsidRPr="0071572E">
        <w:rPr>
          <w:rFonts w:ascii="LinLibertine" w:eastAsia="Times New Roman" w:hAnsi="LinLibertine" w:cs="Times New Roman"/>
          <w:color w:val="000000"/>
          <w:sz w:val="24"/>
          <w:szCs w:val="24"/>
          <w:lang w:eastAsia="en-GB"/>
        </w:rPr>
        <w:t>Wetås</w:t>
      </w:r>
      <w:proofErr w:type="spellEnd"/>
      <w:r w:rsidRPr="0071572E">
        <w:rPr>
          <w:rFonts w:ascii="LinLibertine" w:eastAsia="Times New Roman" w:hAnsi="LinLibertine" w:cs="Times New Roman"/>
          <w:color w:val="000000"/>
          <w:sz w:val="24"/>
          <w:szCs w:val="24"/>
          <w:lang w:eastAsia="en-GB"/>
        </w:rPr>
        <w:t xml:space="preserve"> de </w:t>
      </w:r>
      <w:proofErr w:type="spellStart"/>
      <w:r w:rsidRPr="0071572E">
        <w:rPr>
          <w:rFonts w:ascii="LinLibertine" w:eastAsia="Times New Roman" w:hAnsi="LinLibertine" w:cs="Times New Roman"/>
          <w:color w:val="000000"/>
          <w:sz w:val="24"/>
          <w:szCs w:val="24"/>
          <w:lang w:eastAsia="en-GB"/>
        </w:rPr>
        <w:t>Jara</w:t>
      </w:r>
      <w:proofErr w:type="spellEnd"/>
      <w:r w:rsidRPr="0071572E">
        <w:rPr>
          <w:rFonts w:ascii="LinLibertine" w:eastAsia="Times New Roman" w:hAnsi="LinLibertine" w:cs="Times New Roman"/>
          <w:color w:val="000000"/>
          <w:sz w:val="24"/>
          <w:szCs w:val="24"/>
          <w:lang w:eastAsia="en-GB"/>
        </w:rPr>
        <w:t xml:space="preserve"> and Loeffler (2014)</w:t>
      </w:r>
    </w:p>
    <w:p w14:paraId="0B6EAEAD"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Many governmental and non-governmental organizations have also focused on the attributes that they believe constitute ‘good governance’ (see </w:t>
      </w:r>
      <w:hyperlink r:id="rId23" w:anchor="box15_2" w:history="1">
        <w:r w:rsidRPr="0071572E">
          <w:rPr>
            <w:rFonts w:ascii="LinLibertine" w:eastAsia="Times New Roman" w:hAnsi="LinLibertine" w:cs="Times New Roman"/>
            <w:color w:val="0000FF"/>
            <w:sz w:val="24"/>
            <w:szCs w:val="24"/>
            <w:u w:val="single"/>
            <w:lang w:eastAsia="en-GB"/>
          </w:rPr>
          <w:t>Box 15.2</w:t>
        </w:r>
      </w:hyperlink>
      <w:r w:rsidRPr="0071572E">
        <w:rPr>
          <w:rFonts w:ascii="LinLibertine" w:eastAsia="Times New Roman" w:hAnsi="LinLibertine" w:cs="Times New Roman"/>
          <w:color w:val="000000"/>
          <w:sz w:val="24"/>
          <w:szCs w:val="24"/>
          <w:lang w:eastAsia="en-GB"/>
        </w:rPr>
        <w:t>).</w:t>
      </w:r>
    </w:p>
    <w:p w14:paraId="302FDF77"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It might be thought that the multiplicity of views on what constitutes governance in a positive and normative sense make it a less than useful concept. However, almost all definitions contain some common elements which show that governance (Bovaird and Loeffler, 2002):</w:t>
      </w:r>
    </w:p>
    <w:p w14:paraId="379CB00C" w14:textId="77777777" w:rsidR="0071572E" w:rsidRPr="0071572E" w:rsidRDefault="0071572E" w:rsidP="0071572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assumes a multiple stakeholder scenario, where collective problems can no longer be solved only by public authorities but require the cooperation of other players (citizens, business, voluntary sector, media, etc.) – and in which practices such as mediation, arbitration and self-regulation may often be even more effective than public action;</w:t>
      </w:r>
    </w:p>
    <w:p w14:paraId="111A91B5" w14:textId="77777777" w:rsidR="0071572E" w:rsidRPr="0071572E" w:rsidRDefault="0071572E" w:rsidP="0071572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recognizes the importance of both formal rules (constitutions, laws, regulations) and informal rules (codes of ethics, customs, traditions), but assumes that negotiation between stakeholders seeking to use their power can alter the importance of these rules in specific situations.</w:t>
      </w:r>
    </w:p>
    <w:p w14:paraId="43547BF5" w14:textId="77777777" w:rsidR="0071572E" w:rsidRPr="0071572E" w:rsidRDefault="0071572E" w:rsidP="0071572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no longer focuses only on market structures as steering mechanisms, as in conventional ‘New Public Management’ approaches, but also considers hierarchies (such as bureaucracies) and cooperative networks as potential facilitating structures in appropriate circumstances;</w:t>
      </w:r>
    </w:p>
    <w:p w14:paraId="1B24507B" w14:textId="77777777" w:rsidR="0071572E" w:rsidRPr="0071572E" w:rsidRDefault="0071572E" w:rsidP="0071572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employs reasoning not only in terms of the logic of ends and means, inputs and outputs, but recognizes that some characteristics of key social interaction processes (transparency, integrity, inclusion, etc.) are valuable in themselves;</w:t>
      </w:r>
    </w:p>
    <w:p w14:paraId="5B30366E" w14:textId="77777777" w:rsidR="0071572E" w:rsidRPr="0071572E" w:rsidRDefault="0071572E" w:rsidP="0071572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is inherently political, concerned as it is with the interplay of stakeholders seeking to exercise power over each other in order to further their own interests – and therefore cannot be left just to managerialist or professional decision-making elites.</w:t>
      </w:r>
    </w:p>
    <w:p w14:paraId="63A4F931"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big challenge in practice is how to bring about ‘good governance’. The definitions above make it clear that it cannot be achieved by good government alone. For example, in order to reduce crime it is important that the police service has sufficient resources, that it is efficiently managed and that it behaves in a fair and honest way and avoids racial and gender discrimination. If these prerequisites are not in place, crime levels can get out of hand in particular areas and inappropriate police responses may result in riots, an increase in lawlessness and unwillingness to give the police information. However, the long-term solution to the problem of crime may not be within the power of the police or achievable even by means of better designed interventions on the part of government or other public sector organizations. At the root of the problem may be insufficient integration of immigrants, insufficient work and stimulating leisure opportunities for young people or simply a high rate of unemployment in a particular area. In this case, good governance requires the cooperation of all relevant stakeholders in tackling the underlying problem. This is likely to include actions by various public organizations such as schools, health providers and local authorities – but also by community groups, etc. As </w:t>
      </w:r>
      <w:hyperlink r:id="rId24" w:anchor="ce15_2" w:history="1">
        <w:r w:rsidRPr="0071572E">
          <w:rPr>
            <w:rFonts w:ascii="LinLibertine" w:eastAsia="Times New Roman" w:hAnsi="LinLibertine" w:cs="Times New Roman"/>
            <w:color w:val="0000FF"/>
            <w:sz w:val="24"/>
            <w:szCs w:val="24"/>
            <w:u w:val="single"/>
            <w:lang w:eastAsia="en-GB"/>
          </w:rPr>
          <w:t>Case example 15.2</w:t>
        </w:r>
      </w:hyperlink>
      <w:r w:rsidRPr="0071572E">
        <w:rPr>
          <w:rFonts w:ascii="LinLibertine" w:eastAsia="Times New Roman" w:hAnsi="LinLibertine" w:cs="Times New Roman"/>
          <w:color w:val="000000"/>
          <w:sz w:val="24"/>
          <w:szCs w:val="24"/>
          <w:lang w:eastAsia="en-GB"/>
        </w:rPr>
        <w:t> shows, the police may even involve business in order to become more effective in tackling crime.</w:t>
      </w:r>
    </w:p>
    <w:p w14:paraId="4AF8C7D5" w14:textId="77777777" w:rsidR="0071572E" w:rsidRPr="0071572E" w:rsidRDefault="00B466F0" w:rsidP="0071572E">
      <w:pPr>
        <w:spacing w:after="240" w:line="240" w:lineRule="auto"/>
        <w:rPr>
          <w:rFonts w:ascii="LinLibertine" w:eastAsia="Times New Roman" w:hAnsi="LinLibertine" w:cs="Times New Roman"/>
          <w:b/>
          <w:bCs/>
          <w:color w:val="000000"/>
          <w:sz w:val="31"/>
          <w:szCs w:val="31"/>
          <w:lang w:eastAsia="en-GB"/>
        </w:rPr>
      </w:pPr>
      <w:hyperlink r:id="rId25" w:anchor="bck_box15_2" w:history="1">
        <w:r w:rsidR="0071572E" w:rsidRPr="0071572E">
          <w:rPr>
            <w:rFonts w:ascii="LinLibertine" w:eastAsia="Times New Roman" w:hAnsi="LinLibertine" w:cs="Times New Roman"/>
            <w:b/>
            <w:bCs/>
            <w:color w:val="0000FF"/>
            <w:sz w:val="31"/>
            <w:szCs w:val="31"/>
            <w:u w:val="single"/>
            <w:lang w:eastAsia="en-GB"/>
          </w:rPr>
          <w:t>Box 15.2</w:t>
        </w:r>
      </w:hyperlink>
      <w:r w:rsidR="0071572E" w:rsidRPr="0071572E">
        <w:rPr>
          <w:rFonts w:ascii="LinLibertine" w:eastAsia="Times New Roman" w:hAnsi="LinLibertine" w:cs="Times New Roman"/>
          <w:b/>
          <w:bCs/>
          <w:color w:val="000000"/>
          <w:sz w:val="31"/>
          <w:szCs w:val="31"/>
          <w:lang w:eastAsia="en-GB"/>
        </w:rPr>
        <w:t> Definitions of ‘good governance’</w:t>
      </w:r>
    </w:p>
    <w:p w14:paraId="451719F5" w14:textId="77777777" w:rsidR="0071572E" w:rsidRPr="0071572E" w:rsidRDefault="0071572E" w:rsidP="0071572E">
      <w:pPr>
        <w:spacing w:after="0"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lastRenderedPageBreak/>
        <w:t>Good governance has eight major characteristics. It is participatory, consensus oriented, accountable, transparent, responsive, effective and efficient, equitable and inclusive and follows the rule of law. It assures that corruption is minimized, the views of minorities are taken into account and that the voices of the most vulnerable in society are heard in decision-making. It is also responsive to the present and future needs of society.</w:t>
      </w:r>
    </w:p>
    <w:p w14:paraId="224BB535" w14:textId="77777777" w:rsidR="0071572E" w:rsidRPr="0071572E" w:rsidRDefault="0071572E" w:rsidP="0071572E">
      <w:pPr>
        <w:spacing w:before="120" w:line="281" w:lineRule="atLeast"/>
        <w:jc w:val="right"/>
        <w:rPr>
          <w:rFonts w:ascii="LinLibertine" w:eastAsia="Times New Roman" w:hAnsi="LinLibertine" w:cs="Times New Roman"/>
          <w:color w:val="000000"/>
          <w:sz w:val="19"/>
          <w:szCs w:val="19"/>
          <w:lang w:eastAsia="en-GB"/>
        </w:rPr>
      </w:pPr>
      <w:r w:rsidRPr="0071572E">
        <w:rPr>
          <w:rFonts w:ascii="LinLibertine" w:eastAsia="Times New Roman" w:hAnsi="LinLibertine" w:cs="Times New Roman"/>
          <w:color w:val="000000"/>
          <w:sz w:val="19"/>
          <w:szCs w:val="19"/>
          <w:lang w:eastAsia="en-GB"/>
        </w:rPr>
        <w:t>(United Nations Economic and Social Commission for Asia and the Pacific, </w:t>
      </w:r>
      <w:hyperlink r:id="rId26" w:history="1">
        <w:r w:rsidRPr="0071572E">
          <w:rPr>
            <w:rFonts w:ascii="LinLibertine" w:eastAsia="Times New Roman" w:hAnsi="LinLibertine" w:cs="Times New Roman"/>
            <w:color w:val="0000FF"/>
            <w:sz w:val="19"/>
            <w:szCs w:val="19"/>
            <w:u w:val="single"/>
            <w:lang w:eastAsia="en-GB"/>
          </w:rPr>
          <w:t>www.unescap.org/pdd/prs/ProjectActivities/Ongoing/gg/governance.asp</w:t>
        </w:r>
      </w:hyperlink>
      <w:r w:rsidRPr="0071572E">
        <w:rPr>
          <w:rFonts w:ascii="LinLibertine" w:eastAsia="Times New Roman" w:hAnsi="LinLibertine" w:cs="Times New Roman"/>
          <w:color w:val="000000"/>
          <w:sz w:val="19"/>
          <w:szCs w:val="19"/>
          <w:lang w:eastAsia="en-GB"/>
        </w:rPr>
        <w:t>)</w:t>
      </w:r>
    </w:p>
    <w:p w14:paraId="4D7366A1" w14:textId="77777777" w:rsidR="0071572E" w:rsidRPr="0071572E" w:rsidRDefault="0071572E" w:rsidP="0071572E">
      <w:pPr>
        <w:spacing w:after="0"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Five principles underpin good governance and the changes proposed in this White Paper: </w:t>
      </w:r>
      <w:r w:rsidRPr="0071572E">
        <w:rPr>
          <w:rFonts w:ascii="LinLibertine" w:eastAsia="Times New Roman" w:hAnsi="LinLibertine" w:cs="Times New Roman"/>
          <w:i/>
          <w:iCs/>
          <w:color w:val="000000"/>
          <w:lang w:eastAsia="en-GB"/>
        </w:rPr>
        <w:t>openness, participation, accountability, effectiveness and coherence</w:t>
      </w:r>
      <w:r w:rsidRPr="0071572E">
        <w:rPr>
          <w:rFonts w:ascii="LinLibertine" w:eastAsia="Times New Roman" w:hAnsi="LinLibertine" w:cs="Times New Roman"/>
          <w:color w:val="000000"/>
          <w:lang w:eastAsia="en-GB"/>
        </w:rPr>
        <w:t>.</w:t>
      </w:r>
    </w:p>
    <w:p w14:paraId="5F35070D" w14:textId="77777777" w:rsidR="0071572E" w:rsidRPr="0071572E" w:rsidRDefault="0071572E" w:rsidP="0071572E">
      <w:pPr>
        <w:spacing w:before="120" w:line="281" w:lineRule="atLeast"/>
        <w:jc w:val="right"/>
        <w:rPr>
          <w:rFonts w:ascii="LinLibertine" w:eastAsia="Times New Roman" w:hAnsi="LinLibertine" w:cs="Times New Roman"/>
          <w:color w:val="000000"/>
          <w:sz w:val="19"/>
          <w:szCs w:val="19"/>
          <w:lang w:eastAsia="en-GB"/>
        </w:rPr>
      </w:pPr>
      <w:r w:rsidRPr="0071572E">
        <w:rPr>
          <w:rFonts w:ascii="LinLibertine" w:eastAsia="Times New Roman" w:hAnsi="LinLibertine" w:cs="Times New Roman"/>
          <w:color w:val="000000"/>
          <w:sz w:val="19"/>
          <w:szCs w:val="19"/>
          <w:lang w:eastAsia="en-GB"/>
        </w:rPr>
        <w:t>(White Paper on European Governance, </w:t>
      </w:r>
      <w:hyperlink r:id="rId27" w:history="1">
        <w:r w:rsidRPr="0071572E">
          <w:rPr>
            <w:rFonts w:ascii="LinLibertine" w:eastAsia="Times New Roman" w:hAnsi="LinLibertine" w:cs="Times New Roman"/>
            <w:color w:val="0000FF"/>
            <w:sz w:val="19"/>
            <w:szCs w:val="19"/>
            <w:u w:val="single"/>
            <w:lang w:eastAsia="en-GB"/>
          </w:rPr>
          <w:t>http://europa.eu/rapid/press-release_DOC-01-10_en.htm</w:t>
        </w:r>
      </w:hyperlink>
      <w:r w:rsidRPr="0071572E">
        <w:rPr>
          <w:rFonts w:ascii="LinLibertine" w:eastAsia="Times New Roman" w:hAnsi="LinLibertine" w:cs="Times New Roman"/>
          <w:color w:val="000000"/>
          <w:sz w:val="19"/>
          <w:szCs w:val="19"/>
          <w:lang w:eastAsia="en-GB"/>
        </w:rPr>
        <w:t>)</w:t>
      </w:r>
    </w:p>
    <w:p w14:paraId="105C7264" w14:textId="77777777" w:rsidR="0071572E" w:rsidRPr="0071572E" w:rsidRDefault="0071572E" w:rsidP="0071572E">
      <w:pPr>
        <w:spacing w:after="0"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Good governance has to be defined as context-specific. Given that it is impossible fully to implement all desirable governance principles at the same time, stakeholders need to agree on strategic governance priorities.</w:t>
      </w:r>
    </w:p>
    <w:p w14:paraId="459D12B0" w14:textId="77777777" w:rsidR="0071572E" w:rsidRPr="0071572E" w:rsidRDefault="0071572E" w:rsidP="0071572E">
      <w:pPr>
        <w:spacing w:before="120" w:line="281" w:lineRule="atLeast"/>
        <w:jc w:val="right"/>
        <w:rPr>
          <w:rFonts w:ascii="LinLibertine" w:eastAsia="Times New Roman" w:hAnsi="LinLibertine" w:cs="Times New Roman"/>
          <w:color w:val="000000"/>
          <w:sz w:val="19"/>
          <w:szCs w:val="19"/>
          <w:lang w:eastAsia="en-GB"/>
        </w:rPr>
      </w:pPr>
      <w:r w:rsidRPr="0071572E">
        <w:rPr>
          <w:rFonts w:ascii="LinLibertine" w:eastAsia="Times New Roman" w:hAnsi="LinLibertine" w:cs="Times New Roman"/>
          <w:color w:val="000000"/>
          <w:sz w:val="19"/>
          <w:szCs w:val="19"/>
          <w:lang w:eastAsia="en-GB"/>
        </w:rPr>
        <w:t>(Governance International, UK, </w:t>
      </w:r>
      <w:hyperlink r:id="rId28" w:history="1">
        <w:r w:rsidRPr="0071572E">
          <w:rPr>
            <w:rFonts w:ascii="LinLibertine" w:eastAsia="Times New Roman" w:hAnsi="LinLibertine" w:cs="Times New Roman"/>
            <w:color w:val="0000FF"/>
            <w:sz w:val="19"/>
            <w:szCs w:val="19"/>
            <w:u w:val="single"/>
            <w:lang w:eastAsia="en-GB"/>
          </w:rPr>
          <w:t>www.govint.org</w:t>
        </w:r>
      </w:hyperlink>
      <w:r w:rsidRPr="0071572E">
        <w:rPr>
          <w:rFonts w:ascii="LinLibertine" w:eastAsia="Times New Roman" w:hAnsi="LinLibertine" w:cs="Times New Roman"/>
          <w:color w:val="000000"/>
          <w:sz w:val="19"/>
          <w:szCs w:val="19"/>
          <w:lang w:eastAsia="en-GB"/>
        </w:rPr>
        <w:t>)</w:t>
      </w:r>
    </w:p>
    <w:p w14:paraId="35E2B1CB" w14:textId="77777777" w:rsidR="0071572E" w:rsidRPr="0071572E" w:rsidRDefault="00B466F0" w:rsidP="0071572E">
      <w:pPr>
        <w:spacing w:after="240" w:line="240" w:lineRule="auto"/>
        <w:rPr>
          <w:rFonts w:ascii="LinLibertine" w:eastAsia="Times New Roman" w:hAnsi="LinLibertine" w:cs="Times New Roman"/>
          <w:b/>
          <w:bCs/>
          <w:color w:val="000000"/>
          <w:sz w:val="31"/>
          <w:szCs w:val="31"/>
          <w:lang w:eastAsia="en-GB"/>
        </w:rPr>
      </w:pPr>
      <w:hyperlink r:id="rId29" w:anchor="bck_ce15_2" w:history="1">
        <w:r w:rsidR="0071572E" w:rsidRPr="0071572E">
          <w:rPr>
            <w:rFonts w:ascii="LinLibertine" w:eastAsia="Times New Roman" w:hAnsi="LinLibertine" w:cs="Times New Roman"/>
            <w:b/>
            <w:bCs/>
            <w:color w:val="0000FF"/>
            <w:sz w:val="31"/>
            <w:szCs w:val="31"/>
            <w:u w:val="single"/>
            <w:lang w:eastAsia="en-GB"/>
          </w:rPr>
          <w:t>Case example 15.2</w:t>
        </w:r>
      </w:hyperlink>
      <w:r w:rsidR="0071572E" w:rsidRPr="0071572E">
        <w:rPr>
          <w:rFonts w:ascii="LinLibertine" w:eastAsia="Times New Roman" w:hAnsi="LinLibertine" w:cs="Times New Roman"/>
          <w:b/>
          <w:bCs/>
          <w:color w:val="000000"/>
          <w:sz w:val="31"/>
          <w:szCs w:val="31"/>
          <w:lang w:eastAsia="en-GB"/>
        </w:rPr>
        <w:t> Police train shop assistants to reduce shop-lifting</w:t>
      </w:r>
    </w:p>
    <w:p w14:paraId="54CB9A01"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Under a pilot scheme in the London Borough of Camden, police officers gave six staff members of two local stores from the Dixons group of electrical products the same training as the Metropolitan Police’s 765 part-time officers. The trial was judged to be highly successful. Antony </w:t>
      </w:r>
      <w:proofErr w:type="spellStart"/>
      <w:r w:rsidRPr="0071572E">
        <w:rPr>
          <w:rFonts w:ascii="LinLibertine" w:eastAsia="Times New Roman" w:hAnsi="LinLibertine" w:cs="Times New Roman"/>
          <w:color w:val="000000"/>
          <w:sz w:val="24"/>
          <w:szCs w:val="24"/>
          <w:lang w:eastAsia="en-GB"/>
        </w:rPr>
        <w:t>Rumming</w:t>
      </w:r>
      <w:proofErr w:type="spellEnd"/>
      <w:r w:rsidRPr="0071572E">
        <w:rPr>
          <w:rFonts w:ascii="LinLibertine" w:eastAsia="Times New Roman" w:hAnsi="LinLibertine" w:cs="Times New Roman"/>
          <w:color w:val="000000"/>
          <w:sz w:val="24"/>
          <w:szCs w:val="24"/>
          <w:lang w:eastAsia="en-GB"/>
        </w:rPr>
        <w:t>, 22, a Dixons team leader in Camden, said that the training had helped him to catch 20 potential fraudsters in the last year. ‘It helps knowing what they are going to do and the patterns involved,’ he said. A recent survey estimated that retail crime costs the industry £2.25 billion annually. The police have already announced further measures to give civilians special roles in major investigations, including murder inquiries.</w:t>
      </w:r>
    </w:p>
    <w:p w14:paraId="21DFE95D" w14:textId="77777777" w:rsidR="0071572E" w:rsidRPr="0071572E" w:rsidRDefault="0071572E" w:rsidP="0071572E">
      <w:pPr>
        <w:spacing w:before="24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Source: Adapted from the </w:t>
      </w:r>
      <w:r w:rsidRPr="0071572E">
        <w:rPr>
          <w:rFonts w:ascii="LinLibertine" w:eastAsia="Times New Roman" w:hAnsi="LinLibertine" w:cs="Times New Roman"/>
          <w:i/>
          <w:iCs/>
          <w:color w:val="000000"/>
          <w:sz w:val="24"/>
          <w:szCs w:val="24"/>
          <w:lang w:eastAsia="en-GB"/>
        </w:rPr>
        <w:t>Guardian</w:t>
      </w:r>
      <w:r w:rsidRPr="0071572E">
        <w:rPr>
          <w:rFonts w:ascii="LinLibertine" w:eastAsia="Times New Roman" w:hAnsi="LinLibertine" w:cs="Times New Roman"/>
          <w:color w:val="000000"/>
          <w:sz w:val="24"/>
          <w:szCs w:val="24"/>
          <w:lang w:eastAsia="en-GB"/>
        </w:rPr>
        <w:t> (Saturday, 30 October 2004)</w:t>
      </w:r>
    </w:p>
    <w:p w14:paraId="260855D3"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So government may no longer necessarily be the central actor, but only one actor in the policy process (</w:t>
      </w:r>
      <w:proofErr w:type="spellStart"/>
      <w:r w:rsidRPr="0071572E">
        <w:rPr>
          <w:rFonts w:ascii="LinLibertine" w:eastAsia="Times New Roman" w:hAnsi="LinLibertine" w:cs="Times New Roman"/>
          <w:color w:val="000000"/>
          <w:sz w:val="24"/>
          <w:szCs w:val="24"/>
          <w:lang w:eastAsia="en-GB"/>
        </w:rPr>
        <w:t>Scharpf</w:t>
      </w:r>
      <w:proofErr w:type="spellEnd"/>
      <w:r w:rsidRPr="0071572E">
        <w:rPr>
          <w:rFonts w:ascii="LinLibertine" w:eastAsia="Times New Roman" w:hAnsi="LinLibertine" w:cs="Times New Roman"/>
          <w:color w:val="000000"/>
          <w:sz w:val="24"/>
          <w:szCs w:val="24"/>
          <w:lang w:eastAsia="en-GB"/>
        </w:rPr>
        <w:t>, 1978). As Rod Rhodes (1997: 57) puts it: ‘the state becomes a collection of inter-organizational networks made up of governmental and societal actors with no sovereign actor able to steer or regulate. A key challenge for government is to enable these networks and seek out new forms of co-operation’.</w:t>
      </w:r>
    </w:p>
    <w:p w14:paraId="28D14C9B"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In other words, the importance of public governance means that the question ‘How much state?’ must be complemented by the follow-up question ‘Which state?’ This suggests that we have to deal with the state as the interaction of multiple stakeholders, each of whom has some public responsibility to influence and shape decisions in the public sphere.</w:t>
      </w:r>
    </w:p>
    <w:p w14:paraId="00749EB2"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Moreover, the move from government to governance requires all stakeholders to play a much more imaginative role in shaping the decisions in their communities or policy networks and contributing to publicly desirable outcomes. This is exemplified in relation to local governance in </w:t>
      </w:r>
      <w:hyperlink r:id="rId30" w:anchor="tab15_1" w:history="1">
        <w:r w:rsidRPr="0071572E">
          <w:rPr>
            <w:rFonts w:ascii="LinLibertine" w:eastAsia="Times New Roman" w:hAnsi="LinLibertine" w:cs="Times New Roman"/>
            <w:color w:val="0000FF"/>
            <w:sz w:val="24"/>
            <w:szCs w:val="24"/>
            <w:u w:val="single"/>
            <w:lang w:eastAsia="en-GB"/>
          </w:rPr>
          <w:t>Table 15.1</w:t>
        </w:r>
      </w:hyperlink>
      <w:r w:rsidRPr="0071572E">
        <w:rPr>
          <w:rFonts w:ascii="LinLibertine" w:eastAsia="Times New Roman" w:hAnsi="LinLibertine" w:cs="Times New Roman"/>
          <w:color w:val="000000"/>
          <w:sz w:val="24"/>
          <w:szCs w:val="24"/>
          <w:lang w:eastAsia="en-GB"/>
        </w:rPr>
        <w:t>.</w:t>
      </w:r>
    </w:p>
    <w:p w14:paraId="14F8B19D" w14:textId="77777777" w:rsidR="0071572E" w:rsidRPr="0071572E" w:rsidRDefault="00B466F0" w:rsidP="0071572E">
      <w:pPr>
        <w:spacing w:before="100" w:beforeAutospacing="1" w:after="100" w:afterAutospacing="1" w:line="240" w:lineRule="auto"/>
        <w:rPr>
          <w:rFonts w:ascii="LinLibertine" w:eastAsia="Times New Roman" w:hAnsi="LinLibertine" w:cs="Times New Roman"/>
          <w:color w:val="000000"/>
          <w:lang w:eastAsia="en-GB"/>
        </w:rPr>
      </w:pPr>
      <w:hyperlink r:id="rId31" w:anchor="bck_tab15_1" w:history="1">
        <w:r w:rsidR="0071572E" w:rsidRPr="0071572E">
          <w:rPr>
            <w:rFonts w:ascii="LinLibertine" w:eastAsia="Times New Roman" w:hAnsi="LinLibertine" w:cs="Times New Roman"/>
            <w:i/>
            <w:iCs/>
            <w:color w:val="0000FF"/>
            <w:sz w:val="19"/>
            <w:szCs w:val="19"/>
            <w:u w:val="single"/>
            <w:lang w:eastAsia="en-GB"/>
          </w:rPr>
          <w:t>Table 15.1</w:t>
        </w:r>
      </w:hyperlink>
      <w:r w:rsidR="0071572E" w:rsidRPr="0071572E">
        <w:rPr>
          <w:rFonts w:ascii="LinLibertine" w:eastAsia="Times New Roman" w:hAnsi="LinLibertine" w:cs="Times New Roman"/>
          <w:color w:val="000000"/>
          <w:lang w:eastAsia="en-GB"/>
        </w:rPr>
        <w:t> The move from local government to local governance</w:t>
      </w:r>
    </w:p>
    <w:tbl>
      <w:tblPr>
        <w:tblW w:w="21600" w:type="dxa"/>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8554"/>
        <w:gridCol w:w="13046"/>
      </w:tblGrid>
      <w:tr w:rsidR="0071572E" w:rsidRPr="0071572E" w14:paraId="138C9EE6" w14:textId="77777777" w:rsidTr="0071572E">
        <w:trPr>
          <w:tblHeader/>
          <w:tblCellSpacing w:w="15" w:type="dxa"/>
        </w:trPr>
        <w:tc>
          <w:tcPr>
            <w:tcW w:w="0" w:type="auto"/>
            <w:vAlign w:val="center"/>
            <w:hideMark/>
          </w:tcPr>
          <w:p w14:paraId="23C28830" w14:textId="77777777" w:rsidR="0071572E" w:rsidRPr="0071572E" w:rsidRDefault="0071572E" w:rsidP="0071572E">
            <w:pPr>
              <w:spacing w:after="0" w:line="240" w:lineRule="auto"/>
              <w:rPr>
                <w:rFonts w:ascii="Times New Roman" w:eastAsia="Times New Roman" w:hAnsi="Times New Roman" w:cs="Times New Roman"/>
                <w:i/>
                <w:iCs/>
                <w:sz w:val="24"/>
                <w:szCs w:val="24"/>
                <w:lang w:eastAsia="en-GB"/>
              </w:rPr>
            </w:pPr>
            <w:r w:rsidRPr="0071572E">
              <w:rPr>
                <w:rFonts w:ascii="Times New Roman" w:eastAsia="Times New Roman" w:hAnsi="Times New Roman" w:cs="Times New Roman"/>
                <w:i/>
                <w:iCs/>
                <w:sz w:val="24"/>
                <w:szCs w:val="24"/>
                <w:lang w:eastAsia="en-GB"/>
              </w:rPr>
              <w:lastRenderedPageBreak/>
              <w:t>Local government needs to consider not only …</w:t>
            </w:r>
          </w:p>
        </w:tc>
        <w:tc>
          <w:tcPr>
            <w:tcW w:w="0" w:type="auto"/>
            <w:vAlign w:val="center"/>
            <w:hideMark/>
          </w:tcPr>
          <w:p w14:paraId="78EF6899" w14:textId="77777777" w:rsidR="0071572E" w:rsidRPr="0071572E" w:rsidRDefault="0071572E" w:rsidP="0071572E">
            <w:pPr>
              <w:spacing w:after="0" w:line="240" w:lineRule="auto"/>
              <w:rPr>
                <w:rFonts w:ascii="Times New Roman" w:eastAsia="Times New Roman" w:hAnsi="Times New Roman" w:cs="Times New Roman"/>
                <w:i/>
                <w:iCs/>
                <w:sz w:val="24"/>
                <w:szCs w:val="24"/>
                <w:lang w:eastAsia="en-GB"/>
              </w:rPr>
            </w:pPr>
            <w:r w:rsidRPr="0071572E">
              <w:rPr>
                <w:rFonts w:ascii="Times New Roman" w:eastAsia="Times New Roman" w:hAnsi="Times New Roman" w:cs="Times New Roman"/>
                <w:i/>
                <w:iCs/>
                <w:sz w:val="24"/>
                <w:szCs w:val="24"/>
                <w:lang w:eastAsia="en-GB"/>
              </w:rPr>
              <w:t>… but increasingly also …</w:t>
            </w:r>
          </w:p>
        </w:tc>
      </w:tr>
      <w:tr w:rsidR="0071572E" w:rsidRPr="0071572E" w14:paraId="0675BF08" w14:textId="77777777" w:rsidTr="0071572E">
        <w:trPr>
          <w:tblHeader/>
          <w:tblCellSpacing w:w="15" w:type="dxa"/>
        </w:trPr>
        <w:tc>
          <w:tcPr>
            <w:tcW w:w="0" w:type="auto"/>
            <w:gridSpan w:val="2"/>
            <w:vAlign w:val="center"/>
            <w:hideMark/>
          </w:tcPr>
          <w:p w14:paraId="14B8893E" w14:textId="77777777" w:rsidR="0071572E" w:rsidRPr="0071572E" w:rsidRDefault="00B466F0" w:rsidP="0071572E">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pict w14:anchorId="66E1806A">
                <v:rect id="_x0000_i1025" style="width:0;height:1.5pt" o:hralign="center" o:hrstd="t" o:hr="t" fillcolor="#a0a0a0" stroked="f"/>
              </w:pict>
            </w:r>
          </w:p>
        </w:tc>
      </w:tr>
      <w:tr w:rsidR="0071572E" w:rsidRPr="0071572E" w14:paraId="01056FDC" w14:textId="77777777" w:rsidTr="0071572E">
        <w:trPr>
          <w:tblCellSpacing w:w="15" w:type="dxa"/>
        </w:trPr>
        <w:tc>
          <w:tcPr>
            <w:tcW w:w="0" w:type="auto"/>
            <w:vAlign w:val="center"/>
            <w:hideMark/>
          </w:tcPr>
          <w:p w14:paraId="6E2E4F86"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Organizational leadership</w:t>
            </w:r>
          </w:p>
        </w:tc>
        <w:tc>
          <w:tcPr>
            <w:tcW w:w="0" w:type="auto"/>
            <w:vAlign w:val="center"/>
            <w:hideMark/>
          </w:tcPr>
          <w:p w14:paraId="01ADBBAC"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Leadership of networks and partnerships</w:t>
            </w:r>
          </w:p>
        </w:tc>
      </w:tr>
      <w:tr w:rsidR="0071572E" w:rsidRPr="0071572E" w14:paraId="6069B8F5" w14:textId="77777777" w:rsidTr="0071572E">
        <w:trPr>
          <w:tblCellSpacing w:w="15" w:type="dxa"/>
        </w:trPr>
        <w:tc>
          <w:tcPr>
            <w:tcW w:w="0" w:type="auto"/>
            <w:gridSpan w:val="2"/>
            <w:vAlign w:val="center"/>
            <w:hideMark/>
          </w:tcPr>
          <w:p w14:paraId="48A0EB25"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740855E5">
                <v:rect id="_x0000_i1026" style="width:0;height:1.5pt" o:hralign="center" o:hrstd="t" o:hr="t" fillcolor="#a0a0a0" stroked="f"/>
              </w:pict>
            </w:r>
          </w:p>
        </w:tc>
      </w:tr>
      <w:tr w:rsidR="0071572E" w:rsidRPr="0071572E" w14:paraId="29F3C040" w14:textId="77777777" w:rsidTr="0071572E">
        <w:trPr>
          <w:tblCellSpacing w:w="15" w:type="dxa"/>
        </w:trPr>
        <w:tc>
          <w:tcPr>
            <w:tcW w:w="0" w:type="auto"/>
            <w:vAlign w:val="center"/>
            <w:hideMark/>
          </w:tcPr>
          <w:p w14:paraId="52E989E3"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Developing organizations</w:t>
            </w:r>
          </w:p>
        </w:tc>
        <w:tc>
          <w:tcPr>
            <w:tcW w:w="0" w:type="auto"/>
            <w:vAlign w:val="center"/>
            <w:hideMark/>
          </w:tcPr>
          <w:p w14:paraId="645B9F1B"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Developing communities</w:t>
            </w:r>
          </w:p>
        </w:tc>
      </w:tr>
      <w:tr w:rsidR="0071572E" w:rsidRPr="0071572E" w14:paraId="5B69E6B6" w14:textId="77777777" w:rsidTr="0071572E">
        <w:trPr>
          <w:tblCellSpacing w:w="15" w:type="dxa"/>
        </w:trPr>
        <w:tc>
          <w:tcPr>
            <w:tcW w:w="0" w:type="auto"/>
            <w:vAlign w:val="center"/>
            <w:hideMark/>
          </w:tcPr>
          <w:p w14:paraId="0723313E"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Ensuring policy coherence across organizational departments and services</w:t>
            </w:r>
          </w:p>
        </w:tc>
        <w:tc>
          <w:tcPr>
            <w:tcW w:w="0" w:type="auto"/>
            <w:vAlign w:val="center"/>
            <w:hideMark/>
          </w:tcPr>
          <w:p w14:paraId="6C24D0C4"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Ensuring policy coherence across organizational and sectoral borders and levels of government as well as over time (sustainable development)</w:t>
            </w:r>
          </w:p>
        </w:tc>
      </w:tr>
      <w:tr w:rsidR="0071572E" w:rsidRPr="0071572E" w14:paraId="04B23B01" w14:textId="77777777" w:rsidTr="0071572E">
        <w:trPr>
          <w:tblCellSpacing w:w="15" w:type="dxa"/>
        </w:trPr>
        <w:tc>
          <w:tcPr>
            <w:tcW w:w="0" w:type="auto"/>
            <w:vAlign w:val="center"/>
            <w:hideMark/>
          </w:tcPr>
          <w:p w14:paraId="08C4C989"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Creating a set of values and a sense of direction, which leaves room for individual autonomy and creativity for mid-level managers and employees</w:t>
            </w:r>
          </w:p>
        </w:tc>
        <w:tc>
          <w:tcPr>
            <w:tcW w:w="0" w:type="auto"/>
            <w:vAlign w:val="center"/>
            <w:hideMark/>
          </w:tcPr>
          <w:p w14:paraId="00743217"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Creating a set of values which are consistent with the expectations of citizens, partners, firms and other stakeholders, leaving room for their autonomy and creativity</w:t>
            </w:r>
          </w:p>
        </w:tc>
      </w:tr>
      <w:tr w:rsidR="0071572E" w:rsidRPr="0071572E" w14:paraId="23398A02" w14:textId="77777777" w:rsidTr="0071572E">
        <w:trPr>
          <w:tblCellSpacing w:w="15" w:type="dxa"/>
        </w:trPr>
        <w:tc>
          <w:tcPr>
            <w:tcW w:w="0" w:type="auto"/>
            <w:gridSpan w:val="2"/>
            <w:vAlign w:val="center"/>
            <w:hideMark/>
          </w:tcPr>
          <w:p w14:paraId="448E5401"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7ED427E6">
                <v:rect id="_x0000_i1027" style="width:0;height:1.5pt" o:hralign="center" o:hrstd="t" o:hr="t" fillcolor="#a0a0a0" stroked="f"/>
              </w:pict>
            </w:r>
          </w:p>
        </w:tc>
      </w:tr>
      <w:tr w:rsidR="0071572E" w:rsidRPr="0071572E" w14:paraId="564CF47B" w14:textId="77777777" w:rsidTr="0071572E">
        <w:trPr>
          <w:tblCellSpacing w:w="15" w:type="dxa"/>
        </w:trPr>
        <w:tc>
          <w:tcPr>
            <w:tcW w:w="0" w:type="auto"/>
            <w:vAlign w:val="center"/>
            <w:hideMark/>
          </w:tcPr>
          <w:p w14:paraId="71702892"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Policy and strategy</w:t>
            </w:r>
          </w:p>
        </w:tc>
        <w:tc>
          <w:tcPr>
            <w:tcW w:w="0" w:type="auto"/>
            <w:vAlign w:val="center"/>
            <w:hideMark/>
          </w:tcPr>
          <w:p w14:paraId="76D14B91"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‘Politicking’: balancing strategic interests</w:t>
            </w:r>
          </w:p>
        </w:tc>
      </w:tr>
      <w:tr w:rsidR="0071572E" w:rsidRPr="0071572E" w14:paraId="3CD3F347" w14:textId="77777777" w:rsidTr="0071572E">
        <w:trPr>
          <w:tblCellSpacing w:w="15" w:type="dxa"/>
        </w:trPr>
        <w:tc>
          <w:tcPr>
            <w:tcW w:w="0" w:type="auto"/>
            <w:gridSpan w:val="2"/>
            <w:vAlign w:val="center"/>
            <w:hideMark/>
          </w:tcPr>
          <w:p w14:paraId="614C07CB"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C0BB08C">
                <v:rect id="_x0000_i1028" style="width:0;height:1.5pt" o:hralign="center" o:hrstd="t" o:hr="t" fillcolor="#a0a0a0" stroked="f"/>
              </w:pict>
            </w:r>
          </w:p>
        </w:tc>
      </w:tr>
      <w:tr w:rsidR="0071572E" w:rsidRPr="0071572E" w14:paraId="6BEC8C69" w14:textId="77777777" w:rsidTr="0071572E">
        <w:trPr>
          <w:tblCellSpacing w:w="15" w:type="dxa"/>
        </w:trPr>
        <w:tc>
          <w:tcPr>
            <w:tcW w:w="0" w:type="auto"/>
            <w:vAlign w:val="center"/>
            <w:hideMark/>
          </w:tcPr>
          <w:p w14:paraId="2A28C04A"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Focus on the needs of customers</w:t>
            </w:r>
          </w:p>
        </w:tc>
        <w:tc>
          <w:tcPr>
            <w:tcW w:w="0" w:type="auto"/>
            <w:vAlign w:val="center"/>
            <w:hideMark/>
          </w:tcPr>
          <w:p w14:paraId="78659405"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Activating civil society (through information, consultation and participation) in local policies and management</w:t>
            </w:r>
          </w:p>
        </w:tc>
      </w:tr>
      <w:tr w:rsidR="0071572E" w:rsidRPr="0071572E" w14:paraId="24BB183F" w14:textId="77777777" w:rsidTr="0071572E">
        <w:trPr>
          <w:tblCellSpacing w:w="15" w:type="dxa"/>
        </w:trPr>
        <w:tc>
          <w:tcPr>
            <w:tcW w:w="0" w:type="auto"/>
            <w:vAlign w:val="center"/>
            <w:hideMark/>
          </w:tcPr>
          <w:p w14:paraId="6CD37714"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Separation of politics and administration</w:t>
            </w:r>
          </w:p>
        </w:tc>
        <w:tc>
          <w:tcPr>
            <w:tcW w:w="0" w:type="auto"/>
            <w:vAlign w:val="center"/>
            <w:hideMark/>
          </w:tcPr>
          <w:p w14:paraId="078C1981"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Governance as a process of interaction between elected officials, politically appointed officials, ad hoc advisors, career civil servants and external stakeholders</w:t>
            </w:r>
          </w:p>
        </w:tc>
      </w:tr>
      <w:tr w:rsidR="0071572E" w:rsidRPr="0071572E" w14:paraId="1F307883" w14:textId="77777777" w:rsidTr="0071572E">
        <w:trPr>
          <w:tblCellSpacing w:w="15" w:type="dxa"/>
        </w:trPr>
        <w:tc>
          <w:tcPr>
            <w:tcW w:w="0" w:type="auto"/>
            <w:vAlign w:val="center"/>
            <w:hideMark/>
          </w:tcPr>
          <w:p w14:paraId="389DED12"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Annual plans, concentrating on current expenditure</w:t>
            </w:r>
          </w:p>
        </w:tc>
        <w:tc>
          <w:tcPr>
            <w:tcW w:w="0" w:type="auto"/>
            <w:vAlign w:val="center"/>
            <w:hideMark/>
          </w:tcPr>
          <w:p w14:paraId="1D9CB09F"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Long-term plans, incorporating activity plans, capital budget plans and asset management for the whole community</w:t>
            </w:r>
          </w:p>
        </w:tc>
      </w:tr>
      <w:tr w:rsidR="0071572E" w:rsidRPr="0071572E" w14:paraId="151A3CEA" w14:textId="77777777" w:rsidTr="0071572E">
        <w:trPr>
          <w:tblCellSpacing w:w="15" w:type="dxa"/>
        </w:trPr>
        <w:tc>
          <w:tcPr>
            <w:tcW w:w="0" w:type="auto"/>
            <w:gridSpan w:val="2"/>
            <w:vAlign w:val="center"/>
            <w:hideMark/>
          </w:tcPr>
          <w:p w14:paraId="218C0EA3"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5780A66D">
                <v:rect id="_x0000_i1029" style="width:0;height:1.5pt" o:hralign="center" o:hrstd="t" o:hr="t" fillcolor="#a0a0a0" stroked="f"/>
              </w:pict>
            </w:r>
          </w:p>
        </w:tc>
      </w:tr>
      <w:tr w:rsidR="0071572E" w:rsidRPr="0071572E" w14:paraId="2C0B95E3" w14:textId="77777777" w:rsidTr="0071572E">
        <w:trPr>
          <w:tblCellSpacing w:w="15" w:type="dxa"/>
        </w:trPr>
        <w:tc>
          <w:tcPr>
            <w:tcW w:w="0" w:type="auto"/>
            <w:vAlign w:val="center"/>
            <w:hideMark/>
          </w:tcPr>
          <w:p w14:paraId="2A9F8B3D"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People management</w:t>
            </w:r>
          </w:p>
        </w:tc>
        <w:tc>
          <w:tcPr>
            <w:tcW w:w="0" w:type="auto"/>
            <w:vAlign w:val="center"/>
            <w:hideMark/>
          </w:tcPr>
          <w:p w14:paraId="45AD7FC6"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Management of the labour market and its implications</w:t>
            </w:r>
          </w:p>
        </w:tc>
      </w:tr>
      <w:tr w:rsidR="0071572E" w:rsidRPr="0071572E" w14:paraId="3D40441A" w14:textId="77777777" w:rsidTr="0071572E">
        <w:trPr>
          <w:tblCellSpacing w:w="15" w:type="dxa"/>
        </w:trPr>
        <w:tc>
          <w:tcPr>
            <w:tcW w:w="0" w:type="auto"/>
            <w:gridSpan w:val="2"/>
            <w:vAlign w:val="center"/>
            <w:hideMark/>
          </w:tcPr>
          <w:p w14:paraId="5381FFD4"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7D7D8CF2">
                <v:rect id="_x0000_i1030" style="width:0;height:1.5pt" o:hralign="center" o:hrstd="t" o:hr="t" fillcolor="#a0a0a0" stroked="f"/>
              </w:pict>
            </w:r>
          </w:p>
        </w:tc>
      </w:tr>
      <w:tr w:rsidR="0071572E" w:rsidRPr="0071572E" w14:paraId="2A5402F6" w14:textId="77777777" w:rsidTr="0071572E">
        <w:trPr>
          <w:tblCellSpacing w:w="15" w:type="dxa"/>
        </w:trPr>
        <w:tc>
          <w:tcPr>
            <w:tcW w:w="0" w:type="auto"/>
            <w:vAlign w:val="center"/>
            <w:hideMark/>
          </w:tcPr>
          <w:p w14:paraId="65817C59"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Increasing labour productivity through efficiency drives</w:t>
            </w:r>
          </w:p>
        </w:tc>
        <w:tc>
          <w:tcPr>
            <w:tcW w:w="0" w:type="auto"/>
            <w:vAlign w:val="center"/>
            <w:hideMark/>
          </w:tcPr>
          <w:p w14:paraId="338C598B"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Improving staff contribution to all the goals of the organization</w:t>
            </w:r>
          </w:p>
        </w:tc>
      </w:tr>
      <w:tr w:rsidR="0071572E" w:rsidRPr="0071572E" w14:paraId="03D0EB45" w14:textId="77777777" w:rsidTr="0071572E">
        <w:trPr>
          <w:tblCellSpacing w:w="15" w:type="dxa"/>
        </w:trPr>
        <w:tc>
          <w:tcPr>
            <w:tcW w:w="0" w:type="auto"/>
            <w:vAlign w:val="center"/>
            <w:hideMark/>
          </w:tcPr>
          <w:p w14:paraId="74026C8F"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Getting staff to focus on quality of service</w:t>
            </w:r>
          </w:p>
        </w:tc>
        <w:tc>
          <w:tcPr>
            <w:tcW w:w="0" w:type="auto"/>
            <w:vAlign w:val="center"/>
            <w:hideMark/>
          </w:tcPr>
          <w:p w14:paraId="1C0B97F2"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Getting staff to focus on quality of life, in terms of quality of service outcomes for users and other stakeholders and also quality of working life for fellow staff</w:t>
            </w:r>
          </w:p>
        </w:tc>
      </w:tr>
      <w:tr w:rsidR="0071572E" w:rsidRPr="0071572E" w14:paraId="6D037ADF" w14:textId="77777777" w:rsidTr="0071572E">
        <w:trPr>
          <w:tblCellSpacing w:w="15" w:type="dxa"/>
        </w:trPr>
        <w:tc>
          <w:tcPr>
            <w:tcW w:w="0" w:type="auto"/>
            <w:vAlign w:val="center"/>
            <w:hideMark/>
          </w:tcPr>
          <w:p w14:paraId="00DE6D11"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Motivation through more objective evaluation systems and more flexible pay systems</w:t>
            </w:r>
          </w:p>
        </w:tc>
        <w:tc>
          <w:tcPr>
            <w:tcW w:w="0" w:type="auto"/>
            <w:vAlign w:val="center"/>
            <w:hideMark/>
          </w:tcPr>
          <w:p w14:paraId="700AE516"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Motivation by allowing staff to contribute a wider range of their skills and aptitudes to the work of the organization and community</w:t>
            </w:r>
          </w:p>
        </w:tc>
      </w:tr>
      <w:tr w:rsidR="0071572E" w:rsidRPr="0071572E" w14:paraId="29649A53" w14:textId="77777777" w:rsidTr="0071572E">
        <w:trPr>
          <w:tblCellSpacing w:w="15" w:type="dxa"/>
        </w:trPr>
        <w:tc>
          <w:tcPr>
            <w:tcW w:w="0" w:type="auto"/>
            <w:vAlign w:val="center"/>
            <w:hideMark/>
          </w:tcPr>
          <w:p w14:paraId="398DA862"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Recruiting and retaining qualified staff through transparent hiring processes</w:t>
            </w:r>
          </w:p>
        </w:tc>
        <w:tc>
          <w:tcPr>
            <w:tcW w:w="0" w:type="auto"/>
            <w:vAlign w:val="center"/>
            <w:hideMark/>
          </w:tcPr>
          <w:p w14:paraId="0A819CAF"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Recruiting, training and promoting staff in ways that increase the diversity of the public service in terms of gender, ethnicity, age and disabilities</w:t>
            </w:r>
          </w:p>
        </w:tc>
      </w:tr>
      <w:tr w:rsidR="0071572E" w:rsidRPr="0071572E" w14:paraId="367EB44D" w14:textId="77777777" w:rsidTr="0071572E">
        <w:trPr>
          <w:tblCellSpacing w:w="15" w:type="dxa"/>
        </w:trPr>
        <w:tc>
          <w:tcPr>
            <w:tcW w:w="0" w:type="auto"/>
            <w:vAlign w:val="center"/>
            <w:hideMark/>
          </w:tcPr>
          <w:p w14:paraId="13813733"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Making better use of staff resources within the organization</w:t>
            </w:r>
          </w:p>
        </w:tc>
        <w:tc>
          <w:tcPr>
            <w:tcW w:w="0" w:type="auto"/>
            <w:vAlign w:val="center"/>
            <w:hideMark/>
          </w:tcPr>
          <w:p w14:paraId="5F2F5938"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Making better use of staff resources by increasing mobility within the public sector and also between other sectors and other areas</w:t>
            </w:r>
          </w:p>
        </w:tc>
      </w:tr>
      <w:tr w:rsidR="0071572E" w:rsidRPr="0071572E" w14:paraId="3283A373" w14:textId="77777777" w:rsidTr="0071572E">
        <w:trPr>
          <w:tblCellSpacing w:w="15" w:type="dxa"/>
        </w:trPr>
        <w:tc>
          <w:tcPr>
            <w:tcW w:w="0" w:type="auto"/>
            <w:gridSpan w:val="2"/>
            <w:vAlign w:val="center"/>
            <w:hideMark/>
          </w:tcPr>
          <w:p w14:paraId="35D7CA96"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54950897">
                <v:rect id="_x0000_i1031" style="width:0;height:1.5pt" o:hralign="center" o:hrstd="t" o:hr="t" fillcolor="#a0a0a0" stroked="f"/>
              </w:pict>
            </w:r>
          </w:p>
        </w:tc>
      </w:tr>
      <w:tr w:rsidR="0071572E" w:rsidRPr="0071572E" w14:paraId="3E22403D" w14:textId="77777777" w:rsidTr="0071572E">
        <w:trPr>
          <w:tblCellSpacing w:w="15" w:type="dxa"/>
        </w:trPr>
        <w:tc>
          <w:tcPr>
            <w:tcW w:w="0" w:type="auto"/>
            <w:vAlign w:val="center"/>
            <w:hideMark/>
          </w:tcPr>
          <w:p w14:paraId="7F224D23"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Resource management</w:t>
            </w:r>
          </w:p>
        </w:tc>
        <w:tc>
          <w:tcPr>
            <w:tcW w:w="0" w:type="auto"/>
            <w:vAlign w:val="center"/>
            <w:hideMark/>
          </w:tcPr>
          <w:p w14:paraId="61F63A2A"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Resource and knowledge management</w:t>
            </w:r>
          </w:p>
        </w:tc>
      </w:tr>
      <w:tr w:rsidR="0071572E" w:rsidRPr="0071572E" w14:paraId="0794BB2B" w14:textId="77777777" w:rsidTr="0071572E">
        <w:trPr>
          <w:tblCellSpacing w:w="15" w:type="dxa"/>
        </w:trPr>
        <w:tc>
          <w:tcPr>
            <w:tcW w:w="0" w:type="auto"/>
            <w:gridSpan w:val="2"/>
            <w:vAlign w:val="center"/>
            <w:hideMark/>
          </w:tcPr>
          <w:p w14:paraId="43073BFA"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74775940">
                <v:rect id="_x0000_i1032" style="width:0;height:1.5pt" o:hralign="center" o:hrstd="t" o:hr="t" fillcolor="#a0a0a0" stroked="f"/>
              </w:pict>
            </w:r>
          </w:p>
        </w:tc>
      </w:tr>
      <w:tr w:rsidR="0071572E" w:rsidRPr="0071572E" w14:paraId="503935CF" w14:textId="77777777" w:rsidTr="0071572E">
        <w:trPr>
          <w:tblCellSpacing w:w="15" w:type="dxa"/>
        </w:trPr>
        <w:tc>
          <w:tcPr>
            <w:tcW w:w="0" w:type="auto"/>
            <w:vAlign w:val="center"/>
            <w:hideMark/>
          </w:tcPr>
          <w:p w14:paraId="6FDD0FD3"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Budget formulation as a top-down exercise (with fixed ceilings on total expenditure)</w:t>
            </w:r>
          </w:p>
        </w:tc>
        <w:tc>
          <w:tcPr>
            <w:tcW w:w="0" w:type="auto"/>
            <w:vAlign w:val="center"/>
            <w:hideMark/>
          </w:tcPr>
          <w:p w14:paraId="0EB4FC21"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Preparation of local budgets with active participation of local community representatives, including councillors and mobilizing all assets in the community</w:t>
            </w:r>
          </w:p>
        </w:tc>
      </w:tr>
      <w:tr w:rsidR="0071572E" w:rsidRPr="0071572E" w14:paraId="2E4F56B0" w14:textId="77777777" w:rsidTr="0071572E">
        <w:trPr>
          <w:tblCellSpacing w:w="15" w:type="dxa"/>
        </w:trPr>
        <w:tc>
          <w:tcPr>
            <w:tcW w:w="0" w:type="auto"/>
            <w:vAlign w:val="center"/>
            <w:hideMark/>
          </w:tcPr>
          <w:p w14:paraId="3DD22C67"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Measurement of unit costs for performance improvement and performance monitoring</w:t>
            </w:r>
          </w:p>
        </w:tc>
        <w:tc>
          <w:tcPr>
            <w:tcW w:w="0" w:type="auto"/>
            <w:vAlign w:val="center"/>
            <w:hideMark/>
          </w:tcPr>
          <w:p w14:paraId="42FE3BF7"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Measurement of money and time costs of the organization’s activities, as experienced by both the organization and its stakeholders</w:t>
            </w:r>
          </w:p>
        </w:tc>
      </w:tr>
      <w:tr w:rsidR="0071572E" w:rsidRPr="0071572E" w14:paraId="632015D3" w14:textId="77777777" w:rsidTr="0071572E">
        <w:trPr>
          <w:tblCellSpacing w:w="15" w:type="dxa"/>
        </w:trPr>
        <w:tc>
          <w:tcPr>
            <w:tcW w:w="0" w:type="auto"/>
            <w:vAlign w:val="center"/>
            <w:hideMark/>
          </w:tcPr>
          <w:p w14:paraId="34BD5D41"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Transparent financial reporting</w:t>
            </w:r>
          </w:p>
        </w:tc>
        <w:tc>
          <w:tcPr>
            <w:tcW w:w="0" w:type="auto"/>
            <w:vAlign w:val="center"/>
            <w:hideMark/>
          </w:tcPr>
          <w:p w14:paraId="5FAF4CBF"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‘Fiscal transparency’ to communicate with external stakeholders (business, citizens, media, etc.) on the value for money of activities</w:t>
            </w:r>
          </w:p>
        </w:tc>
      </w:tr>
      <w:tr w:rsidR="0071572E" w:rsidRPr="0071572E" w14:paraId="2793775B" w14:textId="77777777" w:rsidTr="0071572E">
        <w:trPr>
          <w:tblCellSpacing w:w="15" w:type="dxa"/>
        </w:trPr>
        <w:tc>
          <w:tcPr>
            <w:tcW w:w="0" w:type="auto"/>
            <w:vAlign w:val="center"/>
            <w:hideMark/>
          </w:tcPr>
          <w:p w14:paraId="60F222B5"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Improving technical efficiency</w:t>
            </w:r>
          </w:p>
        </w:tc>
        <w:tc>
          <w:tcPr>
            <w:tcW w:w="0" w:type="auto"/>
            <w:vAlign w:val="center"/>
            <w:hideMark/>
          </w:tcPr>
          <w:p w14:paraId="442A588A"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Improving social efficiency, including equitable distribution of budgets and services</w:t>
            </w:r>
          </w:p>
        </w:tc>
      </w:tr>
      <w:tr w:rsidR="0071572E" w:rsidRPr="0071572E" w14:paraId="02FC3C26" w14:textId="77777777" w:rsidTr="0071572E">
        <w:trPr>
          <w:tblCellSpacing w:w="15" w:type="dxa"/>
        </w:trPr>
        <w:tc>
          <w:tcPr>
            <w:tcW w:w="0" w:type="auto"/>
            <w:vAlign w:val="center"/>
            <w:hideMark/>
          </w:tcPr>
          <w:p w14:paraId="5F56B400"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Making ICT available to all staff for efficiency-enhancement purposes</w:t>
            </w:r>
          </w:p>
        </w:tc>
        <w:tc>
          <w:tcPr>
            <w:tcW w:w="0" w:type="auto"/>
            <w:vAlign w:val="center"/>
            <w:hideMark/>
          </w:tcPr>
          <w:p w14:paraId="1C444AF4"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Generating and sustaining new knowledge through knowledge management, both for staff and for other stakeholders interacting with the organization (including making ICT available to all stakeholders to improve effectiveness)</w:t>
            </w:r>
          </w:p>
        </w:tc>
      </w:tr>
      <w:tr w:rsidR="0071572E" w:rsidRPr="0071572E" w14:paraId="01323C4A" w14:textId="77777777" w:rsidTr="0071572E">
        <w:trPr>
          <w:tblCellSpacing w:w="15" w:type="dxa"/>
        </w:trPr>
        <w:tc>
          <w:tcPr>
            <w:tcW w:w="0" w:type="auto"/>
            <w:gridSpan w:val="2"/>
            <w:vAlign w:val="center"/>
            <w:hideMark/>
          </w:tcPr>
          <w:p w14:paraId="219C388D"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1A7E8A2">
                <v:rect id="_x0000_i1033" style="width:0;height:1.5pt" o:hralign="center" o:hrstd="t" o:hr="t" fillcolor="#a0a0a0" stroked="f"/>
              </w:pict>
            </w:r>
          </w:p>
        </w:tc>
      </w:tr>
      <w:tr w:rsidR="0071572E" w:rsidRPr="0071572E" w14:paraId="370F253F" w14:textId="77777777" w:rsidTr="0071572E">
        <w:trPr>
          <w:tblCellSpacing w:w="15" w:type="dxa"/>
        </w:trPr>
        <w:tc>
          <w:tcPr>
            <w:tcW w:w="0" w:type="auto"/>
            <w:vAlign w:val="center"/>
            <w:hideMark/>
          </w:tcPr>
          <w:p w14:paraId="7F3F9CCD"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Processes</w:t>
            </w:r>
          </w:p>
        </w:tc>
        <w:tc>
          <w:tcPr>
            <w:tcW w:w="0" w:type="auto"/>
            <w:vAlign w:val="center"/>
            <w:hideMark/>
          </w:tcPr>
          <w:p w14:paraId="466F4DF9"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Internal and external relationships</w:t>
            </w:r>
          </w:p>
        </w:tc>
      </w:tr>
      <w:tr w:rsidR="0071572E" w:rsidRPr="0071572E" w14:paraId="42A120B4" w14:textId="77777777" w:rsidTr="0071572E">
        <w:trPr>
          <w:tblCellSpacing w:w="15" w:type="dxa"/>
        </w:trPr>
        <w:tc>
          <w:tcPr>
            <w:tcW w:w="0" w:type="auto"/>
            <w:gridSpan w:val="2"/>
            <w:vAlign w:val="center"/>
            <w:hideMark/>
          </w:tcPr>
          <w:p w14:paraId="5B14A8EB"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1945669">
                <v:rect id="_x0000_i1034" style="width:0;height:1.5pt" o:hralign="center" o:hrstd="t" o:hr="t" fillcolor="#a0a0a0" stroked="f"/>
              </w:pict>
            </w:r>
          </w:p>
        </w:tc>
      </w:tr>
      <w:tr w:rsidR="0071572E" w:rsidRPr="0071572E" w14:paraId="18563DEF" w14:textId="77777777" w:rsidTr="0071572E">
        <w:trPr>
          <w:tblCellSpacing w:w="15" w:type="dxa"/>
        </w:trPr>
        <w:tc>
          <w:tcPr>
            <w:tcW w:w="0" w:type="auto"/>
            <w:vAlign w:val="center"/>
            <w:hideMark/>
          </w:tcPr>
          <w:p w14:paraId="3A70715B"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Internal improvement processes (‘business process re-engineering’)</w:t>
            </w:r>
          </w:p>
        </w:tc>
        <w:tc>
          <w:tcPr>
            <w:tcW w:w="0" w:type="auto"/>
            <w:vAlign w:val="center"/>
            <w:hideMark/>
          </w:tcPr>
          <w:p w14:paraId="06B99358"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Improved management of processes beyond organizational borders, including intergovernmental relations and constraints</w:t>
            </w:r>
          </w:p>
        </w:tc>
      </w:tr>
      <w:tr w:rsidR="0071572E" w:rsidRPr="0071572E" w14:paraId="47336DF7" w14:textId="77777777" w:rsidTr="0071572E">
        <w:trPr>
          <w:tblCellSpacing w:w="15" w:type="dxa"/>
        </w:trPr>
        <w:tc>
          <w:tcPr>
            <w:tcW w:w="0" w:type="auto"/>
            <w:vAlign w:val="center"/>
            <w:hideMark/>
          </w:tcPr>
          <w:p w14:paraId="3F92BEAF"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Competing for tendered tasks</w:t>
            </w:r>
          </w:p>
        </w:tc>
        <w:tc>
          <w:tcPr>
            <w:tcW w:w="0" w:type="auto"/>
            <w:vAlign w:val="center"/>
            <w:hideMark/>
          </w:tcPr>
          <w:p w14:paraId="7BAA16A3"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Managing multiple contracts and supplier relationships; building and maintaining accountable partnerships, with other organizations; co-production of services with users and communities</w:t>
            </w:r>
          </w:p>
        </w:tc>
      </w:tr>
      <w:tr w:rsidR="0071572E" w:rsidRPr="0071572E" w14:paraId="14B3D30B" w14:textId="77777777" w:rsidTr="0071572E">
        <w:trPr>
          <w:tblCellSpacing w:w="15" w:type="dxa"/>
        </w:trPr>
        <w:tc>
          <w:tcPr>
            <w:tcW w:w="0" w:type="auto"/>
            <w:gridSpan w:val="2"/>
            <w:vAlign w:val="center"/>
            <w:hideMark/>
          </w:tcPr>
          <w:p w14:paraId="1B0E7539"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pict w14:anchorId="72C3BF86">
                <v:rect id="_x0000_i1035" style="width:0;height:1.5pt" o:hralign="center" o:hrstd="t" o:hr="t" fillcolor="#a0a0a0" stroked="f"/>
              </w:pict>
            </w:r>
          </w:p>
        </w:tc>
      </w:tr>
      <w:tr w:rsidR="0071572E" w:rsidRPr="0071572E" w14:paraId="5CC8B540" w14:textId="77777777" w:rsidTr="0071572E">
        <w:trPr>
          <w:tblCellSpacing w:w="15" w:type="dxa"/>
        </w:trPr>
        <w:tc>
          <w:tcPr>
            <w:tcW w:w="0" w:type="auto"/>
            <w:vAlign w:val="center"/>
            <w:hideMark/>
          </w:tcPr>
          <w:p w14:paraId="51B3FD79"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Measurement of objective and subjective results</w:t>
            </w:r>
          </w:p>
        </w:tc>
        <w:tc>
          <w:tcPr>
            <w:tcW w:w="0" w:type="auto"/>
            <w:vAlign w:val="center"/>
            <w:hideMark/>
          </w:tcPr>
          <w:p w14:paraId="010FF8CE"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Measurement of multidimensional performance</w:t>
            </w:r>
          </w:p>
        </w:tc>
      </w:tr>
      <w:tr w:rsidR="0071572E" w:rsidRPr="0071572E" w14:paraId="5AF7C530" w14:textId="77777777" w:rsidTr="0071572E">
        <w:trPr>
          <w:tblCellSpacing w:w="15" w:type="dxa"/>
        </w:trPr>
        <w:tc>
          <w:tcPr>
            <w:tcW w:w="0" w:type="auto"/>
            <w:gridSpan w:val="2"/>
            <w:vAlign w:val="center"/>
            <w:hideMark/>
          </w:tcPr>
          <w:p w14:paraId="1ADE3DDB"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5A977F86">
                <v:rect id="_x0000_i1036" style="width:0;height:1.5pt" o:hralign="center" o:hrstd="t" o:hr="t" fillcolor="#a0a0a0" stroked="f"/>
              </w:pict>
            </w:r>
          </w:p>
        </w:tc>
      </w:tr>
      <w:tr w:rsidR="0071572E" w:rsidRPr="0071572E" w14:paraId="75827894" w14:textId="77777777" w:rsidTr="0071572E">
        <w:trPr>
          <w:tblCellSpacing w:w="15" w:type="dxa"/>
        </w:trPr>
        <w:tc>
          <w:tcPr>
            <w:tcW w:w="0" w:type="auto"/>
            <w:vAlign w:val="center"/>
            <w:hideMark/>
          </w:tcPr>
          <w:p w14:paraId="6E5498FA"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Reporting systems based on needs of public managers and government oversight bodies</w:t>
            </w:r>
          </w:p>
        </w:tc>
        <w:tc>
          <w:tcPr>
            <w:tcW w:w="0" w:type="auto"/>
            <w:vAlign w:val="center"/>
            <w:hideMark/>
          </w:tcPr>
          <w:p w14:paraId="3E7DA728"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Publishing of performance information based on the needs of stakeholders in the community (social, ethical and environmental reporting)</w:t>
            </w:r>
          </w:p>
        </w:tc>
      </w:tr>
      <w:tr w:rsidR="0071572E" w:rsidRPr="0071572E" w14:paraId="78C1A6FF" w14:textId="77777777" w:rsidTr="0071572E">
        <w:trPr>
          <w:tblCellSpacing w:w="15" w:type="dxa"/>
        </w:trPr>
        <w:tc>
          <w:tcPr>
            <w:tcW w:w="0" w:type="auto"/>
            <w:vAlign w:val="center"/>
            <w:hideMark/>
          </w:tcPr>
          <w:p w14:paraId="2958B7CF"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Benchmarking results, internal processes or organizational performance against other local authorities</w:t>
            </w:r>
          </w:p>
        </w:tc>
        <w:tc>
          <w:tcPr>
            <w:tcW w:w="0" w:type="auto"/>
            <w:vAlign w:val="center"/>
            <w:hideMark/>
          </w:tcPr>
          <w:p w14:paraId="4B90455C"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Involving stakeholder groups in the definition of performance standards and comparison of performance against results achieved in other communities</w:t>
            </w:r>
          </w:p>
        </w:tc>
      </w:tr>
      <w:tr w:rsidR="0071572E" w:rsidRPr="0071572E" w14:paraId="764284E3" w14:textId="77777777" w:rsidTr="0071572E">
        <w:trPr>
          <w:tblCellSpacing w:w="15" w:type="dxa"/>
        </w:trPr>
        <w:tc>
          <w:tcPr>
            <w:tcW w:w="0" w:type="auto"/>
            <w:vAlign w:val="center"/>
            <w:hideMark/>
          </w:tcPr>
          <w:p w14:paraId="383076E7"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Use of performance information for control purposes</w:t>
            </w:r>
          </w:p>
        </w:tc>
        <w:tc>
          <w:tcPr>
            <w:tcW w:w="0" w:type="auto"/>
            <w:vAlign w:val="center"/>
            <w:hideMark/>
          </w:tcPr>
          <w:p w14:paraId="364E55E8"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Using performance data for innovation and learning at individual, organizational and network levels</w:t>
            </w:r>
          </w:p>
        </w:tc>
      </w:tr>
      <w:tr w:rsidR="0071572E" w:rsidRPr="0071572E" w14:paraId="663318DE" w14:textId="77777777" w:rsidTr="0071572E">
        <w:trPr>
          <w:tblCellSpacing w:w="15" w:type="dxa"/>
        </w:trPr>
        <w:tc>
          <w:tcPr>
            <w:tcW w:w="0" w:type="auto"/>
            <w:gridSpan w:val="2"/>
            <w:vAlign w:val="center"/>
            <w:hideMark/>
          </w:tcPr>
          <w:p w14:paraId="70F0EFF9"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01041DA9">
                <v:rect id="_x0000_i1037" style="width:0;height:1.5pt" o:hralign="center" o:hrstd="t" o:hr="t" fillcolor="#a0a0a0" stroked="f"/>
              </w:pict>
            </w:r>
          </w:p>
        </w:tc>
      </w:tr>
      <w:tr w:rsidR="0071572E" w:rsidRPr="0071572E" w14:paraId="2CAD4298" w14:textId="77777777" w:rsidTr="0071572E">
        <w:trPr>
          <w:tblCellSpacing w:w="15" w:type="dxa"/>
        </w:trPr>
        <w:tc>
          <w:tcPr>
            <w:tcW w:w="0" w:type="auto"/>
            <w:vAlign w:val="center"/>
            <w:hideMark/>
          </w:tcPr>
          <w:p w14:paraId="514DEEC3"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Improving the functioning of the local authority</w:t>
            </w:r>
          </w:p>
        </w:tc>
        <w:tc>
          <w:tcPr>
            <w:tcW w:w="0" w:type="auto"/>
            <w:vAlign w:val="center"/>
            <w:hideMark/>
          </w:tcPr>
          <w:p w14:paraId="35CDA12E"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i/>
                <w:iCs/>
                <w:sz w:val="24"/>
                <w:szCs w:val="24"/>
                <w:lang w:eastAsia="en-GB"/>
              </w:rPr>
              <w:t>Developing good local governance</w:t>
            </w:r>
          </w:p>
        </w:tc>
      </w:tr>
      <w:tr w:rsidR="0071572E" w:rsidRPr="0071572E" w14:paraId="7BDD494D" w14:textId="77777777" w:rsidTr="0071572E">
        <w:trPr>
          <w:tblCellSpacing w:w="15" w:type="dxa"/>
        </w:trPr>
        <w:tc>
          <w:tcPr>
            <w:tcW w:w="0" w:type="auto"/>
            <w:gridSpan w:val="2"/>
            <w:vAlign w:val="center"/>
            <w:hideMark/>
          </w:tcPr>
          <w:p w14:paraId="0DE095BE" w14:textId="77777777" w:rsidR="0071572E" w:rsidRPr="0071572E" w:rsidRDefault="00B466F0" w:rsidP="00715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15F2980A">
                <v:rect id="_x0000_i1038" style="width:0;height:1.5pt" o:hralign="center" o:hrstd="t" o:hr="t" fillcolor="#a0a0a0" stroked="f"/>
              </w:pict>
            </w:r>
          </w:p>
        </w:tc>
      </w:tr>
      <w:tr w:rsidR="0071572E" w:rsidRPr="0071572E" w14:paraId="4DDFF390" w14:textId="77777777" w:rsidTr="0071572E">
        <w:trPr>
          <w:tblCellSpacing w:w="15" w:type="dxa"/>
        </w:trPr>
        <w:tc>
          <w:tcPr>
            <w:tcW w:w="0" w:type="auto"/>
            <w:vAlign w:val="center"/>
            <w:hideMark/>
          </w:tcPr>
          <w:p w14:paraId="73520069"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Improving the internal efficiency of local authorities</w:t>
            </w:r>
          </w:p>
        </w:tc>
        <w:tc>
          <w:tcPr>
            <w:tcW w:w="0" w:type="auto"/>
            <w:vAlign w:val="center"/>
            <w:hideMark/>
          </w:tcPr>
          <w:p w14:paraId="2BE6BCA6"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Improving the external effectiveness of local authorities and improving local outcomes and the quality of life</w:t>
            </w:r>
          </w:p>
        </w:tc>
      </w:tr>
      <w:tr w:rsidR="0071572E" w:rsidRPr="0071572E" w14:paraId="7AEB9009" w14:textId="77777777" w:rsidTr="0071572E">
        <w:trPr>
          <w:tblCellSpacing w:w="15" w:type="dxa"/>
        </w:trPr>
        <w:tc>
          <w:tcPr>
            <w:tcW w:w="0" w:type="auto"/>
            <w:vAlign w:val="center"/>
            <w:hideMark/>
          </w:tcPr>
          <w:p w14:paraId="238FAB30"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Increasing user satisfaction in relation to local services</w:t>
            </w:r>
          </w:p>
        </w:tc>
        <w:tc>
          <w:tcPr>
            <w:tcW w:w="0" w:type="auto"/>
            <w:vAlign w:val="center"/>
            <w:hideMark/>
          </w:tcPr>
          <w:p w14:paraId="59A71C0A"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Building citizen trust in local government through transparent processes and accountability and through democratic dialogue</w:t>
            </w:r>
          </w:p>
        </w:tc>
      </w:tr>
      <w:tr w:rsidR="0071572E" w:rsidRPr="0071572E" w14:paraId="3CD36B6D" w14:textId="77777777" w:rsidTr="0071572E">
        <w:trPr>
          <w:tblCellSpacing w:w="15" w:type="dxa"/>
        </w:trPr>
        <w:tc>
          <w:tcPr>
            <w:tcW w:w="0" w:type="auto"/>
            <w:vAlign w:val="center"/>
            <w:hideMark/>
          </w:tcPr>
          <w:p w14:paraId="3A019265"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Serving the community by producing policies, services and knowledge (community leader)</w:t>
            </w:r>
          </w:p>
        </w:tc>
        <w:tc>
          <w:tcPr>
            <w:tcW w:w="0" w:type="auto"/>
            <w:vAlign w:val="center"/>
            <w:hideMark/>
          </w:tcPr>
          <w:p w14:paraId="695A0089"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Enabling the community to plan and manage its own affairs and co-produce its own services (community developer)</w:t>
            </w:r>
          </w:p>
        </w:tc>
      </w:tr>
    </w:tbl>
    <w:p w14:paraId="15CCFE68" w14:textId="77777777" w:rsidR="0071572E" w:rsidRPr="0071572E" w:rsidRDefault="0071572E" w:rsidP="0071572E">
      <w:pPr>
        <w:spacing w:before="100" w:beforeAutospacing="1" w:after="100" w:afterAutospacing="1" w:line="240" w:lineRule="auto"/>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Source: Adapted from Bovaird and Loeffler (2002: 21–23)</w:t>
      </w:r>
    </w:p>
    <w:p w14:paraId="74488C08"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Important stakeholders in public governance</w:t>
      </w:r>
    </w:p>
    <w:p w14:paraId="1E310E36"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If governance is much more than government, does this mean that governments no longer have an important role to play in local politics and service delivery? Or, as the public governance experts Jon Pierre and Guy Peters (2000) ask provocatively: ‘Does government still matter?’</w:t>
      </w:r>
    </w:p>
    <w:p w14:paraId="5AFAF878"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Such questions are misguided, as they consider governance issues out of context. More meaningful governance questions are rather: When does government still matter? What functions could public organizations share with other stakeholders – and which can they not share? What are the roles of different stakeholders, including the public sector, in solving different problems in society?</w:t>
      </w:r>
    </w:p>
    <w:p w14:paraId="691AFF0A"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concept of stakeholders originally just included people who have a stake (or share) in a particular issue, service or organization – i.e. those who are </w:t>
      </w:r>
      <w:r w:rsidRPr="0071572E">
        <w:rPr>
          <w:rFonts w:ascii="LinLibertine" w:eastAsia="Times New Roman" w:hAnsi="LinLibertine" w:cs="Times New Roman"/>
          <w:i/>
          <w:iCs/>
          <w:color w:val="000000"/>
          <w:sz w:val="24"/>
          <w:szCs w:val="24"/>
          <w:lang w:eastAsia="en-GB"/>
        </w:rPr>
        <w:t>affected</w:t>
      </w:r>
      <w:r w:rsidRPr="0071572E">
        <w:rPr>
          <w:rFonts w:ascii="LinLibertine" w:eastAsia="Times New Roman" w:hAnsi="LinLibertine" w:cs="Times New Roman"/>
          <w:color w:val="000000"/>
          <w:sz w:val="24"/>
          <w:szCs w:val="24"/>
          <w:lang w:eastAsia="en-GB"/>
        </w:rPr>
        <w:t> in some way by the actions of the organization. However, the concept of stakeholder is nowadays usually widened to cover also people whose actions </w:t>
      </w:r>
      <w:r w:rsidRPr="0071572E">
        <w:rPr>
          <w:rFonts w:ascii="LinLibertine" w:eastAsia="Times New Roman" w:hAnsi="LinLibertine" w:cs="Times New Roman"/>
          <w:i/>
          <w:iCs/>
          <w:color w:val="000000"/>
          <w:sz w:val="24"/>
          <w:szCs w:val="24"/>
          <w:lang w:eastAsia="en-GB"/>
        </w:rPr>
        <w:t>affect</w:t>
      </w:r>
      <w:r w:rsidRPr="0071572E">
        <w:rPr>
          <w:rFonts w:ascii="LinLibertine" w:eastAsia="Times New Roman" w:hAnsi="LinLibertine" w:cs="Times New Roman"/>
          <w:color w:val="000000"/>
          <w:sz w:val="24"/>
          <w:szCs w:val="24"/>
          <w:lang w:eastAsia="en-GB"/>
        </w:rPr>
        <w:t> the organization concerned. Stakeholders can be groups of people, organizations or individuals.</w:t>
      </w:r>
    </w:p>
    <w:p w14:paraId="4BB70E9B"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Typically, public governance issues are likely to involve the following key stakeholders (amongst others):</w:t>
      </w:r>
    </w:p>
    <w:p w14:paraId="48B82055"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citizens (as individuals);</w:t>
      </w:r>
    </w:p>
    <w:p w14:paraId="5ABD366B"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community organizations that are loosely organized;</w:t>
      </w:r>
    </w:p>
    <w:p w14:paraId="27DD8309"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non-profit organizations (including charities and major non-governmental organizations), which are often quite tightly organized;</w:t>
      </w:r>
    </w:p>
    <w:p w14:paraId="77F8B3C7"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business;</w:t>
      </w:r>
    </w:p>
    <w:p w14:paraId="1B15CC63"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media;</w:t>
      </w:r>
    </w:p>
    <w:p w14:paraId="2E4EA571"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lastRenderedPageBreak/>
        <w:t>public agencies (e.g. different levels of government/Parliament, including international levels);</w:t>
      </w:r>
    </w:p>
    <w:p w14:paraId="1A2DB1BA"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elected politicians;</w:t>
      </w:r>
    </w:p>
    <w:p w14:paraId="6607DF98" w14:textId="77777777" w:rsidR="0071572E" w:rsidRPr="0071572E" w:rsidRDefault="0071572E" w:rsidP="0071572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trade unions.</w:t>
      </w:r>
    </w:p>
    <w:p w14:paraId="5719BECE"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Obviously the stakeholders who are most important in any public governance issue will vary, depending on the policy area, the geographic area and the community concerned.</w:t>
      </w:r>
    </w:p>
    <w:p w14:paraId="11B9D6F4"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In order to solve ‘wicked’ policy problems successfully it is important to identify the most relevant stakeholders – one powerful way to do this is by drawing up a stakeholder power-interest matrix (see </w:t>
      </w:r>
      <w:hyperlink r:id="rId32" w:anchor="fig6_1" w:history="1">
        <w:r w:rsidRPr="0071572E">
          <w:rPr>
            <w:rFonts w:ascii="LinLibertine" w:eastAsia="Times New Roman" w:hAnsi="LinLibertine" w:cs="Times New Roman"/>
            <w:color w:val="0000FF"/>
            <w:sz w:val="24"/>
            <w:szCs w:val="24"/>
            <w:u w:val="single"/>
            <w:lang w:eastAsia="en-GB"/>
          </w:rPr>
          <w:t>Figure 6.1</w:t>
        </w:r>
      </w:hyperlink>
      <w:r w:rsidRPr="0071572E">
        <w:rPr>
          <w:rFonts w:ascii="LinLibertine" w:eastAsia="Times New Roman" w:hAnsi="LinLibertine" w:cs="Times New Roman"/>
          <w:color w:val="000000"/>
          <w:sz w:val="24"/>
          <w:szCs w:val="24"/>
          <w:lang w:eastAsia="en-GB"/>
        </w:rPr>
        <w:t> in </w:t>
      </w:r>
      <w:hyperlink r:id="rId33" w:history="1">
        <w:r w:rsidRPr="0071572E">
          <w:rPr>
            <w:rFonts w:ascii="LinLibertine" w:eastAsia="Times New Roman" w:hAnsi="LinLibertine" w:cs="Times New Roman"/>
            <w:color w:val="0000FF"/>
            <w:sz w:val="24"/>
            <w:szCs w:val="24"/>
            <w:u w:val="single"/>
            <w:lang w:eastAsia="en-GB"/>
          </w:rPr>
          <w:t>chapter 6</w:t>
        </w:r>
      </w:hyperlink>
      <w:r w:rsidRPr="0071572E">
        <w:rPr>
          <w:rFonts w:ascii="LinLibertine" w:eastAsia="Times New Roman" w:hAnsi="LinLibertine" w:cs="Times New Roman"/>
          <w:color w:val="000000"/>
          <w:sz w:val="24"/>
          <w:szCs w:val="24"/>
          <w:lang w:eastAsia="en-GB"/>
        </w:rPr>
        <w:t>). The first step is to brainstorm all stakeholders who are believed to have a stake in the organization concerned or to be affected by the organization’s actions. The second step is to allocate these stakeholders into one of four categories by determining:</w:t>
      </w:r>
    </w:p>
    <w:p w14:paraId="21781A9F" w14:textId="77777777" w:rsidR="0071572E" w:rsidRPr="0071572E" w:rsidRDefault="0071572E" w:rsidP="0071572E">
      <w:pPr>
        <w:numPr>
          <w:ilvl w:val="0"/>
          <w:numId w:val="5"/>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their power over your organization/service/project (are they powerful enough to do your organization harm? Or are they so weak that your organization does not care much what they think about your organization?);</w:t>
      </w:r>
    </w:p>
    <w:p w14:paraId="17A20049" w14:textId="77777777" w:rsidR="0071572E" w:rsidRPr="0071572E" w:rsidRDefault="0071572E" w:rsidP="0071572E">
      <w:pPr>
        <w:numPr>
          <w:ilvl w:val="0"/>
          <w:numId w:val="5"/>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interest that they have in your organization/service/project.</w:t>
      </w:r>
    </w:p>
    <w:p w14:paraId="3CF19EAD"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position of stakeholders in the matrix helps managers to understand how best to engage with them.</w:t>
      </w:r>
    </w:p>
    <w:p w14:paraId="1C61287E"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Clearly, not all stakeholders are equally important and relevant in relation to a given action by the organization. This insight may seem contradictory to the principle of ‘equal treatment’ which is commonly associated with ‘good governance’. However, the fact is that effective governance requires priority-setting, including deciding which of your stakeholders matters most to any decision that has to be taken in a given situation.</w:t>
      </w:r>
    </w:p>
    <w:p w14:paraId="565B34DA"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This is all the more important, but also more difficult, because there is still great uncertainty about the relative role of different stakeholders in improving quality of life, solving the ‘wicked problems’ in society and ensuring that public governance processes are improved. We cannot yet be clear about ‘what works, where and when’ in addressing these issues. It is important, therefore, that we make appropriate use of the evidence available, and take steps to improve that evidence on public governance (see </w:t>
      </w:r>
      <w:hyperlink r:id="rId34" w:history="1">
        <w:r w:rsidRPr="0071572E">
          <w:rPr>
            <w:rFonts w:ascii="LinLibertine" w:eastAsia="Times New Roman" w:hAnsi="LinLibertine" w:cs="Times New Roman"/>
            <w:color w:val="0000FF"/>
            <w:sz w:val="24"/>
            <w:szCs w:val="24"/>
            <w:u w:val="single"/>
            <w:lang w:eastAsia="en-GB"/>
          </w:rPr>
          <w:t>chapter 27</w:t>
        </w:r>
      </w:hyperlink>
      <w:r w:rsidRPr="0071572E">
        <w:rPr>
          <w:rFonts w:ascii="LinLibertine" w:eastAsia="Times New Roman" w:hAnsi="LinLibertine" w:cs="Times New Roman"/>
          <w:color w:val="000000"/>
          <w:sz w:val="24"/>
          <w:szCs w:val="24"/>
          <w:lang w:eastAsia="en-GB"/>
        </w:rPr>
        <w:t>), including, for example, experimentation around alternative approaches.</w:t>
      </w:r>
    </w:p>
    <w:p w14:paraId="04076930"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As part of this learning-based approach, public sector organizations increasingly recognize that they have to work together with their key stakeholders at all stages of the policy cycle in order to improve services and outcomes. This means that policy-making is no longer seen as a purely ‘top-down’ process but rather as a negotiation between many interacting policy systems. In practice, this means that public sector organizations have to share the activities of service commissioning, design, management, delivery and assessment with relevant stakeholders. When these other stakeholders are organizations, we will call such joint activities ‘collaboration’ or ‘partnership’ (see </w:t>
      </w:r>
      <w:hyperlink r:id="rId35" w:history="1">
        <w:r w:rsidRPr="0071572E">
          <w:rPr>
            <w:rFonts w:ascii="LinLibertine" w:eastAsia="Times New Roman" w:hAnsi="LinLibertine" w:cs="Times New Roman"/>
            <w:color w:val="0000FF"/>
            <w:sz w:val="24"/>
            <w:szCs w:val="24"/>
            <w:u w:val="single"/>
            <w:lang w:eastAsia="en-GB"/>
          </w:rPr>
          <w:t>chapter 17</w:t>
        </w:r>
      </w:hyperlink>
      <w:r w:rsidRPr="0071572E">
        <w:rPr>
          <w:rFonts w:ascii="LinLibertine" w:eastAsia="Times New Roman" w:hAnsi="LinLibertine" w:cs="Times New Roman"/>
          <w:color w:val="000000"/>
          <w:sz w:val="24"/>
          <w:szCs w:val="24"/>
          <w:lang w:eastAsia="en-GB"/>
        </w:rPr>
        <w:t>). Similarly, services are no longer simply delivered by professional and managerial staff in public agencies, but rather co-produced by users and their communities (see </w:t>
      </w:r>
      <w:hyperlink r:id="rId36" w:history="1">
        <w:r w:rsidRPr="0071572E">
          <w:rPr>
            <w:rFonts w:ascii="LinLibertine" w:eastAsia="Times New Roman" w:hAnsi="LinLibertine" w:cs="Times New Roman"/>
            <w:color w:val="0000FF"/>
            <w:sz w:val="24"/>
            <w:szCs w:val="24"/>
            <w:u w:val="single"/>
            <w:lang w:eastAsia="en-GB"/>
          </w:rPr>
          <w:t>chapter 23</w:t>
        </w:r>
      </w:hyperlink>
      <w:r w:rsidRPr="0071572E">
        <w:rPr>
          <w:rFonts w:ascii="LinLibertine" w:eastAsia="Times New Roman" w:hAnsi="LinLibertine" w:cs="Times New Roman"/>
          <w:color w:val="000000"/>
          <w:sz w:val="24"/>
          <w:szCs w:val="24"/>
          <w:lang w:eastAsia="en-GB"/>
        </w:rPr>
        <w:t>).</w:t>
      </w:r>
    </w:p>
    <w:p w14:paraId="2B5B0FAF"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Networks as a specific mode of public governance</w:t>
      </w:r>
    </w:p>
    <w:p w14:paraId="5F757DB8"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lastRenderedPageBreak/>
        <w:t>For some academics, public governance refers to ‘self-organizing, inter-organizational net-works’ (Rhodes, 1997: 53). Yet, as Pierre and Peters (2000: 14–26) point out, although networks have become an increasingly important aspect of public governance, they are only one specific mode of public governance. There are also other governance mechanisms that remain significant in the public, private and voluntary sectors, so that the list should read:</w:t>
      </w:r>
    </w:p>
    <w:p w14:paraId="3964F12F" w14:textId="77777777" w:rsidR="0071572E" w:rsidRPr="0071572E" w:rsidRDefault="0071572E" w:rsidP="0071572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hierarchies</w:t>
      </w:r>
    </w:p>
    <w:p w14:paraId="70855CC8" w14:textId="77777777" w:rsidR="0071572E" w:rsidRPr="0071572E" w:rsidRDefault="0071572E" w:rsidP="0071572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markets</w:t>
      </w:r>
    </w:p>
    <w:p w14:paraId="47455426" w14:textId="77777777" w:rsidR="0071572E" w:rsidRPr="0071572E" w:rsidRDefault="0071572E" w:rsidP="0071572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organizational networks</w:t>
      </w:r>
    </w:p>
    <w:p w14:paraId="49BA1A6F" w14:textId="77777777" w:rsidR="0071572E" w:rsidRPr="0071572E" w:rsidRDefault="0071572E" w:rsidP="0071572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communities.</w:t>
      </w:r>
    </w:p>
    <w:p w14:paraId="0394EBFF"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This means that public governance not only involves cooperation but also competition and conflict management. The key governance issues are not simply how to develop and maintain networks, but which governance mechanisms are appropriate in which context.</w:t>
      </w:r>
    </w:p>
    <w:p w14:paraId="032E36AF"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However, we must ask: what do we mean by ‘networks’? In general, policy networks consist of a variety of actors who all have their own goals and strategies but who are dependent on each other to achieve the desired public policy outcomes. There is no single actor who has enough power to ensure the achievement of the policy outcomes himself/herself. Obviously, the operation of networks will differ depending on the distribution of power and the institutional context, which determines incentives or obstacles for cooperation (</w:t>
      </w:r>
      <w:proofErr w:type="spellStart"/>
      <w:r w:rsidRPr="0071572E">
        <w:rPr>
          <w:rFonts w:ascii="LinLibertine" w:eastAsia="Times New Roman" w:hAnsi="LinLibertine" w:cs="Times New Roman"/>
          <w:color w:val="000000"/>
          <w:sz w:val="24"/>
          <w:szCs w:val="24"/>
          <w:lang w:eastAsia="en-GB"/>
        </w:rPr>
        <w:t>Kickert</w:t>
      </w:r>
      <w:proofErr w:type="spellEnd"/>
      <w:r w:rsidRPr="0071572E">
        <w:rPr>
          <w:rFonts w:ascii="LinLibertine" w:eastAsia="Times New Roman" w:hAnsi="LinLibertine" w:cs="Times New Roman"/>
          <w:color w:val="000000"/>
          <w:sz w:val="24"/>
          <w:szCs w:val="24"/>
          <w:lang w:eastAsia="en-GB"/>
        </w:rPr>
        <w:t xml:space="preserve"> and </w:t>
      </w:r>
      <w:proofErr w:type="spellStart"/>
      <w:r w:rsidRPr="0071572E">
        <w:rPr>
          <w:rFonts w:ascii="LinLibertine" w:eastAsia="Times New Roman" w:hAnsi="LinLibertine" w:cs="Times New Roman"/>
          <w:color w:val="000000"/>
          <w:sz w:val="24"/>
          <w:szCs w:val="24"/>
          <w:lang w:eastAsia="en-GB"/>
        </w:rPr>
        <w:t>Koppenjan</w:t>
      </w:r>
      <w:proofErr w:type="spellEnd"/>
      <w:r w:rsidRPr="0071572E">
        <w:rPr>
          <w:rFonts w:ascii="LinLibertine" w:eastAsia="Times New Roman" w:hAnsi="LinLibertine" w:cs="Times New Roman"/>
          <w:color w:val="000000"/>
          <w:sz w:val="24"/>
          <w:szCs w:val="24"/>
          <w:lang w:eastAsia="en-GB"/>
        </w:rPr>
        <w:t>, 1997: 41ff.). One famous categorization of policy networks comes from Rhodes (1997) (see </w:t>
      </w:r>
      <w:hyperlink r:id="rId37" w:anchor="tab15_2" w:history="1">
        <w:r w:rsidRPr="0071572E">
          <w:rPr>
            <w:rFonts w:ascii="LinLibertine" w:eastAsia="Times New Roman" w:hAnsi="LinLibertine" w:cs="Times New Roman"/>
            <w:color w:val="0000FF"/>
            <w:sz w:val="24"/>
            <w:szCs w:val="24"/>
            <w:u w:val="single"/>
            <w:lang w:eastAsia="en-GB"/>
          </w:rPr>
          <w:t>Table 15.2</w:t>
        </w:r>
      </w:hyperlink>
      <w:r w:rsidRPr="0071572E">
        <w:rPr>
          <w:rFonts w:ascii="LinLibertine" w:eastAsia="Times New Roman" w:hAnsi="LinLibertine" w:cs="Times New Roman"/>
          <w:color w:val="000000"/>
          <w:sz w:val="24"/>
          <w:szCs w:val="24"/>
          <w:lang w:eastAsia="en-GB"/>
        </w:rPr>
        <w:t>). Policy communities are at one end of the continuum and involve close relationships between a limited number of participants, while issue networks are at the other end and involve loose relationships between many participants with fluctuating interactions.</w:t>
      </w:r>
    </w:p>
    <w:p w14:paraId="1EF48F06" w14:textId="77777777" w:rsidR="0071572E" w:rsidRPr="0071572E" w:rsidRDefault="00B466F0" w:rsidP="0071572E">
      <w:pPr>
        <w:spacing w:before="100" w:beforeAutospacing="1" w:after="100" w:afterAutospacing="1" w:line="240" w:lineRule="auto"/>
        <w:rPr>
          <w:rFonts w:ascii="LinLibertine" w:eastAsia="Times New Roman" w:hAnsi="LinLibertine" w:cs="Times New Roman"/>
          <w:color w:val="000000"/>
          <w:lang w:eastAsia="en-GB"/>
        </w:rPr>
      </w:pPr>
      <w:hyperlink r:id="rId38" w:anchor="bck_tab15_2" w:history="1">
        <w:r w:rsidR="0071572E" w:rsidRPr="0071572E">
          <w:rPr>
            <w:rFonts w:ascii="LinLibertine" w:eastAsia="Times New Roman" w:hAnsi="LinLibertine" w:cs="Times New Roman"/>
            <w:i/>
            <w:iCs/>
            <w:color w:val="0000FF"/>
            <w:sz w:val="19"/>
            <w:szCs w:val="19"/>
            <w:u w:val="single"/>
            <w:lang w:eastAsia="en-GB"/>
          </w:rPr>
          <w:t>Table 15.2</w:t>
        </w:r>
      </w:hyperlink>
      <w:r w:rsidR="0071572E" w:rsidRPr="0071572E">
        <w:rPr>
          <w:rFonts w:ascii="LinLibertine" w:eastAsia="Times New Roman" w:hAnsi="LinLibertine" w:cs="Times New Roman"/>
          <w:color w:val="000000"/>
          <w:lang w:eastAsia="en-GB"/>
        </w:rPr>
        <w:t> The ‘Rhodes typology’ of policy networks</w:t>
      </w:r>
    </w:p>
    <w:tbl>
      <w:tblPr>
        <w:tblW w:w="21600" w:type="dxa"/>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4361"/>
        <w:gridCol w:w="17239"/>
      </w:tblGrid>
      <w:tr w:rsidR="0071572E" w:rsidRPr="0071572E" w14:paraId="678C2DE5" w14:textId="77777777" w:rsidTr="0071572E">
        <w:trPr>
          <w:tblHeader/>
          <w:tblCellSpacing w:w="15" w:type="dxa"/>
        </w:trPr>
        <w:tc>
          <w:tcPr>
            <w:tcW w:w="0" w:type="auto"/>
            <w:vAlign w:val="center"/>
            <w:hideMark/>
          </w:tcPr>
          <w:p w14:paraId="271F9C8B" w14:textId="77777777" w:rsidR="0071572E" w:rsidRPr="0071572E" w:rsidRDefault="0071572E" w:rsidP="0071572E">
            <w:pPr>
              <w:spacing w:after="0" w:line="240" w:lineRule="auto"/>
              <w:rPr>
                <w:rFonts w:ascii="Times New Roman" w:eastAsia="Times New Roman" w:hAnsi="Times New Roman" w:cs="Times New Roman"/>
                <w:i/>
                <w:iCs/>
                <w:sz w:val="24"/>
                <w:szCs w:val="24"/>
                <w:lang w:eastAsia="en-GB"/>
              </w:rPr>
            </w:pPr>
            <w:r w:rsidRPr="0071572E">
              <w:rPr>
                <w:rFonts w:ascii="Times New Roman" w:eastAsia="Times New Roman" w:hAnsi="Times New Roman" w:cs="Times New Roman"/>
                <w:i/>
                <w:iCs/>
                <w:sz w:val="24"/>
                <w:szCs w:val="24"/>
                <w:lang w:eastAsia="en-GB"/>
              </w:rPr>
              <w:t>Type of network</w:t>
            </w:r>
          </w:p>
        </w:tc>
        <w:tc>
          <w:tcPr>
            <w:tcW w:w="0" w:type="auto"/>
            <w:vAlign w:val="center"/>
            <w:hideMark/>
          </w:tcPr>
          <w:p w14:paraId="02C5564B" w14:textId="77777777" w:rsidR="0071572E" w:rsidRPr="0071572E" w:rsidRDefault="0071572E" w:rsidP="0071572E">
            <w:pPr>
              <w:spacing w:after="0" w:line="240" w:lineRule="auto"/>
              <w:rPr>
                <w:rFonts w:ascii="Times New Roman" w:eastAsia="Times New Roman" w:hAnsi="Times New Roman" w:cs="Times New Roman"/>
                <w:i/>
                <w:iCs/>
                <w:sz w:val="24"/>
                <w:szCs w:val="24"/>
                <w:lang w:eastAsia="en-GB"/>
              </w:rPr>
            </w:pPr>
            <w:r w:rsidRPr="0071572E">
              <w:rPr>
                <w:rFonts w:ascii="Times New Roman" w:eastAsia="Times New Roman" w:hAnsi="Times New Roman" w:cs="Times New Roman"/>
                <w:i/>
                <w:iCs/>
                <w:sz w:val="24"/>
                <w:szCs w:val="24"/>
                <w:lang w:eastAsia="en-GB"/>
              </w:rPr>
              <w:t>Characteristics of network</w:t>
            </w:r>
          </w:p>
        </w:tc>
      </w:tr>
      <w:tr w:rsidR="0071572E" w:rsidRPr="0071572E" w14:paraId="5D645B55" w14:textId="77777777" w:rsidTr="0071572E">
        <w:trPr>
          <w:tblHeader/>
          <w:tblCellSpacing w:w="15" w:type="dxa"/>
        </w:trPr>
        <w:tc>
          <w:tcPr>
            <w:tcW w:w="0" w:type="auto"/>
            <w:gridSpan w:val="2"/>
            <w:vAlign w:val="center"/>
            <w:hideMark/>
          </w:tcPr>
          <w:p w14:paraId="07C9A24F" w14:textId="77777777" w:rsidR="0071572E" w:rsidRPr="0071572E" w:rsidRDefault="00B466F0" w:rsidP="0071572E">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pict w14:anchorId="16BF8197">
                <v:rect id="_x0000_i1039" style="width:0;height:1.5pt" o:hralign="center" o:hrstd="t" o:hr="t" fillcolor="#a0a0a0" stroked="f"/>
              </w:pict>
            </w:r>
          </w:p>
        </w:tc>
      </w:tr>
      <w:tr w:rsidR="0071572E" w:rsidRPr="0071572E" w14:paraId="3F5060A1" w14:textId="77777777" w:rsidTr="0071572E">
        <w:trPr>
          <w:tblCellSpacing w:w="15" w:type="dxa"/>
        </w:trPr>
        <w:tc>
          <w:tcPr>
            <w:tcW w:w="0" w:type="auto"/>
            <w:vAlign w:val="center"/>
            <w:hideMark/>
          </w:tcPr>
          <w:p w14:paraId="6E10B347"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Policy community/ territorial community</w:t>
            </w:r>
          </w:p>
        </w:tc>
        <w:tc>
          <w:tcPr>
            <w:tcW w:w="0" w:type="auto"/>
            <w:vAlign w:val="center"/>
            <w:hideMark/>
          </w:tcPr>
          <w:p w14:paraId="11BA9E1C"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Stability, highly restricted membership (usually including strong political links), vertical interdependence, limited horizontal articulation</w:t>
            </w:r>
          </w:p>
        </w:tc>
      </w:tr>
      <w:tr w:rsidR="0071572E" w:rsidRPr="0071572E" w14:paraId="0B221E9F" w14:textId="77777777" w:rsidTr="0071572E">
        <w:trPr>
          <w:tblCellSpacing w:w="15" w:type="dxa"/>
        </w:trPr>
        <w:tc>
          <w:tcPr>
            <w:tcW w:w="0" w:type="auto"/>
            <w:vAlign w:val="center"/>
            <w:hideMark/>
          </w:tcPr>
          <w:p w14:paraId="0997CCC5"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Professional network</w:t>
            </w:r>
          </w:p>
        </w:tc>
        <w:tc>
          <w:tcPr>
            <w:tcW w:w="0" w:type="auto"/>
            <w:vAlign w:val="center"/>
            <w:hideMark/>
          </w:tcPr>
          <w:p w14:paraId="1F975199"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Stability, highly restricted membership (usually with very weak political links), vertical interdependence, limited horizontal articulation, serves interest of profession</w:t>
            </w:r>
          </w:p>
        </w:tc>
      </w:tr>
      <w:tr w:rsidR="0071572E" w:rsidRPr="0071572E" w14:paraId="4C1176B4" w14:textId="77777777" w:rsidTr="0071572E">
        <w:trPr>
          <w:tblCellSpacing w:w="15" w:type="dxa"/>
        </w:trPr>
        <w:tc>
          <w:tcPr>
            <w:tcW w:w="0" w:type="auto"/>
            <w:vAlign w:val="center"/>
            <w:hideMark/>
          </w:tcPr>
          <w:p w14:paraId="36FD6A8A"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Intergovernmental network</w:t>
            </w:r>
          </w:p>
        </w:tc>
        <w:tc>
          <w:tcPr>
            <w:tcW w:w="0" w:type="auto"/>
            <w:vAlign w:val="center"/>
            <w:hideMark/>
          </w:tcPr>
          <w:p w14:paraId="32ED137D"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Limited membership (usually including political representatives), limited vertical interdependence, extensive horizontal articulation</w:t>
            </w:r>
          </w:p>
        </w:tc>
      </w:tr>
      <w:tr w:rsidR="0071572E" w:rsidRPr="0071572E" w14:paraId="704779D8" w14:textId="77777777" w:rsidTr="0071572E">
        <w:trPr>
          <w:tblCellSpacing w:w="15" w:type="dxa"/>
        </w:trPr>
        <w:tc>
          <w:tcPr>
            <w:tcW w:w="0" w:type="auto"/>
            <w:vAlign w:val="center"/>
            <w:hideMark/>
          </w:tcPr>
          <w:p w14:paraId="5503BE7E"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Producer network</w:t>
            </w:r>
          </w:p>
        </w:tc>
        <w:tc>
          <w:tcPr>
            <w:tcW w:w="0" w:type="auto"/>
            <w:vAlign w:val="center"/>
            <w:hideMark/>
          </w:tcPr>
          <w:p w14:paraId="0BAFBF38"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Fluctuating membership (usually with weak political links), limited vertical interdependence, serves interest of producer</w:t>
            </w:r>
          </w:p>
        </w:tc>
      </w:tr>
      <w:tr w:rsidR="0071572E" w:rsidRPr="0071572E" w14:paraId="47BF7EF0" w14:textId="77777777" w:rsidTr="0071572E">
        <w:trPr>
          <w:tblCellSpacing w:w="15" w:type="dxa"/>
        </w:trPr>
        <w:tc>
          <w:tcPr>
            <w:tcW w:w="0" w:type="auto"/>
            <w:vAlign w:val="center"/>
            <w:hideMark/>
          </w:tcPr>
          <w:p w14:paraId="011A3DA5"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Issue network</w:t>
            </w:r>
          </w:p>
        </w:tc>
        <w:tc>
          <w:tcPr>
            <w:tcW w:w="0" w:type="auto"/>
            <w:vAlign w:val="center"/>
            <w:hideMark/>
          </w:tcPr>
          <w:p w14:paraId="66BBA540"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Unstable, large number of members (usually including political representatives), limited vertical interdependence</w:t>
            </w:r>
          </w:p>
        </w:tc>
      </w:tr>
    </w:tbl>
    <w:p w14:paraId="187597B4" w14:textId="77777777" w:rsidR="0071572E" w:rsidRPr="0071572E" w:rsidRDefault="0071572E" w:rsidP="0071572E">
      <w:pPr>
        <w:spacing w:before="100" w:beforeAutospacing="1" w:after="100" w:afterAutospacing="1" w:line="240" w:lineRule="auto"/>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Source: Adapted from Rhodes (1997: 38)</w:t>
      </w:r>
    </w:p>
    <w:p w14:paraId="7249980C"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As the public sector has become more fragmented and the boundaries between public, private and non-profit sectors have become more blurred, the nature of networks has changed. In the UK, functional policy networks based on central government departments have expanded to include more actors, most notably from the private and voluntary sectors (Rhodes, 1997: 45). At the same time, the number of networks has increased significantly.</w:t>
      </w:r>
    </w:p>
    <w:p w14:paraId="0C5B0564"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As a result, the implementation of public policies has had to adapt, placing more emphasis on the need for integration and coordination. Hierarchical, top-down policy-</w:t>
      </w:r>
      <w:r w:rsidRPr="0071572E">
        <w:rPr>
          <w:rFonts w:ascii="LinLibertine" w:eastAsia="Times New Roman" w:hAnsi="LinLibertine" w:cs="Times New Roman"/>
          <w:color w:val="000000"/>
          <w:sz w:val="24"/>
          <w:szCs w:val="24"/>
          <w:lang w:eastAsia="en-GB"/>
        </w:rPr>
        <w:lastRenderedPageBreak/>
        <w:t>making typically does not work in networks, particularly as they have no obvious ‘top’ (see </w:t>
      </w:r>
      <w:hyperlink r:id="rId39" w:history="1">
        <w:r w:rsidRPr="0071572E">
          <w:rPr>
            <w:rFonts w:ascii="LinLibertine" w:eastAsia="Times New Roman" w:hAnsi="LinLibertine" w:cs="Times New Roman"/>
            <w:color w:val="0000FF"/>
            <w:sz w:val="24"/>
            <w:szCs w:val="24"/>
            <w:u w:val="single"/>
            <w:lang w:eastAsia="en-GB"/>
          </w:rPr>
          <w:t>chapter 19</w:t>
        </w:r>
      </w:hyperlink>
      <w:r w:rsidRPr="0071572E">
        <w:rPr>
          <w:rFonts w:ascii="LinLibertine" w:eastAsia="Times New Roman" w:hAnsi="LinLibertine" w:cs="Times New Roman"/>
          <w:color w:val="000000"/>
          <w:sz w:val="24"/>
          <w:szCs w:val="24"/>
          <w:lang w:eastAsia="en-GB"/>
        </w:rPr>
        <w:t>). In the academic literature, network management is seen as consisting of two major elements (</w:t>
      </w:r>
      <w:proofErr w:type="spellStart"/>
      <w:r w:rsidRPr="0071572E">
        <w:rPr>
          <w:rFonts w:ascii="LinLibertine" w:eastAsia="Times New Roman" w:hAnsi="LinLibertine" w:cs="Times New Roman"/>
          <w:color w:val="000000"/>
          <w:sz w:val="24"/>
          <w:szCs w:val="24"/>
          <w:lang w:eastAsia="en-GB"/>
        </w:rPr>
        <w:t>Kickert</w:t>
      </w:r>
      <w:proofErr w:type="spellEnd"/>
      <w:r w:rsidRPr="0071572E">
        <w:rPr>
          <w:rFonts w:ascii="LinLibertine" w:eastAsia="Times New Roman" w:hAnsi="LinLibertine" w:cs="Times New Roman"/>
          <w:color w:val="000000"/>
          <w:sz w:val="24"/>
          <w:szCs w:val="24"/>
          <w:lang w:eastAsia="en-GB"/>
        </w:rPr>
        <w:t xml:space="preserve"> and </w:t>
      </w:r>
      <w:proofErr w:type="spellStart"/>
      <w:r w:rsidRPr="0071572E">
        <w:rPr>
          <w:rFonts w:ascii="LinLibertine" w:eastAsia="Times New Roman" w:hAnsi="LinLibertine" w:cs="Times New Roman"/>
          <w:color w:val="000000"/>
          <w:sz w:val="24"/>
          <w:szCs w:val="24"/>
          <w:lang w:eastAsia="en-GB"/>
        </w:rPr>
        <w:t>Koppenjan</w:t>
      </w:r>
      <w:proofErr w:type="spellEnd"/>
      <w:r w:rsidRPr="0071572E">
        <w:rPr>
          <w:rFonts w:ascii="LinLibertine" w:eastAsia="Times New Roman" w:hAnsi="LinLibertine" w:cs="Times New Roman"/>
          <w:color w:val="000000"/>
          <w:sz w:val="24"/>
          <w:szCs w:val="24"/>
          <w:lang w:eastAsia="en-GB"/>
        </w:rPr>
        <w:t>, 1997: 46):</w:t>
      </w:r>
    </w:p>
    <w:p w14:paraId="1AEA78B7" w14:textId="77777777" w:rsidR="0071572E" w:rsidRPr="0071572E" w:rsidRDefault="0071572E" w:rsidP="0071572E">
      <w:pPr>
        <w:numPr>
          <w:ilvl w:val="0"/>
          <w:numId w:val="7"/>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direct management of interactions within networks (so-called </w:t>
      </w:r>
      <w:r w:rsidRPr="0071572E">
        <w:rPr>
          <w:rFonts w:ascii="LinLibertine" w:eastAsia="Times New Roman" w:hAnsi="LinLibertine" w:cs="Times New Roman"/>
          <w:i/>
          <w:iCs/>
          <w:color w:val="000000"/>
          <w:sz w:val="24"/>
          <w:szCs w:val="24"/>
          <w:lang w:eastAsia="en-GB"/>
        </w:rPr>
        <w:t>game management</w:t>
      </w:r>
      <w:r w:rsidRPr="0071572E">
        <w:rPr>
          <w:rFonts w:ascii="LinLibertine" w:eastAsia="Times New Roman" w:hAnsi="LinLibertine" w:cs="Times New Roman"/>
          <w:color w:val="000000"/>
          <w:sz w:val="24"/>
          <w:szCs w:val="24"/>
          <w:lang w:eastAsia="en-GB"/>
        </w:rPr>
        <w:t>);</w:t>
      </w:r>
    </w:p>
    <w:p w14:paraId="3025BE7A" w14:textId="77777777" w:rsidR="0071572E" w:rsidRPr="0071572E" w:rsidRDefault="0071572E" w:rsidP="0071572E">
      <w:pPr>
        <w:numPr>
          <w:ilvl w:val="0"/>
          <w:numId w:val="7"/>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influencing the institutional arrangements in order to improve conditions for cooperation indirectly (so-called </w:t>
      </w:r>
      <w:r w:rsidRPr="0071572E">
        <w:rPr>
          <w:rFonts w:ascii="LinLibertine" w:eastAsia="Times New Roman" w:hAnsi="LinLibertine" w:cs="Times New Roman"/>
          <w:i/>
          <w:iCs/>
          <w:color w:val="000000"/>
          <w:sz w:val="24"/>
          <w:szCs w:val="24"/>
          <w:lang w:eastAsia="en-GB"/>
        </w:rPr>
        <w:t>network constitution</w:t>
      </w:r>
      <w:r w:rsidRPr="0071572E">
        <w:rPr>
          <w:rFonts w:ascii="LinLibertine" w:eastAsia="Times New Roman" w:hAnsi="LinLibertine" w:cs="Times New Roman"/>
          <w:color w:val="000000"/>
          <w:sz w:val="24"/>
          <w:szCs w:val="24"/>
          <w:lang w:eastAsia="en-GB"/>
        </w:rPr>
        <w:t>).</w:t>
      </w:r>
    </w:p>
    <w:p w14:paraId="3309186D"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If public policies are the result of the interactions (‘games’) between several actors with different goals and perceptions, improvements in public policies can be achieved through the effective management of these games. </w:t>
      </w:r>
      <w:proofErr w:type="spellStart"/>
      <w:r w:rsidRPr="0071572E">
        <w:rPr>
          <w:rFonts w:ascii="LinLibertine" w:eastAsia="Times New Roman" w:hAnsi="LinLibertine" w:cs="Times New Roman"/>
          <w:color w:val="000000"/>
          <w:sz w:val="24"/>
          <w:szCs w:val="24"/>
          <w:lang w:eastAsia="en-GB"/>
        </w:rPr>
        <w:t>Klijn</w:t>
      </w:r>
      <w:proofErr w:type="spellEnd"/>
      <w:r w:rsidRPr="0071572E">
        <w:rPr>
          <w:rFonts w:ascii="LinLibertine" w:eastAsia="Times New Roman" w:hAnsi="LinLibertine" w:cs="Times New Roman"/>
          <w:color w:val="000000"/>
          <w:sz w:val="24"/>
          <w:szCs w:val="24"/>
          <w:lang w:eastAsia="en-GB"/>
        </w:rPr>
        <w:t xml:space="preserve"> and </w:t>
      </w:r>
      <w:proofErr w:type="spellStart"/>
      <w:r w:rsidRPr="0071572E">
        <w:rPr>
          <w:rFonts w:ascii="LinLibertine" w:eastAsia="Times New Roman" w:hAnsi="LinLibertine" w:cs="Times New Roman"/>
          <w:color w:val="000000"/>
          <w:sz w:val="24"/>
          <w:szCs w:val="24"/>
          <w:lang w:eastAsia="en-GB"/>
        </w:rPr>
        <w:t>Teisman</w:t>
      </w:r>
      <w:proofErr w:type="spellEnd"/>
      <w:r w:rsidRPr="0071572E">
        <w:rPr>
          <w:rFonts w:ascii="LinLibertine" w:eastAsia="Times New Roman" w:hAnsi="LinLibertine" w:cs="Times New Roman"/>
          <w:color w:val="000000"/>
          <w:sz w:val="24"/>
          <w:szCs w:val="24"/>
          <w:lang w:eastAsia="en-GB"/>
        </w:rPr>
        <w:t xml:space="preserve"> (1997) identify three key network management strategies to improve the game management and the network structuring – see </w:t>
      </w:r>
      <w:hyperlink r:id="rId40" w:anchor="tab15_3" w:history="1">
        <w:r w:rsidRPr="0071572E">
          <w:rPr>
            <w:rFonts w:ascii="LinLibertine" w:eastAsia="Times New Roman" w:hAnsi="LinLibertine" w:cs="Times New Roman"/>
            <w:color w:val="0000FF"/>
            <w:sz w:val="24"/>
            <w:szCs w:val="24"/>
            <w:u w:val="single"/>
            <w:lang w:eastAsia="en-GB"/>
          </w:rPr>
          <w:t>Table 15.3</w:t>
        </w:r>
      </w:hyperlink>
      <w:r w:rsidRPr="0071572E">
        <w:rPr>
          <w:rFonts w:ascii="LinLibertine" w:eastAsia="Times New Roman" w:hAnsi="LinLibertine" w:cs="Times New Roman"/>
          <w:color w:val="000000"/>
          <w:sz w:val="24"/>
          <w:szCs w:val="24"/>
          <w:lang w:eastAsia="en-GB"/>
        </w:rPr>
        <w:t>.</w:t>
      </w:r>
    </w:p>
    <w:p w14:paraId="7EFAD9B9"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Given that the actors of a network have different goals and perceptions, there is a need to create some degree of alignment between the perceptions of different actors in relation to what needs to be done, which resources can be used and the circumstances in which certain actions are acceptable. This process of identifying similarities and differences in actors’ perceptions and the opportunities that exist for goal convergence is referred to as ‘covenanting’. Whether or not a network achieves the jointly agreed outcomes depends on whether or not it includes all those actors who possess indispensable resources and also those actors who have the power to undermine achievement of the network’s goals, if they have been left out (see </w:t>
      </w:r>
      <w:proofErr w:type="spellStart"/>
      <w:r w:rsidRPr="0071572E">
        <w:rPr>
          <w:rFonts w:ascii="LinLibertine" w:eastAsia="Times New Roman" w:hAnsi="LinLibertine" w:cs="Times New Roman"/>
          <w:color w:val="000000"/>
          <w:sz w:val="24"/>
          <w:szCs w:val="24"/>
          <w:lang w:eastAsia="en-GB"/>
        </w:rPr>
        <w:t>Scharpf</w:t>
      </w:r>
      <w:proofErr w:type="spellEnd"/>
      <w:r w:rsidRPr="0071572E">
        <w:rPr>
          <w:rFonts w:ascii="LinLibertine" w:eastAsia="Times New Roman" w:hAnsi="LinLibertine" w:cs="Times New Roman"/>
          <w:color w:val="000000"/>
          <w:sz w:val="24"/>
          <w:szCs w:val="24"/>
          <w:lang w:eastAsia="en-GB"/>
        </w:rPr>
        <w:t>, 1978). Last but not least, actors have to agree on institutional arrangements that facilitate the coordination of their activities. These arrangements may be highly formalized (e.g. covenants between different levels of government) or informal (e.g. agreements on working procedures within project teams).</w:t>
      </w:r>
    </w:p>
    <w:p w14:paraId="787F7D06" w14:textId="77777777" w:rsidR="0071572E" w:rsidRPr="0071572E" w:rsidRDefault="00B466F0" w:rsidP="0071572E">
      <w:pPr>
        <w:spacing w:before="100" w:beforeAutospacing="1" w:after="100" w:afterAutospacing="1" w:line="240" w:lineRule="auto"/>
        <w:rPr>
          <w:rFonts w:ascii="LinLibertine" w:eastAsia="Times New Roman" w:hAnsi="LinLibertine" w:cs="Times New Roman"/>
          <w:color w:val="000000"/>
          <w:lang w:eastAsia="en-GB"/>
        </w:rPr>
      </w:pPr>
      <w:hyperlink r:id="rId41" w:anchor="bck_tab15_3" w:history="1">
        <w:r w:rsidR="0071572E" w:rsidRPr="0071572E">
          <w:rPr>
            <w:rFonts w:ascii="LinLibertine" w:eastAsia="Times New Roman" w:hAnsi="LinLibertine" w:cs="Times New Roman"/>
            <w:i/>
            <w:iCs/>
            <w:color w:val="0000FF"/>
            <w:sz w:val="19"/>
            <w:szCs w:val="19"/>
            <w:u w:val="single"/>
            <w:lang w:eastAsia="en-GB"/>
          </w:rPr>
          <w:t>Table 15.3</w:t>
        </w:r>
      </w:hyperlink>
      <w:r w:rsidR="0071572E" w:rsidRPr="0071572E">
        <w:rPr>
          <w:rFonts w:ascii="LinLibertine" w:eastAsia="Times New Roman" w:hAnsi="LinLibertine" w:cs="Times New Roman"/>
          <w:color w:val="000000"/>
          <w:lang w:eastAsia="en-GB"/>
        </w:rPr>
        <w:t> Key network management strategies</w:t>
      </w:r>
    </w:p>
    <w:tbl>
      <w:tblPr>
        <w:tblW w:w="21600" w:type="dxa"/>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3945"/>
        <w:gridCol w:w="4230"/>
        <w:gridCol w:w="5112"/>
        <w:gridCol w:w="8313"/>
      </w:tblGrid>
      <w:tr w:rsidR="0071572E" w:rsidRPr="0071572E" w14:paraId="79AC2D3A" w14:textId="77777777" w:rsidTr="0071572E">
        <w:trPr>
          <w:tblHeader/>
          <w:tblCellSpacing w:w="15" w:type="dxa"/>
        </w:trPr>
        <w:tc>
          <w:tcPr>
            <w:tcW w:w="0" w:type="auto"/>
            <w:vAlign w:val="center"/>
            <w:hideMark/>
          </w:tcPr>
          <w:p w14:paraId="4DEC41E5" w14:textId="77777777" w:rsidR="0071572E" w:rsidRPr="0071572E" w:rsidRDefault="0071572E" w:rsidP="0071572E">
            <w:pPr>
              <w:spacing w:after="0" w:line="240" w:lineRule="auto"/>
              <w:rPr>
                <w:rFonts w:ascii="LinLibertine" w:eastAsia="Times New Roman" w:hAnsi="LinLibertine" w:cs="Times New Roman"/>
                <w:color w:val="000000"/>
                <w:lang w:eastAsia="en-GB"/>
              </w:rPr>
            </w:pPr>
          </w:p>
        </w:tc>
        <w:tc>
          <w:tcPr>
            <w:tcW w:w="0" w:type="auto"/>
            <w:vAlign w:val="center"/>
            <w:hideMark/>
          </w:tcPr>
          <w:p w14:paraId="7BA8CBA0" w14:textId="77777777" w:rsidR="0071572E" w:rsidRPr="0071572E" w:rsidRDefault="0071572E" w:rsidP="0071572E">
            <w:pPr>
              <w:spacing w:after="0" w:line="240" w:lineRule="auto"/>
              <w:rPr>
                <w:rFonts w:ascii="Times New Roman" w:eastAsia="Times New Roman" w:hAnsi="Times New Roman" w:cs="Times New Roman"/>
                <w:i/>
                <w:iCs/>
                <w:sz w:val="24"/>
                <w:szCs w:val="24"/>
                <w:lang w:eastAsia="en-GB"/>
              </w:rPr>
            </w:pPr>
            <w:r w:rsidRPr="0071572E">
              <w:rPr>
                <w:rFonts w:ascii="Times New Roman" w:eastAsia="Times New Roman" w:hAnsi="Times New Roman" w:cs="Times New Roman"/>
                <w:i/>
                <w:iCs/>
                <w:sz w:val="24"/>
                <w:szCs w:val="24"/>
                <w:lang w:eastAsia="en-GB"/>
              </w:rPr>
              <w:t>Perceptions</w:t>
            </w:r>
          </w:p>
        </w:tc>
        <w:tc>
          <w:tcPr>
            <w:tcW w:w="0" w:type="auto"/>
            <w:vAlign w:val="center"/>
            <w:hideMark/>
          </w:tcPr>
          <w:p w14:paraId="1598A660" w14:textId="77777777" w:rsidR="0071572E" w:rsidRPr="0071572E" w:rsidRDefault="0071572E" w:rsidP="0071572E">
            <w:pPr>
              <w:spacing w:after="0" w:line="240" w:lineRule="auto"/>
              <w:rPr>
                <w:rFonts w:ascii="Times New Roman" w:eastAsia="Times New Roman" w:hAnsi="Times New Roman" w:cs="Times New Roman"/>
                <w:i/>
                <w:iCs/>
                <w:sz w:val="24"/>
                <w:szCs w:val="24"/>
                <w:lang w:eastAsia="en-GB"/>
              </w:rPr>
            </w:pPr>
            <w:r w:rsidRPr="0071572E">
              <w:rPr>
                <w:rFonts w:ascii="Times New Roman" w:eastAsia="Times New Roman" w:hAnsi="Times New Roman" w:cs="Times New Roman"/>
                <w:i/>
                <w:iCs/>
                <w:sz w:val="24"/>
                <w:szCs w:val="24"/>
                <w:lang w:eastAsia="en-GB"/>
              </w:rPr>
              <w:t>Actors</w:t>
            </w:r>
          </w:p>
        </w:tc>
        <w:tc>
          <w:tcPr>
            <w:tcW w:w="0" w:type="auto"/>
            <w:vAlign w:val="center"/>
            <w:hideMark/>
          </w:tcPr>
          <w:p w14:paraId="1C335E0F" w14:textId="77777777" w:rsidR="0071572E" w:rsidRPr="0071572E" w:rsidRDefault="0071572E" w:rsidP="0071572E">
            <w:pPr>
              <w:spacing w:after="0" w:line="240" w:lineRule="auto"/>
              <w:rPr>
                <w:rFonts w:ascii="Times New Roman" w:eastAsia="Times New Roman" w:hAnsi="Times New Roman" w:cs="Times New Roman"/>
                <w:i/>
                <w:iCs/>
                <w:sz w:val="24"/>
                <w:szCs w:val="24"/>
                <w:lang w:eastAsia="en-GB"/>
              </w:rPr>
            </w:pPr>
            <w:r w:rsidRPr="0071572E">
              <w:rPr>
                <w:rFonts w:ascii="Times New Roman" w:eastAsia="Times New Roman" w:hAnsi="Times New Roman" w:cs="Times New Roman"/>
                <w:i/>
                <w:iCs/>
                <w:sz w:val="24"/>
                <w:szCs w:val="24"/>
                <w:lang w:eastAsia="en-GB"/>
              </w:rPr>
              <w:t>Institutional arrangements</w:t>
            </w:r>
          </w:p>
        </w:tc>
      </w:tr>
      <w:tr w:rsidR="0071572E" w:rsidRPr="0071572E" w14:paraId="62B83066" w14:textId="77777777" w:rsidTr="0071572E">
        <w:trPr>
          <w:tblHeader/>
          <w:tblCellSpacing w:w="15" w:type="dxa"/>
        </w:trPr>
        <w:tc>
          <w:tcPr>
            <w:tcW w:w="0" w:type="auto"/>
            <w:gridSpan w:val="4"/>
            <w:vAlign w:val="center"/>
            <w:hideMark/>
          </w:tcPr>
          <w:p w14:paraId="5D500AB9" w14:textId="77777777" w:rsidR="0071572E" w:rsidRPr="0071572E" w:rsidRDefault="00B466F0" w:rsidP="0071572E">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pict w14:anchorId="4BDB478C">
                <v:rect id="_x0000_i1040" style="width:0;height:1.5pt" o:hralign="center" o:hrstd="t" o:hr="t" fillcolor="#a0a0a0" stroked="f"/>
              </w:pict>
            </w:r>
          </w:p>
        </w:tc>
      </w:tr>
      <w:tr w:rsidR="0071572E" w:rsidRPr="0071572E" w14:paraId="1A436CA9" w14:textId="77777777" w:rsidTr="0071572E">
        <w:trPr>
          <w:tblCellSpacing w:w="15" w:type="dxa"/>
        </w:trPr>
        <w:tc>
          <w:tcPr>
            <w:tcW w:w="0" w:type="auto"/>
            <w:vAlign w:val="center"/>
            <w:hideMark/>
          </w:tcPr>
          <w:p w14:paraId="4F25A70C"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Game management</w:t>
            </w:r>
          </w:p>
        </w:tc>
        <w:tc>
          <w:tcPr>
            <w:tcW w:w="0" w:type="auto"/>
            <w:vAlign w:val="center"/>
            <w:hideMark/>
          </w:tcPr>
          <w:p w14:paraId="72866A12"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Covenanting</w:t>
            </w:r>
          </w:p>
        </w:tc>
        <w:tc>
          <w:tcPr>
            <w:tcW w:w="0" w:type="auto"/>
            <w:vAlign w:val="center"/>
            <w:hideMark/>
          </w:tcPr>
          <w:p w14:paraId="29A03844"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Selective (de)activation</w:t>
            </w:r>
          </w:p>
        </w:tc>
        <w:tc>
          <w:tcPr>
            <w:tcW w:w="0" w:type="auto"/>
            <w:vAlign w:val="center"/>
            <w:hideMark/>
          </w:tcPr>
          <w:p w14:paraId="029B48C5"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Creating and implementing rules of the game</w:t>
            </w:r>
          </w:p>
        </w:tc>
      </w:tr>
      <w:tr w:rsidR="0071572E" w:rsidRPr="0071572E" w14:paraId="33E990F0" w14:textId="77777777" w:rsidTr="0071572E">
        <w:trPr>
          <w:tblCellSpacing w:w="15" w:type="dxa"/>
        </w:trPr>
        <w:tc>
          <w:tcPr>
            <w:tcW w:w="0" w:type="auto"/>
            <w:vAlign w:val="center"/>
            <w:hideMark/>
          </w:tcPr>
          <w:p w14:paraId="27AC40A0"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Network constitution</w:t>
            </w:r>
          </w:p>
        </w:tc>
        <w:tc>
          <w:tcPr>
            <w:tcW w:w="0" w:type="auto"/>
            <w:vAlign w:val="center"/>
            <w:hideMark/>
          </w:tcPr>
          <w:p w14:paraId="16381192"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Reframing perceptions</w:t>
            </w:r>
          </w:p>
        </w:tc>
        <w:tc>
          <w:tcPr>
            <w:tcW w:w="0" w:type="auto"/>
            <w:vAlign w:val="center"/>
            <w:hideMark/>
          </w:tcPr>
          <w:p w14:paraId="0006C08C"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Formation of new networks</w:t>
            </w:r>
          </w:p>
        </w:tc>
        <w:tc>
          <w:tcPr>
            <w:tcW w:w="0" w:type="auto"/>
            <w:vAlign w:val="center"/>
            <w:hideMark/>
          </w:tcPr>
          <w:p w14:paraId="1E15584F" w14:textId="77777777" w:rsidR="0071572E" w:rsidRPr="0071572E" w:rsidRDefault="0071572E" w:rsidP="0071572E">
            <w:pPr>
              <w:spacing w:after="0" w:line="240" w:lineRule="auto"/>
              <w:rPr>
                <w:rFonts w:ascii="Times New Roman" w:eastAsia="Times New Roman" w:hAnsi="Times New Roman" w:cs="Times New Roman"/>
                <w:sz w:val="24"/>
                <w:szCs w:val="24"/>
                <w:lang w:eastAsia="en-GB"/>
              </w:rPr>
            </w:pPr>
            <w:r w:rsidRPr="0071572E">
              <w:rPr>
                <w:rFonts w:ascii="Times New Roman" w:eastAsia="Times New Roman" w:hAnsi="Times New Roman" w:cs="Times New Roman"/>
                <w:sz w:val="24"/>
                <w:szCs w:val="24"/>
                <w:lang w:eastAsia="en-GB"/>
              </w:rPr>
              <w:t>Changing the rules of the game</w:t>
            </w:r>
          </w:p>
        </w:tc>
      </w:tr>
    </w:tbl>
    <w:p w14:paraId="226A1E2E" w14:textId="77777777" w:rsidR="0071572E" w:rsidRPr="0071572E" w:rsidRDefault="0071572E" w:rsidP="0071572E">
      <w:pPr>
        <w:spacing w:before="100" w:beforeAutospacing="1" w:after="100" w:afterAutospacing="1" w:line="240" w:lineRule="auto"/>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 xml:space="preserve">Source: Adapted from </w:t>
      </w:r>
      <w:proofErr w:type="spellStart"/>
      <w:r w:rsidRPr="0071572E">
        <w:rPr>
          <w:rFonts w:ascii="LinLibertine" w:eastAsia="Times New Roman" w:hAnsi="LinLibertine" w:cs="Times New Roman"/>
          <w:color w:val="000000"/>
          <w:lang w:eastAsia="en-GB"/>
        </w:rPr>
        <w:t>Klijn</w:t>
      </w:r>
      <w:proofErr w:type="spellEnd"/>
      <w:r w:rsidRPr="0071572E">
        <w:rPr>
          <w:rFonts w:ascii="LinLibertine" w:eastAsia="Times New Roman" w:hAnsi="LinLibertine" w:cs="Times New Roman"/>
          <w:color w:val="000000"/>
          <w:lang w:eastAsia="en-GB"/>
        </w:rPr>
        <w:t xml:space="preserve"> and </w:t>
      </w:r>
      <w:proofErr w:type="spellStart"/>
      <w:r w:rsidRPr="0071572E">
        <w:rPr>
          <w:rFonts w:ascii="LinLibertine" w:eastAsia="Times New Roman" w:hAnsi="LinLibertine" w:cs="Times New Roman"/>
          <w:color w:val="000000"/>
          <w:lang w:eastAsia="en-GB"/>
        </w:rPr>
        <w:t>Teisman</w:t>
      </w:r>
      <w:proofErr w:type="spellEnd"/>
      <w:r w:rsidRPr="0071572E">
        <w:rPr>
          <w:rFonts w:ascii="LinLibertine" w:eastAsia="Times New Roman" w:hAnsi="LinLibertine" w:cs="Times New Roman"/>
          <w:color w:val="000000"/>
          <w:lang w:eastAsia="en-GB"/>
        </w:rPr>
        <w:t xml:space="preserve"> (1997: 106)</w:t>
      </w:r>
    </w:p>
    <w:p w14:paraId="5C14A021"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In contrast to the game management strategies, changing the constitution of existing networks involves longer-term strategies. Where different actors with indispensable resources are unwilling to cooperate, or even to communicate with each other (as has happened sometimes, e.g. in Belfast or in Jerusalem), it may be necessary to engage in activities to change the perceptions of these actors. In other cases, there may be a need to reconstitute a network and to bring in new actors. This is typically a problem in citizens’ consultation exercises, which may be dominated by ‘the usual suspects’. In many cases, minorities and ‘inarticulate’ groups find it hard to get a platform and to make known their perceptions (see </w:t>
      </w:r>
      <w:hyperlink r:id="rId42" w:history="1">
        <w:r w:rsidRPr="0071572E">
          <w:rPr>
            <w:rFonts w:ascii="LinLibertine" w:eastAsia="Times New Roman" w:hAnsi="LinLibertine" w:cs="Times New Roman"/>
            <w:color w:val="0000FF"/>
            <w:sz w:val="24"/>
            <w:szCs w:val="24"/>
            <w:u w:val="single"/>
            <w:lang w:eastAsia="en-GB"/>
          </w:rPr>
          <w:t>chapters 22</w:t>
        </w:r>
      </w:hyperlink>
      <w:r w:rsidRPr="0071572E">
        <w:rPr>
          <w:rFonts w:ascii="LinLibertine" w:eastAsia="Times New Roman" w:hAnsi="LinLibertine" w:cs="Times New Roman"/>
          <w:color w:val="000000"/>
          <w:sz w:val="24"/>
          <w:szCs w:val="24"/>
          <w:lang w:eastAsia="en-GB"/>
        </w:rPr>
        <w:t> and </w:t>
      </w:r>
      <w:hyperlink r:id="rId43" w:history="1">
        <w:r w:rsidRPr="0071572E">
          <w:rPr>
            <w:rFonts w:ascii="LinLibertine" w:eastAsia="Times New Roman" w:hAnsi="LinLibertine" w:cs="Times New Roman"/>
            <w:color w:val="0000FF"/>
            <w:sz w:val="24"/>
            <w:szCs w:val="24"/>
            <w:u w:val="single"/>
            <w:lang w:eastAsia="en-GB"/>
          </w:rPr>
          <w:t>25</w:t>
        </w:r>
      </w:hyperlink>
      <w:r w:rsidRPr="0071572E">
        <w:rPr>
          <w:rFonts w:ascii="LinLibertine" w:eastAsia="Times New Roman" w:hAnsi="LinLibertine" w:cs="Times New Roman"/>
          <w:color w:val="000000"/>
          <w:sz w:val="24"/>
          <w:szCs w:val="24"/>
          <w:lang w:eastAsia="en-GB"/>
        </w:rPr>
        <w:t xml:space="preserve">). Furthermore, existing institutional arrangements may prove to be weak in protecting the interests of the actors of a network. For instance, in e-government the major players may be ‘techies’, fascinated by the technology requirements to make e-government work, and ‘marketeers’, driven by the desire to promote government services online to their current users. In this case, a serious digital </w:t>
      </w:r>
      <w:r w:rsidRPr="0071572E">
        <w:rPr>
          <w:rFonts w:ascii="LinLibertine" w:eastAsia="Times New Roman" w:hAnsi="LinLibertine" w:cs="Times New Roman"/>
          <w:color w:val="000000"/>
          <w:sz w:val="24"/>
          <w:szCs w:val="24"/>
          <w:lang w:eastAsia="en-GB"/>
        </w:rPr>
        <w:lastRenderedPageBreak/>
        <w:t>divide can open up, in which non-users of ICT services (often very vulnerable people who are actually high-priority clients of the services concerned) are seriously disadvantaged in the debate about service design and service delivery mechanisms (see </w:t>
      </w:r>
      <w:hyperlink r:id="rId44" w:history="1">
        <w:r w:rsidRPr="0071572E">
          <w:rPr>
            <w:rFonts w:ascii="LinLibertine" w:eastAsia="Times New Roman" w:hAnsi="LinLibertine" w:cs="Times New Roman"/>
            <w:color w:val="0000FF"/>
            <w:sz w:val="24"/>
            <w:szCs w:val="24"/>
            <w:u w:val="single"/>
            <w:lang w:eastAsia="en-GB"/>
          </w:rPr>
          <w:t>chapter 10</w:t>
        </w:r>
      </w:hyperlink>
      <w:r w:rsidRPr="0071572E">
        <w:rPr>
          <w:rFonts w:ascii="LinLibertine" w:eastAsia="Times New Roman" w:hAnsi="LinLibertine" w:cs="Times New Roman"/>
          <w:color w:val="000000"/>
          <w:sz w:val="24"/>
          <w:szCs w:val="24"/>
          <w:lang w:eastAsia="en-GB"/>
        </w:rPr>
        <w:t>).</w:t>
      </w:r>
    </w:p>
    <w:p w14:paraId="1E4FEE87"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Assessing public governance</w:t>
      </w:r>
    </w:p>
    <w:p w14:paraId="7B7E7107"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 start from the belief that any definition of public governance has to be </w:t>
      </w:r>
      <w:r w:rsidRPr="0071572E">
        <w:rPr>
          <w:rFonts w:ascii="LinLibertine" w:eastAsia="Times New Roman" w:hAnsi="LinLibertine" w:cs="Times New Roman"/>
          <w:i/>
          <w:iCs/>
          <w:color w:val="000000"/>
          <w:sz w:val="24"/>
          <w:szCs w:val="24"/>
          <w:lang w:eastAsia="en-GB"/>
        </w:rPr>
        <w:t>context-specific</w:t>
      </w:r>
      <w:r w:rsidRPr="0071572E">
        <w:rPr>
          <w:rFonts w:ascii="LinLibertine" w:eastAsia="Times New Roman" w:hAnsi="LinLibertine" w:cs="Times New Roman"/>
          <w:color w:val="000000"/>
          <w:sz w:val="24"/>
          <w:szCs w:val="24"/>
          <w:lang w:eastAsia="en-GB"/>
        </w:rPr>
        <w:t> and is likely therefore to differ between stakeholders and countries. However, for the purposes of this chapter, I will use a specific definition of public governance which makes it particularly easy to explore how different stakeholders can be involved appropriately in the assessment of the quality of public governance – the Governance International definition from </w:t>
      </w:r>
      <w:hyperlink r:id="rId45" w:anchor="box15_1" w:history="1">
        <w:r w:rsidRPr="0071572E">
          <w:rPr>
            <w:rFonts w:ascii="LinLibertine" w:eastAsia="Times New Roman" w:hAnsi="LinLibertine" w:cs="Times New Roman"/>
            <w:color w:val="0000FF"/>
            <w:sz w:val="24"/>
            <w:szCs w:val="24"/>
            <w:u w:val="single"/>
            <w:lang w:eastAsia="en-GB"/>
          </w:rPr>
          <w:t>Box 15.1</w:t>
        </w:r>
      </w:hyperlink>
      <w:r w:rsidRPr="0071572E">
        <w:rPr>
          <w:rFonts w:ascii="LinLibertine" w:eastAsia="Times New Roman" w:hAnsi="LinLibertine" w:cs="Times New Roman"/>
          <w:color w:val="000000"/>
          <w:sz w:val="24"/>
          <w:szCs w:val="24"/>
          <w:lang w:eastAsia="en-GB"/>
        </w:rPr>
        <w:t>:</w:t>
      </w:r>
    </w:p>
    <w:p w14:paraId="3CC31E64" w14:textId="77777777" w:rsidR="0071572E" w:rsidRPr="0071572E" w:rsidRDefault="0071572E" w:rsidP="0071572E">
      <w:pPr>
        <w:spacing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Public governance is how an organization works with its partners, stakeholders and networks to influence the outcomes of public policies.</w:t>
      </w:r>
    </w:p>
    <w:p w14:paraId="2471BE1E"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Furthermore, by ‘good governance’ I will mean:</w:t>
      </w:r>
    </w:p>
    <w:p w14:paraId="3A974BEE" w14:textId="77777777" w:rsidR="0071572E" w:rsidRPr="0071572E" w:rsidRDefault="0071572E" w:rsidP="0071572E">
      <w:pPr>
        <w:spacing w:line="281" w:lineRule="atLeast"/>
        <w:jc w:val="both"/>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the negotiation by all the stakeholders in an issue (or area) of improved public policy outcomes and agreed governance principles, which are both implemented and regularly evaluated by all stakeholders.</w:t>
      </w:r>
    </w:p>
    <w:p w14:paraId="5948CACB"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From this definition of good governance it is clear that there are two key areas in which assessment is required:</w:t>
      </w:r>
    </w:p>
    <w:p w14:paraId="5898A5B6" w14:textId="77777777" w:rsidR="0071572E" w:rsidRPr="0071572E" w:rsidRDefault="0071572E" w:rsidP="0071572E">
      <w:pPr>
        <w:numPr>
          <w:ilvl w:val="0"/>
          <w:numId w:val="8"/>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improvements in public policy outcomes; and</w:t>
      </w:r>
    </w:p>
    <w:p w14:paraId="731A1A65" w14:textId="77777777" w:rsidR="0071572E" w:rsidRPr="0071572E" w:rsidRDefault="0071572E" w:rsidP="0071572E">
      <w:pPr>
        <w:numPr>
          <w:ilvl w:val="0"/>
          <w:numId w:val="8"/>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implementation by all stakeholders of a set of principles and processes by means of which appropriate public policies will be designed and implemented.</w:t>
      </w:r>
    </w:p>
    <w:p w14:paraId="4B738861"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Consequently, we should try to measure the success of public interventions in terms of their ‘outcomes’, i.e. the quality of life changes that they bring for those affected by them, rather than the quality of the activities themselves. This means, for example, that we should assess:</w:t>
      </w:r>
    </w:p>
    <w:p w14:paraId="2A43DC76" w14:textId="77777777" w:rsidR="0071572E" w:rsidRPr="0071572E" w:rsidRDefault="0071572E" w:rsidP="0071572E">
      <w:pPr>
        <w:numPr>
          <w:ilvl w:val="0"/>
          <w:numId w:val="9"/>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level of community safety as seen by citizens, rather than the quality of policing;</w:t>
      </w:r>
    </w:p>
    <w:p w14:paraId="086D71F0" w14:textId="77777777" w:rsidR="0071572E" w:rsidRPr="0071572E" w:rsidRDefault="0071572E" w:rsidP="0071572E">
      <w:pPr>
        <w:numPr>
          <w:ilvl w:val="0"/>
          <w:numId w:val="9"/>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level of income and conditions of working life, rather than the performance of economic development programmes;</w:t>
      </w:r>
    </w:p>
    <w:p w14:paraId="69B8BA35" w14:textId="77777777" w:rsidR="0071572E" w:rsidRPr="0071572E" w:rsidRDefault="0071572E" w:rsidP="0071572E">
      <w:pPr>
        <w:numPr>
          <w:ilvl w:val="0"/>
          <w:numId w:val="9"/>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level of health and social well-being experienced by citizens, rather than the quality of health and social care services;</w:t>
      </w:r>
    </w:p>
    <w:p w14:paraId="6ECC8208" w14:textId="77777777" w:rsidR="0071572E" w:rsidRPr="0071572E" w:rsidRDefault="0071572E" w:rsidP="0071572E">
      <w:pPr>
        <w:numPr>
          <w:ilvl w:val="0"/>
          <w:numId w:val="9"/>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quality of environment which people experience rather than the quality of environmental protection services;</w:t>
      </w:r>
    </w:p>
    <w:p w14:paraId="36A553A2" w14:textId="77777777" w:rsidR="0071572E" w:rsidRPr="0071572E" w:rsidRDefault="0071572E" w:rsidP="0071572E">
      <w:pPr>
        <w:numPr>
          <w:ilvl w:val="0"/>
          <w:numId w:val="9"/>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level of access which people enjoy to facilities that they wish to experience, rather than the quality of the roads or public transport services;</w:t>
      </w:r>
    </w:p>
    <w:p w14:paraId="7F8648E3" w14:textId="77777777" w:rsidR="0071572E" w:rsidRPr="0071572E" w:rsidRDefault="0071572E" w:rsidP="0071572E">
      <w:pPr>
        <w:numPr>
          <w:ilvl w:val="0"/>
          <w:numId w:val="9"/>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comfort which people enjoy in their homes, rather than the quality of housing management services;</w:t>
      </w:r>
    </w:p>
    <w:p w14:paraId="5DA720E7" w14:textId="77777777" w:rsidR="0071572E" w:rsidRPr="0071572E" w:rsidRDefault="0071572E" w:rsidP="0071572E">
      <w:pPr>
        <w:numPr>
          <w:ilvl w:val="0"/>
          <w:numId w:val="9"/>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quality of the leisure and cultural experiences which citizens enjoy, rather than the quality of the recreation, sports and arts services provided.</w:t>
      </w:r>
    </w:p>
    <w:p w14:paraId="6FA6223F"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lastRenderedPageBreak/>
        <w:t>Of course, this does not mean that there is no longer an interest in the quality or quantity of services provided by the public sector. However, these must be seen as instrumental, rather than as ends in themselves.</w:t>
      </w:r>
    </w:p>
    <w:p w14:paraId="537CAD0B"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Building on categorizations of the main public governance principles and processes by </w:t>
      </w:r>
      <w:proofErr w:type="spellStart"/>
      <w:r w:rsidRPr="0071572E">
        <w:rPr>
          <w:rFonts w:ascii="LinLibertine" w:eastAsia="Times New Roman" w:hAnsi="LinLibertine" w:cs="Times New Roman"/>
          <w:color w:val="000000"/>
          <w:sz w:val="24"/>
          <w:szCs w:val="24"/>
          <w:lang w:eastAsia="en-GB"/>
        </w:rPr>
        <w:t>Kooiman</w:t>
      </w:r>
      <w:proofErr w:type="spellEnd"/>
      <w:r w:rsidRPr="0071572E">
        <w:rPr>
          <w:rFonts w:ascii="LinLibertine" w:eastAsia="Times New Roman" w:hAnsi="LinLibertine" w:cs="Times New Roman"/>
          <w:color w:val="000000"/>
          <w:sz w:val="24"/>
          <w:szCs w:val="24"/>
          <w:lang w:eastAsia="en-GB"/>
        </w:rPr>
        <w:t xml:space="preserve"> (1993), Rhodes (1997), </w:t>
      </w:r>
      <w:proofErr w:type="spellStart"/>
      <w:r w:rsidRPr="0071572E">
        <w:rPr>
          <w:rFonts w:ascii="LinLibertine" w:eastAsia="Times New Roman" w:hAnsi="LinLibertine" w:cs="Times New Roman"/>
          <w:color w:val="000000"/>
          <w:sz w:val="24"/>
          <w:szCs w:val="24"/>
          <w:lang w:eastAsia="en-GB"/>
        </w:rPr>
        <w:t>Bovaird</w:t>
      </w:r>
      <w:proofErr w:type="spellEnd"/>
      <w:r w:rsidRPr="0071572E">
        <w:rPr>
          <w:rFonts w:ascii="LinLibertine" w:eastAsia="Times New Roman" w:hAnsi="LinLibertine" w:cs="Times New Roman"/>
          <w:color w:val="000000"/>
          <w:sz w:val="24"/>
          <w:szCs w:val="24"/>
          <w:lang w:eastAsia="en-GB"/>
        </w:rPr>
        <w:t xml:space="preserve"> and </w:t>
      </w:r>
      <w:proofErr w:type="spellStart"/>
      <w:r w:rsidRPr="0071572E">
        <w:rPr>
          <w:rFonts w:ascii="LinLibertine" w:eastAsia="Times New Roman" w:hAnsi="LinLibertine" w:cs="Times New Roman"/>
          <w:color w:val="000000"/>
          <w:sz w:val="24"/>
          <w:szCs w:val="24"/>
          <w:lang w:eastAsia="en-GB"/>
        </w:rPr>
        <w:t>Loeffler</w:t>
      </w:r>
      <w:proofErr w:type="spellEnd"/>
      <w:r w:rsidRPr="0071572E">
        <w:rPr>
          <w:rFonts w:ascii="LinLibertine" w:eastAsia="Times New Roman" w:hAnsi="LinLibertine" w:cs="Times New Roman"/>
          <w:color w:val="000000"/>
          <w:sz w:val="24"/>
          <w:szCs w:val="24"/>
          <w:lang w:eastAsia="en-GB"/>
        </w:rPr>
        <w:t xml:space="preserve"> (2003) and </w:t>
      </w:r>
      <w:proofErr w:type="spellStart"/>
      <w:r w:rsidRPr="0071572E">
        <w:rPr>
          <w:rFonts w:ascii="LinLibertine" w:eastAsia="Times New Roman" w:hAnsi="LinLibertine" w:cs="Times New Roman"/>
          <w:color w:val="000000"/>
          <w:sz w:val="24"/>
          <w:szCs w:val="24"/>
          <w:lang w:eastAsia="en-GB"/>
        </w:rPr>
        <w:t>ELoGE</w:t>
      </w:r>
      <w:proofErr w:type="spellEnd"/>
      <w:r w:rsidRPr="0071572E">
        <w:rPr>
          <w:rFonts w:ascii="LinLibertine" w:eastAsia="Times New Roman" w:hAnsi="LinLibertine" w:cs="Times New Roman"/>
          <w:color w:val="000000"/>
          <w:sz w:val="24"/>
          <w:szCs w:val="24"/>
          <w:lang w:eastAsia="en-GB"/>
        </w:rPr>
        <w:t xml:space="preserve"> (see </w:t>
      </w:r>
      <w:hyperlink r:id="rId46" w:anchor="ce15_1" w:history="1">
        <w:r w:rsidRPr="0071572E">
          <w:rPr>
            <w:rFonts w:ascii="LinLibertine" w:eastAsia="Times New Roman" w:hAnsi="LinLibertine" w:cs="Times New Roman"/>
            <w:color w:val="0000FF"/>
            <w:sz w:val="24"/>
            <w:szCs w:val="24"/>
            <w:u w:val="single"/>
            <w:lang w:eastAsia="en-GB"/>
          </w:rPr>
          <w:t>Case example 15.1</w:t>
        </w:r>
      </w:hyperlink>
      <w:r w:rsidRPr="0071572E">
        <w:rPr>
          <w:rFonts w:ascii="LinLibertine" w:eastAsia="Times New Roman" w:hAnsi="LinLibertine" w:cs="Times New Roman"/>
          <w:color w:val="000000"/>
          <w:sz w:val="24"/>
          <w:szCs w:val="24"/>
          <w:lang w:eastAsia="en-GB"/>
        </w:rPr>
        <w:t>), we suggest that there is a need to assess at least the following principles of ‘good governance’:</w:t>
      </w:r>
    </w:p>
    <w:p w14:paraId="71075709"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citizen engagement</w:t>
      </w:r>
    </w:p>
    <w:p w14:paraId="41A2DE85"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transparency</w:t>
      </w:r>
    </w:p>
    <w:p w14:paraId="203F5DAC"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accountability</w:t>
      </w:r>
    </w:p>
    <w:p w14:paraId="39F962A8"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human rights</w:t>
      </w:r>
    </w:p>
    <w:p w14:paraId="2F4A9256"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equalities agenda and social inclusion (gender, ethnicity, age, religion, etc.)</w:t>
      </w:r>
    </w:p>
    <w:p w14:paraId="5ADCB5C5"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ethical and honest behaviour</w:t>
      </w:r>
    </w:p>
    <w:p w14:paraId="6036402C"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equity (fair procedures and due process)</w:t>
      </w:r>
    </w:p>
    <w:p w14:paraId="1C48D09F"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respect for the rule of law</w:t>
      </w:r>
    </w:p>
    <w:p w14:paraId="3078282C"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fair conduct of elections, representation and participation</w:t>
      </w:r>
    </w:p>
    <w:p w14:paraId="0CA9F39C"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ability to compete in a global environment</w:t>
      </w:r>
    </w:p>
    <w:p w14:paraId="6EF3500E"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ability to work effectively in partnership</w:t>
      </w:r>
    </w:p>
    <w:p w14:paraId="0753259F"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staff competence</w:t>
      </w:r>
    </w:p>
    <w:p w14:paraId="1BD6F40B"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organizational efficiency</w:t>
      </w:r>
    </w:p>
    <w:p w14:paraId="205D1514"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openness to change</w:t>
      </w:r>
    </w:p>
    <w:p w14:paraId="2DFE53E5" w14:textId="77777777" w:rsidR="0071572E" w:rsidRPr="0071572E" w:rsidRDefault="0071572E" w:rsidP="0071572E">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sustainability.</w:t>
      </w:r>
    </w:p>
    <w:p w14:paraId="10E53171"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It is important to note that these principles and processes of public governance are not absolute – their importance is likely to vary between contexts and over time, and different stakeholders are likely to have differing views on what they mean and how important they are in practice.</w:t>
      </w:r>
    </w:p>
    <w:p w14:paraId="43A666D6"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One example of how this approach can be used to assess the quality of public governance in practice is shown by the case of local governance in social housing estates in Carrick, a district council in the south-west of England (Bovaird and Loeffler, 2007). The methodology required measuring the gap between what local stakeholders expected and the performance of local agencies, both in terms of </w:t>
      </w:r>
      <w:r w:rsidRPr="0071572E">
        <w:rPr>
          <w:rFonts w:ascii="LinLibertine" w:eastAsia="Times New Roman" w:hAnsi="LinLibertine" w:cs="Times New Roman"/>
          <w:i/>
          <w:iCs/>
          <w:color w:val="000000"/>
          <w:sz w:val="24"/>
          <w:szCs w:val="24"/>
          <w:lang w:eastAsia="en-GB"/>
        </w:rPr>
        <w:t>quality of life</w:t>
      </w:r>
      <w:r w:rsidRPr="0071572E">
        <w:rPr>
          <w:rFonts w:ascii="LinLibertine" w:eastAsia="Times New Roman" w:hAnsi="LinLibertine" w:cs="Times New Roman"/>
          <w:color w:val="000000"/>
          <w:sz w:val="24"/>
          <w:szCs w:val="24"/>
          <w:lang w:eastAsia="en-GB"/>
        </w:rPr>
        <w:t> (against four key dimensions, namely liveable environment, community safety, health, social well-being and disability issues, and education and training) and </w:t>
      </w:r>
      <w:r w:rsidRPr="0071572E">
        <w:rPr>
          <w:rFonts w:ascii="LinLibertine" w:eastAsia="Times New Roman" w:hAnsi="LinLibertine" w:cs="Times New Roman"/>
          <w:i/>
          <w:iCs/>
          <w:color w:val="000000"/>
          <w:sz w:val="24"/>
          <w:szCs w:val="24"/>
          <w:lang w:eastAsia="en-GB"/>
        </w:rPr>
        <w:t>principles of public governance</w:t>
      </w:r>
      <w:r w:rsidRPr="0071572E">
        <w:rPr>
          <w:rFonts w:ascii="LinLibertine" w:eastAsia="Times New Roman" w:hAnsi="LinLibertine" w:cs="Times New Roman"/>
          <w:color w:val="000000"/>
          <w:sz w:val="24"/>
          <w:szCs w:val="24"/>
          <w:lang w:eastAsia="en-GB"/>
        </w:rPr>
        <w:t> (including transparency, partnership working, sustainability and honest and fair behaviour). These dimensions of quality of life and principles of governance were selected as being high priority in discussions with the Board of Carrick Housing and were subsequently confirmed in focus group discussions.</w:t>
      </w:r>
    </w:p>
    <w:p w14:paraId="61C3EEB7"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core of the methodology was discussion in 12 focus groups with different stakeholders, centring around one quality of life issue and one governance principle, selected as particularly relevant to that focus group. Four key questions were addressed to each focus group in relation to each topic:</w:t>
      </w:r>
    </w:p>
    <w:p w14:paraId="34A9CD8E" w14:textId="77777777" w:rsidR="0071572E" w:rsidRPr="0071572E" w:rsidRDefault="0071572E" w:rsidP="0071572E">
      <w:pPr>
        <w:numPr>
          <w:ilvl w:val="0"/>
          <w:numId w:val="11"/>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current </w:t>
      </w:r>
      <w:r w:rsidRPr="0071572E">
        <w:rPr>
          <w:rFonts w:ascii="LinLibertine" w:eastAsia="Times New Roman" w:hAnsi="LinLibertine" w:cs="Times New Roman"/>
          <w:i/>
          <w:iCs/>
          <w:color w:val="000000"/>
          <w:sz w:val="24"/>
          <w:szCs w:val="24"/>
          <w:lang w:eastAsia="en-GB"/>
        </w:rPr>
        <w:t>state</w:t>
      </w:r>
      <w:r w:rsidRPr="0071572E">
        <w:rPr>
          <w:rFonts w:ascii="LinLibertine" w:eastAsia="Times New Roman" w:hAnsi="LinLibertine" w:cs="Times New Roman"/>
          <w:color w:val="000000"/>
          <w:sz w:val="24"/>
          <w:szCs w:val="24"/>
          <w:lang w:eastAsia="en-GB"/>
        </w:rPr>
        <w:t> (e.g. ‘How safe do you feel on your estate?’);</w:t>
      </w:r>
    </w:p>
    <w:p w14:paraId="713F89B7" w14:textId="77777777" w:rsidR="0071572E" w:rsidRPr="0071572E" w:rsidRDefault="0071572E" w:rsidP="0071572E">
      <w:pPr>
        <w:numPr>
          <w:ilvl w:val="0"/>
          <w:numId w:val="11"/>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w:t>
      </w:r>
      <w:r w:rsidRPr="0071572E">
        <w:rPr>
          <w:rFonts w:ascii="LinLibertine" w:eastAsia="Times New Roman" w:hAnsi="LinLibertine" w:cs="Times New Roman"/>
          <w:i/>
          <w:iCs/>
          <w:color w:val="000000"/>
          <w:sz w:val="24"/>
          <w:szCs w:val="24"/>
          <w:lang w:eastAsia="en-GB"/>
        </w:rPr>
        <w:t>trend</w:t>
      </w:r>
      <w:r w:rsidRPr="0071572E">
        <w:rPr>
          <w:rFonts w:ascii="LinLibertine" w:eastAsia="Times New Roman" w:hAnsi="LinLibertine" w:cs="Times New Roman"/>
          <w:color w:val="000000"/>
          <w:sz w:val="24"/>
          <w:szCs w:val="24"/>
          <w:lang w:eastAsia="en-GB"/>
        </w:rPr>
        <w:t> (e.g. ‘Has safety on this estate improved or got worse in the last couple of years?’);</w:t>
      </w:r>
    </w:p>
    <w:p w14:paraId="2D93161C" w14:textId="77777777" w:rsidR="0071572E" w:rsidRPr="0071572E" w:rsidRDefault="0071572E" w:rsidP="0071572E">
      <w:pPr>
        <w:numPr>
          <w:ilvl w:val="0"/>
          <w:numId w:val="11"/>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i/>
          <w:iCs/>
          <w:color w:val="000000"/>
          <w:sz w:val="24"/>
          <w:szCs w:val="24"/>
          <w:lang w:eastAsia="en-GB"/>
        </w:rPr>
        <w:t>proposals</w:t>
      </w:r>
      <w:r w:rsidRPr="0071572E">
        <w:rPr>
          <w:rFonts w:ascii="LinLibertine" w:eastAsia="Times New Roman" w:hAnsi="LinLibertine" w:cs="Times New Roman"/>
          <w:color w:val="000000"/>
          <w:sz w:val="24"/>
          <w:szCs w:val="24"/>
          <w:lang w:eastAsia="en-GB"/>
        </w:rPr>
        <w:t> (e.g. ‘What do you think communities and organizations in your area can do to deal with the community safety problems you have identified?’);</w:t>
      </w:r>
    </w:p>
    <w:p w14:paraId="7EC407E9" w14:textId="77777777" w:rsidR="0071572E" w:rsidRPr="0071572E" w:rsidRDefault="0071572E" w:rsidP="0071572E">
      <w:pPr>
        <w:numPr>
          <w:ilvl w:val="0"/>
          <w:numId w:val="11"/>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i/>
          <w:iCs/>
          <w:color w:val="000000"/>
          <w:sz w:val="24"/>
          <w:szCs w:val="24"/>
          <w:lang w:eastAsia="en-GB"/>
        </w:rPr>
        <w:lastRenderedPageBreak/>
        <w:t>commitment</w:t>
      </w:r>
      <w:r w:rsidRPr="0071572E">
        <w:rPr>
          <w:rFonts w:ascii="LinLibertine" w:eastAsia="Times New Roman" w:hAnsi="LinLibertine" w:cs="Times New Roman"/>
          <w:color w:val="000000"/>
          <w:sz w:val="24"/>
          <w:szCs w:val="24"/>
          <w:lang w:eastAsia="en-GB"/>
        </w:rPr>
        <w:t> of participants (‘What would </w:t>
      </w:r>
      <w:r w:rsidRPr="0071572E">
        <w:rPr>
          <w:rFonts w:ascii="LinLibertine" w:eastAsia="Times New Roman" w:hAnsi="LinLibertine" w:cs="Times New Roman"/>
          <w:i/>
          <w:iCs/>
          <w:color w:val="000000"/>
          <w:sz w:val="24"/>
          <w:szCs w:val="24"/>
          <w:lang w:eastAsia="en-GB"/>
        </w:rPr>
        <w:t>you</w:t>
      </w:r>
      <w:r w:rsidRPr="0071572E">
        <w:rPr>
          <w:rFonts w:ascii="LinLibertine" w:eastAsia="Times New Roman" w:hAnsi="LinLibertine" w:cs="Times New Roman"/>
          <w:color w:val="000000"/>
          <w:sz w:val="24"/>
          <w:szCs w:val="24"/>
          <w:lang w:eastAsia="en-GB"/>
        </w:rPr>
        <w:t> be prepared to do in order to help these proposals to get implemented?’).</w:t>
      </w:r>
    </w:p>
    <w:p w14:paraId="41706A62"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results of the discussions about the current state of the quality of life and governance issues are shown in </w:t>
      </w:r>
      <w:hyperlink r:id="rId47" w:anchor="fig15_1" w:history="1">
        <w:r w:rsidRPr="0071572E">
          <w:rPr>
            <w:rFonts w:ascii="LinLibertine" w:eastAsia="Times New Roman" w:hAnsi="LinLibertine" w:cs="Times New Roman"/>
            <w:color w:val="0000FF"/>
            <w:sz w:val="24"/>
            <w:szCs w:val="24"/>
            <w:u w:val="single"/>
            <w:lang w:eastAsia="en-GB"/>
          </w:rPr>
          <w:t>Figure 15.1</w:t>
        </w:r>
      </w:hyperlink>
      <w:r w:rsidRPr="0071572E">
        <w:rPr>
          <w:rFonts w:ascii="LinLibertine" w:eastAsia="Times New Roman" w:hAnsi="LinLibertine" w:cs="Times New Roman"/>
          <w:color w:val="000000"/>
          <w:sz w:val="24"/>
          <w:szCs w:val="24"/>
          <w:lang w:eastAsia="en-GB"/>
        </w:rPr>
        <w:t>. The multi-stakeholder assessment process provided greater insights than are available from most measurement approaches and also brought the stakeholders into the process in such as a way as to increase their commitment to find solutions to the problems identified.</w:t>
      </w:r>
    </w:p>
    <w:p w14:paraId="10AE0B72"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governance scorecard approach in </w:t>
      </w:r>
      <w:hyperlink r:id="rId48" w:anchor="fig15_1" w:history="1">
        <w:r w:rsidRPr="0071572E">
          <w:rPr>
            <w:rFonts w:ascii="LinLibertine" w:eastAsia="Times New Roman" w:hAnsi="LinLibertine" w:cs="Times New Roman"/>
            <w:color w:val="0000FF"/>
            <w:sz w:val="24"/>
            <w:szCs w:val="24"/>
            <w:u w:val="single"/>
            <w:lang w:eastAsia="en-GB"/>
          </w:rPr>
          <w:t>Figure 15.1</w:t>
        </w:r>
      </w:hyperlink>
      <w:r w:rsidRPr="0071572E">
        <w:rPr>
          <w:rFonts w:ascii="LinLibertine" w:eastAsia="Times New Roman" w:hAnsi="LinLibertine" w:cs="Times New Roman"/>
          <w:color w:val="000000"/>
          <w:sz w:val="24"/>
          <w:szCs w:val="24"/>
          <w:lang w:eastAsia="en-GB"/>
        </w:rPr>
        <w:t> has the conceptual advantage of covering the two key areas of governance identified earlier in this section where assessment is required, namely improvements in public policy outcomes and implementation of a set of agreed governance principles and processes. However, in practice evaluations of outcomes have been undertaken rather more frequently than evaluations of how well governance principles have been implemented. Moreover, in the UK the move during the last decade to outcome-based commissioning (Bovaird </w:t>
      </w:r>
      <w:r w:rsidRPr="0071572E">
        <w:rPr>
          <w:rFonts w:ascii="LinLibertine" w:eastAsia="Times New Roman" w:hAnsi="LinLibertine" w:cs="Times New Roman"/>
          <w:i/>
          <w:iCs/>
          <w:color w:val="000000"/>
          <w:sz w:val="24"/>
          <w:szCs w:val="24"/>
          <w:lang w:eastAsia="en-GB"/>
        </w:rPr>
        <w:t>et al</w:t>
      </w:r>
      <w:r w:rsidRPr="0071572E">
        <w:rPr>
          <w:rFonts w:ascii="LinLibertine" w:eastAsia="Times New Roman" w:hAnsi="LinLibertine" w:cs="Times New Roman"/>
          <w:color w:val="000000"/>
          <w:sz w:val="24"/>
          <w:szCs w:val="24"/>
          <w:lang w:eastAsia="en-GB"/>
        </w:rPr>
        <w:t>., 2012; Willis and Bovaird, 2012) has given a strong impetus to the determination of outcome frameworks and assessment of outcome achievement, but there has been not been a corresponding formal move towards assessment of government principles.</w:t>
      </w:r>
    </w:p>
    <w:p w14:paraId="7FF9BFB8"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However, it is interesting to observe that these two different dimensions of governance have not been so easy to divorce in practice. For example, an early set of broad outcomes for adults proposed by the UK government included, along with such quality of life outcomes as improved health and economic well-being, some ‘outcomes’ which are more obviously ‘implementation of governance principles’ – e.g. freedom from discrimination or harassment; exercise of choice and control (DH, 2005). More recently, Lord Darzi in a major review of the National Health Service (NHS) echoed this duality of what a service is designed to achieve and how it is experienced: ‘High quality care should be as safe and effective as possible, with patients treated with compassion, dignity and respect’ (Darzi, 2008: 11), where these final attributes of treatment clearly relate to governance principles. Finally, the outcomes framework for adult social care in England has for some years contained the outcome ‘carers feel that they are respected as equal partners throughout the care process’ (DH, 2014), which is clearly a governance principle rather than a quality of life outcome.</w:t>
      </w:r>
    </w:p>
    <w:p w14:paraId="2B3CF599" w14:textId="77777777" w:rsidR="0071572E" w:rsidRPr="0071572E" w:rsidRDefault="0071572E" w:rsidP="0071572E">
      <w:pPr>
        <w:spacing w:after="0" w:line="240" w:lineRule="auto"/>
        <w:jc w:val="center"/>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noProof/>
          <w:color w:val="000000"/>
          <w:sz w:val="24"/>
          <w:szCs w:val="24"/>
          <w:lang w:eastAsia="en-GB"/>
        </w:rPr>
        <mc:AlternateContent>
          <mc:Choice Requires="wps">
            <w:drawing>
              <wp:inline distT="0" distB="0" distL="0" distR="0" wp14:anchorId="7554812E" wp14:editId="45ECC6C9">
                <wp:extent cx="304800" cy="304800"/>
                <wp:effectExtent l="0" t="0" r="0" b="0"/>
                <wp:docPr id="1" name="AutoShape 17" descr="Figure 15.1 Governance scorecard of quality of life and governance principles in Carrick public housing estat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95D2E15" id="AutoShape 17" o:spid="_x0000_s1026" alt="Figure 15.1 Governance scorecard of quality of life and governance principles in Carrick public housing estat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R&#10;QX0h/QIAADEGAAAOAAAAAAAAAAAAAAAAAC4CAABkcnMvZTJvRG9jLnhtbFBLAQItABQABgAIAAAA&#10;IQBMoOks2AAAAAMBAAAPAAAAAAAAAAAAAAAAAFcFAABkcnMvZG93bnJldi54bWxQSwUGAAAAAAQA&#10;BADzAAAAXAYAAAAA&#10;" filled="f" stroked="f">
                <o:lock v:ext="edit" aspectratio="t"/>
                <w10:anchorlock/>
              </v:rect>
            </w:pict>
          </mc:Fallback>
        </mc:AlternateContent>
      </w:r>
    </w:p>
    <w:p w14:paraId="5CA6BCE1" w14:textId="77777777" w:rsidR="0071572E" w:rsidRPr="0071572E" w:rsidRDefault="00B466F0" w:rsidP="0071572E">
      <w:pPr>
        <w:spacing w:before="100" w:beforeAutospacing="1" w:after="100" w:afterAutospacing="1" w:line="240" w:lineRule="auto"/>
        <w:rPr>
          <w:rFonts w:ascii="LinLibertine" w:eastAsia="Times New Roman" w:hAnsi="LinLibertine" w:cs="Times New Roman"/>
          <w:color w:val="000000"/>
          <w:lang w:eastAsia="en-GB"/>
        </w:rPr>
      </w:pPr>
      <w:hyperlink r:id="rId49" w:anchor="bck_fig15_1" w:history="1">
        <w:r w:rsidR="0071572E" w:rsidRPr="0071572E">
          <w:rPr>
            <w:rFonts w:ascii="LinLibertine" w:eastAsia="Times New Roman" w:hAnsi="LinLibertine" w:cs="Times New Roman"/>
            <w:i/>
            <w:iCs/>
            <w:color w:val="0000FF"/>
            <w:sz w:val="19"/>
            <w:szCs w:val="19"/>
            <w:u w:val="single"/>
            <w:lang w:eastAsia="en-GB"/>
          </w:rPr>
          <w:t>Figure 15.1</w:t>
        </w:r>
      </w:hyperlink>
      <w:r w:rsidR="0071572E" w:rsidRPr="0071572E">
        <w:rPr>
          <w:rFonts w:ascii="LinLibertine" w:eastAsia="Times New Roman" w:hAnsi="LinLibertine" w:cs="Times New Roman"/>
          <w:color w:val="000000"/>
          <w:lang w:eastAsia="en-GB"/>
        </w:rPr>
        <w:t> Governance scorecard of quality of life and governance principles in Carrick public housing estates.</w:t>
      </w:r>
    </w:p>
    <w:p w14:paraId="03A8FCD4" w14:textId="77777777" w:rsidR="0071572E" w:rsidRPr="0071572E" w:rsidRDefault="0071572E" w:rsidP="0071572E">
      <w:pPr>
        <w:spacing w:after="100" w:afterAutospacing="1" w:line="240" w:lineRule="auto"/>
        <w:rPr>
          <w:rFonts w:ascii="LinLibertine" w:eastAsia="Times New Roman" w:hAnsi="LinLibertine" w:cs="Times New Roman"/>
          <w:color w:val="000000"/>
          <w:lang w:eastAsia="en-GB"/>
        </w:rPr>
      </w:pPr>
      <w:r w:rsidRPr="0071572E">
        <w:rPr>
          <w:rFonts w:ascii="LinLibertine" w:eastAsia="Times New Roman" w:hAnsi="LinLibertine" w:cs="Times New Roman"/>
          <w:color w:val="000000"/>
          <w:lang w:eastAsia="en-GB"/>
        </w:rPr>
        <w:t>Source: Bovaird and Loeffler (2007) (unpublished annex)</w:t>
      </w:r>
    </w:p>
    <w:p w14:paraId="04F7F283"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Summary</w:t>
      </w:r>
    </w:p>
    <w:p w14:paraId="371F467C" w14:textId="77777777" w:rsidR="0071572E" w:rsidRPr="0071572E" w:rsidRDefault="0071572E" w:rsidP="0071572E">
      <w:pPr>
        <w:spacing w:before="240" w:after="0" w:line="240" w:lineRule="auto"/>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This chapter has stressed that the concepts of ‘governance’ and ‘good governance’ are contestable, but that they are central to an understanding of the way in which government and the public sector relate to their society.</w:t>
      </w:r>
    </w:p>
    <w:p w14:paraId="45DFD40B"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Government is not enough, since governance is enacted by many other stakeholders. However, good governance in society and in the polity will usually require good </w:t>
      </w:r>
      <w:r w:rsidRPr="0071572E">
        <w:rPr>
          <w:rFonts w:ascii="LinLibertine" w:eastAsia="Times New Roman" w:hAnsi="LinLibertine" w:cs="Times New Roman"/>
          <w:color w:val="000000"/>
          <w:sz w:val="24"/>
          <w:szCs w:val="24"/>
          <w:lang w:eastAsia="en-GB"/>
        </w:rPr>
        <w:lastRenderedPageBreak/>
        <w:t>government. By the same token, of course, good governance will require positive contributions from all other important stakeholders.</w:t>
      </w:r>
    </w:p>
    <w:p w14:paraId="36D69166"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key question for government is: Which role should it adopt in which context? Whereas in some situations it may be appropriate to take a leadership role, there may be other contexts in which stakeholders do not trust government sufficiently, or where government does not have the necessary competence. In such cases, it may be more effective for government to adopt the role of a collaborator, e.g. as a co-producer enabling users and their communities to be </w:t>
      </w:r>
      <w:r w:rsidRPr="0071572E">
        <w:rPr>
          <w:rFonts w:ascii="LinLibertine" w:eastAsia="Times New Roman" w:hAnsi="LinLibertine" w:cs="Times New Roman"/>
          <w:i/>
          <w:iCs/>
          <w:color w:val="000000"/>
          <w:sz w:val="24"/>
          <w:szCs w:val="24"/>
          <w:lang w:eastAsia="en-GB"/>
        </w:rPr>
        <w:t>part</w:t>
      </w:r>
      <w:r w:rsidRPr="0071572E">
        <w:rPr>
          <w:rFonts w:ascii="LinLibertine" w:eastAsia="Times New Roman" w:hAnsi="LinLibertine" w:cs="Times New Roman"/>
          <w:color w:val="000000"/>
          <w:sz w:val="24"/>
          <w:szCs w:val="24"/>
          <w:lang w:eastAsia="en-GB"/>
        </w:rPr>
        <w:t> of service planning and delivery.</w:t>
      </w:r>
    </w:p>
    <w:p w14:paraId="6094C301" w14:textId="77777777" w:rsidR="0071572E" w:rsidRPr="0071572E" w:rsidRDefault="0071572E" w:rsidP="0071572E">
      <w:pPr>
        <w:spacing w:after="0" w:line="240" w:lineRule="auto"/>
        <w:ind w:firstLine="24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The other question for government (and any other stakeholder) is to choose the right mechanism – market, hierarchy, organizational network or community – to deal with a problem. In some cases, the problem at stake can be solved through market mechanisms; in other cases, the problem should be delegated to groups in the community or other networks. But there are still problems, such as national defence, that are best dealt with by hierarchies.</w:t>
      </w:r>
    </w:p>
    <w:p w14:paraId="4609EC1B"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Questions for review and discussion</w:t>
      </w:r>
    </w:p>
    <w:p w14:paraId="05B3B37C" w14:textId="77777777" w:rsidR="0071572E" w:rsidRPr="0071572E" w:rsidRDefault="0071572E" w:rsidP="0071572E">
      <w:pPr>
        <w:numPr>
          <w:ilvl w:val="0"/>
          <w:numId w:val="1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What does ‘good governance’ mean for you? Try to think of a number of attributes of good governance and how each of them could be operationalized in order to allow you to assess the quality of public governance.</w:t>
      </w:r>
    </w:p>
    <w:p w14:paraId="59F95032" w14:textId="77777777" w:rsidR="0071572E" w:rsidRPr="0071572E" w:rsidRDefault="0071572E" w:rsidP="0071572E">
      <w:pPr>
        <w:numPr>
          <w:ilvl w:val="0"/>
          <w:numId w:val="12"/>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Describe how network management differs from the management of hierarchical organizations.</w:t>
      </w:r>
    </w:p>
    <w:p w14:paraId="4C867830"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Reader exercises</w:t>
      </w:r>
    </w:p>
    <w:p w14:paraId="5DBDA419" w14:textId="77777777" w:rsidR="0071572E" w:rsidRPr="0071572E" w:rsidRDefault="0071572E" w:rsidP="0071572E">
      <w:pPr>
        <w:numPr>
          <w:ilvl w:val="0"/>
          <w:numId w:val="13"/>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Choose an organization with which you are familiar (e.g. your college or your employer). Undertake a stakeholder analysis for that organization by identifying all the stakeholders who have affected it or may be affected by it. In a second step, decide who are the stakeholders to whom most attention needs to be paid by allocating them into a power-interest matrix.</w:t>
      </w:r>
    </w:p>
    <w:p w14:paraId="4F4D4B0B" w14:textId="77777777" w:rsidR="0071572E" w:rsidRPr="0071572E" w:rsidRDefault="0071572E" w:rsidP="0071572E">
      <w:pPr>
        <w:numPr>
          <w:ilvl w:val="0"/>
          <w:numId w:val="13"/>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Think of one key public policy area that concerns you. What are the main mechanisms by which non-governmental stakeholders can influence the outcomes? What are the main ways in which their influence could be strengthened?</w:t>
      </w:r>
    </w:p>
    <w:p w14:paraId="6344B76A" w14:textId="77777777" w:rsidR="0071572E" w:rsidRPr="0071572E" w:rsidRDefault="0071572E" w:rsidP="0071572E">
      <w:pPr>
        <w:numPr>
          <w:ilvl w:val="0"/>
          <w:numId w:val="13"/>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Take a copy of a serious newspaper (note: be careful, this exercise could reveal a lot about you!) and identify the major public governance issues that surface in its stories (e.g. transparency, integrity or honesty of staff in public agencies; engagement of non-governmental stakeholders in policy decisions; ability to work in partnership with other agencies, etc.). Do the stories suggest any mechanisms by which these governance issues might better be tackled?</w:t>
      </w:r>
    </w:p>
    <w:p w14:paraId="5E3D5637"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Class exercises</w:t>
      </w:r>
    </w:p>
    <w:p w14:paraId="72216DB8" w14:textId="77777777" w:rsidR="0071572E" w:rsidRPr="0071572E" w:rsidRDefault="0071572E" w:rsidP="0071572E">
      <w:pPr>
        <w:numPr>
          <w:ilvl w:val="0"/>
          <w:numId w:val="1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Identify in class an important ‘wicked’ public policy problem that affects your quality of life (such as high pollution in your city, high levels of crime in your neighbourhood, discriminatory behaviour against the group to which you belong, etc.). In groups, </w:t>
      </w:r>
      <w:r w:rsidRPr="0071572E">
        <w:rPr>
          <w:rFonts w:ascii="LinLibertine" w:eastAsia="Times New Roman" w:hAnsi="LinLibertine" w:cs="Times New Roman"/>
          <w:color w:val="000000"/>
          <w:sz w:val="24"/>
          <w:szCs w:val="24"/>
          <w:lang w:eastAsia="en-GB"/>
        </w:rPr>
        <w:lastRenderedPageBreak/>
        <w:t>discuss which stakeholders are likely to be most successful in solving this problem. Then discuss the obstacles that exist to giving these stakeholders the power needed to allow them the opportunity to implement their solution. In the class plenary session, compare your analyses.</w:t>
      </w:r>
    </w:p>
    <w:p w14:paraId="077B21B6" w14:textId="77777777" w:rsidR="0071572E" w:rsidRPr="0071572E" w:rsidRDefault="0071572E" w:rsidP="0071572E">
      <w:pPr>
        <w:numPr>
          <w:ilvl w:val="0"/>
          <w:numId w:val="1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In groups, discuss which stakeholder(s) should take the lead in producing a healthier population in your city and why. Compare your answers in a plenary session of the class.</w:t>
      </w:r>
    </w:p>
    <w:p w14:paraId="19C8EBF5"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Further reading</w:t>
      </w:r>
    </w:p>
    <w:p w14:paraId="4C10C941"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Tony Bovaird and Elke Loeffler (2002), ‘Moving from excellence models of local service delivery to benchmarking of “good local governance”’, </w:t>
      </w:r>
      <w:r w:rsidRPr="0071572E">
        <w:rPr>
          <w:rFonts w:ascii="LinLibertine" w:eastAsia="Times New Roman" w:hAnsi="LinLibertine" w:cs="Times New Roman"/>
          <w:i/>
          <w:iCs/>
          <w:color w:val="000000"/>
          <w:sz w:val="24"/>
          <w:szCs w:val="24"/>
          <w:lang w:eastAsia="en-GB"/>
        </w:rPr>
        <w:t>International Review of Administrative Sciences</w:t>
      </w:r>
      <w:r w:rsidRPr="0071572E">
        <w:rPr>
          <w:rFonts w:ascii="LinLibertine" w:eastAsia="Times New Roman" w:hAnsi="LinLibertine" w:cs="Times New Roman"/>
          <w:color w:val="000000"/>
          <w:sz w:val="24"/>
          <w:szCs w:val="24"/>
          <w:lang w:eastAsia="en-GB"/>
        </w:rPr>
        <w:t>, 67 (1): 9–24.</w:t>
      </w:r>
    </w:p>
    <w:p w14:paraId="3B05A5BE"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Tony Bovaird and Elke Loeffler (2003), ‘Evaluating the quality of public governance: indicators, models and methodologies’, </w:t>
      </w:r>
      <w:r w:rsidRPr="0071572E">
        <w:rPr>
          <w:rFonts w:ascii="LinLibertine" w:eastAsia="Times New Roman" w:hAnsi="LinLibertine" w:cs="Times New Roman"/>
          <w:i/>
          <w:iCs/>
          <w:color w:val="000000"/>
          <w:sz w:val="24"/>
          <w:szCs w:val="24"/>
          <w:lang w:eastAsia="en-GB"/>
        </w:rPr>
        <w:t>International Review of Administrative Sciences</w:t>
      </w:r>
      <w:r w:rsidRPr="0071572E">
        <w:rPr>
          <w:rFonts w:ascii="LinLibertine" w:eastAsia="Times New Roman" w:hAnsi="LinLibertine" w:cs="Times New Roman"/>
          <w:color w:val="000000"/>
          <w:sz w:val="24"/>
          <w:szCs w:val="24"/>
          <w:lang w:eastAsia="en-GB"/>
        </w:rPr>
        <w:t>, 69 (3): 313–328.</w:t>
      </w:r>
    </w:p>
    <w:p w14:paraId="62B44FC6"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Stephen P. Osborne (ed.) (2010), </w:t>
      </w:r>
      <w:r w:rsidRPr="0071572E">
        <w:rPr>
          <w:rFonts w:ascii="LinLibertine" w:eastAsia="Times New Roman" w:hAnsi="LinLibertine" w:cs="Times New Roman"/>
          <w:i/>
          <w:iCs/>
          <w:color w:val="000000"/>
          <w:sz w:val="24"/>
          <w:szCs w:val="24"/>
          <w:lang w:eastAsia="en-GB"/>
        </w:rPr>
        <w:t>The new public governance: emerging perspectives on the theory and practice of public governance</w:t>
      </w:r>
      <w:r w:rsidRPr="0071572E">
        <w:rPr>
          <w:rFonts w:ascii="LinLibertine" w:eastAsia="Times New Roman" w:hAnsi="LinLibertine" w:cs="Times New Roman"/>
          <w:color w:val="000000"/>
          <w:sz w:val="24"/>
          <w:szCs w:val="24"/>
          <w:lang w:eastAsia="en-GB"/>
        </w:rPr>
        <w:t>. London: Routledge.</w:t>
      </w:r>
    </w:p>
    <w:p w14:paraId="3A655265"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Gerry Stoker (2004), </w:t>
      </w:r>
      <w:r w:rsidRPr="0071572E">
        <w:rPr>
          <w:rFonts w:ascii="LinLibertine" w:eastAsia="Times New Roman" w:hAnsi="LinLibertine" w:cs="Times New Roman"/>
          <w:i/>
          <w:iCs/>
          <w:color w:val="000000"/>
          <w:sz w:val="24"/>
          <w:szCs w:val="24"/>
          <w:lang w:eastAsia="en-GB"/>
        </w:rPr>
        <w:t>Transforming local governance: from Thatcherism to New Labour</w:t>
      </w:r>
      <w:r w:rsidRPr="0071572E">
        <w:rPr>
          <w:rFonts w:ascii="LinLibertine" w:eastAsia="Times New Roman" w:hAnsi="LinLibertine" w:cs="Times New Roman"/>
          <w:color w:val="000000"/>
          <w:sz w:val="24"/>
          <w:szCs w:val="24"/>
          <w:lang w:eastAsia="en-GB"/>
        </w:rPr>
        <w:t>. Basingstoke: Palgrave Macmillan.</w:t>
      </w:r>
    </w:p>
    <w:p w14:paraId="5C16C302" w14:textId="77777777" w:rsidR="0071572E" w:rsidRPr="0071572E" w:rsidRDefault="0071572E" w:rsidP="0071572E">
      <w:pPr>
        <w:spacing w:before="480" w:after="240" w:line="468" w:lineRule="atLeast"/>
        <w:outlineLvl w:val="1"/>
        <w:rPr>
          <w:rFonts w:ascii="LinLibertine" w:eastAsia="Times New Roman" w:hAnsi="LinLibertine" w:cs="Times New Roman"/>
          <w:b/>
          <w:bCs/>
          <w:color w:val="000000"/>
          <w:sz w:val="36"/>
          <w:szCs w:val="36"/>
          <w:lang w:eastAsia="en-GB"/>
        </w:rPr>
      </w:pPr>
      <w:r w:rsidRPr="0071572E">
        <w:rPr>
          <w:rFonts w:ascii="LinLibertine" w:eastAsia="Times New Roman" w:hAnsi="LinLibertine" w:cs="Times New Roman"/>
          <w:b/>
          <w:bCs/>
          <w:color w:val="000000"/>
          <w:sz w:val="36"/>
          <w:szCs w:val="36"/>
          <w:lang w:eastAsia="en-GB"/>
        </w:rPr>
        <w:t>References</w:t>
      </w:r>
    </w:p>
    <w:p w14:paraId="70440727"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Tony Bovaird and Elke Loeffler (2002), ‘Moving from excellence models of local service delivery to benchmarking of “good local governance”’, </w:t>
      </w:r>
      <w:r w:rsidRPr="0071572E">
        <w:rPr>
          <w:rFonts w:ascii="LinLibertine" w:eastAsia="Times New Roman" w:hAnsi="LinLibertine" w:cs="Times New Roman"/>
          <w:i/>
          <w:iCs/>
          <w:color w:val="000000"/>
          <w:sz w:val="24"/>
          <w:szCs w:val="24"/>
          <w:lang w:eastAsia="en-GB"/>
        </w:rPr>
        <w:t>International Review of Administrative Sciences</w:t>
      </w:r>
      <w:r w:rsidRPr="0071572E">
        <w:rPr>
          <w:rFonts w:ascii="LinLibertine" w:eastAsia="Times New Roman" w:hAnsi="LinLibertine" w:cs="Times New Roman"/>
          <w:color w:val="000000"/>
          <w:sz w:val="24"/>
          <w:szCs w:val="24"/>
          <w:lang w:eastAsia="en-GB"/>
        </w:rPr>
        <w:t>, 67 (1): 9–24.</w:t>
      </w:r>
    </w:p>
    <w:p w14:paraId="7CD364CA"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Tony Bovaird and Elke Loeffler (2003), ‘Evaluating the quality of public governance: indicators, models and methodologies’, </w:t>
      </w:r>
      <w:r w:rsidRPr="0071572E">
        <w:rPr>
          <w:rFonts w:ascii="LinLibertine" w:eastAsia="Times New Roman" w:hAnsi="LinLibertine" w:cs="Times New Roman"/>
          <w:i/>
          <w:iCs/>
          <w:color w:val="000000"/>
          <w:sz w:val="24"/>
          <w:szCs w:val="24"/>
          <w:lang w:eastAsia="en-GB"/>
        </w:rPr>
        <w:t>International Review of Administrative Sciences</w:t>
      </w:r>
      <w:r w:rsidRPr="0071572E">
        <w:rPr>
          <w:rFonts w:ascii="LinLibertine" w:eastAsia="Times New Roman" w:hAnsi="LinLibertine" w:cs="Times New Roman"/>
          <w:color w:val="000000"/>
          <w:sz w:val="24"/>
          <w:szCs w:val="24"/>
          <w:lang w:eastAsia="en-GB"/>
        </w:rPr>
        <w:t>, 69 (3): 313–328.</w:t>
      </w:r>
    </w:p>
    <w:p w14:paraId="54CEA2E0"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Tony Bovaird and Elke Loeffler (2007), ‘Assessing the quality of local governance: a case study of public services’, </w:t>
      </w:r>
      <w:r w:rsidRPr="0071572E">
        <w:rPr>
          <w:rFonts w:ascii="LinLibertine" w:eastAsia="Times New Roman" w:hAnsi="LinLibertine" w:cs="Times New Roman"/>
          <w:i/>
          <w:iCs/>
          <w:color w:val="000000"/>
          <w:sz w:val="24"/>
          <w:szCs w:val="24"/>
          <w:lang w:eastAsia="en-GB"/>
        </w:rPr>
        <w:t>Public Money and Management</w:t>
      </w:r>
      <w:r w:rsidRPr="0071572E">
        <w:rPr>
          <w:rFonts w:ascii="LinLibertine" w:eastAsia="Times New Roman" w:hAnsi="LinLibertine" w:cs="Times New Roman"/>
          <w:color w:val="000000"/>
          <w:sz w:val="24"/>
          <w:szCs w:val="24"/>
          <w:lang w:eastAsia="en-GB"/>
        </w:rPr>
        <w:t>, 27 (4): 293–300.</w:t>
      </w:r>
    </w:p>
    <w:p w14:paraId="164B5135"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T. Bovaird, H. Dickenson and K. Allen (2012), ‘New models of strategic commissioning’, in Jon Glasby (ed.), </w:t>
      </w:r>
      <w:r w:rsidRPr="0071572E">
        <w:rPr>
          <w:rFonts w:ascii="LinLibertine" w:eastAsia="Times New Roman" w:hAnsi="LinLibertine" w:cs="Times New Roman"/>
          <w:i/>
          <w:iCs/>
          <w:color w:val="000000"/>
          <w:sz w:val="24"/>
          <w:szCs w:val="24"/>
          <w:lang w:eastAsia="en-GB"/>
        </w:rPr>
        <w:t>Commissioning for health and well-being</w:t>
      </w:r>
      <w:r w:rsidRPr="0071572E">
        <w:rPr>
          <w:rFonts w:ascii="LinLibertine" w:eastAsia="Times New Roman" w:hAnsi="LinLibertine" w:cs="Times New Roman"/>
          <w:color w:val="000000"/>
          <w:sz w:val="24"/>
          <w:szCs w:val="24"/>
          <w:lang w:eastAsia="en-GB"/>
        </w:rPr>
        <w:t>. Cheltenham: Edward Elgar.</w:t>
      </w:r>
    </w:p>
    <w:p w14:paraId="62770BF5"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Darzi, Lord (2008), ‘Summary letter: our NHS – secured today for future generations’, in </w:t>
      </w:r>
      <w:r w:rsidRPr="0071572E">
        <w:rPr>
          <w:rFonts w:ascii="LinLibertine" w:eastAsia="Times New Roman" w:hAnsi="LinLibertine" w:cs="Times New Roman"/>
          <w:i/>
          <w:iCs/>
          <w:color w:val="000000"/>
          <w:sz w:val="24"/>
          <w:szCs w:val="24"/>
          <w:lang w:eastAsia="en-GB"/>
        </w:rPr>
        <w:t>High quality care for all: NHS next stage review final report</w:t>
      </w:r>
      <w:r w:rsidRPr="0071572E">
        <w:rPr>
          <w:rFonts w:ascii="LinLibertine" w:eastAsia="Times New Roman" w:hAnsi="LinLibertine" w:cs="Times New Roman"/>
          <w:color w:val="000000"/>
          <w:sz w:val="24"/>
          <w:szCs w:val="24"/>
          <w:lang w:eastAsia="en-GB"/>
        </w:rPr>
        <w:t>, Cm7432. London: Department of Health.</w:t>
      </w:r>
    </w:p>
    <w:p w14:paraId="0C12AE91"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DH (2005), </w:t>
      </w:r>
      <w:r w:rsidRPr="0071572E">
        <w:rPr>
          <w:rFonts w:ascii="LinLibertine" w:eastAsia="Times New Roman" w:hAnsi="LinLibertine" w:cs="Times New Roman"/>
          <w:i/>
          <w:iCs/>
          <w:color w:val="000000"/>
          <w:sz w:val="24"/>
          <w:szCs w:val="24"/>
          <w:lang w:eastAsia="en-GB"/>
        </w:rPr>
        <w:t>Independence, well-being and choice: our vision for the future of social care for adults in England</w:t>
      </w:r>
      <w:r w:rsidRPr="0071572E">
        <w:rPr>
          <w:rFonts w:ascii="LinLibertine" w:eastAsia="Times New Roman" w:hAnsi="LinLibertine" w:cs="Times New Roman"/>
          <w:color w:val="000000"/>
          <w:sz w:val="24"/>
          <w:szCs w:val="24"/>
          <w:lang w:eastAsia="en-GB"/>
        </w:rPr>
        <w:t>, Cm 6499. London: Department of Health.</w:t>
      </w:r>
    </w:p>
    <w:p w14:paraId="43BFAE1E"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DH (2014), </w:t>
      </w:r>
      <w:r w:rsidRPr="0071572E">
        <w:rPr>
          <w:rFonts w:ascii="LinLibertine" w:eastAsia="Times New Roman" w:hAnsi="LinLibertine" w:cs="Times New Roman"/>
          <w:i/>
          <w:iCs/>
          <w:color w:val="000000"/>
          <w:sz w:val="24"/>
          <w:szCs w:val="24"/>
          <w:lang w:eastAsia="en-GB"/>
        </w:rPr>
        <w:t>The adult social care outcomes framework 2015/16</w:t>
      </w:r>
      <w:r w:rsidRPr="0071572E">
        <w:rPr>
          <w:rFonts w:ascii="LinLibertine" w:eastAsia="Times New Roman" w:hAnsi="LinLibertine" w:cs="Times New Roman"/>
          <w:color w:val="000000"/>
          <w:sz w:val="24"/>
          <w:szCs w:val="24"/>
          <w:lang w:eastAsia="en-GB"/>
        </w:rPr>
        <w:t>. London: Department of Health.</w:t>
      </w:r>
    </w:p>
    <w:p w14:paraId="2B878CA4" w14:textId="77777777" w:rsidR="0071572E" w:rsidRPr="0071572E" w:rsidRDefault="0071572E" w:rsidP="0071572E">
      <w:pPr>
        <w:spacing w:after="0" w:line="240" w:lineRule="auto"/>
        <w:ind w:left="360" w:hanging="360"/>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European Commission (2001), </w:t>
      </w:r>
      <w:r w:rsidRPr="0071572E">
        <w:rPr>
          <w:rFonts w:ascii="LinLibertine" w:eastAsia="Times New Roman" w:hAnsi="LinLibertine" w:cs="Times New Roman"/>
          <w:i/>
          <w:iCs/>
          <w:color w:val="000000"/>
          <w:sz w:val="24"/>
          <w:szCs w:val="24"/>
          <w:lang w:eastAsia="en-GB"/>
        </w:rPr>
        <w:t>White paper on European governance</w:t>
      </w:r>
      <w:r w:rsidRPr="0071572E">
        <w:rPr>
          <w:rFonts w:ascii="LinLibertine" w:eastAsia="Times New Roman" w:hAnsi="LinLibertine" w:cs="Times New Roman"/>
          <w:color w:val="000000"/>
          <w:sz w:val="24"/>
          <w:szCs w:val="24"/>
          <w:lang w:eastAsia="en-GB"/>
        </w:rPr>
        <w:t>. Brussels: Commission of the European Communities, </w:t>
      </w:r>
      <w:hyperlink r:id="rId50" w:history="1">
        <w:r w:rsidRPr="0071572E">
          <w:rPr>
            <w:rFonts w:ascii="LinLibertine" w:eastAsia="Times New Roman" w:hAnsi="LinLibertine" w:cs="Times New Roman"/>
            <w:color w:val="0000FF"/>
            <w:sz w:val="24"/>
            <w:szCs w:val="24"/>
            <w:u w:val="single"/>
            <w:lang w:eastAsia="en-GB"/>
          </w:rPr>
          <w:t>http://europa.eu./rapid/press-release_DOC-01-10_en.htm</w:t>
        </w:r>
      </w:hyperlink>
      <w:r w:rsidRPr="0071572E">
        <w:rPr>
          <w:rFonts w:ascii="LinLibertine" w:eastAsia="Times New Roman" w:hAnsi="LinLibertine" w:cs="Times New Roman"/>
          <w:color w:val="000000"/>
          <w:sz w:val="24"/>
          <w:szCs w:val="24"/>
          <w:lang w:eastAsia="en-GB"/>
        </w:rPr>
        <w:t>, from 1 May 2008.</w:t>
      </w:r>
    </w:p>
    <w:p w14:paraId="0A2B3DF5"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Walter J.M. </w:t>
      </w:r>
      <w:proofErr w:type="spellStart"/>
      <w:r w:rsidRPr="0071572E">
        <w:rPr>
          <w:rFonts w:ascii="LinLibertine" w:eastAsia="Times New Roman" w:hAnsi="LinLibertine" w:cs="Times New Roman"/>
          <w:color w:val="000000"/>
          <w:sz w:val="24"/>
          <w:szCs w:val="24"/>
          <w:lang w:eastAsia="en-GB"/>
        </w:rPr>
        <w:t>Kickert</w:t>
      </w:r>
      <w:proofErr w:type="spellEnd"/>
      <w:r w:rsidRPr="0071572E">
        <w:rPr>
          <w:rFonts w:ascii="LinLibertine" w:eastAsia="Times New Roman" w:hAnsi="LinLibertine" w:cs="Times New Roman"/>
          <w:color w:val="000000"/>
          <w:sz w:val="24"/>
          <w:szCs w:val="24"/>
          <w:lang w:eastAsia="en-GB"/>
        </w:rPr>
        <w:t xml:space="preserve"> and </w:t>
      </w:r>
      <w:proofErr w:type="spellStart"/>
      <w:r w:rsidRPr="0071572E">
        <w:rPr>
          <w:rFonts w:ascii="LinLibertine" w:eastAsia="Times New Roman" w:hAnsi="LinLibertine" w:cs="Times New Roman"/>
          <w:color w:val="000000"/>
          <w:sz w:val="24"/>
          <w:szCs w:val="24"/>
          <w:lang w:eastAsia="en-GB"/>
        </w:rPr>
        <w:t>Joop</w:t>
      </w:r>
      <w:proofErr w:type="spellEnd"/>
      <w:r w:rsidRPr="0071572E">
        <w:rPr>
          <w:rFonts w:ascii="LinLibertine" w:eastAsia="Times New Roman" w:hAnsi="LinLibertine" w:cs="Times New Roman"/>
          <w:color w:val="000000"/>
          <w:sz w:val="24"/>
          <w:szCs w:val="24"/>
          <w:lang w:eastAsia="en-GB"/>
        </w:rPr>
        <w:t xml:space="preserve"> F.M. </w:t>
      </w:r>
      <w:proofErr w:type="spellStart"/>
      <w:r w:rsidRPr="0071572E">
        <w:rPr>
          <w:rFonts w:ascii="LinLibertine" w:eastAsia="Times New Roman" w:hAnsi="LinLibertine" w:cs="Times New Roman"/>
          <w:color w:val="000000"/>
          <w:sz w:val="24"/>
          <w:szCs w:val="24"/>
          <w:lang w:eastAsia="en-GB"/>
        </w:rPr>
        <w:t>Koppenjan</w:t>
      </w:r>
      <w:proofErr w:type="spellEnd"/>
      <w:r w:rsidRPr="0071572E">
        <w:rPr>
          <w:rFonts w:ascii="LinLibertine" w:eastAsia="Times New Roman" w:hAnsi="LinLibertine" w:cs="Times New Roman"/>
          <w:color w:val="000000"/>
          <w:sz w:val="24"/>
          <w:szCs w:val="24"/>
          <w:lang w:eastAsia="en-GB"/>
        </w:rPr>
        <w:t xml:space="preserve"> (1997), ‘Public management and network management: an overview’, in Walter J.M. </w:t>
      </w:r>
      <w:proofErr w:type="spellStart"/>
      <w:r w:rsidRPr="0071572E">
        <w:rPr>
          <w:rFonts w:ascii="LinLibertine" w:eastAsia="Times New Roman" w:hAnsi="LinLibertine" w:cs="Times New Roman"/>
          <w:color w:val="000000"/>
          <w:sz w:val="24"/>
          <w:szCs w:val="24"/>
          <w:lang w:eastAsia="en-GB"/>
        </w:rPr>
        <w:t>Kickert</w:t>
      </w:r>
      <w:proofErr w:type="spellEnd"/>
      <w:r w:rsidRPr="0071572E">
        <w:rPr>
          <w:rFonts w:ascii="LinLibertine" w:eastAsia="Times New Roman" w:hAnsi="LinLibertine" w:cs="Times New Roman"/>
          <w:color w:val="000000"/>
          <w:sz w:val="24"/>
          <w:szCs w:val="24"/>
          <w:lang w:eastAsia="en-GB"/>
        </w:rPr>
        <w:t xml:space="preserve"> Erik-Hans </w:t>
      </w:r>
      <w:proofErr w:type="spellStart"/>
      <w:r w:rsidRPr="0071572E">
        <w:rPr>
          <w:rFonts w:ascii="LinLibertine" w:eastAsia="Times New Roman" w:hAnsi="LinLibertine" w:cs="Times New Roman"/>
          <w:color w:val="000000"/>
          <w:sz w:val="24"/>
          <w:szCs w:val="24"/>
          <w:lang w:eastAsia="en-GB"/>
        </w:rPr>
        <w:t>Klijn</w:t>
      </w:r>
      <w:proofErr w:type="spellEnd"/>
      <w:r w:rsidRPr="0071572E">
        <w:rPr>
          <w:rFonts w:ascii="LinLibertine" w:eastAsia="Times New Roman" w:hAnsi="LinLibertine" w:cs="Times New Roman"/>
          <w:color w:val="000000"/>
          <w:sz w:val="24"/>
          <w:szCs w:val="24"/>
          <w:lang w:eastAsia="en-GB"/>
        </w:rPr>
        <w:t xml:space="preserve"> </w:t>
      </w:r>
      <w:proofErr w:type="spellStart"/>
      <w:r w:rsidRPr="0071572E">
        <w:rPr>
          <w:rFonts w:ascii="LinLibertine" w:eastAsia="Times New Roman" w:hAnsi="LinLibertine" w:cs="Times New Roman"/>
          <w:color w:val="000000"/>
          <w:sz w:val="24"/>
          <w:szCs w:val="24"/>
          <w:lang w:eastAsia="en-GB"/>
        </w:rPr>
        <w:t>Joop</w:t>
      </w:r>
      <w:proofErr w:type="spellEnd"/>
      <w:r w:rsidRPr="0071572E">
        <w:rPr>
          <w:rFonts w:ascii="LinLibertine" w:eastAsia="Times New Roman" w:hAnsi="LinLibertine" w:cs="Times New Roman"/>
          <w:color w:val="000000"/>
          <w:sz w:val="24"/>
          <w:szCs w:val="24"/>
          <w:lang w:eastAsia="en-GB"/>
        </w:rPr>
        <w:t xml:space="preserve"> F.M. </w:t>
      </w:r>
      <w:proofErr w:type="spellStart"/>
      <w:r w:rsidRPr="0071572E">
        <w:rPr>
          <w:rFonts w:ascii="LinLibertine" w:eastAsia="Times New Roman" w:hAnsi="LinLibertine" w:cs="Times New Roman"/>
          <w:color w:val="000000"/>
          <w:sz w:val="24"/>
          <w:szCs w:val="24"/>
          <w:lang w:eastAsia="en-GB"/>
        </w:rPr>
        <w:t>Koppenjan</w:t>
      </w:r>
      <w:proofErr w:type="spellEnd"/>
      <w:r w:rsidRPr="0071572E">
        <w:rPr>
          <w:rFonts w:ascii="LinLibertine" w:eastAsia="Times New Roman" w:hAnsi="LinLibertine" w:cs="Times New Roman"/>
          <w:color w:val="000000"/>
          <w:sz w:val="24"/>
          <w:szCs w:val="24"/>
          <w:lang w:eastAsia="en-GB"/>
        </w:rPr>
        <w:t xml:space="preserve"> </w:t>
      </w:r>
      <w:r w:rsidRPr="0071572E">
        <w:rPr>
          <w:rFonts w:ascii="LinLibertine" w:eastAsia="Times New Roman" w:hAnsi="LinLibertine" w:cs="Times New Roman"/>
          <w:color w:val="000000"/>
          <w:sz w:val="24"/>
          <w:szCs w:val="24"/>
          <w:lang w:eastAsia="en-GB"/>
        </w:rPr>
        <w:lastRenderedPageBreak/>
        <w:t>(</w:t>
      </w:r>
      <w:proofErr w:type="spellStart"/>
      <w:r w:rsidRPr="0071572E">
        <w:rPr>
          <w:rFonts w:ascii="LinLibertine" w:eastAsia="Times New Roman" w:hAnsi="LinLibertine" w:cs="Times New Roman"/>
          <w:color w:val="000000"/>
          <w:sz w:val="24"/>
          <w:szCs w:val="24"/>
          <w:lang w:eastAsia="en-GB"/>
        </w:rPr>
        <w:t>eds</w:t>
      </w:r>
      <w:proofErr w:type="spellEnd"/>
      <w:r w:rsidRPr="0071572E">
        <w:rPr>
          <w:rFonts w:ascii="LinLibertine" w:eastAsia="Times New Roman" w:hAnsi="LinLibertine" w:cs="Times New Roman"/>
          <w:color w:val="000000"/>
          <w:sz w:val="24"/>
          <w:szCs w:val="24"/>
          <w:lang w:eastAsia="en-GB"/>
        </w:rPr>
        <w:t>), </w:t>
      </w:r>
      <w:r w:rsidRPr="0071572E">
        <w:rPr>
          <w:rFonts w:ascii="LinLibertine" w:eastAsia="Times New Roman" w:hAnsi="LinLibertine" w:cs="Times New Roman"/>
          <w:i/>
          <w:iCs/>
          <w:color w:val="000000"/>
          <w:sz w:val="24"/>
          <w:szCs w:val="24"/>
          <w:lang w:eastAsia="en-GB"/>
        </w:rPr>
        <w:t>Managing complex networks: strategies for the public sector</w:t>
      </w:r>
      <w:r w:rsidRPr="0071572E">
        <w:rPr>
          <w:rFonts w:ascii="LinLibertine" w:eastAsia="Times New Roman" w:hAnsi="LinLibertine" w:cs="Times New Roman"/>
          <w:color w:val="000000"/>
          <w:sz w:val="24"/>
          <w:szCs w:val="24"/>
          <w:lang w:eastAsia="en-GB"/>
        </w:rPr>
        <w:t>. London: Sage, pp. 35–61.</w:t>
      </w:r>
    </w:p>
    <w:p w14:paraId="37F49355"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Erik-Hans </w:t>
      </w:r>
      <w:proofErr w:type="spellStart"/>
      <w:r w:rsidRPr="0071572E">
        <w:rPr>
          <w:rFonts w:ascii="LinLibertine" w:eastAsia="Times New Roman" w:hAnsi="LinLibertine" w:cs="Times New Roman"/>
          <w:color w:val="000000"/>
          <w:sz w:val="24"/>
          <w:szCs w:val="24"/>
          <w:lang w:eastAsia="en-GB"/>
        </w:rPr>
        <w:t>Klijn</w:t>
      </w:r>
      <w:proofErr w:type="spellEnd"/>
      <w:r w:rsidRPr="0071572E">
        <w:rPr>
          <w:rFonts w:ascii="LinLibertine" w:eastAsia="Times New Roman" w:hAnsi="LinLibertine" w:cs="Times New Roman"/>
          <w:color w:val="000000"/>
          <w:sz w:val="24"/>
          <w:szCs w:val="24"/>
          <w:lang w:eastAsia="en-GB"/>
        </w:rPr>
        <w:t xml:space="preserve"> and G.R. </w:t>
      </w:r>
      <w:proofErr w:type="spellStart"/>
      <w:r w:rsidRPr="0071572E">
        <w:rPr>
          <w:rFonts w:ascii="LinLibertine" w:eastAsia="Times New Roman" w:hAnsi="LinLibertine" w:cs="Times New Roman"/>
          <w:color w:val="000000"/>
          <w:sz w:val="24"/>
          <w:szCs w:val="24"/>
          <w:lang w:eastAsia="en-GB"/>
        </w:rPr>
        <w:t>Teisman</w:t>
      </w:r>
      <w:proofErr w:type="spellEnd"/>
      <w:r w:rsidRPr="0071572E">
        <w:rPr>
          <w:rFonts w:ascii="LinLibertine" w:eastAsia="Times New Roman" w:hAnsi="LinLibertine" w:cs="Times New Roman"/>
          <w:color w:val="000000"/>
          <w:sz w:val="24"/>
          <w:szCs w:val="24"/>
          <w:lang w:eastAsia="en-GB"/>
        </w:rPr>
        <w:t xml:space="preserve"> (1997), ‘Strategies and games in networks’, in Walter J.M. </w:t>
      </w:r>
      <w:proofErr w:type="spellStart"/>
      <w:r w:rsidRPr="0071572E">
        <w:rPr>
          <w:rFonts w:ascii="LinLibertine" w:eastAsia="Times New Roman" w:hAnsi="LinLibertine" w:cs="Times New Roman"/>
          <w:color w:val="000000"/>
          <w:sz w:val="24"/>
          <w:szCs w:val="24"/>
          <w:lang w:eastAsia="en-GB"/>
        </w:rPr>
        <w:t>Kickert</w:t>
      </w:r>
      <w:proofErr w:type="spellEnd"/>
      <w:r w:rsidRPr="0071572E">
        <w:rPr>
          <w:rFonts w:ascii="LinLibertine" w:eastAsia="Times New Roman" w:hAnsi="LinLibertine" w:cs="Times New Roman"/>
          <w:color w:val="000000"/>
          <w:sz w:val="24"/>
          <w:szCs w:val="24"/>
          <w:lang w:eastAsia="en-GB"/>
        </w:rPr>
        <w:t xml:space="preserve"> Erik-Hans </w:t>
      </w:r>
      <w:proofErr w:type="spellStart"/>
      <w:r w:rsidRPr="0071572E">
        <w:rPr>
          <w:rFonts w:ascii="LinLibertine" w:eastAsia="Times New Roman" w:hAnsi="LinLibertine" w:cs="Times New Roman"/>
          <w:color w:val="000000"/>
          <w:sz w:val="24"/>
          <w:szCs w:val="24"/>
          <w:lang w:eastAsia="en-GB"/>
        </w:rPr>
        <w:t>Klijn</w:t>
      </w:r>
      <w:proofErr w:type="spellEnd"/>
      <w:r w:rsidRPr="0071572E">
        <w:rPr>
          <w:rFonts w:ascii="LinLibertine" w:eastAsia="Times New Roman" w:hAnsi="LinLibertine" w:cs="Times New Roman"/>
          <w:color w:val="000000"/>
          <w:sz w:val="24"/>
          <w:szCs w:val="24"/>
          <w:lang w:eastAsia="en-GB"/>
        </w:rPr>
        <w:t xml:space="preserve"> </w:t>
      </w:r>
      <w:proofErr w:type="spellStart"/>
      <w:r w:rsidRPr="0071572E">
        <w:rPr>
          <w:rFonts w:ascii="LinLibertine" w:eastAsia="Times New Roman" w:hAnsi="LinLibertine" w:cs="Times New Roman"/>
          <w:color w:val="000000"/>
          <w:sz w:val="24"/>
          <w:szCs w:val="24"/>
          <w:lang w:eastAsia="en-GB"/>
        </w:rPr>
        <w:t>Joop</w:t>
      </w:r>
      <w:proofErr w:type="spellEnd"/>
      <w:r w:rsidRPr="0071572E">
        <w:rPr>
          <w:rFonts w:ascii="LinLibertine" w:eastAsia="Times New Roman" w:hAnsi="LinLibertine" w:cs="Times New Roman"/>
          <w:color w:val="000000"/>
          <w:sz w:val="24"/>
          <w:szCs w:val="24"/>
          <w:lang w:eastAsia="en-GB"/>
        </w:rPr>
        <w:t xml:space="preserve"> F.M. </w:t>
      </w:r>
      <w:proofErr w:type="spellStart"/>
      <w:r w:rsidRPr="0071572E">
        <w:rPr>
          <w:rFonts w:ascii="LinLibertine" w:eastAsia="Times New Roman" w:hAnsi="LinLibertine" w:cs="Times New Roman"/>
          <w:color w:val="000000"/>
          <w:sz w:val="24"/>
          <w:szCs w:val="24"/>
          <w:lang w:eastAsia="en-GB"/>
        </w:rPr>
        <w:t>Koppenjan</w:t>
      </w:r>
      <w:proofErr w:type="spellEnd"/>
      <w:r w:rsidRPr="0071572E">
        <w:rPr>
          <w:rFonts w:ascii="LinLibertine" w:eastAsia="Times New Roman" w:hAnsi="LinLibertine" w:cs="Times New Roman"/>
          <w:color w:val="000000"/>
          <w:sz w:val="24"/>
          <w:szCs w:val="24"/>
          <w:lang w:eastAsia="en-GB"/>
        </w:rPr>
        <w:t xml:space="preserve"> (</w:t>
      </w:r>
      <w:proofErr w:type="spellStart"/>
      <w:r w:rsidRPr="0071572E">
        <w:rPr>
          <w:rFonts w:ascii="LinLibertine" w:eastAsia="Times New Roman" w:hAnsi="LinLibertine" w:cs="Times New Roman"/>
          <w:color w:val="000000"/>
          <w:sz w:val="24"/>
          <w:szCs w:val="24"/>
          <w:lang w:eastAsia="en-GB"/>
        </w:rPr>
        <w:t>eds</w:t>
      </w:r>
      <w:proofErr w:type="spellEnd"/>
      <w:r w:rsidRPr="0071572E">
        <w:rPr>
          <w:rFonts w:ascii="LinLibertine" w:eastAsia="Times New Roman" w:hAnsi="LinLibertine" w:cs="Times New Roman"/>
          <w:color w:val="000000"/>
          <w:sz w:val="24"/>
          <w:szCs w:val="24"/>
          <w:lang w:eastAsia="en-GB"/>
        </w:rPr>
        <w:t>), </w:t>
      </w:r>
      <w:r w:rsidRPr="0071572E">
        <w:rPr>
          <w:rFonts w:ascii="LinLibertine" w:eastAsia="Times New Roman" w:hAnsi="LinLibertine" w:cs="Times New Roman"/>
          <w:i/>
          <w:iCs/>
          <w:color w:val="000000"/>
          <w:sz w:val="24"/>
          <w:szCs w:val="24"/>
          <w:lang w:eastAsia="en-GB"/>
        </w:rPr>
        <w:t>Managing complex networks: strategies for the public sector</w:t>
      </w:r>
      <w:r w:rsidRPr="0071572E">
        <w:rPr>
          <w:rFonts w:ascii="LinLibertine" w:eastAsia="Times New Roman" w:hAnsi="LinLibertine" w:cs="Times New Roman"/>
          <w:color w:val="000000"/>
          <w:sz w:val="24"/>
          <w:szCs w:val="24"/>
          <w:lang w:eastAsia="en-GB"/>
        </w:rPr>
        <w:t>. London: Sage, pp. 98–118.</w:t>
      </w:r>
    </w:p>
    <w:p w14:paraId="3CC4E79D"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Jan </w:t>
      </w:r>
      <w:proofErr w:type="spellStart"/>
      <w:r w:rsidRPr="0071572E">
        <w:rPr>
          <w:rFonts w:ascii="LinLibertine" w:eastAsia="Times New Roman" w:hAnsi="LinLibertine" w:cs="Times New Roman"/>
          <w:color w:val="000000"/>
          <w:sz w:val="24"/>
          <w:szCs w:val="24"/>
          <w:lang w:eastAsia="en-GB"/>
        </w:rPr>
        <w:t>Kooiman</w:t>
      </w:r>
      <w:proofErr w:type="spellEnd"/>
      <w:r w:rsidRPr="0071572E">
        <w:rPr>
          <w:rFonts w:ascii="LinLibertine" w:eastAsia="Times New Roman" w:hAnsi="LinLibertine" w:cs="Times New Roman"/>
          <w:color w:val="000000"/>
          <w:sz w:val="24"/>
          <w:szCs w:val="24"/>
          <w:lang w:eastAsia="en-GB"/>
        </w:rPr>
        <w:t xml:space="preserve"> (ed.) (1993), </w:t>
      </w:r>
      <w:r w:rsidRPr="0071572E">
        <w:rPr>
          <w:rFonts w:ascii="LinLibertine" w:eastAsia="Times New Roman" w:hAnsi="LinLibertine" w:cs="Times New Roman"/>
          <w:i/>
          <w:iCs/>
          <w:color w:val="000000"/>
          <w:sz w:val="24"/>
          <w:szCs w:val="24"/>
          <w:lang w:eastAsia="en-GB"/>
        </w:rPr>
        <w:t>Modern governance: new government–society interactions</w:t>
      </w:r>
      <w:r w:rsidRPr="0071572E">
        <w:rPr>
          <w:rFonts w:ascii="LinLibertine" w:eastAsia="Times New Roman" w:hAnsi="LinLibertine" w:cs="Times New Roman"/>
          <w:color w:val="000000"/>
          <w:sz w:val="24"/>
          <w:szCs w:val="24"/>
          <w:lang w:eastAsia="en-GB"/>
        </w:rPr>
        <w:t>. London: Sage.</w:t>
      </w:r>
    </w:p>
    <w:p w14:paraId="68F653AA"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Jon Pierre and B. Guy Peters (2000), </w:t>
      </w:r>
      <w:r w:rsidRPr="0071572E">
        <w:rPr>
          <w:rFonts w:ascii="LinLibertine" w:eastAsia="Times New Roman" w:hAnsi="LinLibertine" w:cs="Times New Roman"/>
          <w:i/>
          <w:iCs/>
          <w:color w:val="000000"/>
          <w:sz w:val="24"/>
          <w:szCs w:val="24"/>
          <w:lang w:eastAsia="en-GB"/>
        </w:rPr>
        <w:t>Governance, politics and the state</w:t>
      </w:r>
      <w:r w:rsidRPr="0071572E">
        <w:rPr>
          <w:rFonts w:ascii="LinLibertine" w:eastAsia="Times New Roman" w:hAnsi="LinLibertine" w:cs="Times New Roman"/>
          <w:color w:val="000000"/>
          <w:sz w:val="24"/>
          <w:szCs w:val="24"/>
          <w:lang w:eastAsia="en-GB"/>
        </w:rPr>
        <w:t>. New York: St. Martin’s Press.</w:t>
      </w:r>
    </w:p>
    <w:p w14:paraId="4CF49499"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Rod Rhodes (1997), </w:t>
      </w:r>
      <w:r w:rsidRPr="0071572E">
        <w:rPr>
          <w:rFonts w:ascii="LinLibertine" w:eastAsia="Times New Roman" w:hAnsi="LinLibertine" w:cs="Times New Roman"/>
          <w:i/>
          <w:iCs/>
          <w:color w:val="000000"/>
          <w:sz w:val="24"/>
          <w:szCs w:val="24"/>
          <w:lang w:eastAsia="en-GB"/>
        </w:rPr>
        <w:t>Understanding governance. Policy networks, governance, reflexivity and accountability</w:t>
      </w:r>
      <w:r w:rsidRPr="0071572E">
        <w:rPr>
          <w:rFonts w:ascii="LinLibertine" w:eastAsia="Times New Roman" w:hAnsi="LinLibertine" w:cs="Times New Roman"/>
          <w:color w:val="000000"/>
          <w:sz w:val="24"/>
          <w:szCs w:val="24"/>
          <w:lang w:eastAsia="en-GB"/>
        </w:rPr>
        <w:t>. Buckingham: Open University Press.</w:t>
      </w:r>
    </w:p>
    <w:p w14:paraId="5DF58460"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Fritz W. </w:t>
      </w:r>
      <w:proofErr w:type="spellStart"/>
      <w:r w:rsidRPr="0071572E">
        <w:rPr>
          <w:rFonts w:ascii="LinLibertine" w:eastAsia="Times New Roman" w:hAnsi="LinLibertine" w:cs="Times New Roman"/>
          <w:color w:val="000000"/>
          <w:sz w:val="24"/>
          <w:szCs w:val="24"/>
          <w:lang w:eastAsia="en-GB"/>
        </w:rPr>
        <w:t>Scharpf</w:t>
      </w:r>
      <w:proofErr w:type="spellEnd"/>
      <w:r w:rsidRPr="0071572E">
        <w:rPr>
          <w:rFonts w:ascii="LinLibertine" w:eastAsia="Times New Roman" w:hAnsi="LinLibertine" w:cs="Times New Roman"/>
          <w:color w:val="000000"/>
          <w:sz w:val="24"/>
          <w:szCs w:val="24"/>
          <w:lang w:eastAsia="en-GB"/>
        </w:rPr>
        <w:t xml:space="preserve"> (1978), ‘</w:t>
      </w:r>
      <w:proofErr w:type="spellStart"/>
      <w:r w:rsidRPr="0071572E">
        <w:rPr>
          <w:rFonts w:ascii="LinLibertine" w:eastAsia="Times New Roman" w:hAnsi="LinLibertine" w:cs="Times New Roman"/>
          <w:color w:val="000000"/>
          <w:sz w:val="24"/>
          <w:szCs w:val="24"/>
          <w:lang w:eastAsia="en-GB"/>
        </w:rPr>
        <w:t>Interorganizational</w:t>
      </w:r>
      <w:proofErr w:type="spellEnd"/>
      <w:r w:rsidRPr="0071572E">
        <w:rPr>
          <w:rFonts w:ascii="LinLibertine" w:eastAsia="Times New Roman" w:hAnsi="LinLibertine" w:cs="Times New Roman"/>
          <w:color w:val="000000"/>
          <w:sz w:val="24"/>
          <w:szCs w:val="24"/>
          <w:lang w:eastAsia="en-GB"/>
        </w:rPr>
        <w:t xml:space="preserve"> policy studies: issues, concepts and perspectives’, in K.I. </w:t>
      </w:r>
      <w:proofErr w:type="spellStart"/>
      <w:r w:rsidRPr="0071572E">
        <w:rPr>
          <w:rFonts w:ascii="LinLibertine" w:eastAsia="Times New Roman" w:hAnsi="LinLibertine" w:cs="Times New Roman"/>
          <w:color w:val="000000"/>
          <w:sz w:val="24"/>
          <w:szCs w:val="24"/>
          <w:lang w:eastAsia="en-GB"/>
        </w:rPr>
        <w:t>Hanf</w:t>
      </w:r>
      <w:proofErr w:type="spellEnd"/>
      <w:r w:rsidRPr="0071572E">
        <w:rPr>
          <w:rFonts w:ascii="LinLibertine" w:eastAsia="Times New Roman" w:hAnsi="LinLibertine" w:cs="Times New Roman"/>
          <w:color w:val="000000"/>
          <w:sz w:val="24"/>
          <w:szCs w:val="24"/>
          <w:lang w:eastAsia="en-GB"/>
        </w:rPr>
        <w:t xml:space="preserve"> Fritz W. </w:t>
      </w:r>
      <w:proofErr w:type="spellStart"/>
      <w:r w:rsidRPr="0071572E">
        <w:rPr>
          <w:rFonts w:ascii="LinLibertine" w:eastAsia="Times New Roman" w:hAnsi="LinLibertine" w:cs="Times New Roman"/>
          <w:color w:val="000000"/>
          <w:sz w:val="24"/>
          <w:szCs w:val="24"/>
          <w:lang w:eastAsia="en-GB"/>
        </w:rPr>
        <w:t>Scharpf</w:t>
      </w:r>
      <w:proofErr w:type="spellEnd"/>
      <w:r w:rsidRPr="0071572E">
        <w:rPr>
          <w:rFonts w:ascii="LinLibertine" w:eastAsia="Times New Roman" w:hAnsi="LinLibertine" w:cs="Times New Roman"/>
          <w:color w:val="000000"/>
          <w:sz w:val="24"/>
          <w:szCs w:val="24"/>
          <w:lang w:eastAsia="en-GB"/>
        </w:rPr>
        <w:t xml:space="preserve"> (</w:t>
      </w:r>
      <w:proofErr w:type="spellStart"/>
      <w:r w:rsidRPr="0071572E">
        <w:rPr>
          <w:rFonts w:ascii="LinLibertine" w:eastAsia="Times New Roman" w:hAnsi="LinLibertine" w:cs="Times New Roman"/>
          <w:color w:val="000000"/>
          <w:sz w:val="24"/>
          <w:szCs w:val="24"/>
          <w:lang w:eastAsia="en-GB"/>
        </w:rPr>
        <w:t>eds</w:t>
      </w:r>
      <w:proofErr w:type="spellEnd"/>
      <w:r w:rsidRPr="0071572E">
        <w:rPr>
          <w:rFonts w:ascii="LinLibertine" w:eastAsia="Times New Roman" w:hAnsi="LinLibertine" w:cs="Times New Roman"/>
          <w:color w:val="000000"/>
          <w:sz w:val="24"/>
          <w:szCs w:val="24"/>
          <w:lang w:eastAsia="en-GB"/>
        </w:rPr>
        <w:t>), </w:t>
      </w:r>
      <w:proofErr w:type="spellStart"/>
      <w:r w:rsidRPr="0071572E">
        <w:rPr>
          <w:rFonts w:ascii="LinLibertine" w:eastAsia="Times New Roman" w:hAnsi="LinLibertine" w:cs="Times New Roman"/>
          <w:i/>
          <w:iCs/>
          <w:color w:val="000000"/>
          <w:sz w:val="24"/>
          <w:szCs w:val="24"/>
          <w:lang w:eastAsia="en-GB"/>
        </w:rPr>
        <w:t>Interorganizational</w:t>
      </w:r>
      <w:proofErr w:type="spellEnd"/>
      <w:r w:rsidRPr="0071572E">
        <w:rPr>
          <w:rFonts w:ascii="LinLibertine" w:eastAsia="Times New Roman" w:hAnsi="LinLibertine" w:cs="Times New Roman"/>
          <w:i/>
          <w:iCs/>
          <w:color w:val="000000"/>
          <w:sz w:val="24"/>
          <w:szCs w:val="24"/>
          <w:lang w:eastAsia="en-GB"/>
        </w:rPr>
        <w:t xml:space="preserve"> policy-making: limits to coordination and central control</w:t>
      </w:r>
      <w:r w:rsidRPr="0071572E">
        <w:rPr>
          <w:rFonts w:ascii="LinLibertine" w:eastAsia="Times New Roman" w:hAnsi="LinLibertine" w:cs="Times New Roman"/>
          <w:color w:val="000000"/>
          <w:sz w:val="24"/>
          <w:szCs w:val="24"/>
          <w:lang w:eastAsia="en-GB"/>
        </w:rPr>
        <w:t>. London: Sage, pp. 345–370.</w:t>
      </w:r>
    </w:p>
    <w:p w14:paraId="2EE44C10" w14:textId="77777777" w:rsidR="0071572E" w:rsidRPr="0071572E" w:rsidRDefault="0071572E" w:rsidP="0071572E">
      <w:pPr>
        <w:spacing w:after="0" w:line="240" w:lineRule="auto"/>
        <w:ind w:left="360" w:hanging="360"/>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 xml:space="preserve">Elin </w:t>
      </w:r>
      <w:proofErr w:type="spellStart"/>
      <w:r w:rsidRPr="0071572E">
        <w:rPr>
          <w:rFonts w:ascii="LinLibertine" w:eastAsia="Times New Roman" w:hAnsi="LinLibertine" w:cs="Times New Roman"/>
          <w:color w:val="000000"/>
          <w:sz w:val="24"/>
          <w:szCs w:val="24"/>
          <w:lang w:eastAsia="en-GB"/>
        </w:rPr>
        <w:t>Wetås</w:t>
      </w:r>
      <w:proofErr w:type="spellEnd"/>
      <w:r w:rsidRPr="0071572E">
        <w:rPr>
          <w:rFonts w:ascii="LinLibertine" w:eastAsia="Times New Roman" w:hAnsi="LinLibertine" w:cs="Times New Roman"/>
          <w:color w:val="000000"/>
          <w:sz w:val="24"/>
          <w:szCs w:val="24"/>
          <w:lang w:eastAsia="en-GB"/>
        </w:rPr>
        <w:t xml:space="preserve"> de </w:t>
      </w:r>
      <w:proofErr w:type="spellStart"/>
      <w:r w:rsidRPr="0071572E">
        <w:rPr>
          <w:rFonts w:ascii="LinLibertine" w:eastAsia="Times New Roman" w:hAnsi="LinLibertine" w:cs="Times New Roman"/>
          <w:color w:val="000000"/>
          <w:sz w:val="24"/>
          <w:szCs w:val="24"/>
          <w:lang w:eastAsia="en-GB"/>
        </w:rPr>
        <w:t>Jara</w:t>
      </w:r>
      <w:proofErr w:type="spellEnd"/>
      <w:r w:rsidRPr="0071572E">
        <w:rPr>
          <w:rFonts w:ascii="LinLibertine" w:eastAsia="Times New Roman" w:hAnsi="LinLibertine" w:cs="Times New Roman"/>
          <w:color w:val="000000"/>
          <w:sz w:val="24"/>
          <w:szCs w:val="24"/>
          <w:lang w:eastAsia="en-GB"/>
        </w:rPr>
        <w:t xml:space="preserve"> and Elke Loeffler (2014), </w:t>
      </w:r>
      <w:r w:rsidRPr="0071572E">
        <w:rPr>
          <w:rFonts w:ascii="LinLibertine" w:eastAsia="Times New Roman" w:hAnsi="LinLibertine" w:cs="Times New Roman"/>
          <w:i/>
          <w:iCs/>
          <w:color w:val="000000"/>
          <w:sz w:val="24"/>
          <w:szCs w:val="24"/>
          <w:lang w:eastAsia="en-GB"/>
        </w:rPr>
        <w:t xml:space="preserve">Improving local democracy through </w:t>
      </w:r>
      <w:proofErr w:type="spellStart"/>
      <w:r w:rsidRPr="0071572E">
        <w:rPr>
          <w:rFonts w:ascii="LinLibertine" w:eastAsia="Times New Roman" w:hAnsi="LinLibertine" w:cs="Times New Roman"/>
          <w:i/>
          <w:iCs/>
          <w:color w:val="000000"/>
          <w:sz w:val="24"/>
          <w:szCs w:val="24"/>
          <w:lang w:eastAsia="en-GB"/>
        </w:rPr>
        <w:t>ELoGE</w:t>
      </w:r>
      <w:proofErr w:type="spellEnd"/>
      <w:r w:rsidRPr="0071572E">
        <w:rPr>
          <w:rFonts w:ascii="LinLibertine" w:eastAsia="Times New Roman" w:hAnsi="LinLibertine" w:cs="Times New Roman"/>
          <w:i/>
          <w:iCs/>
          <w:color w:val="000000"/>
          <w:sz w:val="24"/>
          <w:szCs w:val="24"/>
          <w:lang w:eastAsia="en-GB"/>
        </w:rPr>
        <w:t>: Time’s good governance journey in Norway</w:t>
      </w:r>
      <w:r w:rsidRPr="0071572E">
        <w:rPr>
          <w:rFonts w:ascii="LinLibertine" w:eastAsia="Times New Roman" w:hAnsi="LinLibertine" w:cs="Times New Roman"/>
          <w:color w:val="000000"/>
          <w:sz w:val="24"/>
          <w:szCs w:val="24"/>
          <w:lang w:eastAsia="en-GB"/>
        </w:rPr>
        <w:t>, </w:t>
      </w:r>
      <w:hyperlink r:id="rId51" w:history="1">
        <w:r w:rsidRPr="0071572E">
          <w:rPr>
            <w:rFonts w:ascii="LinLibertine" w:eastAsia="Times New Roman" w:hAnsi="LinLibertine" w:cs="Times New Roman"/>
            <w:color w:val="0000FF"/>
            <w:sz w:val="24"/>
            <w:szCs w:val="24"/>
            <w:u w:val="single"/>
            <w:lang w:eastAsia="en-GB"/>
          </w:rPr>
          <w:t>www.govint.org/good-practice/case-studies/times-good-governance-journey-in-norway/change-management/</w:t>
        </w:r>
      </w:hyperlink>
      <w:r w:rsidRPr="0071572E">
        <w:rPr>
          <w:rFonts w:ascii="LinLibertine" w:eastAsia="Times New Roman" w:hAnsi="LinLibertine" w:cs="Times New Roman"/>
          <w:color w:val="000000"/>
          <w:sz w:val="24"/>
          <w:szCs w:val="24"/>
          <w:lang w:eastAsia="en-GB"/>
        </w:rPr>
        <w:t> (accessed on 22 February 2015).</w:t>
      </w:r>
    </w:p>
    <w:p w14:paraId="0746DEF4"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Martin Willis and Tony Bovaird (2012), ‘Commissioning for quality and outcomes’, in Jon Glasby (ed.), </w:t>
      </w:r>
      <w:r w:rsidRPr="0071572E">
        <w:rPr>
          <w:rFonts w:ascii="LinLibertine" w:eastAsia="Times New Roman" w:hAnsi="LinLibertine" w:cs="Times New Roman"/>
          <w:i/>
          <w:iCs/>
          <w:color w:val="000000"/>
          <w:sz w:val="24"/>
          <w:szCs w:val="24"/>
          <w:lang w:eastAsia="en-GB"/>
        </w:rPr>
        <w:t>Commissioning for health and well-being</w:t>
      </w:r>
      <w:r w:rsidRPr="0071572E">
        <w:rPr>
          <w:rFonts w:ascii="LinLibertine" w:eastAsia="Times New Roman" w:hAnsi="LinLibertine" w:cs="Times New Roman"/>
          <w:color w:val="000000"/>
          <w:sz w:val="24"/>
          <w:szCs w:val="24"/>
          <w:lang w:eastAsia="en-GB"/>
        </w:rPr>
        <w:t>. Cheltenham: Edward Elgar.</w:t>
      </w:r>
    </w:p>
    <w:p w14:paraId="44E3E1A6" w14:textId="77777777" w:rsidR="0071572E" w:rsidRPr="0071572E" w:rsidRDefault="0071572E" w:rsidP="0071572E">
      <w:pPr>
        <w:spacing w:after="0" w:line="240" w:lineRule="auto"/>
        <w:ind w:left="360" w:hanging="360"/>
        <w:jc w:val="both"/>
        <w:rPr>
          <w:rFonts w:ascii="LinLibertine" w:eastAsia="Times New Roman" w:hAnsi="LinLibertine" w:cs="Times New Roman"/>
          <w:color w:val="000000"/>
          <w:sz w:val="24"/>
          <w:szCs w:val="24"/>
          <w:lang w:eastAsia="en-GB"/>
        </w:rPr>
      </w:pPr>
      <w:r w:rsidRPr="0071572E">
        <w:rPr>
          <w:rFonts w:ascii="LinLibertine" w:eastAsia="Times New Roman" w:hAnsi="LinLibertine" w:cs="Times New Roman"/>
          <w:color w:val="000000"/>
          <w:sz w:val="24"/>
          <w:szCs w:val="24"/>
          <w:lang w:eastAsia="en-GB"/>
        </w:rPr>
        <w:t>World Bank (1989), </w:t>
      </w:r>
      <w:r w:rsidRPr="0071572E">
        <w:rPr>
          <w:rFonts w:ascii="LinLibertine" w:eastAsia="Times New Roman" w:hAnsi="LinLibertine" w:cs="Times New Roman"/>
          <w:i/>
          <w:iCs/>
          <w:color w:val="000000"/>
          <w:sz w:val="24"/>
          <w:szCs w:val="24"/>
          <w:lang w:eastAsia="en-GB"/>
        </w:rPr>
        <w:t>Sub-Sahara Africa</w:t>
      </w:r>
      <w:r w:rsidRPr="0071572E">
        <w:rPr>
          <w:rFonts w:ascii="LinLibertine" w:eastAsia="Times New Roman" w:hAnsi="LinLibertine" w:cs="Times New Roman"/>
          <w:color w:val="000000"/>
          <w:sz w:val="24"/>
          <w:szCs w:val="24"/>
          <w:lang w:eastAsia="en-GB"/>
        </w:rPr>
        <w:t>. </w:t>
      </w:r>
      <w:r w:rsidRPr="0071572E">
        <w:rPr>
          <w:rFonts w:ascii="LinLibertine" w:eastAsia="Times New Roman" w:hAnsi="LinLibertine" w:cs="Times New Roman"/>
          <w:i/>
          <w:iCs/>
          <w:color w:val="000000"/>
          <w:sz w:val="24"/>
          <w:szCs w:val="24"/>
          <w:lang w:eastAsia="en-GB"/>
        </w:rPr>
        <w:t>From crisis to sustainable growth: a long-term perspective study</w:t>
      </w:r>
      <w:r w:rsidRPr="0071572E">
        <w:rPr>
          <w:rFonts w:ascii="LinLibertine" w:eastAsia="Times New Roman" w:hAnsi="LinLibertine" w:cs="Times New Roman"/>
          <w:color w:val="000000"/>
          <w:sz w:val="24"/>
          <w:szCs w:val="24"/>
          <w:lang w:eastAsia="en-GB"/>
        </w:rPr>
        <w:t>. Washington, DC: World Bank.</w:t>
      </w:r>
    </w:p>
    <w:p w14:paraId="18C163E4" w14:textId="77777777" w:rsidR="0001453D" w:rsidRDefault="0001453D"/>
    <w:sectPr w:rsidR="0001453D" w:rsidSect="00464107">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pgNumType w:start="20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E4F3CD" w14:textId="77777777" w:rsidR="00464107" w:rsidRDefault="00464107" w:rsidP="00464107">
      <w:pPr>
        <w:spacing w:after="0" w:line="240" w:lineRule="auto"/>
      </w:pPr>
      <w:r>
        <w:separator/>
      </w:r>
    </w:p>
  </w:endnote>
  <w:endnote w:type="continuationSeparator" w:id="0">
    <w:p w14:paraId="3CB57154" w14:textId="77777777" w:rsidR="00464107" w:rsidRDefault="00464107" w:rsidP="00464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nLibertine">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CF9CA" w14:textId="77777777" w:rsidR="00B466F0" w:rsidRDefault="00B466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876803"/>
      <w:docPartObj>
        <w:docPartGallery w:val="Page Numbers (Bottom of Page)"/>
        <w:docPartUnique/>
      </w:docPartObj>
    </w:sdtPr>
    <w:sdtEndPr>
      <w:rPr>
        <w:noProof/>
      </w:rPr>
    </w:sdtEndPr>
    <w:sdtContent>
      <w:p w14:paraId="7DE0B1FA" w14:textId="4316357A" w:rsidR="00464107" w:rsidRDefault="00464107">
        <w:pPr>
          <w:pStyle w:val="Footer"/>
          <w:jc w:val="right"/>
        </w:pPr>
        <w:r>
          <w:fldChar w:fldCharType="begin"/>
        </w:r>
        <w:r>
          <w:instrText xml:space="preserve"> PAGE   \* MERGEFORMAT </w:instrText>
        </w:r>
        <w:r>
          <w:fldChar w:fldCharType="separate"/>
        </w:r>
        <w:r w:rsidR="00B466F0">
          <w:rPr>
            <w:noProof/>
          </w:rPr>
          <w:t>207</w:t>
        </w:r>
        <w:r>
          <w:rPr>
            <w:noProof/>
          </w:rPr>
          <w:fldChar w:fldCharType="end"/>
        </w:r>
      </w:p>
    </w:sdtContent>
  </w:sdt>
  <w:p w14:paraId="05F386BB" w14:textId="77777777" w:rsidR="00464107" w:rsidRDefault="004641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32BEC" w14:textId="77777777" w:rsidR="00B466F0" w:rsidRDefault="00B466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24AE8" w14:textId="77777777" w:rsidR="00464107" w:rsidRDefault="00464107" w:rsidP="00464107">
      <w:pPr>
        <w:spacing w:after="0" w:line="240" w:lineRule="auto"/>
      </w:pPr>
      <w:r>
        <w:separator/>
      </w:r>
    </w:p>
  </w:footnote>
  <w:footnote w:type="continuationSeparator" w:id="0">
    <w:p w14:paraId="4D79092E" w14:textId="77777777" w:rsidR="00464107" w:rsidRDefault="00464107" w:rsidP="004641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5C19D" w14:textId="77777777" w:rsidR="00B466F0" w:rsidRDefault="00B466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2C3A9" w14:textId="5F2AA413" w:rsidR="00B466F0" w:rsidRDefault="00B466F0">
    <w:pPr>
      <w:pStyle w:val="Header"/>
    </w:pPr>
    <w:r>
      <w:t xml:space="preserve">… </w:t>
    </w:r>
    <w:proofErr w:type="gramStart"/>
    <w:r w:rsidRPr="00B466F0">
      <w:t>in</w:t>
    </w:r>
    <w:proofErr w:type="gramEnd"/>
    <w:r w:rsidRPr="00B466F0">
      <w:t xml:space="preserve"> </w:t>
    </w:r>
    <w:proofErr w:type="spellStart"/>
    <w:r w:rsidRPr="00B466F0">
      <w:t>Bovaird</w:t>
    </w:r>
    <w:proofErr w:type="spellEnd"/>
    <w:r w:rsidRPr="00B466F0">
      <w:t xml:space="preserve">, T. and </w:t>
    </w:r>
    <w:proofErr w:type="spellStart"/>
    <w:r w:rsidRPr="00B466F0">
      <w:t>Loeffler</w:t>
    </w:r>
    <w:proofErr w:type="spellEnd"/>
    <w:r w:rsidRPr="00B466F0">
      <w:t>, E. (</w:t>
    </w:r>
    <w:proofErr w:type="spellStart"/>
    <w:r w:rsidRPr="00B466F0">
      <w:t>eds</w:t>
    </w:r>
    <w:proofErr w:type="spellEnd"/>
    <w:r w:rsidRPr="00B466F0">
      <w:t>) (2016) Public Management and Governance 3rd edition. Abingdon: Routledge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99B9C" w14:textId="77777777" w:rsidR="00B466F0" w:rsidRDefault="00B466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8274F"/>
    <w:multiLevelType w:val="multilevel"/>
    <w:tmpl w:val="6E7A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2607D5"/>
    <w:multiLevelType w:val="multilevel"/>
    <w:tmpl w:val="62F0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471407"/>
    <w:multiLevelType w:val="multilevel"/>
    <w:tmpl w:val="0038D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073D8C"/>
    <w:multiLevelType w:val="multilevel"/>
    <w:tmpl w:val="EC5C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2A37F3"/>
    <w:multiLevelType w:val="multilevel"/>
    <w:tmpl w:val="6900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386DD1"/>
    <w:multiLevelType w:val="multilevel"/>
    <w:tmpl w:val="64AEB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F57DC2"/>
    <w:multiLevelType w:val="multilevel"/>
    <w:tmpl w:val="7EC49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DC67DD"/>
    <w:multiLevelType w:val="multilevel"/>
    <w:tmpl w:val="B5563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EB5F10"/>
    <w:multiLevelType w:val="multilevel"/>
    <w:tmpl w:val="669A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52670F"/>
    <w:multiLevelType w:val="multilevel"/>
    <w:tmpl w:val="D6C0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C2673C"/>
    <w:multiLevelType w:val="multilevel"/>
    <w:tmpl w:val="7702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CF4045"/>
    <w:multiLevelType w:val="multilevel"/>
    <w:tmpl w:val="C016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DE03BE"/>
    <w:multiLevelType w:val="multilevel"/>
    <w:tmpl w:val="A2F6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595D43"/>
    <w:multiLevelType w:val="multilevel"/>
    <w:tmpl w:val="1C5A2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11"/>
  </w:num>
  <w:num w:numId="4">
    <w:abstractNumId w:val="12"/>
  </w:num>
  <w:num w:numId="5">
    <w:abstractNumId w:val="1"/>
  </w:num>
  <w:num w:numId="6">
    <w:abstractNumId w:val="10"/>
  </w:num>
  <w:num w:numId="7">
    <w:abstractNumId w:val="3"/>
  </w:num>
  <w:num w:numId="8">
    <w:abstractNumId w:val="7"/>
  </w:num>
  <w:num w:numId="9">
    <w:abstractNumId w:val="0"/>
  </w:num>
  <w:num w:numId="10">
    <w:abstractNumId w:val="4"/>
  </w:num>
  <w:num w:numId="11">
    <w:abstractNumId w:val="8"/>
  </w:num>
  <w:num w:numId="12">
    <w:abstractNumId w:val="6"/>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82"/>
    <w:rsid w:val="0001453D"/>
    <w:rsid w:val="00210382"/>
    <w:rsid w:val="002131AD"/>
    <w:rsid w:val="00464107"/>
    <w:rsid w:val="006E1E9A"/>
    <w:rsid w:val="0071572E"/>
    <w:rsid w:val="0097226F"/>
    <w:rsid w:val="00B46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5:chartTrackingRefBased/>
  <w15:docId w15:val="{8C9D1D34-08A7-4401-A23D-646D2FA7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4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107"/>
  </w:style>
  <w:style w:type="paragraph" w:styleId="Footer">
    <w:name w:val="footer"/>
    <w:basedOn w:val="Normal"/>
    <w:link w:val="FooterChar"/>
    <w:uiPriority w:val="99"/>
    <w:unhideWhenUsed/>
    <w:rsid w:val="00464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1506626">
      <w:bodyDiv w:val="1"/>
      <w:marLeft w:val="0"/>
      <w:marRight w:val="0"/>
      <w:marTop w:val="0"/>
      <w:marBottom w:val="0"/>
      <w:divBdr>
        <w:top w:val="none" w:sz="0" w:space="0" w:color="auto"/>
        <w:left w:val="none" w:sz="0" w:space="0" w:color="auto"/>
        <w:bottom w:val="none" w:sz="0" w:space="0" w:color="auto"/>
        <w:right w:val="none" w:sz="0" w:space="0" w:color="auto"/>
      </w:divBdr>
      <w:divsChild>
        <w:div w:id="376202722">
          <w:marLeft w:val="0"/>
          <w:marRight w:val="0"/>
          <w:marTop w:val="0"/>
          <w:marBottom w:val="0"/>
          <w:divBdr>
            <w:top w:val="none" w:sz="0" w:space="0" w:color="auto"/>
            <w:left w:val="none" w:sz="0" w:space="0" w:color="auto"/>
            <w:bottom w:val="none" w:sz="0" w:space="0" w:color="auto"/>
            <w:right w:val="none" w:sz="0" w:space="0" w:color="auto"/>
          </w:divBdr>
          <w:divsChild>
            <w:div w:id="763068138">
              <w:marLeft w:val="0"/>
              <w:marRight w:val="0"/>
              <w:marTop w:val="240"/>
              <w:marBottom w:val="240"/>
              <w:divBdr>
                <w:top w:val="none" w:sz="0" w:space="0" w:color="auto"/>
                <w:left w:val="none" w:sz="0" w:space="0" w:color="auto"/>
                <w:bottom w:val="none" w:sz="0" w:space="0" w:color="auto"/>
                <w:right w:val="none" w:sz="0" w:space="0" w:color="auto"/>
              </w:divBdr>
            </w:div>
          </w:divsChild>
        </w:div>
        <w:div w:id="589435264">
          <w:marLeft w:val="0"/>
          <w:marRight w:val="0"/>
          <w:marTop w:val="0"/>
          <w:marBottom w:val="0"/>
          <w:divBdr>
            <w:top w:val="none" w:sz="0" w:space="0" w:color="auto"/>
            <w:left w:val="none" w:sz="0" w:space="0" w:color="auto"/>
            <w:bottom w:val="none" w:sz="0" w:space="0" w:color="auto"/>
            <w:right w:val="none" w:sz="0" w:space="0" w:color="auto"/>
          </w:divBdr>
          <w:divsChild>
            <w:div w:id="688684401">
              <w:marLeft w:val="0"/>
              <w:marRight w:val="0"/>
              <w:marTop w:val="240"/>
              <w:marBottom w:val="240"/>
              <w:divBdr>
                <w:top w:val="single" w:sz="24" w:space="12" w:color="auto"/>
                <w:left w:val="single" w:sz="24" w:space="12" w:color="auto"/>
                <w:bottom w:val="single" w:sz="24" w:space="12" w:color="auto"/>
                <w:right w:val="single" w:sz="24" w:space="12" w:color="auto"/>
              </w:divBdr>
              <w:divsChild>
                <w:div w:id="862327948">
                  <w:marLeft w:val="360"/>
                  <w:marRight w:val="0"/>
                  <w:marTop w:val="240"/>
                  <w:marBottom w:val="240"/>
                  <w:divBdr>
                    <w:top w:val="none" w:sz="0" w:space="0" w:color="auto"/>
                    <w:left w:val="none" w:sz="0" w:space="0" w:color="auto"/>
                    <w:bottom w:val="none" w:sz="0" w:space="0" w:color="auto"/>
                    <w:right w:val="none" w:sz="0" w:space="0" w:color="auto"/>
                  </w:divBdr>
                </w:div>
                <w:div w:id="1310482186">
                  <w:marLeft w:val="360"/>
                  <w:marRight w:val="0"/>
                  <w:marTop w:val="240"/>
                  <w:marBottom w:val="240"/>
                  <w:divBdr>
                    <w:top w:val="none" w:sz="0" w:space="0" w:color="auto"/>
                    <w:left w:val="none" w:sz="0" w:space="0" w:color="auto"/>
                    <w:bottom w:val="none" w:sz="0" w:space="0" w:color="auto"/>
                    <w:right w:val="none" w:sz="0" w:space="0" w:color="auto"/>
                  </w:divBdr>
                </w:div>
                <w:div w:id="677200252">
                  <w:marLeft w:val="360"/>
                  <w:marRight w:val="0"/>
                  <w:marTop w:val="240"/>
                  <w:marBottom w:val="240"/>
                  <w:divBdr>
                    <w:top w:val="none" w:sz="0" w:space="0" w:color="auto"/>
                    <w:left w:val="none" w:sz="0" w:space="0" w:color="auto"/>
                    <w:bottom w:val="none" w:sz="0" w:space="0" w:color="auto"/>
                    <w:right w:val="none" w:sz="0" w:space="0" w:color="auto"/>
                  </w:divBdr>
                </w:div>
                <w:div w:id="983269046">
                  <w:marLeft w:val="360"/>
                  <w:marRight w:val="0"/>
                  <w:marTop w:val="240"/>
                  <w:marBottom w:val="240"/>
                  <w:divBdr>
                    <w:top w:val="none" w:sz="0" w:space="0" w:color="auto"/>
                    <w:left w:val="none" w:sz="0" w:space="0" w:color="auto"/>
                    <w:bottom w:val="none" w:sz="0" w:space="0" w:color="auto"/>
                    <w:right w:val="none" w:sz="0" w:space="0" w:color="auto"/>
                  </w:divBdr>
                </w:div>
              </w:divsChild>
            </w:div>
            <w:div w:id="561407827">
              <w:marLeft w:val="0"/>
              <w:marRight w:val="0"/>
              <w:marTop w:val="240"/>
              <w:marBottom w:val="240"/>
              <w:divBdr>
                <w:top w:val="single" w:sz="24" w:space="12" w:color="auto"/>
                <w:left w:val="single" w:sz="24" w:space="12" w:color="auto"/>
                <w:bottom w:val="single" w:sz="24" w:space="12" w:color="auto"/>
                <w:right w:val="single" w:sz="24" w:space="12" w:color="auto"/>
              </w:divBdr>
            </w:div>
            <w:div w:id="843982319">
              <w:marLeft w:val="0"/>
              <w:marRight w:val="0"/>
              <w:marTop w:val="240"/>
              <w:marBottom w:val="240"/>
              <w:divBdr>
                <w:top w:val="single" w:sz="24" w:space="12" w:color="auto"/>
                <w:left w:val="single" w:sz="24" w:space="12" w:color="auto"/>
                <w:bottom w:val="single" w:sz="24" w:space="12" w:color="auto"/>
                <w:right w:val="single" w:sz="24" w:space="12" w:color="auto"/>
              </w:divBdr>
              <w:divsChild>
                <w:div w:id="1019968736">
                  <w:marLeft w:val="360"/>
                  <w:marRight w:val="0"/>
                  <w:marTop w:val="240"/>
                  <w:marBottom w:val="240"/>
                  <w:divBdr>
                    <w:top w:val="none" w:sz="0" w:space="0" w:color="auto"/>
                    <w:left w:val="none" w:sz="0" w:space="0" w:color="auto"/>
                    <w:bottom w:val="none" w:sz="0" w:space="0" w:color="auto"/>
                    <w:right w:val="none" w:sz="0" w:space="0" w:color="auto"/>
                  </w:divBdr>
                </w:div>
                <w:div w:id="1460296115">
                  <w:marLeft w:val="360"/>
                  <w:marRight w:val="0"/>
                  <w:marTop w:val="240"/>
                  <w:marBottom w:val="240"/>
                  <w:divBdr>
                    <w:top w:val="none" w:sz="0" w:space="0" w:color="auto"/>
                    <w:left w:val="none" w:sz="0" w:space="0" w:color="auto"/>
                    <w:bottom w:val="none" w:sz="0" w:space="0" w:color="auto"/>
                    <w:right w:val="none" w:sz="0" w:space="0" w:color="auto"/>
                  </w:divBdr>
                </w:div>
                <w:div w:id="1522671025">
                  <w:marLeft w:val="360"/>
                  <w:marRight w:val="0"/>
                  <w:marTop w:val="240"/>
                  <w:marBottom w:val="240"/>
                  <w:divBdr>
                    <w:top w:val="none" w:sz="0" w:space="0" w:color="auto"/>
                    <w:left w:val="none" w:sz="0" w:space="0" w:color="auto"/>
                    <w:bottom w:val="none" w:sz="0" w:space="0" w:color="auto"/>
                    <w:right w:val="none" w:sz="0" w:space="0" w:color="auto"/>
                  </w:divBdr>
                </w:div>
              </w:divsChild>
            </w:div>
            <w:div w:id="1189565515">
              <w:marLeft w:val="0"/>
              <w:marRight w:val="0"/>
              <w:marTop w:val="240"/>
              <w:marBottom w:val="240"/>
              <w:divBdr>
                <w:top w:val="single" w:sz="24" w:space="12" w:color="auto"/>
                <w:left w:val="single" w:sz="24" w:space="12" w:color="auto"/>
                <w:bottom w:val="single" w:sz="24" w:space="12" w:color="auto"/>
                <w:right w:val="single" w:sz="24" w:space="12" w:color="auto"/>
              </w:divBdr>
            </w:div>
            <w:div w:id="2001108448">
              <w:marLeft w:val="0"/>
              <w:marRight w:val="0"/>
              <w:marTop w:val="240"/>
              <w:marBottom w:val="240"/>
              <w:divBdr>
                <w:top w:val="none" w:sz="0" w:space="0" w:color="auto"/>
                <w:left w:val="none" w:sz="0" w:space="0" w:color="auto"/>
                <w:bottom w:val="none" w:sz="0" w:space="0" w:color="auto"/>
                <w:right w:val="none" w:sz="0" w:space="0" w:color="auto"/>
              </w:divBdr>
            </w:div>
          </w:divsChild>
        </w:div>
        <w:div w:id="417482579">
          <w:marLeft w:val="0"/>
          <w:marRight w:val="0"/>
          <w:marTop w:val="0"/>
          <w:marBottom w:val="0"/>
          <w:divBdr>
            <w:top w:val="none" w:sz="0" w:space="0" w:color="auto"/>
            <w:left w:val="none" w:sz="0" w:space="0" w:color="auto"/>
            <w:bottom w:val="none" w:sz="0" w:space="0" w:color="auto"/>
            <w:right w:val="none" w:sz="0" w:space="0" w:color="auto"/>
          </w:divBdr>
        </w:div>
        <w:div w:id="437026014">
          <w:marLeft w:val="0"/>
          <w:marRight w:val="0"/>
          <w:marTop w:val="0"/>
          <w:marBottom w:val="0"/>
          <w:divBdr>
            <w:top w:val="none" w:sz="0" w:space="0" w:color="auto"/>
            <w:left w:val="none" w:sz="0" w:space="0" w:color="auto"/>
            <w:bottom w:val="none" w:sz="0" w:space="0" w:color="auto"/>
            <w:right w:val="none" w:sz="0" w:space="0" w:color="auto"/>
          </w:divBdr>
          <w:divsChild>
            <w:div w:id="271547631">
              <w:marLeft w:val="0"/>
              <w:marRight w:val="0"/>
              <w:marTop w:val="240"/>
              <w:marBottom w:val="240"/>
              <w:divBdr>
                <w:top w:val="none" w:sz="0" w:space="0" w:color="auto"/>
                <w:left w:val="none" w:sz="0" w:space="0" w:color="auto"/>
                <w:bottom w:val="none" w:sz="0" w:space="0" w:color="auto"/>
                <w:right w:val="none" w:sz="0" w:space="0" w:color="auto"/>
              </w:divBdr>
            </w:div>
            <w:div w:id="77023361">
              <w:marLeft w:val="0"/>
              <w:marRight w:val="0"/>
              <w:marTop w:val="240"/>
              <w:marBottom w:val="240"/>
              <w:divBdr>
                <w:top w:val="none" w:sz="0" w:space="0" w:color="auto"/>
                <w:left w:val="none" w:sz="0" w:space="0" w:color="auto"/>
                <w:bottom w:val="none" w:sz="0" w:space="0" w:color="auto"/>
                <w:right w:val="none" w:sz="0" w:space="0" w:color="auto"/>
              </w:divBdr>
            </w:div>
          </w:divsChild>
        </w:div>
        <w:div w:id="1584728548">
          <w:marLeft w:val="0"/>
          <w:marRight w:val="0"/>
          <w:marTop w:val="0"/>
          <w:marBottom w:val="0"/>
          <w:divBdr>
            <w:top w:val="none" w:sz="0" w:space="0" w:color="auto"/>
            <w:left w:val="none" w:sz="0" w:space="0" w:color="auto"/>
            <w:bottom w:val="none" w:sz="0" w:space="0" w:color="auto"/>
            <w:right w:val="none" w:sz="0" w:space="0" w:color="auto"/>
          </w:divBdr>
          <w:divsChild>
            <w:div w:id="1967194840">
              <w:marLeft w:val="360"/>
              <w:marRight w:val="0"/>
              <w:marTop w:val="240"/>
              <w:marBottom w:val="240"/>
              <w:divBdr>
                <w:top w:val="none" w:sz="0" w:space="0" w:color="auto"/>
                <w:left w:val="none" w:sz="0" w:space="0" w:color="auto"/>
                <w:bottom w:val="none" w:sz="0" w:space="0" w:color="auto"/>
                <w:right w:val="none" w:sz="0" w:space="0" w:color="auto"/>
              </w:divBdr>
            </w:div>
            <w:div w:id="446434323">
              <w:marLeft w:val="360"/>
              <w:marRight w:val="0"/>
              <w:marTop w:val="240"/>
              <w:marBottom w:val="240"/>
              <w:divBdr>
                <w:top w:val="none" w:sz="0" w:space="0" w:color="auto"/>
                <w:left w:val="none" w:sz="0" w:space="0" w:color="auto"/>
                <w:bottom w:val="none" w:sz="0" w:space="0" w:color="auto"/>
                <w:right w:val="none" w:sz="0" w:space="0" w:color="auto"/>
              </w:divBdr>
            </w:div>
            <w:div w:id="713307629">
              <w:marLeft w:val="0"/>
              <w:marRight w:val="0"/>
              <w:marTop w:val="240"/>
              <w:marBottom w:val="240"/>
              <w:divBdr>
                <w:top w:val="none" w:sz="0" w:space="0" w:color="auto"/>
                <w:left w:val="none" w:sz="0" w:space="0" w:color="auto"/>
                <w:bottom w:val="none" w:sz="0" w:space="0" w:color="auto"/>
                <w:right w:val="none" w:sz="0" w:space="0" w:color="auto"/>
              </w:divBdr>
            </w:div>
          </w:divsChild>
        </w:div>
        <w:div w:id="2136410718">
          <w:marLeft w:val="0"/>
          <w:marRight w:val="0"/>
          <w:marTop w:val="0"/>
          <w:marBottom w:val="0"/>
          <w:divBdr>
            <w:top w:val="none" w:sz="0" w:space="0" w:color="auto"/>
            <w:left w:val="none" w:sz="0" w:space="0" w:color="auto"/>
            <w:bottom w:val="none" w:sz="0" w:space="0" w:color="auto"/>
            <w:right w:val="none" w:sz="0" w:space="0" w:color="auto"/>
          </w:divBdr>
        </w:div>
        <w:div w:id="916134113">
          <w:marLeft w:val="0"/>
          <w:marRight w:val="0"/>
          <w:marTop w:val="0"/>
          <w:marBottom w:val="0"/>
          <w:divBdr>
            <w:top w:val="none" w:sz="0" w:space="0" w:color="auto"/>
            <w:left w:val="none" w:sz="0" w:space="0" w:color="auto"/>
            <w:bottom w:val="none" w:sz="0" w:space="0" w:color="auto"/>
            <w:right w:val="none" w:sz="0" w:space="0" w:color="auto"/>
          </w:divBdr>
        </w:div>
        <w:div w:id="1229455471">
          <w:marLeft w:val="0"/>
          <w:marRight w:val="0"/>
          <w:marTop w:val="0"/>
          <w:marBottom w:val="0"/>
          <w:divBdr>
            <w:top w:val="none" w:sz="0" w:space="0" w:color="auto"/>
            <w:left w:val="none" w:sz="0" w:space="0" w:color="auto"/>
            <w:bottom w:val="none" w:sz="0" w:space="0" w:color="auto"/>
            <w:right w:val="none" w:sz="0" w:space="0" w:color="auto"/>
          </w:divBdr>
        </w:div>
        <w:div w:id="258564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igsaw.vitalsource.com/books/9781317435839/epub/OEBPS/xhtml/Ch017.xhtml" TargetMode="External"/><Relationship Id="rId18" Type="http://schemas.openxmlformats.org/officeDocument/2006/relationships/hyperlink" Target="https://jigsaw.vitalsource.com/books/9781317435839/epub/OEBPS/xhtml/Ch015.xhtml" TargetMode="External"/><Relationship Id="rId26" Type="http://schemas.openxmlformats.org/officeDocument/2006/relationships/hyperlink" Target="http://www.unescap.org/pdd/prs/ProjectActivities/Ongoing/gg/governance.asp" TargetMode="External"/><Relationship Id="rId39" Type="http://schemas.openxmlformats.org/officeDocument/2006/relationships/hyperlink" Target="https://jigsaw.vitalsource.com/books/9781317435839/epub/OEBPS/xhtml/Ch019.xhtml" TargetMode="External"/><Relationship Id="rId21" Type="http://schemas.openxmlformats.org/officeDocument/2006/relationships/hyperlink" Target="https://jigsaw.vitalsource.com/books/9781317435839/epub/OEBPS/xhtml/Ch026.xhtml" TargetMode="External"/><Relationship Id="rId34" Type="http://schemas.openxmlformats.org/officeDocument/2006/relationships/hyperlink" Target="https://jigsaw.vitalsource.com/books/9781317435839/epub/OEBPS/xhtml/Ch027.xhtml" TargetMode="External"/><Relationship Id="rId42" Type="http://schemas.openxmlformats.org/officeDocument/2006/relationships/hyperlink" Target="https://jigsaw.vitalsource.com/books/9781317435839/epub/OEBPS/xhtml/Ch022.xhtml" TargetMode="External"/><Relationship Id="rId47" Type="http://schemas.openxmlformats.org/officeDocument/2006/relationships/hyperlink" Target="https://jigsaw.vitalsource.com/books/9781317435839/epub/OEBPS/xhtml/Ch015.xhtml" TargetMode="External"/><Relationship Id="rId50" Type="http://schemas.openxmlformats.org/officeDocument/2006/relationships/hyperlink" Target="http://europa.eu./rapid/press-release_DOC-01-10_en.htm" TargetMode="External"/><Relationship Id="rId55" Type="http://schemas.openxmlformats.org/officeDocument/2006/relationships/footer" Target="footer2.xml"/><Relationship Id="rId7" Type="http://schemas.openxmlformats.org/officeDocument/2006/relationships/hyperlink" Target="https://jigsaw.vitalsource.com/books/9781317435839/epub/OEBPS/xhtml/Ch02.xhtml" TargetMode="External"/><Relationship Id="rId12" Type="http://schemas.openxmlformats.org/officeDocument/2006/relationships/hyperlink" Target="https://jigsaw.vitalsource.com/books/9781317435839/epub/OEBPS/xhtml/Ch022.xhtml" TargetMode="External"/><Relationship Id="rId17" Type="http://schemas.openxmlformats.org/officeDocument/2006/relationships/hyperlink" Target="https://jigsaw.vitalsource.com/books/9781317435839/epub/OEBPS/xhtml/Ch015.xhtml" TargetMode="External"/><Relationship Id="rId25" Type="http://schemas.openxmlformats.org/officeDocument/2006/relationships/hyperlink" Target="https://jigsaw.vitalsource.com/books/9781317435839/epub/OEBPS/xhtml/Ch015.xhtml" TargetMode="External"/><Relationship Id="rId33" Type="http://schemas.openxmlformats.org/officeDocument/2006/relationships/hyperlink" Target="https://jigsaw.vitalsource.com/books/9781317435839/epub/OEBPS/xhtml/Ch06.xhtml" TargetMode="External"/><Relationship Id="rId38" Type="http://schemas.openxmlformats.org/officeDocument/2006/relationships/hyperlink" Target="https://jigsaw.vitalsource.com/books/9781317435839/epub/OEBPS/xhtml/tables.xhtml" TargetMode="External"/><Relationship Id="rId46" Type="http://schemas.openxmlformats.org/officeDocument/2006/relationships/hyperlink" Target="https://jigsaw.vitalsource.com/books/9781317435839/epub/OEBPS/xhtml/Ch015.xhtml"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e.int/t/e/legal_affairs/local_and_regional_democracy/Main_Bodies/Conference_Specialised_Ministers/Valencia_2007/MCL-15(2007)5final_EN.pdf" TargetMode="External"/><Relationship Id="rId20" Type="http://schemas.openxmlformats.org/officeDocument/2006/relationships/hyperlink" Target="http://www.govint.org/" TargetMode="External"/><Relationship Id="rId29" Type="http://schemas.openxmlformats.org/officeDocument/2006/relationships/hyperlink" Target="https://jigsaw.vitalsource.com/books/9781317435839/epub/OEBPS/xhtml/caseexamples.xhtml" TargetMode="External"/><Relationship Id="rId41" Type="http://schemas.openxmlformats.org/officeDocument/2006/relationships/hyperlink" Target="https://jigsaw.vitalsource.com/books/9781317435839/epub/OEBPS/xhtml/tables.xhtml"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igsaw.vitalsource.com/books/9781317435839/epub/OEBPS/xhtml/Ch06.xhtml" TargetMode="External"/><Relationship Id="rId24" Type="http://schemas.openxmlformats.org/officeDocument/2006/relationships/hyperlink" Target="https://jigsaw.vitalsource.com/books/9781317435839/epub/OEBPS/xhtml/Ch015.xhtml" TargetMode="External"/><Relationship Id="rId32" Type="http://schemas.openxmlformats.org/officeDocument/2006/relationships/hyperlink" Target="https://jigsaw.vitalsource.com/books/9781317435839/epub/OEBPS/xhtml/Ch06.xhtml" TargetMode="External"/><Relationship Id="rId37" Type="http://schemas.openxmlformats.org/officeDocument/2006/relationships/hyperlink" Target="https://jigsaw.vitalsource.com/books/9781317435839/epub/OEBPS/xhtml/Ch015.xhtml" TargetMode="External"/><Relationship Id="rId40" Type="http://schemas.openxmlformats.org/officeDocument/2006/relationships/hyperlink" Target="https://jigsaw.vitalsource.com/books/9781317435839/epub/OEBPS/xhtml/Ch015.xhtml" TargetMode="External"/><Relationship Id="rId45" Type="http://schemas.openxmlformats.org/officeDocument/2006/relationships/hyperlink" Target="https://jigsaw.vitalsource.com/books/9781317435839/epub/OEBPS/xhtml/Ch015.xhtml"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igsaw.vitalsource.com/books/9781317435839/epub/OEBPS/xhtml/Ch015.xhtml" TargetMode="External"/><Relationship Id="rId23" Type="http://schemas.openxmlformats.org/officeDocument/2006/relationships/hyperlink" Target="https://jigsaw.vitalsource.com/books/9781317435839/epub/OEBPS/xhtml/Ch015.xhtml" TargetMode="External"/><Relationship Id="rId28" Type="http://schemas.openxmlformats.org/officeDocument/2006/relationships/hyperlink" Target="http://www.govint.org/" TargetMode="External"/><Relationship Id="rId36" Type="http://schemas.openxmlformats.org/officeDocument/2006/relationships/hyperlink" Target="https://jigsaw.vitalsource.com/books/9781317435839/epub/OEBPS/xhtml/Ch023.xhtml" TargetMode="External"/><Relationship Id="rId49" Type="http://schemas.openxmlformats.org/officeDocument/2006/relationships/hyperlink" Target="https://jigsaw.vitalsource.com/books/9781317435839/epub/OEBPS/xhtml/figures.xhtml" TargetMode="External"/><Relationship Id="rId57" Type="http://schemas.openxmlformats.org/officeDocument/2006/relationships/footer" Target="footer3.xml"/><Relationship Id="rId10" Type="http://schemas.openxmlformats.org/officeDocument/2006/relationships/hyperlink" Target="https://jigsaw.vitalsource.com/books/9781317435839/epub/OEBPS/xhtml/Ch011.xhtml" TargetMode="External"/><Relationship Id="rId19" Type="http://schemas.openxmlformats.org/officeDocument/2006/relationships/hyperlink" Target="http://www.iog.ca/" TargetMode="External"/><Relationship Id="rId31" Type="http://schemas.openxmlformats.org/officeDocument/2006/relationships/hyperlink" Target="https://jigsaw.vitalsource.com/books/9781317435839/epub/OEBPS/xhtml/tables.xhtml" TargetMode="External"/><Relationship Id="rId44" Type="http://schemas.openxmlformats.org/officeDocument/2006/relationships/hyperlink" Target="https://jigsaw.vitalsource.com/books/9781317435839/epub/OEBPS/xhtml/Ch010.xhtml"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jigsaw.vitalsource.com/books/9781317435839/epub/OEBPS/xhtml/Ch017.xhtml" TargetMode="External"/><Relationship Id="rId14" Type="http://schemas.openxmlformats.org/officeDocument/2006/relationships/hyperlink" Target="https://jigsaw.vitalsource.com/books/9781317435839/epub/OEBPS/xhtml/Ch023.xhtml" TargetMode="External"/><Relationship Id="rId22" Type="http://schemas.openxmlformats.org/officeDocument/2006/relationships/hyperlink" Target="https://jigsaw.vitalsource.com/books/9781317435839/epub/OEBPS/xhtml/caseexamples.xhtml" TargetMode="External"/><Relationship Id="rId27" Type="http://schemas.openxmlformats.org/officeDocument/2006/relationships/hyperlink" Target="http://europa.eu/rapid/press-release_DOC-01-10_en.htm" TargetMode="External"/><Relationship Id="rId30" Type="http://schemas.openxmlformats.org/officeDocument/2006/relationships/hyperlink" Target="https://jigsaw.vitalsource.com/books/9781317435839/epub/OEBPS/xhtml/Ch015.xhtml" TargetMode="External"/><Relationship Id="rId35" Type="http://schemas.openxmlformats.org/officeDocument/2006/relationships/hyperlink" Target="https://jigsaw.vitalsource.com/books/9781317435839/epub/OEBPS/xhtml/Ch017.xhtml" TargetMode="External"/><Relationship Id="rId43" Type="http://schemas.openxmlformats.org/officeDocument/2006/relationships/hyperlink" Target="https://jigsaw.vitalsource.com/books/9781317435839/epub/OEBPS/xhtml/Ch025.xhtml" TargetMode="External"/><Relationship Id="rId48" Type="http://schemas.openxmlformats.org/officeDocument/2006/relationships/hyperlink" Target="https://jigsaw.vitalsource.com/books/9781317435839/epub/OEBPS/xhtml/Ch015.xhtml" TargetMode="External"/><Relationship Id="rId56" Type="http://schemas.openxmlformats.org/officeDocument/2006/relationships/header" Target="header3.xml"/><Relationship Id="rId8" Type="http://schemas.openxmlformats.org/officeDocument/2006/relationships/hyperlink" Target="https://jigsaw.vitalsource.com/books/9781317435839/epub/OEBPS/xhtml/Ch04.xhtml" TargetMode="External"/><Relationship Id="rId51" Type="http://schemas.openxmlformats.org/officeDocument/2006/relationships/hyperlink" Target="http://www.govint.org/good-practice/case-studies/times-good-governance-journey-in-norway/change-managemen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7707</Words>
  <Characters>43935</Characters>
  <Application>Microsoft Office Word</Application>
  <DocSecurity>0</DocSecurity>
  <Lines>366</Lines>
  <Paragraphs>103</Paragraphs>
  <ScaleCrop>false</ScaleCrop>
  <Company/>
  <LinksUpToDate>false</LinksUpToDate>
  <CharactersWithSpaces>51539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6</cp:revision>
  <dcterms:created xsi:type="dcterms:W3CDTF">2019-01-30T10:55:00Z</dcterms:created>
  <dcterms:modified xsi:type="dcterms:W3CDTF">2019-09-02T12:15:00Z</dcterms:modified>
</cp:coreProperties>
</file>