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4B165" w14:textId="77777777" w:rsidR="002D7925" w:rsidRPr="004B398D" w:rsidRDefault="002D7925" w:rsidP="002D7925">
      <w:pPr>
        <w:spacing w:line="360" w:lineRule="auto"/>
        <w:jc w:val="center"/>
        <w:rPr>
          <w:rFonts w:ascii="Arial" w:hAnsi="Arial" w:cs="Arial"/>
          <w:b/>
          <w:bCs/>
        </w:rPr>
      </w:pPr>
      <w:r w:rsidRPr="004B398D">
        <w:rPr>
          <w:rFonts w:ascii="Arial" w:hAnsi="Arial" w:cs="Arial"/>
          <w:b/>
          <w:bCs/>
        </w:rPr>
        <w:t>University of Wales Trinity Saint David Birmingham</w:t>
      </w:r>
    </w:p>
    <w:p w14:paraId="0988D65F" w14:textId="77777777" w:rsidR="00BE4626" w:rsidRPr="004B398D" w:rsidRDefault="00BE4626" w:rsidP="00BE4626">
      <w:pPr>
        <w:spacing w:before="120" w:after="120"/>
        <w:jc w:val="center"/>
        <w:rPr>
          <w:rFonts w:ascii="Arial" w:hAnsi="Arial" w:cs="Arial"/>
          <w:b/>
        </w:rPr>
      </w:pPr>
      <w:r w:rsidRPr="004B398D">
        <w:rPr>
          <w:rFonts w:ascii="Arial" w:hAnsi="Arial" w:cs="Arial"/>
          <w:b/>
        </w:rPr>
        <w:t>Psychology in Health and Social Care</w:t>
      </w:r>
    </w:p>
    <w:p w14:paraId="685DF114" w14:textId="77777777" w:rsidR="003B1DB5" w:rsidRPr="004B398D" w:rsidRDefault="003B1DB5" w:rsidP="003B1DB5">
      <w:pPr>
        <w:spacing w:before="120" w:after="120"/>
        <w:jc w:val="center"/>
        <w:rPr>
          <w:rFonts w:ascii="Arial" w:hAnsi="Arial" w:cs="Arial"/>
          <w:b/>
        </w:rPr>
      </w:pPr>
      <w:r w:rsidRPr="004B398D">
        <w:rPr>
          <w:rFonts w:ascii="Arial" w:hAnsi="Arial" w:cs="Arial"/>
          <w:b/>
        </w:rPr>
        <w:t>LCHS4010</w:t>
      </w:r>
    </w:p>
    <w:p w14:paraId="14A8F398" w14:textId="77777777" w:rsidR="004B398D" w:rsidRDefault="004B398D" w:rsidP="003B1DB5">
      <w:pPr>
        <w:spacing w:before="120" w:after="120"/>
        <w:jc w:val="center"/>
        <w:rPr>
          <w:rFonts w:ascii="Arial" w:hAnsi="Arial" w:cs="Arial"/>
          <w:b/>
        </w:rPr>
      </w:pPr>
    </w:p>
    <w:p w14:paraId="0C7F96CA" w14:textId="77777777" w:rsidR="004B398D" w:rsidRDefault="004B398D" w:rsidP="003B1DB5">
      <w:pPr>
        <w:spacing w:before="120" w:after="120"/>
        <w:jc w:val="center"/>
        <w:rPr>
          <w:rFonts w:ascii="Arial" w:hAnsi="Arial" w:cs="Arial"/>
          <w:b/>
        </w:rPr>
      </w:pPr>
    </w:p>
    <w:p w14:paraId="44D85ADD" w14:textId="77777777" w:rsidR="004B398D" w:rsidRDefault="004B398D" w:rsidP="003B1DB5">
      <w:pPr>
        <w:spacing w:before="120" w:after="120"/>
        <w:jc w:val="center"/>
        <w:rPr>
          <w:rFonts w:ascii="Arial" w:hAnsi="Arial" w:cs="Arial"/>
          <w:b/>
        </w:rPr>
      </w:pPr>
    </w:p>
    <w:p w14:paraId="3BDCBFAF" w14:textId="77777777" w:rsidR="004B398D" w:rsidRDefault="004B398D" w:rsidP="003B1DB5">
      <w:pPr>
        <w:spacing w:before="120" w:after="120"/>
        <w:jc w:val="center"/>
        <w:rPr>
          <w:rFonts w:ascii="Arial" w:hAnsi="Arial" w:cs="Arial"/>
          <w:b/>
        </w:rPr>
      </w:pPr>
    </w:p>
    <w:p w14:paraId="413E9D9E" w14:textId="77777777" w:rsidR="004B398D" w:rsidRDefault="004B398D" w:rsidP="003B1DB5">
      <w:pPr>
        <w:spacing w:before="120" w:after="120"/>
        <w:jc w:val="center"/>
        <w:rPr>
          <w:rFonts w:ascii="Arial" w:hAnsi="Arial" w:cs="Arial"/>
          <w:b/>
        </w:rPr>
      </w:pPr>
    </w:p>
    <w:p w14:paraId="79F02BE8" w14:textId="77777777" w:rsidR="004B398D" w:rsidRPr="004B398D" w:rsidRDefault="004B398D" w:rsidP="003B1DB5">
      <w:pPr>
        <w:spacing w:before="120" w:after="120"/>
        <w:jc w:val="center"/>
        <w:rPr>
          <w:rFonts w:ascii="Arial" w:hAnsi="Arial" w:cs="Arial"/>
          <w:b/>
        </w:rPr>
      </w:pPr>
    </w:p>
    <w:p w14:paraId="7E6AE1DB" w14:textId="77777777" w:rsidR="004B398D" w:rsidRPr="004B398D" w:rsidRDefault="004B398D" w:rsidP="003B1DB5">
      <w:pPr>
        <w:spacing w:before="120" w:after="120"/>
        <w:jc w:val="center"/>
        <w:rPr>
          <w:rFonts w:ascii="Arial" w:hAnsi="Arial" w:cs="Arial"/>
          <w:b/>
        </w:rPr>
      </w:pPr>
    </w:p>
    <w:p w14:paraId="5726B516" w14:textId="77777777" w:rsidR="006E2D0F" w:rsidRPr="004B398D" w:rsidRDefault="006E2D0F" w:rsidP="006E2D0F">
      <w:pPr>
        <w:spacing w:before="120" w:after="120"/>
        <w:jc w:val="center"/>
        <w:rPr>
          <w:rFonts w:ascii="Arial" w:hAnsi="Arial" w:cs="Arial"/>
          <w:b/>
          <w:sz w:val="40"/>
          <w:szCs w:val="40"/>
        </w:rPr>
      </w:pPr>
      <w:r w:rsidRPr="004B398D">
        <w:rPr>
          <w:rFonts w:ascii="Arial" w:hAnsi="Arial" w:cs="Arial"/>
          <w:b/>
          <w:sz w:val="40"/>
          <w:szCs w:val="40"/>
        </w:rPr>
        <w:t>Assessment</w:t>
      </w:r>
      <w:r w:rsidRPr="004B398D">
        <w:rPr>
          <w:rFonts w:ascii="Arial" w:hAnsi="Arial" w:cs="Arial"/>
          <w:b/>
          <w:spacing w:val="-16"/>
          <w:sz w:val="40"/>
          <w:szCs w:val="40"/>
        </w:rPr>
        <w:t xml:space="preserve"> </w:t>
      </w:r>
      <w:r w:rsidRPr="004B398D">
        <w:rPr>
          <w:rFonts w:ascii="Arial" w:hAnsi="Arial" w:cs="Arial"/>
          <w:b/>
          <w:sz w:val="40"/>
          <w:szCs w:val="40"/>
        </w:rPr>
        <w:t>2: Essay</w:t>
      </w:r>
    </w:p>
    <w:p w14:paraId="30244C67" w14:textId="5E822DA2" w:rsidR="004B398D" w:rsidRPr="00026741" w:rsidRDefault="00026741" w:rsidP="00026741">
      <w:pPr>
        <w:spacing w:line="360" w:lineRule="auto"/>
        <w:jc w:val="center"/>
        <w:rPr>
          <w:rFonts w:ascii="Arial" w:hAnsi="Arial" w:cs="Arial"/>
          <w:b/>
          <w:bCs/>
          <w:sz w:val="36"/>
          <w:szCs w:val="36"/>
        </w:rPr>
      </w:pPr>
      <w:r w:rsidRPr="00026741">
        <w:rPr>
          <w:b/>
          <w:bCs/>
          <w:sz w:val="36"/>
          <w:szCs w:val="36"/>
        </w:rPr>
        <w:t>T</w:t>
      </w:r>
      <w:r w:rsidR="000D336A" w:rsidRPr="00026741">
        <w:rPr>
          <w:b/>
          <w:bCs/>
          <w:sz w:val="36"/>
          <w:szCs w:val="36"/>
        </w:rPr>
        <w:t>he impact of social media on mental health in adolescence</w:t>
      </w:r>
    </w:p>
    <w:p w14:paraId="73420CFC" w14:textId="77777777" w:rsidR="004B398D" w:rsidRDefault="004B398D" w:rsidP="00A73294">
      <w:pPr>
        <w:spacing w:line="360" w:lineRule="auto"/>
        <w:jc w:val="right"/>
        <w:rPr>
          <w:rFonts w:ascii="Arial" w:hAnsi="Arial" w:cs="Arial"/>
          <w:b/>
          <w:bCs/>
        </w:rPr>
      </w:pPr>
    </w:p>
    <w:p w14:paraId="3518FB6A" w14:textId="77777777" w:rsidR="004B398D" w:rsidRDefault="004B398D" w:rsidP="00A73294">
      <w:pPr>
        <w:spacing w:line="360" w:lineRule="auto"/>
        <w:jc w:val="right"/>
        <w:rPr>
          <w:rFonts w:ascii="Arial" w:hAnsi="Arial" w:cs="Arial"/>
          <w:b/>
          <w:bCs/>
        </w:rPr>
      </w:pPr>
    </w:p>
    <w:p w14:paraId="1B67D4A9" w14:textId="77777777" w:rsidR="004B398D" w:rsidRDefault="004B398D" w:rsidP="00A73294">
      <w:pPr>
        <w:spacing w:line="360" w:lineRule="auto"/>
        <w:jc w:val="right"/>
        <w:rPr>
          <w:rFonts w:ascii="Arial" w:hAnsi="Arial" w:cs="Arial"/>
          <w:b/>
          <w:bCs/>
        </w:rPr>
      </w:pPr>
    </w:p>
    <w:p w14:paraId="7464C4C2" w14:textId="77777777" w:rsidR="004B398D" w:rsidRDefault="004B398D" w:rsidP="00A73294">
      <w:pPr>
        <w:spacing w:line="360" w:lineRule="auto"/>
        <w:jc w:val="right"/>
        <w:rPr>
          <w:rFonts w:ascii="Arial" w:hAnsi="Arial" w:cs="Arial"/>
          <w:b/>
          <w:bCs/>
        </w:rPr>
      </w:pPr>
    </w:p>
    <w:p w14:paraId="04409932" w14:textId="47F90320" w:rsidR="00A73294" w:rsidRPr="004B398D" w:rsidRDefault="00A73294" w:rsidP="00A73294">
      <w:pPr>
        <w:spacing w:line="360" w:lineRule="auto"/>
        <w:jc w:val="right"/>
        <w:rPr>
          <w:rFonts w:ascii="Arial" w:hAnsi="Arial" w:cs="Arial"/>
          <w:b/>
          <w:bCs/>
        </w:rPr>
      </w:pPr>
      <w:r w:rsidRPr="004B398D">
        <w:rPr>
          <w:rFonts w:ascii="Arial" w:hAnsi="Arial" w:cs="Arial"/>
          <w:b/>
          <w:bCs/>
        </w:rPr>
        <w:t>Submitted by</w:t>
      </w:r>
    </w:p>
    <w:p w14:paraId="3D41D5B3" w14:textId="77777777" w:rsidR="00A73294" w:rsidRPr="004B398D" w:rsidRDefault="00A73294" w:rsidP="00A73294">
      <w:pPr>
        <w:spacing w:line="360" w:lineRule="auto"/>
        <w:jc w:val="right"/>
        <w:rPr>
          <w:rFonts w:ascii="Arial" w:hAnsi="Arial" w:cs="Arial"/>
          <w:b/>
          <w:bCs/>
        </w:rPr>
      </w:pPr>
      <w:r w:rsidRPr="004B398D">
        <w:rPr>
          <w:rFonts w:ascii="Arial" w:hAnsi="Arial" w:cs="Arial"/>
          <w:b/>
          <w:bCs/>
        </w:rPr>
        <w:t>Student: Yuliia Matytsyna</w:t>
      </w:r>
    </w:p>
    <w:p w14:paraId="21B01942" w14:textId="77777777" w:rsidR="00A73294" w:rsidRPr="004B398D" w:rsidRDefault="00A73294" w:rsidP="00A73294">
      <w:pPr>
        <w:spacing w:line="360" w:lineRule="auto"/>
        <w:jc w:val="right"/>
        <w:rPr>
          <w:rFonts w:ascii="Arial" w:hAnsi="Arial" w:cs="Arial"/>
          <w:b/>
          <w:bCs/>
        </w:rPr>
      </w:pPr>
      <w:r w:rsidRPr="004B398D">
        <w:rPr>
          <w:rFonts w:ascii="Arial" w:hAnsi="Arial" w:cs="Arial"/>
          <w:b/>
          <w:bCs/>
        </w:rPr>
        <w:t>ID number: 2507682</w:t>
      </w:r>
    </w:p>
    <w:p w14:paraId="7BC5BBA9" w14:textId="77777777" w:rsidR="00A73294" w:rsidRPr="004B398D" w:rsidRDefault="00A73294" w:rsidP="00A73294">
      <w:pPr>
        <w:spacing w:line="360" w:lineRule="auto"/>
        <w:jc w:val="right"/>
        <w:rPr>
          <w:rFonts w:ascii="Arial" w:hAnsi="Arial" w:cs="Arial"/>
          <w:b/>
          <w:bCs/>
        </w:rPr>
      </w:pPr>
    </w:p>
    <w:p w14:paraId="6BBD358F" w14:textId="77777777" w:rsidR="00A73294" w:rsidRPr="004B398D" w:rsidRDefault="00A73294" w:rsidP="00A73294">
      <w:pPr>
        <w:spacing w:line="360" w:lineRule="auto"/>
        <w:jc w:val="right"/>
        <w:rPr>
          <w:rFonts w:ascii="Arial" w:hAnsi="Arial" w:cs="Arial"/>
          <w:b/>
          <w:bCs/>
        </w:rPr>
      </w:pPr>
      <w:r w:rsidRPr="004B398D">
        <w:rPr>
          <w:rFonts w:ascii="Arial" w:hAnsi="Arial" w:cs="Arial"/>
          <w:b/>
          <w:bCs/>
        </w:rPr>
        <w:t>Submitted to</w:t>
      </w:r>
    </w:p>
    <w:p w14:paraId="54BC8FD5" w14:textId="10299906" w:rsidR="00A73294" w:rsidRPr="004B398D" w:rsidRDefault="00A73294" w:rsidP="00A73294">
      <w:pPr>
        <w:spacing w:line="360" w:lineRule="auto"/>
        <w:jc w:val="right"/>
        <w:rPr>
          <w:rFonts w:ascii="Arial" w:hAnsi="Arial" w:cs="Arial"/>
          <w:b/>
          <w:bCs/>
        </w:rPr>
      </w:pPr>
      <w:r w:rsidRPr="004B398D">
        <w:rPr>
          <w:rFonts w:ascii="Arial" w:hAnsi="Arial" w:cs="Arial"/>
          <w:b/>
          <w:bCs/>
        </w:rPr>
        <w:t xml:space="preserve">Lecturer: </w:t>
      </w:r>
      <w:r w:rsidR="00077A6B">
        <w:rPr>
          <w:rFonts w:ascii="Arial" w:hAnsi="Arial" w:cs="Arial"/>
          <w:b/>
          <w:bCs/>
        </w:rPr>
        <w:t xml:space="preserve">Dr. </w:t>
      </w:r>
      <w:r w:rsidR="00FE6893">
        <w:rPr>
          <w:rFonts w:ascii="Arial" w:hAnsi="Arial" w:cs="Arial"/>
          <w:b/>
          <w:bCs/>
        </w:rPr>
        <w:t>Helen Parsons</w:t>
      </w:r>
    </w:p>
    <w:p w14:paraId="60E6B2F9" w14:textId="2F0FA864" w:rsidR="00A73294" w:rsidRPr="004B398D" w:rsidRDefault="00A73294" w:rsidP="00A73294">
      <w:pPr>
        <w:spacing w:line="360" w:lineRule="auto"/>
        <w:jc w:val="right"/>
        <w:rPr>
          <w:rFonts w:ascii="Arial" w:hAnsi="Arial" w:cs="Arial"/>
          <w:b/>
          <w:bCs/>
        </w:rPr>
      </w:pPr>
      <w:r w:rsidRPr="004B398D">
        <w:rPr>
          <w:rFonts w:ascii="Arial" w:hAnsi="Arial" w:cs="Arial"/>
          <w:b/>
          <w:bCs/>
        </w:rPr>
        <w:t xml:space="preserve">Module Lead: </w:t>
      </w:r>
      <w:r w:rsidR="00AA50C8" w:rsidRPr="00AA50C8">
        <w:rPr>
          <w:rFonts w:ascii="Arial" w:hAnsi="Arial" w:cs="Arial"/>
          <w:b/>
        </w:rPr>
        <w:t>Neale Haddon</w:t>
      </w:r>
    </w:p>
    <w:p w14:paraId="71C7E4DD" w14:textId="77777777" w:rsidR="002D7925" w:rsidRPr="000F6387" w:rsidRDefault="002D7925" w:rsidP="002D7925">
      <w:pPr>
        <w:spacing w:line="360" w:lineRule="auto"/>
        <w:jc w:val="center"/>
        <w:rPr>
          <w:rFonts w:ascii="Arial" w:hAnsi="Arial" w:cs="Arial"/>
          <w:b/>
          <w:bCs/>
        </w:rPr>
      </w:pPr>
    </w:p>
    <w:p w14:paraId="2DA217BB" w14:textId="11E5FC9F" w:rsidR="00BD4DAC" w:rsidRDefault="00421759" w:rsidP="001D4D8F">
      <w:pPr>
        <w:spacing w:line="360" w:lineRule="auto"/>
        <w:ind w:firstLine="720"/>
        <w:rPr>
          <w:rStyle w:val="s1"/>
          <w:rFonts w:ascii="Arial" w:hAnsi="Arial" w:cs="Arial"/>
          <w:sz w:val="22"/>
          <w:szCs w:val="22"/>
        </w:rPr>
      </w:pPr>
      <w:r w:rsidRPr="00F07142">
        <w:rPr>
          <w:rStyle w:val="s1"/>
          <w:rFonts w:ascii="Arial" w:hAnsi="Arial" w:cs="Arial"/>
          <w:sz w:val="22"/>
          <w:szCs w:val="22"/>
        </w:rPr>
        <w:lastRenderedPageBreak/>
        <w:t xml:space="preserve">Social media has become an integral part of adolescents' daily lives, creating opportunities for communication, identity development, and access to social support. At the same time, concerns have grown regarding its effects on mental health. Zhu et al. (2026) describe social media as a "double-edged sword" because it has the potential to generate both positive and negative outcomes. While social media can promote social connection, self-expression, and access to supportive communities (Popat and Tarrant, 2023; McAlister et al., 2024), it may also contribute to social comparison, exposure to harmful content, and cyberbullying (Aryal et al., 2025; Vijayakumar et al., 2026; Prestera et al., 2025). This essay examines the impact of social media on adolescent mental health through Bowlby's Attachment Theory and Ajzen's Theory of Planned Behaviour (TPB). It argues that Attachment Theory is particularly useful in explaining emotional vulnerability to social media, whereas TPB is more effective in understanding online behaviours such as cyberbullying. However, both theories have limitations when applied to </w:t>
      </w:r>
      <w:r w:rsidR="00EE5EBD">
        <w:rPr>
          <w:rStyle w:val="s1"/>
          <w:rFonts w:ascii="Arial" w:hAnsi="Arial" w:cs="Arial"/>
          <w:sz w:val="22"/>
          <w:szCs w:val="22"/>
        </w:rPr>
        <w:t>modern</w:t>
      </w:r>
      <w:r w:rsidRPr="00F07142">
        <w:rPr>
          <w:rStyle w:val="s1"/>
          <w:rFonts w:ascii="Arial" w:hAnsi="Arial" w:cs="Arial"/>
          <w:sz w:val="22"/>
          <w:szCs w:val="22"/>
        </w:rPr>
        <w:t xml:space="preserve"> digital environments. </w:t>
      </w:r>
    </w:p>
    <w:p w14:paraId="567F08A9" w14:textId="77777777" w:rsidR="007F6A45" w:rsidRPr="007F6A45" w:rsidRDefault="007F6A45" w:rsidP="001D4D8F">
      <w:pPr>
        <w:spacing w:line="360" w:lineRule="auto"/>
        <w:ind w:firstLine="720"/>
        <w:rPr>
          <w:rFonts w:ascii="Arial" w:hAnsi="Arial" w:cs="Arial"/>
          <w:sz w:val="22"/>
          <w:szCs w:val="22"/>
        </w:rPr>
      </w:pPr>
      <w:r w:rsidRPr="007F6A45">
        <w:rPr>
          <w:rFonts w:ascii="Arial" w:hAnsi="Arial" w:cs="Arial"/>
          <w:sz w:val="22"/>
          <w:szCs w:val="22"/>
        </w:rPr>
        <w:t xml:space="preserve">Bowlby's Attachment Theory proposes that early relationships with caregivers shape emotional development and influence later relationships. Through interactions with attachment figures, children develop internal working models that affect self-esteem, trust, and emotional regulation. Although peer relationships become increasingly important during adolescence, the need for emotional security and belonging remains central (Bennett, 2015). </w:t>
      </w:r>
    </w:p>
    <w:p w14:paraId="627C1010" w14:textId="77777777" w:rsidR="007F6A45" w:rsidRPr="007F6A45" w:rsidRDefault="007F6A45" w:rsidP="001D4D8F">
      <w:pPr>
        <w:spacing w:line="360" w:lineRule="auto"/>
        <w:ind w:firstLine="720"/>
        <w:rPr>
          <w:rFonts w:ascii="Arial" w:hAnsi="Arial" w:cs="Arial"/>
          <w:sz w:val="22"/>
          <w:szCs w:val="22"/>
        </w:rPr>
      </w:pPr>
      <w:r w:rsidRPr="007F6A45">
        <w:rPr>
          <w:rFonts w:ascii="Arial" w:hAnsi="Arial" w:cs="Arial"/>
          <w:sz w:val="22"/>
          <w:szCs w:val="22"/>
        </w:rPr>
        <w:t xml:space="preserve">Research suggests that adolescents who use social media for more than two hours per day are at a slightly greater risk of experiencing depressive symptoms and poorer wellbeing, particularly during early adolescence. The strongest associations have been found among younger adolescents and girls, especially when social media use involves idealised self-presentation and extensive social comparison (Vijayakumar et al., 2026; Aryal et al., 2025). </w:t>
      </w:r>
    </w:p>
    <w:p w14:paraId="4C811964" w14:textId="77777777" w:rsidR="007F6A45" w:rsidRPr="007F6A45" w:rsidRDefault="007F6A45" w:rsidP="001D4D8F">
      <w:pPr>
        <w:spacing w:line="360" w:lineRule="auto"/>
        <w:ind w:firstLine="720"/>
        <w:rPr>
          <w:rFonts w:ascii="Arial" w:hAnsi="Arial" w:cs="Arial"/>
          <w:sz w:val="22"/>
          <w:szCs w:val="22"/>
        </w:rPr>
      </w:pPr>
      <w:r w:rsidRPr="007F6A45">
        <w:rPr>
          <w:rFonts w:ascii="Arial" w:hAnsi="Arial" w:cs="Arial"/>
          <w:sz w:val="22"/>
          <w:szCs w:val="22"/>
        </w:rPr>
        <w:t xml:space="preserve">Attachment Theory helps explain these findings by highlighting adolescents' need for emotional security and acceptance. During adolescence, peer approval becomes increasingly important, making online feedback particularly influential. Social media exposes young people to continuous opportunities for comparison, evaluation, and validation-seeking. Adolescents with secure attachment may cope better with these experiences because they possess a stronger internal sense of worth. In contrast, adolescents with insecure attachment may become more dependent on external validation, making them more vulnerable to rejection, exclusion, and negative feedback. Consequently, social media may reinforce existing attachment-related insecurities and contribute to poorer wellbeing. </w:t>
      </w:r>
    </w:p>
    <w:p w14:paraId="0FB7FA88" w14:textId="77777777" w:rsidR="007F6A45" w:rsidRPr="007F6A45" w:rsidRDefault="007F6A45" w:rsidP="001D4D8F">
      <w:pPr>
        <w:spacing w:line="360" w:lineRule="auto"/>
        <w:ind w:firstLine="720"/>
        <w:rPr>
          <w:rFonts w:ascii="Arial" w:hAnsi="Arial" w:cs="Arial"/>
          <w:sz w:val="22"/>
          <w:szCs w:val="22"/>
        </w:rPr>
      </w:pPr>
      <w:r w:rsidRPr="007F6A45">
        <w:rPr>
          <w:rFonts w:ascii="Arial" w:hAnsi="Arial" w:cs="Arial"/>
          <w:sz w:val="22"/>
          <w:szCs w:val="22"/>
        </w:rPr>
        <w:t xml:space="preserve">The greater vulnerability observed among younger adolescents can also be understood through attachment theory. Emotional regulation skills are still developing during </w:t>
      </w:r>
      <w:r w:rsidRPr="007F6A45">
        <w:rPr>
          <w:rFonts w:ascii="Arial" w:hAnsi="Arial" w:cs="Arial"/>
          <w:sz w:val="22"/>
          <w:szCs w:val="22"/>
        </w:rPr>
        <w:lastRenderedPageBreak/>
        <w:t xml:space="preserve">early adolescence, increasing reliance on external sources of approval. Similarly, girls' greater susceptibility may reflect heightened sensitivity to appearance-based comparison, relational acceptance, and belonging. Therefore, Attachment Theory offers a convincing explanation for why some adolescents experience stronger emotional consequences from social media use than others. </w:t>
      </w:r>
    </w:p>
    <w:p w14:paraId="32EFA6F0" w14:textId="77777777" w:rsidR="00696482" w:rsidRDefault="007F6A45" w:rsidP="001D4D8F">
      <w:pPr>
        <w:spacing w:line="360" w:lineRule="auto"/>
        <w:ind w:firstLine="720"/>
        <w:rPr>
          <w:rFonts w:ascii="Arial" w:hAnsi="Arial" w:cs="Arial"/>
          <w:sz w:val="22"/>
          <w:szCs w:val="22"/>
        </w:rPr>
      </w:pPr>
      <w:r w:rsidRPr="007F6A45">
        <w:rPr>
          <w:rFonts w:ascii="Arial" w:hAnsi="Arial" w:cs="Arial"/>
          <w:sz w:val="22"/>
          <w:szCs w:val="22"/>
        </w:rPr>
        <w:t xml:space="preserve">Nevertheless, the explanatory power of Attachment Theory is not unlimited. While attachment relationships may influence how adolescents respond to online experiences, factors such as personality, digital literacy, peer culture, and wider societal pressures also shape social media use. Furthermore, not all adolescents with insecure attachment experience negative outcomes online, suggesting that attachment history alone cannot explain individual differences. Attachment Theory is therefore valuable for understanding emotional vulnerability but provides only a partial explanation of adolescents' social media experiences. </w:t>
      </w:r>
    </w:p>
    <w:p w14:paraId="689A4CF0" w14:textId="77777777" w:rsidR="001A5221" w:rsidRPr="001A5221" w:rsidRDefault="001A5221" w:rsidP="001D4D8F">
      <w:pPr>
        <w:spacing w:line="360" w:lineRule="auto"/>
        <w:ind w:firstLine="720"/>
        <w:rPr>
          <w:rFonts w:ascii="Arial" w:hAnsi="Arial" w:cs="Arial"/>
          <w:sz w:val="22"/>
          <w:szCs w:val="22"/>
        </w:rPr>
      </w:pPr>
      <w:r w:rsidRPr="001A5221">
        <w:rPr>
          <w:rFonts w:ascii="Arial" w:hAnsi="Arial" w:cs="Arial"/>
          <w:sz w:val="22"/>
          <w:szCs w:val="22"/>
        </w:rPr>
        <w:t xml:space="preserve">Although discussions of social media often focus on risks, Attachment Theory can also help explain its potential benefits. Social media can facilitate self-expression, connection, and identity development. For adolescents who feel isolated or marginalised, including LGBTQ+ young people, online communities may provide support, validation, and a sense of belonging that is unavailable in offline environments (McAlister et al., 2024). </w:t>
      </w:r>
    </w:p>
    <w:p w14:paraId="20E9EB7B" w14:textId="77777777" w:rsidR="00F7460F" w:rsidRDefault="001A5221" w:rsidP="001D4D8F">
      <w:pPr>
        <w:spacing w:line="360" w:lineRule="auto"/>
        <w:ind w:firstLine="720"/>
        <w:rPr>
          <w:rFonts w:ascii="Arial" w:hAnsi="Arial" w:cs="Arial"/>
          <w:sz w:val="22"/>
          <w:szCs w:val="22"/>
        </w:rPr>
      </w:pPr>
      <w:r w:rsidRPr="001A5221">
        <w:rPr>
          <w:rFonts w:ascii="Arial" w:hAnsi="Arial" w:cs="Arial"/>
          <w:sz w:val="22"/>
          <w:szCs w:val="22"/>
        </w:rPr>
        <w:t xml:space="preserve">From an attachment perspective, these online relationships may function as an additional source of emotional security. When online interactions are supportive and authentic, they may strengthen self-esteem and reduce feelings of isolation. However, the benefits depend on the quality of relationships formed online. Social media is most likely to support wellbeing when it promotes meaningful connection rather than dependence on external approval. At the same time, focusing exclusively on attachment needs risks underestimating adolescents' agency. Many young people actively manage their social media use and make deliberate choices about how they engage online. Consequently, attachment processes represent only one part of a more complex picture. </w:t>
      </w:r>
    </w:p>
    <w:p w14:paraId="5E708AF6" w14:textId="77777777" w:rsidR="00001016" w:rsidRPr="00542B46" w:rsidRDefault="00001016" w:rsidP="001D4D8F">
      <w:pPr>
        <w:pStyle w:val="p1"/>
        <w:spacing w:line="360" w:lineRule="auto"/>
        <w:ind w:firstLine="720"/>
        <w:rPr>
          <w:rFonts w:ascii="Arial" w:hAnsi="Arial" w:cs="Arial"/>
          <w:sz w:val="22"/>
          <w:szCs w:val="22"/>
        </w:rPr>
      </w:pPr>
      <w:r w:rsidRPr="00542B46">
        <w:rPr>
          <w:rStyle w:val="s1"/>
          <w:rFonts w:ascii="Arial" w:hAnsi="Arial" w:cs="Arial"/>
          <w:sz w:val="22"/>
          <w:szCs w:val="22"/>
        </w:rPr>
        <w:t xml:space="preserve">While Attachment Theory primarily explains emotional responses to social media, it is less effective in explaining specific online behaviours. To understand behaviours such as cyberbullying, the Theory of Planned Behaviour provides a complementary perspective. </w:t>
      </w:r>
    </w:p>
    <w:p w14:paraId="24D0D4C0" w14:textId="2E190E51" w:rsidR="008029AC" w:rsidRPr="0072322A" w:rsidRDefault="00CB42E2" w:rsidP="001D4D8F">
      <w:pPr>
        <w:spacing w:line="360" w:lineRule="auto"/>
        <w:ind w:firstLine="720"/>
        <w:rPr>
          <w:rFonts w:ascii="Arial" w:hAnsi="Arial" w:cs="Arial"/>
          <w:sz w:val="22"/>
          <w:szCs w:val="22"/>
        </w:rPr>
      </w:pPr>
      <w:r>
        <w:rPr>
          <w:rFonts w:ascii="Arial" w:hAnsi="Arial" w:cs="Arial"/>
          <w:sz w:val="22"/>
          <w:szCs w:val="22"/>
        </w:rPr>
        <w:t>S</w:t>
      </w:r>
      <w:r w:rsidR="00511EB5" w:rsidRPr="0072322A">
        <w:rPr>
          <w:rFonts w:ascii="Arial" w:hAnsi="Arial" w:cs="Arial"/>
          <w:sz w:val="22"/>
          <w:szCs w:val="22"/>
        </w:rPr>
        <w:t xml:space="preserve">ocial media increases exposure to </w:t>
      </w:r>
      <w:r w:rsidR="008839E5" w:rsidRPr="0072322A">
        <w:rPr>
          <w:rFonts w:ascii="Arial" w:hAnsi="Arial" w:cs="Arial"/>
          <w:sz w:val="22"/>
          <w:szCs w:val="22"/>
        </w:rPr>
        <w:t>c</w:t>
      </w:r>
      <w:r w:rsidR="00511EB5" w:rsidRPr="0072322A">
        <w:rPr>
          <w:rFonts w:ascii="Arial" w:hAnsi="Arial" w:cs="Arial"/>
          <w:sz w:val="22"/>
          <w:szCs w:val="22"/>
        </w:rPr>
        <w:t>yberbull</w:t>
      </w:r>
      <w:r w:rsidR="008839E5" w:rsidRPr="0072322A">
        <w:rPr>
          <w:rFonts w:ascii="Arial" w:hAnsi="Arial" w:cs="Arial"/>
          <w:sz w:val="22"/>
          <w:szCs w:val="22"/>
        </w:rPr>
        <w:t>y</w:t>
      </w:r>
      <w:r w:rsidR="00511EB5" w:rsidRPr="0072322A">
        <w:rPr>
          <w:rFonts w:ascii="Arial" w:hAnsi="Arial" w:cs="Arial"/>
          <w:sz w:val="22"/>
          <w:szCs w:val="22"/>
        </w:rPr>
        <w:t>ing</w:t>
      </w:r>
      <w:r w:rsidR="008839E5" w:rsidRPr="0072322A">
        <w:rPr>
          <w:rFonts w:ascii="Arial" w:hAnsi="Arial" w:cs="Arial"/>
          <w:sz w:val="22"/>
          <w:szCs w:val="22"/>
        </w:rPr>
        <w:t xml:space="preserve">, which </w:t>
      </w:r>
      <w:r w:rsidR="00117407" w:rsidRPr="0072322A">
        <w:rPr>
          <w:rFonts w:ascii="Arial" w:hAnsi="Arial" w:cs="Arial"/>
          <w:sz w:val="22"/>
          <w:szCs w:val="22"/>
        </w:rPr>
        <w:t>has emerged</w:t>
      </w:r>
      <w:r w:rsidR="007F69B3" w:rsidRPr="0072322A">
        <w:rPr>
          <w:rFonts w:ascii="Arial" w:hAnsi="Arial" w:cs="Arial"/>
          <w:sz w:val="22"/>
          <w:szCs w:val="22"/>
        </w:rPr>
        <w:t xml:space="preserve"> as a significant risk factor for poor mental health</w:t>
      </w:r>
      <w:r w:rsidR="00A138E3">
        <w:rPr>
          <w:rFonts w:ascii="Arial" w:hAnsi="Arial" w:cs="Arial"/>
          <w:sz w:val="22"/>
          <w:szCs w:val="22"/>
        </w:rPr>
        <w:t xml:space="preserve"> </w:t>
      </w:r>
      <w:r w:rsidR="00143C6F">
        <w:rPr>
          <w:rFonts w:ascii="Arial" w:hAnsi="Arial" w:cs="Arial"/>
          <w:sz w:val="22"/>
          <w:szCs w:val="22"/>
        </w:rPr>
        <w:t xml:space="preserve">along with </w:t>
      </w:r>
      <w:r w:rsidR="00144BF9">
        <w:rPr>
          <w:rFonts w:ascii="Arial" w:hAnsi="Arial" w:cs="Arial"/>
          <w:sz w:val="22"/>
          <w:szCs w:val="22"/>
        </w:rPr>
        <w:t xml:space="preserve">poor sleep </w:t>
      </w:r>
      <w:r w:rsidR="005001F9">
        <w:rPr>
          <w:rFonts w:ascii="Arial" w:hAnsi="Arial" w:cs="Arial"/>
          <w:sz w:val="22"/>
          <w:szCs w:val="22"/>
        </w:rPr>
        <w:t>patterns and displaced activities that support wellbeing</w:t>
      </w:r>
      <w:r w:rsidR="00C11A0B">
        <w:rPr>
          <w:rFonts w:ascii="Arial" w:hAnsi="Arial" w:cs="Arial"/>
          <w:sz w:val="22"/>
          <w:szCs w:val="22"/>
        </w:rPr>
        <w:t xml:space="preserve"> (such as face-to-face interactions)</w:t>
      </w:r>
      <w:r w:rsidR="007F69B3" w:rsidRPr="0072322A">
        <w:rPr>
          <w:rFonts w:ascii="Arial" w:hAnsi="Arial" w:cs="Arial"/>
          <w:sz w:val="22"/>
          <w:szCs w:val="22"/>
        </w:rPr>
        <w:t xml:space="preserve"> (</w:t>
      </w:r>
      <w:r w:rsidR="00212486" w:rsidRPr="0072322A">
        <w:rPr>
          <w:rFonts w:ascii="Arial" w:hAnsi="Arial" w:cs="Arial"/>
          <w:sz w:val="22"/>
          <w:szCs w:val="22"/>
        </w:rPr>
        <w:t>Christakis and Hale, 2025).</w:t>
      </w:r>
      <w:r w:rsidR="00042106">
        <w:rPr>
          <w:rFonts w:ascii="Arial" w:hAnsi="Arial" w:cs="Arial"/>
          <w:sz w:val="22"/>
          <w:szCs w:val="22"/>
        </w:rPr>
        <w:t xml:space="preserve"> </w:t>
      </w:r>
      <w:r w:rsidR="00212486" w:rsidRPr="0072322A">
        <w:rPr>
          <w:rFonts w:ascii="Arial" w:hAnsi="Arial" w:cs="Arial"/>
          <w:sz w:val="22"/>
          <w:szCs w:val="22"/>
        </w:rPr>
        <w:t xml:space="preserve">Cyberbullying can </w:t>
      </w:r>
      <w:r w:rsidR="00117407" w:rsidRPr="0072322A">
        <w:rPr>
          <w:rFonts w:ascii="Arial" w:hAnsi="Arial" w:cs="Arial"/>
          <w:sz w:val="22"/>
          <w:szCs w:val="22"/>
        </w:rPr>
        <w:t xml:space="preserve">have severe consequences for both victims and </w:t>
      </w:r>
      <w:r w:rsidR="008A1A61" w:rsidRPr="0072322A">
        <w:rPr>
          <w:rFonts w:ascii="Arial" w:hAnsi="Arial" w:cs="Arial"/>
          <w:sz w:val="22"/>
          <w:szCs w:val="22"/>
        </w:rPr>
        <w:t xml:space="preserve">perpetrators. </w:t>
      </w:r>
      <w:r w:rsidR="008A1A61" w:rsidRPr="0072322A">
        <w:rPr>
          <w:rFonts w:ascii="Arial" w:hAnsi="Arial" w:cs="Arial"/>
          <w:sz w:val="22"/>
          <w:szCs w:val="22"/>
        </w:rPr>
        <w:lastRenderedPageBreak/>
        <w:t>Victims may experience</w:t>
      </w:r>
      <w:r w:rsidR="00BF3BBA" w:rsidRPr="0072322A">
        <w:rPr>
          <w:rFonts w:ascii="Arial" w:hAnsi="Arial" w:cs="Arial"/>
          <w:sz w:val="22"/>
          <w:szCs w:val="22"/>
        </w:rPr>
        <w:t xml:space="preserve"> depression, anxiety, self-harm, suicidal </w:t>
      </w:r>
      <w:r w:rsidR="006A1105" w:rsidRPr="0072322A">
        <w:rPr>
          <w:rFonts w:ascii="Arial" w:hAnsi="Arial" w:cs="Arial"/>
          <w:sz w:val="22"/>
          <w:szCs w:val="22"/>
        </w:rPr>
        <w:t>ideation, sleep problems, and reduced school engagement</w:t>
      </w:r>
      <w:r w:rsidR="00DB7BC7" w:rsidRPr="0072322A">
        <w:rPr>
          <w:rFonts w:ascii="Arial" w:hAnsi="Arial" w:cs="Arial"/>
          <w:sz w:val="22"/>
          <w:szCs w:val="22"/>
        </w:rPr>
        <w:t xml:space="preserve">, while perpetrators are also at increased risk </w:t>
      </w:r>
      <w:r w:rsidR="00972326" w:rsidRPr="0072322A">
        <w:rPr>
          <w:rFonts w:ascii="Arial" w:hAnsi="Arial" w:cs="Arial"/>
          <w:sz w:val="22"/>
          <w:szCs w:val="22"/>
        </w:rPr>
        <w:t>of emotional and behavioural difficulties</w:t>
      </w:r>
      <w:r w:rsidR="00626334" w:rsidRPr="0072322A">
        <w:rPr>
          <w:rFonts w:ascii="Arial" w:hAnsi="Arial" w:cs="Arial"/>
          <w:sz w:val="22"/>
          <w:szCs w:val="22"/>
        </w:rPr>
        <w:t xml:space="preserve"> (Prestera et al., 2025). To explain these behaviours</w:t>
      </w:r>
      <w:r w:rsidR="00227306" w:rsidRPr="0072322A">
        <w:rPr>
          <w:rFonts w:ascii="Arial" w:hAnsi="Arial" w:cs="Arial"/>
          <w:sz w:val="22"/>
          <w:szCs w:val="22"/>
        </w:rPr>
        <w:t xml:space="preserve">, Prestera et al. (2025) apply Ajzen’s </w:t>
      </w:r>
      <w:r w:rsidR="00720AD3" w:rsidRPr="0072322A">
        <w:rPr>
          <w:rFonts w:ascii="Arial" w:hAnsi="Arial" w:cs="Arial"/>
          <w:sz w:val="22"/>
          <w:szCs w:val="22"/>
        </w:rPr>
        <w:t>Theory of Planned Behaviour. TPB proposes that beha</w:t>
      </w:r>
      <w:r w:rsidR="00FA2A9A" w:rsidRPr="0072322A">
        <w:rPr>
          <w:rFonts w:ascii="Arial" w:hAnsi="Arial" w:cs="Arial"/>
          <w:sz w:val="22"/>
          <w:szCs w:val="22"/>
        </w:rPr>
        <w:t xml:space="preserve">viour is influenced by attitudes, subjective norms, and </w:t>
      </w:r>
      <w:r w:rsidR="0023521D" w:rsidRPr="0072322A">
        <w:rPr>
          <w:rFonts w:ascii="Arial" w:hAnsi="Arial" w:cs="Arial"/>
          <w:sz w:val="22"/>
          <w:szCs w:val="22"/>
        </w:rPr>
        <w:t xml:space="preserve">perceived behavioural control. In online environments, </w:t>
      </w:r>
      <w:r w:rsidR="00F6716B" w:rsidRPr="0072322A">
        <w:rPr>
          <w:rFonts w:ascii="Arial" w:hAnsi="Arial" w:cs="Arial"/>
          <w:sz w:val="22"/>
          <w:szCs w:val="22"/>
        </w:rPr>
        <w:t>peer approval and group expectations can strongly influence</w:t>
      </w:r>
      <w:r w:rsidR="005615E5" w:rsidRPr="0072322A">
        <w:rPr>
          <w:rFonts w:ascii="Arial" w:hAnsi="Arial" w:cs="Arial"/>
          <w:sz w:val="22"/>
          <w:szCs w:val="22"/>
        </w:rPr>
        <w:t xml:space="preserve"> behaviour. Likes, comments, and shares communicate </w:t>
      </w:r>
      <w:r w:rsidR="00CB6942" w:rsidRPr="0072322A">
        <w:rPr>
          <w:rFonts w:ascii="Arial" w:hAnsi="Arial" w:cs="Arial"/>
          <w:sz w:val="22"/>
          <w:szCs w:val="22"/>
        </w:rPr>
        <w:t>what behaviours are accepted</w:t>
      </w:r>
      <w:r w:rsidR="00A841B3" w:rsidRPr="0072322A">
        <w:rPr>
          <w:rFonts w:ascii="Arial" w:hAnsi="Arial" w:cs="Arial"/>
          <w:sz w:val="22"/>
          <w:szCs w:val="22"/>
        </w:rPr>
        <w:t xml:space="preserve"> within social groups, encouraging </w:t>
      </w:r>
      <w:r w:rsidR="00497C35" w:rsidRPr="0072322A">
        <w:rPr>
          <w:rFonts w:ascii="Arial" w:hAnsi="Arial" w:cs="Arial"/>
          <w:sz w:val="22"/>
          <w:szCs w:val="22"/>
        </w:rPr>
        <w:t>adolescents</w:t>
      </w:r>
      <w:r w:rsidR="00CB6942" w:rsidRPr="0072322A">
        <w:rPr>
          <w:rFonts w:ascii="Arial" w:hAnsi="Arial" w:cs="Arial"/>
          <w:sz w:val="22"/>
          <w:szCs w:val="22"/>
        </w:rPr>
        <w:t xml:space="preserve"> to conform</w:t>
      </w:r>
      <w:r w:rsidR="00497C35" w:rsidRPr="0072322A">
        <w:rPr>
          <w:rFonts w:ascii="Arial" w:hAnsi="Arial" w:cs="Arial"/>
          <w:sz w:val="22"/>
          <w:szCs w:val="22"/>
        </w:rPr>
        <w:t xml:space="preserve"> to perceived norms. Consequently, </w:t>
      </w:r>
      <w:r w:rsidR="00863EAD" w:rsidRPr="0072322A">
        <w:rPr>
          <w:rFonts w:ascii="Arial" w:hAnsi="Arial" w:cs="Arial"/>
          <w:sz w:val="22"/>
          <w:szCs w:val="22"/>
        </w:rPr>
        <w:t xml:space="preserve">cyberbullying may become more likely when aggressive </w:t>
      </w:r>
      <w:r w:rsidR="008029AC" w:rsidRPr="0072322A">
        <w:rPr>
          <w:rFonts w:ascii="Arial" w:hAnsi="Arial" w:cs="Arial"/>
          <w:sz w:val="22"/>
          <w:szCs w:val="22"/>
        </w:rPr>
        <w:t>behaviour is accepted or rewarded within peer network.</w:t>
      </w:r>
    </w:p>
    <w:p w14:paraId="51A44CFB" w14:textId="24CDB2F2" w:rsidR="00212486" w:rsidRPr="0072322A" w:rsidRDefault="008405A4" w:rsidP="001D4D8F">
      <w:pPr>
        <w:spacing w:line="360" w:lineRule="auto"/>
        <w:ind w:firstLine="720"/>
        <w:rPr>
          <w:rFonts w:ascii="Arial" w:hAnsi="Arial" w:cs="Arial"/>
          <w:sz w:val="22"/>
          <w:szCs w:val="22"/>
        </w:rPr>
      </w:pPr>
      <w:r w:rsidRPr="0072322A">
        <w:rPr>
          <w:rFonts w:ascii="Arial" w:hAnsi="Arial" w:cs="Arial"/>
          <w:sz w:val="22"/>
          <w:szCs w:val="22"/>
        </w:rPr>
        <w:t xml:space="preserve">The study found that social norms and conformity </w:t>
      </w:r>
      <w:r w:rsidR="003202D1" w:rsidRPr="0072322A">
        <w:rPr>
          <w:rFonts w:ascii="Arial" w:hAnsi="Arial" w:cs="Arial"/>
          <w:sz w:val="22"/>
          <w:szCs w:val="22"/>
        </w:rPr>
        <w:t xml:space="preserve">were strongly associated with cyberbullying </w:t>
      </w:r>
      <w:r w:rsidR="00E0145F" w:rsidRPr="0072322A">
        <w:rPr>
          <w:rFonts w:ascii="Arial" w:hAnsi="Arial" w:cs="Arial"/>
          <w:sz w:val="22"/>
          <w:szCs w:val="22"/>
        </w:rPr>
        <w:t xml:space="preserve">behaviour. By extending TPB to include </w:t>
      </w:r>
      <w:r w:rsidR="00795A81" w:rsidRPr="0072322A">
        <w:rPr>
          <w:rFonts w:ascii="Arial" w:hAnsi="Arial" w:cs="Arial"/>
          <w:sz w:val="22"/>
          <w:szCs w:val="22"/>
        </w:rPr>
        <w:t>peer-group norms and conformity, Prestera et al. (2025) demonstrate</w:t>
      </w:r>
      <w:r w:rsidR="00D849C8" w:rsidRPr="0072322A">
        <w:rPr>
          <w:rFonts w:ascii="Arial" w:hAnsi="Arial" w:cs="Arial"/>
          <w:sz w:val="22"/>
          <w:szCs w:val="22"/>
        </w:rPr>
        <w:t xml:space="preserve"> how social pressure can create environments in which cyberbullying </w:t>
      </w:r>
      <w:r w:rsidR="006B2583" w:rsidRPr="0072322A">
        <w:rPr>
          <w:rFonts w:ascii="Arial" w:hAnsi="Arial" w:cs="Arial"/>
          <w:sz w:val="22"/>
          <w:szCs w:val="22"/>
        </w:rPr>
        <w:t>becomes tolerated or even expected. The model also identified</w:t>
      </w:r>
      <w:r w:rsidR="001E29C5" w:rsidRPr="0072322A">
        <w:rPr>
          <w:rFonts w:ascii="Arial" w:hAnsi="Arial" w:cs="Arial"/>
          <w:sz w:val="22"/>
          <w:szCs w:val="22"/>
        </w:rPr>
        <w:t xml:space="preserve"> situational self-efficacy as particularly </w:t>
      </w:r>
      <w:r w:rsidR="00757143" w:rsidRPr="0072322A">
        <w:rPr>
          <w:rFonts w:ascii="Arial" w:hAnsi="Arial" w:cs="Arial"/>
          <w:sz w:val="22"/>
          <w:szCs w:val="22"/>
        </w:rPr>
        <w:t xml:space="preserve">important, suggesting that adolescents require strong </w:t>
      </w:r>
      <w:r w:rsidR="002C4284" w:rsidRPr="0072322A">
        <w:rPr>
          <w:rFonts w:ascii="Arial" w:hAnsi="Arial" w:cs="Arial"/>
          <w:sz w:val="22"/>
          <w:szCs w:val="22"/>
        </w:rPr>
        <w:t xml:space="preserve">self-regulation skills to navigate </w:t>
      </w:r>
      <w:r w:rsidR="00A33356" w:rsidRPr="0072322A">
        <w:rPr>
          <w:rFonts w:ascii="Arial" w:hAnsi="Arial" w:cs="Arial"/>
          <w:sz w:val="22"/>
          <w:szCs w:val="22"/>
        </w:rPr>
        <w:t>increasingly</w:t>
      </w:r>
      <w:r w:rsidR="002C4284" w:rsidRPr="0072322A">
        <w:rPr>
          <w:rFonts w:ascii="Arial" w:hAnsi="Arial" w:cs="Arial"/>
          <w:sz w:val="22"/>
          <w:szCs w:val="22"/>
        </w:rPr>
        <w:t xml:space="preserve"> </w:t>
      </w:r>
      <w:r w:rsidR="00A33356" w:rsidRPr="0072322A">
        <w:rPr>
          <w:rFonts w:ascii="Arial" w:hAnsi="Arial" w:cs="Arial"/>
          <w:sz w:val="22"/>
          <w:szCs w:val="22"/>
        </w:rPr>
        <w:t xml:space="preserve">complex online environments.  </w:t>
      </w:r>
      <w:r w:rsidR="007B516D" w:rsidRPr="0072322A">
        <w:rPr>
          <w:rFonts w:ascii="Arial" w:hAnsi="Arial" w:cs="Arial"/>
          <w:sz w:val="22"/>
          <w:szCs w:val="22"/>
        </w:rPr>
        <w:t xml:space="preserve">TPB therefore provides a useful explanation of how social media influences shape </w:t>
      </w:r>
      <w:r w:rsidR="00AA4A7C" w:rsidRPr="0072322A">
        <w:rPr>
          <w:rFonts w:ascii="Arial" w:hAnsi="Arial" w:cs="Arial"/>
          <w:sz w:val="22"/>
          <w:szCs w:val="22"/>
        </w:rPr>
        <w:t>online behaviour.</w:t>
      </w:r>
    </w:p>
    <w:p w14:paraId="55C14E37" w14:textId="34963FFB" w:rsidR="00AA4A7C" w:rsidRPr="0072322A" w:rsidRDefault="00AA4A7C" w:rsidP="001D4D8F">
      <w:pPr>
        <w:spacing w:line="360" w:lineRule="auto"/>
        <w:ind w:firstLine="720"/>
        <w:rPr>
          <w:rFonts w:ascii="Arial" w:hAnsi="Arial" w:cs="Arial"/>
          <w:sz w:val="22"/>
          <w:szCs w:val="22"/>
        </w:rPr>
      </w:pPr>
      <w:r w:rsidRPr="0072322A">
        <w:rPr>
          <w:rFonts w:ascii="Arial" w:hAnsi="Arial" w:cs="Arial"/>
          <w:sz w:val="22"/>
          <w:szCs w:val="22"/>
        </w:rPr>
        <w:t xml:space="preserve">However, TPB also has </w:t>
      </w:r>
      <w:r w:rsidR="00B443F8" w:rsidRPr="0072322A">
        <w:rPr>
          <w:rFonts w:ascii="Arial" w:hAnsi="Arial" w:cs="Arial"/>
          <w:sz w:val="22"/>
          <w:szCs w:val="22"/>
        </w:rPr>
        <w:t>important limitations. The theory assumes that behaviour</w:t>
      </w:r>
      <w:r w:rsidR="00EB47BC" w:rsidRPr="0072322A">
        <w:rPr>
          <w:rFonts w:ascii="Arial" w:hAnsi="Arial" w:cs="Arial"/>
          <w:sz w:val="22"/>
          <w:szCs w:val="22"/>
        </w:rPr>
        <w:t xml:space="preserve"> is largely rational and based on conscio</w:t>
      </w:r>
      <w:r w:rsidR="009637A1" w:rsidRPr="0072322A">
        <w:rPr>
          <w:rFonts w:ascii="Arial" w:hAnsi="Arial" w:cs="Arial"/>
          <w:sz w:val="22"/>
          <w:szCs w:val="22"/>
        </w:rPr>
        <w:t xml:space="preserve">us intentions. In reality, many online behaviours </w:t>
      </w:r>
      <w:r w:rsidR="003852D9" w:rsidRPr="0072322A">
        <w:rPr>
          <w:rFonts w:ascii="Arial" w:hAnsi="Arial" w:cs="Arial"/>
          <w:sz w:val="22"/>
          <w:szCs w:val="22"/>
        </w:rPr>
        <w:t>occur impulsively, especially during adolescence</w:t>
      </w:r>
      <w:r w:rsidR="00B9753F" w:rsidRPr="0072322A">
        <w:rPr>
          <w:rFonts w:ascii="Arial" w:hAnsi="Arial" w:cs="Arial"/>
          <w:sz w:val="22"/>
          <w:szCs w:val="22"/>
        </w:rPr>
        <w:t xml:space="preserve"> when emotional regulation is still developing.</w:t>
      </w:r>
      <w:r w:rsidR="000310AC" w:rsidRPr="0072322A">
        <w:rPr>
          <w:rFonts w:ascii="Arial" w:hAnsi="Arial" w:cs="Arial"/>
          <w:sz w:val="22"/>
          <w:szCs w:val="22"/>
        </w:rPr>
        <w:t xml:space="preserve"> Cyberbullying may result from anger, frustration</w:t>
      </w:r>
      <w:r w:rsidR="004F29E6" w:rsidRPr="0072322A">
        <w:rPr>
          <w:rFonts w:ascii="Arial" w:hAnsi="Arial" w:cs="Arial"/>
          <w:sz w:val="22"/>
          <w:szCs w:val="22"/>
        </w:rPr>
        <w:t>, or immediate emotional reaction</w:t>
      </w:r>
      <w:r w:rsidR="001C26E0" w:rsidRPr="0072322A">
        <w:rPr>
          <w:rFonts w:ascii="Arial" w:hAnsi="Arial" w:cs="Arial"/>
          <w:sz w:val="22"/>
          <w:szCs w:val="22"/>
        </w:rPr>
        <w:t xml:space="preserve">s rather than careful </w:t>
      </w:r>
      <w:r w:rsidR="00CB3FF0" w:rsidRPr="0072322A">
        <w:rPr>
          <w:rFonts w:ascii="Arial" w:hAnsi="Arial" w:cs="Arial"/>
          <w:sz w:val="22"/>
          <w:szCs w:val="22"/>
        </w:rPr>
        <w:t xml:space="preserve">decision-making. As a result, TPB </w:t>
      </w:r>
      <w:r w:rsidR="006E6C28" w:rsidRPr="0072322A">
        <w:rPr>
          <w:rFonts w:ascii="Arial" w:hAnsi="Arial" w:cs="Arial"/>
          <w:sz w:val="22"/>
          <w:szCs w:val="22"/>
        </w:rPr>
        <w:t xml:space="preserve">may underestimate </w:t>
      </w:r>
      <w:r w:rsidR="00517938" w:rsidRPr="0072322A">
        <w:rPr>
          <w:rFonts w:ascii="Arial" w:hAnsi="Arial" w:cs="Arial"/>
          <w:sz w:val="22"/>
          <w:szCs w:val="22"/>
        </w:rPr>
        <w:t xml:space="preserve">the influence of emotions in shaping online </w:t>
      </w:r>
      <w:r w:rsidR="00E30501" w:rsidRPr="0072322A">
        <w:rPr>
          <w:rFonts w:ascii="Arial" w:hAnsi="Arial" w:cs="Arial"/>
          <w:sz w:val="22"/>
          <w:szCs w:val="22"/>
        </w:rPr>
        <w:t>conduct. While the theory explains deliberate behaviours</w:t>
      </w:r>
      <w:r w:rsidR="000B5829" w:rsidRPr="0072322A">
        <w:rPr>
          <w:rFonts w:ascii="Arial" w:hAnsi="Arial" w:cs="Arial"/>
          <w:sz w:val="22"/>
          <w:szCs w:val="22"/>
        </w:rPr>
        <w:t xml:space="preserve"> effectively, it may be less successful in explaining impulsive </w:t>
      </w:r>
      <w:r w:rsidR="009F0770" w:rsidRPr="0072322A">
        <w:rPr>
          <w:rFonts w:ascii="Arial" w:hAnsi="Arial" w:cs="Arial"/>
          <w:sz w:val="22"/>
          <w:szCs w:val="22"/>
        </w:rPr>
        <w:t>forms of online aggression.</w:t>
      </w:r>
    </w:p>
    <w:p w14:paraId="311D0EA3" w14:textId="6B318419" w:rsidR="009F0770" w:rsidRPr="0072322A" w:rsidRDefault="009F0770" w:rsidP="001D4D8F">
      <w:pPr>
        <w:spacing w:line="360" w:lineRule="auto"/>
        <w:ind w:firstLine="720"/>
        <w:rPr>
          <w:rFonts w:ascii="Arial" w:hAnsi="Arial" w:cs="Arial"/>
          <w:sz w:val="22"/>
          <w:szCs w:val="22"/>
        </w:rPr>
      </w:pPr>
      <w:r w:rsidRPr="0072322A">
        <w:rPr>
          <w:rFonts w:ascii="Arial" w:hAnsi="Arial" w:cs="Arial"/>
          <w:sz w:val="22"/>
          <w:szCs w:val="22"/>
        </w:rPr>
        <w:t xml:space="preserve">TPB can also be applied </w:t>
      </w:r>
      <w:r w:rsidR="005A23A2" w:rsidRPr="0072322A">
        <w:rPr>
          <w:rFonts w:ascii="Arial" w:hAnsi="Arial" w:cs="Arial"/>
          <w:sz w:val="22"/>
          <w:szCs w:val="22"/>
        </w:rPr>
        <w:t>to broader social media experiences. Tuomisto et al. (</w:t>
      </w:r>
      <w:r w:rsidR="00335371" w:rsidRPr="0072322A">
        <w:rPr>
          <w:rFonts w:ascii="Arial" w:hAnsi="Arial" w:cs="Arial"/>
          <w:sz w:val="22"/>
          <w:szCs w:val="22"/>
        </w:rPr>
        <w:t>2024) found significant associations between adolescents’ social media experiences</w:t>
      </w:r>
      <w:r w:rsidR="004429A7" w:rsidRPr="0072322A">
        <w:rPr>
          <w:rFonts w:ascii="Arial" w:hAnsi="Arial" w:cs="Arial"/>
          <w:sz w:val="22"/>
          <w:szCs w:val="22"/>
        </w:rPr>
        <w:t xml:space="preserve"> and both internalising symptoms, such as </w:t>
      </w:r>
      <w:r w:rsidR="00291A4F" w:rsidRPr="0072322A">
        <w:rPr>
          <w:rFonts w:ascii="Arial" w:hAnsi="Arial" w:cs="Arial"/>
          <w:sz w:val="22"/>
          <w:szCs w:val="22"/>
        </w:rPr>
        <w:t xml:space="preserve">depression, and externalising symptoms, such as </w:t>
      </w:r>
      <w:r w:rsidR="00F036EB" w:rsidRPr="0072322A">
        <w:rPr>
          <w:rFonts w:ascii="Arial" w:hAnsi="Arial" w:cs="Arial"/>
          <w:sz w:val="22"/>
          <w:szCs w:val="22"/>
        </w:rPr>
        <w:t xml:space="preserve">conduct problems. Through the TPB framework, </w:t>
      </w:r>
      <w:r w:rsidR="002D1508" w:rsidRPr="0072322A">
        <w:rPr>
          <w:rFonts w:ascii="Arial" w:hAnsi="Arial" w:cs="Arial"/>
          <w:sz w:val="22"/>
          <w:szCs w:val="22"/>
        </w:rPr>
        <w:t xml:space="preserve">these outcomes can be understood </w:t>
      </w:r>
      <w:r w:rsidR="006324F9" w:rsidRPr="0072322A">
        <w:rPr>
          <w:rFonts w:ascii="Arial" w:hAnsi="Arial" w:cs="Arial"/>
          <w:sz w:val="22"/>
          <w:szCs w:val="22"/>
        </w:rPr>
        <w:t>in terms of attitudes towards social media</w:t>
      </w:r>
      <w:r w:rsidR="00D22DF7" w:rsidRPr="0072322A">
        <w:rPr>
          <w:rFonts w:ascii="Arial" w:hAnsi="Arial" w:cs="Arial"/>
          <w:sz w:val="22"/>
          <w:szCs w:val="22"/>
        </w:rPr>
        <w:t xml:space="preserve"> </w:t>
      </w:r>
      <w:r w:rsidR="00D22DF7" w:rsidRPr="0072322A">
        <w:rPr>
          <w:rFonts w:ascii="Arial" w:hAnsi="Arial" w:cs="Arial"/>
          <w:sz w:val="22"/>
          <w:szCs w:val="22"/>
        </w:rPr>
        <w:t>(adolescents may form positive or negative beliefs about social media depending on their experiences)</w:t>
      </w:r>
      <w:r w:rsidR="006324F9" w:rsidRPr="0072322A">
        <w:rPr>
          <w:rFonts w:ascii="Arial" w:hAnsi="Arial" w:cs="Arial"/>
          <w:sz w:val="22"/>
          <w:szCs w:val="22"/>
        </w:rPr>
        <w:t>, per</w:t>
      </w:r>
      <w:r w:rsidR="00691555" w:rsidRPr="0072322A">
        <w:rPr>
          <w:rFonts w:ascii="Arial" w:hAnsi="Arial" w:cs="Arial"/>
          <w:sz w:val="22"/>
          <w:szCs w:val="22"/>
        </w:rPr>
        <w:t>ceived social norms</w:t>
      </w:r>
      <w:r w:rsidR="00A76D98" w:rsidRPr="0072322A">
        <w:rPr>
          <w:rFonts w:ascii="Arial" w:hAnsi="Arial" w:cs="Arial"/>
          <w:sz w:val="22"/>
          <w:szCs w:val="22"/>
        </w:rPr>
        <w:t xml:space="preserve"> </w:t>
      </w:r>
      <w:r w:rsidR="00A76D98" w:rsidRPr="0072322A">
        <w:rPr>
          <w:rFonts w:ascii="Arial" w:hAnsi="Arial" w:cs="Arial"/>
          <w:sz w:val="22"/>
          <w:szCs w:val="22"/>
        </w:rPr>
        <w:t>(adolescents may feel pressure to participate, compare themselves with others, or behave in ways that are accepted online; for those with conduct symptoms, online environments may normalise risky, aggressive, or harmful behaviours such as cyberbullying)</w:t>
      </w:r>
      <w:r w:rsidR="00691555" w:rsidRPr="0072322A">
        <w:rPr>
          <w:rFonts w:ascii="Arial" w:hAnsi="Arial" w:cs="Arial"/>
          <w:sz w:val="22"/>
          <w:szCs w:val="22"/>
        </w:rPr>
        <w:t>, and behavioural control</w:t>
      </w:r>
      <w:r w:rsidR="00027DA6" w:rsidRPr="0072322A">
        <w:rPr>
          <w:rFonts w:ascii="Arial" w:hAnsi="Arial" w:cs="Arial"/>
          <w:sz w:val="22"/>
          <w:szCs w:val="22"/>
        </w:rPr>
        <w:t xml:space="preserve"> </w:t>
      </w:r>
      <w:r w:rsidR="00027DA6" w:rsidRPr="0072322A">
        <w:rPr>
          <w:rFonts w:ascii="Arial" w:hAnsi="Arial" w:cs="Arial"/>
          <w:sz w:val="22"/>
          <w:szCs w:val="22"/>
        </w:rPr>
        <w:t xml:space="preserve">(depressed adolescents may struggle to limit time online even when it worsens their mood, </w:t>
      </w:r>
      <w:r w:rsidR="00027DA6" w:rsidRPr="0072322A">
        <w:rPr>
          <w:rFonts w:ascii="Arial" w:hAnsi="Arial" w:cs="Arial"/>
          <w:sz w:val="22"/>
          <w:szCs w:val="22"/>
        </w:rPr>
        <w:lastRenderedPageBreak/>
        <w:t>while adolescents with conduct symptoms may be more impulsive and therefore less able to control aggressive or risky actions online)</w:t>
      </w:r>
      <w:r w:rsidR="00691555" w:rsidRPr="0072322A">
        <w:rPr>
          <w:rFonts w:ascii="Arial" w:hAnsi="Arial" w:cs="Arial"/>
          <w:sz w:val="22"/>
          <w:szCs w:val="22"/>
        </w:rPr>
        <w:t xml:space="preserve">. </w:t>
      </w:r>
    </w:p>
    <w:p w14:paraId="24FB047F" w14:textId="34EC9825" w:rsidR="0079349B" w:rsidRDefault="0079349B" w:rsidP="001D4D8F">
      <w:pPr>
        <w:spacing w:line="360" w:lineRule="auto"/>
        <w:ind w:firstLine="720"/>
        <w:rPr>
          <w:rFonts w:ascii="Arial" w:hAnsi="Arial" w:cs="Arial"/>
          <w:sz w:val="22"/>
          <w:szCs w:val="22"/>
        </w:rPr>
      </w:pPr>
      <w:r w:rsidRPr="0072322A">
        <w:rPr>
          <w:rFonts w:ascii="Arial" w:hAnsi="Arial" w:cs="Arial"/>
          <w:sz w:val="22"/>
          <w:szCs w:val="22"/>
        </w:rPr>
        <w:t xml:space="preserve">Nevertheless, TPB </w:t>
      </w:r>
      <w:r w:rsidR="0004364B" w:rsidRPr="0072322A">
        <w:rPr>
          <w:rFonts w:ascii="Arial" w:hAnsi="Arial" w:cs="Arial"/>
          <w:sz w:val="22"/>
          <w:szCs w:val="22"/>
        </w:rPr>
        <w:t>focuses primarily on individual decision-making</w:t>
      </w:r>
      <w:r w:rsidR="00050896" w:rsidRPr="0072322A">
        <w:rPr>
          <w:rFonts w:ascii="Arial" w:hAnsi="Arial" w:cs="Arial"/>
          <w:sz w:val="22"/>
          <w:szCs w:val="22"/>
        </w:rPr>
        <w:t xml:space="preserve"> and pays limited attention to the design of digital </w:t>
      </w:r>
      <w:r w:rsidR="006B7F94" w:rsidRPr="0072322A">
        <w:rPr>
          <w:rFonts w:ascii="Arial" w:hAnsi="Arial" w:cs="Arial"/>
          <w:sz w:val="22"/>
          <w:szCs w:val="22"/>
        </w:rPr>
        <w:t>environments. Factor such as platform algor</w:t>
      </w:r>
      <w:r w:rsidR="008D4196" w:rsidRPr="0072322A">
        <w:rPr>
          <w:rFonts w:ascii="Arial" w:hAnsi="Arial" w:cs="Arial"/>
          <w:sz w:val="22"/>
          <w:szCs w:val="22"/>
        </w:rPr>
        <w:t xml:space="preserve">ithms, engagement-driven features, and the constant </w:t>
      </w:r>
      <w:r w:rsidR="00AA099F" w:rsidRPr="0072322A">
        <w:rPr>
          <w:rFonts w:ascii="Arial" w:hAnsi="Arial" w:cs="Arial"/>
          <w:sz w:val="22"/>
          <w:szCs w:val="22"/>
        </w:rPr>
        <w:t>accessibility of social media may influence behaviour</w:t>
      </w:r>
      <w:r w:rsidR="00776D57" w:rsidRPr="0072322A">
        <w:rPr>
          <w:rFonts w:ascii="Arial" w:hAnsi="Arial" w:cs="Arial"/>
          <w:sz w:val="22"/>
          <w:szCs w:val="22"/>
        </w:rPr>
        <w:t xml:space="preserve"> independently of individual intention</w:t>
      </w:r>
      <w:r w:rsidR="00824785" w:rsidRPr="0072322A">
        <w:rPr>
          <w:rFonts w:ascii="Arial" w:hAnsi="Arial" w:cs="Arial"/>
          <w:sz w:val="22"/>
          <w:szCs w:val="22"/>
        </w:rPr>
        <w:t xml:space="preserve">s. Consequently, TPB may be more </w:t>
      </w:r>
      <w:r w:rsidR="004071E0" w:rsidRPr="0072322A">
        <w:rPr>
          <w:rFonts w:ascii="Arial" w:hAnsi="Arial" w:cs="Arial"/>
          <w:sz w:val="22"/>
          <w:szCs w:val="22"/>
        </w:rPr>
        <w:t xml:space="preserve">effective in explaining why adolescents </w:t>
      </w:r>
      <w:r w:rsidR="003369C3" w:rsidRPr="0072322A">
        <w:rPr>
          <w:rFonts w:ascii="Arial" w:hAnsi="Arial" w:cs="Arial"/>
          <w:sz w:val="22"/>
          <w:szCs w:val="22"/>
        </w:rPr>
        <w:t>engage in certain behaviours than in explaining how tech</w:t>
      </w:r>
      <w:r w:rsidR="00242AB7" w:rsidRPr="0072322A">
        <w:rPr>
          <w:rFonts w:ascii="Arial" w:hAnsi="Arial" w:cs="Arial"/>
          <w:sz w:val="22"/>
          <w:szCs w:val="22"/>
        </w:rPr>
        <w:t>nological environments encourage those behaviours</w:t>
      </w:r>
      <w:r w:rsidR="00EA4017" w:rsidRPr="0072322A">
        <w:rPr>
          <w:rFonts w:ascii="Arial" w:hAnsi="Arial" w:cs="Arial"/>
          <w:sz w:val="22"/>
          <w:szCs w:val="22"/>
        </w:rPr>
        <w:t>.</w:t>
      </w:r>
    </w:p>
    <w:p w14:paraId="53E110CF" w14:textId="77777777" w:rsidR="008E0169" w:rsidRPr="00367BDE" w:rsidRDefault="008E0169" w:rsidP="001D4D8F">
      <w:pPr>
        <w:pStyle w:val="p1"/>
        <w:spacing w:line="360" w:lineRule="auto"/>
        <w:ind w:firstLine="720"/>
        <w:rPr>
          <w:rFonts w:ascii="Arial" w:hAnsi="Arial" w:cs="Arial"/>
          <w:sz w:val="22"/>
          <w:szCs w:val="22"/>
        </w:rPr>
      </w:pPr>
      <w:r w:rsidRPr="00367BDE">
        <w:rPr>
          <w:rStyle w:val="s1"/>
          <w:rFonts w:ascii="Arial" w:hAnsi="Arial" w:cs="Arial"/>
          <w:sz w:val="22"/>
          <w:szCs w:val="22"/>
        </w:rPr>
        <w:t xml:space="preserve">Attachment Theory and TPB offer complementary insights into adolescent social media use. Attachment Theory focuses on internal emotional processes and helps explain why some adolescents are particularly vulnerable to social comparison, rejection, and validation-seeking. In contrast, TPB concentrates on cognitive and social influences on behaviour, making it particularly useful for understanding cyberbullying, peer conformity, and behavioural self-regulation. Together, the theories address both emotional and behavioural aspects of social media use. However, neither fully captures the influence of technological design, digital culture, or rapidly evolving online environments. </w:t>
      </w:r>
    </w:p>
    <w:p w14:paraId="5AC17A9D" w14:textId="23F7BEF0" w:rsidR="00100291" w:rsidRDefault="006742A4" w:rsidP="001D4D8F">
      <w:pPr>
        <w:pStyle w:val="p1"/>
        <w:spacing w:line="360" w:lineRule="auto"/>
        <w:ind w:firstLine="720"/>
        <w:rPr>
          <w:rStyle w:val="s1"/>
          <w:rFonts w:ascii="Arial" w:hAnsi="Arial" w:cs="Arial"/>
          <w:sz w:val="22"/>
          <w:szCs w:val="22"/>
        </w:rPr>
      </w:pPr>
      <w:r>
        <w:rPr>
          <w:rStyle w:val="s1"/>
          <w:rFonts w:ascii="Arial" w:hAnsi="Arial" w:cs="Arial"/>
          <w:sz w:val="22"/>
          <w:szCs w:val="22"/>
        </w:rPr>
        <w:t>In conclusion, s</w:t>
      </w:r>
      <w:r w:rsidR="00F100F4" w:rsidRPr="00367BDE">
        <w:rPr>
          <w:rStyle w:val="s1"/>
          <w:rFonts w:ascii="Arial" w:hAnsi="Arial" w:cs="Arial"/>
          <w:sz w:val="22"/>
          <w:szCs w:val="22"/>
        </w:rPr>
        <w:t xml:space="preserve">ocial media is neither inherently harmful nor beneficial for adolescent mental health. Its effects depend on individual characteristics, developmental stage, and patterns of use. Attachment Theory provides a strong explanation for emotional vulnerability and the importance of belonging, reassurance, and self-worth in online environments. In contrast, the Theory of Planned Behaviour offers a valuable framework for understanding how peer norms, attitudes, and perceived behavioural control influence online behaviour. While each theory contributes important insights, neither fully explains the complexity of adolescents' digital experiences. A comprehensive understanding of social media's impact on mental health therefore requires the integration of psychological, developmental, and sociocultural perspectives. </w:t>
      </w:r>
    </w:p>
    <w:p w14:paraId="7264C770" w14:textId="77777777" w:rsidR="00100291" w:rsidRDefault="00100291">
      <w:pPr>
        <w:rPr>
          <w:rStyle w:val="s1"/>
          <w:rFonts w:ascii="Arial" w:eastAsiaTheme="minorEastAsia" w:hAnsi="Arial" w:cs="Arial"/>
          <w:color w:val="000000"/>
          <w:kern w:val="0"/>
          <w:sz w:val="22"/>
          <w:szCs w:val="22"/>
          <w:lang w:eastAsia="en-GB"/>
          <w14:ligatures w14:val="none"/>
        </w:rPr>
      </w:pPr>
      <w:r>
        <w:rPr>
          <w:rStyle w:val="s1"/>
          <w:rFonts w:ascii="Arial" w:hAnsi="Arial" w:cs="Arial"/>
          <w:sz w:val="22"/>
          <w:szCs w:val="22"/>
        </w:rPr>
        <w:br w:type="page"/>
      </w:r>
    </w:p>
    <w:p w14:paraId="2D54A983" w14:textId="05A3E132" w:rsidR="00F100F4" w:rsidRPr="00100291" w:rsidRDefault="00100291" w:rsidP="001D4D8F">
      <w:pPr>
        <w:pStyle w:val="p1"/>
        <w:spacing w:line="360" w:lineRule="auto"/>
        <w:ind w:firstLine="720"/>
        <w:rPr>
          <w:rFonts w:ascii="Arial" w:hAnsi="Arial" w:cs="Arial"/>
          <w:b/>
          <w:bCs/>
        </w:rPr>
      </w:pPr>
      <w:r w:rsidRPr="00100291">
        <w:rPr>
          <w:rFonts w:ascii="Arial" w:hAnsi="Arial" w:cs="Arial"/>
          <w:b/>
          <w:bCs/>
        </w:rPr>
        <w:lastRenderedPageBreak/>
        <w:t>References</w:t>
      </w:r>
    </w:p>
    <w:p w14:paraId="4E3C0C17" w14:textId="7DD41DF8" w:rsidR="00F60BC2" w:rsidRPr="00503FBC" w:rsidRDefault="00F60BC2" w:rsidP="00F60BC2">
      <w:pPr>
        <w:spacing w:line="360" w:lineRule="auto"/>
        <w:rPr>
          <w:rFonts w:ascii="Arial" w:hAnsi="Arial" w:cs="Arial"/>
          <w:sz w:val="22"/>
          <w:szCs w:val="22"/>
        </w:rPr>
      </w:pPr>
      <w:r w:rsidRPr="00503FBC">
        <w:rPr>
          <w:rFonts w:ascii="Arial" w:hAnsi="Arial" w:cs="Arial"/>
          <w:sz w:val="22"/>
          <w:szCs w:val="22"/>
        </w:rPr>
        <w:t>Aryal, R</w:t>
      </w:r>
      <w:r w:rsidRPr="00336B90">
        <w:rPr>
          <w:rFonts w:ascii="Arial" w:hAnsi="Arial" w:cs="Arial"/>
          <w:sz w:val="22"/>
          <w:szCs w:val="22"/>
        </w:rPr>
        <w:t>.</w:t>
      </w:r>
      <w:r w:rsidR="000770F6" w:rsidRPr="00336B90">
        <w:rPr>
          <w:rFonts w:ascii="Arial" w:hAnsi="Arial" w:cs="Arial"/>
          <w:sz w:val="22"/>
          <w:szCs w:val="22"/>
        </w:rPr>
        <w:t xml:space="preserve">; </w:t>
      </w:r>
      <w:proofErr w:type="spellStart"/>
      <w:r w:rsidR="000770F6" w:rsidRPr="00336B90">
        <w:rPr>
          <w:rFonts w:ascii="Arial" w:hAnsi="Arial" w:cs="Arial"/>
          <w:sz w:val="22"/>
          <w:szCs w:val="22"/>
        </w:rPr>
        <w:t>Hjetland</w:t>
      </w:r>
      <w:proofErr w:type="spellEnd"/>
      <w:r w:rsidR="000770F6" w:rsidRPr="00336B90">
        <w:rPr>
          <w:rFonts w:ascii="Arial" w:hAnsi="Arial" w:cs="Arial"/>
          <w:sz w:val="22"/>
          <w:szCs w:val="22"/>
        </w:rPr>
        <w:t>, Gunnhild J</w:t>
      </w:r>
      <w:r w:rsidR="00336B90">
        <w:rPr>
          <w:rFonts w:ascii="Arial" w:hAnsi="Arial" w:cs="Arial"/>
          <w:sz w:val="22"/>
          <w:szCs w:val="22"/>
        </w:rPr>
        <w:t>.</w:t>
      </w:r>
      <w:r w:rsidR="000770F6" w:rsidRPr="00336B90">
        <w:rPr>
          <w:rFonts w:ascii="Arial" w:hAnsi="Arial" w:cs="Arial"/>
          <w:sz w:val="22"/>
          <w:szCs w:val="22"/>
        </w:rPr>
        <w:t>; Haug, E</w:t>
      </w:r>
      <w:r w:rsidR="00336B90">
        <w:rPr>
          <w:rFonts w:ascii="Arial" w:hAnsi="Arial" w:cs="Arial"/>
          <w:sz w:val="22"/>
          <w:szCs w:val="22"/>
        </w:rPr>
        <w:t>.</w:t>
      </w:r>
      <w:r w:rsidR="000770F6" w:rsidRPr="00336B90">
        <w:rPr>
          <w:rFonts w:ascii="Arial" w:hAnsi="Arial" w:cs="Arial"/>
          <w:sz w:val="22"/>
          <w:szCs w:val="22"/>
        </w:rPr>
        <w:t>; Samdal, O</w:t>
      </w:r>
      <w:r w:rsidR="00336B90">
        <w:rPr>
          <w:rFonts w:ascii="Arial" w:hAnsi="Arial" w:cs="Arial"/>
          <w:sz w:val="22"/>
          <w:szCs w:val="22"/>
        </w:rPr>
        <w:t>.</w:t>
      </w:r>
      <w:r w:rsidR="000770F6" w:rsidRPr="00336B90">
        <w:rPr>
          <w:rFonts w:ascii="Arial" w:hAnsi="Arial" w:cs="Arial"/>
          <w:sz w:val="22"/>
          <w:szCs w:val="22"/>
        </w:rPr>
        <w:t>; Skogen, Jens C</w:t>
      </w:r>
      <w:r w:rsidRPr="00336B90">
        <w:rPr>
          <w:rFonts w:ascii="Arial" w:hAnsi="Arial" w:cs="Arial"/>
          <w:sz w:val="22"/>
          <w:szCs w:val="22"/>
        </w:rPr>
        <w:t>.</w:t>
      </w:r>
      <w:r w:rsidRPr="00503FBC">
        <w:rPr>
          <w:rFonts w:ascii="Arial" w:hAnsi="Arial" w:cs="Arial"/>
          <w:sz w:val="22"/>
          <w:szCs w:val="22"/>
        </w:rPr>
        <w:t xml:space="preserve"> (2025) “Online Personas: Associations Between Focus on Self-Presentation and Social Comparison on Social Media and Mental Well-Being in Early Adolescence,” </w:t>
      </w:r>
      <w:r w:rsidRPr="00503FBC">
        <w:rPr>
          <w:rFonts w:ascii="Arial" w:hAnsi="Arial" w:cs="Arial"/>
          <w:i/>
          <w:iCs/>
          <w:sz w:val="22"/>
          <w:szCs w:val="22"/>
        </w:rPr>
        <w:t>International journal of public health</w:t>
      </w:r>
      <w:r w:rsidRPr="00503FBC">
        <w:rPr>
          <w:rFonts w:ascii="Arial" w:hAnsi="Arial" w:cs="Arial"/>
          <w:sz w:val="22"/>
          <w:szCs w:val="22"/>
        </w:rPr>
        <w:t xml:space="preserve">, 70, p. 1608425. Available at: </w:t>
      </w:r>
      <w:hyperlink r:id="rId6" w:history="1">
        <w:r w:rsidR="00B26933" w:rsidRPr="001B1812">
          <w:rPr>
            <w:rStyle w:val="Hyperlink"/>
            <w:rFonts w:ascii="Arial" w:hAnsi="Arial" w:cs="Arial"/>
            <w:sz w:val="22"/>
            <w:szCs w:val="22"/>
          </w:rPr>
          <w:t>https://doi.org/10.3389/ijph.2025.1608425</w:t>
        </w:r>
      </w:hyperlink>
      <w:r w:rsidR="00B26933">
        <w:rPr>
          <w:rFonts w:ascii="Arial" w:hAnsi="Arial" w:cs="Arial"/>
          <w:sz w:val="22"/>
          <w:szCs w:val="22"/>
        </w:rPr>
        <w:t xml:space="preserve"> </w:t>
      </w:r>
    </w:p>
    <w:p w14:paraId="494714AD" w14:textId="5E56A790" w:rsidR="00A46B2C" w:rsidRPr="00177F69" w:rsidRDefault="00A46B2C" w:rsidP="00A46B2C">
      <w:pPr>
        <w:spacing w:line="360" w:lineRule="auto"/>
        <w:rPr>
          <w:rFonts w:ascii="Arial" w:hAnsi="Arial" w:cs="Arial"/>
          <w:sz w:val="22"/>
          <w:szCs w:val="22"/>
          <w:lang w:eastAsia="en-GB"/>
        </w:rPr>
      </w:pPr>
      <w:r w:rsidRPr="00177F69">
        <w:rPr>
          <w:rFonts w:ascii="Arial" w:hAnsi="Arial" w:cs="Arial"/>
          <w:sz w:val="22"/>
          <w:szCs w:val="22"/>
        </w:rPr>
        <w:t xml:space="preserve">Bennett, P. (2015) </w:t>
      </w:r>
      <w:r w:rsidRPr="00177F69">
        <w:rPr>
          <w:rFonts w:ascii="Arial" w:hAnsi="Arial" w:cs="Arial"/>
          <w:i/>
          <w:iCs/>
          <w:sz w:val="22"/>
          <w:szCs w:val="22"/>
        </w:rPr>
        <w:t>Clinical psychology: psychopathology through the lifespan</w:t>
      </w:r>
      <w:r w:rsidRPr="00177F69">
        <w:rPr>
          <w:rFonts w:ascii="Arial" w:hAnsi="Arial" w:cs="Arial"/>
          <w:sz w:val="22"/>
          <w:szCs w:val="22"/>
        </w:rPr>
        <w:t>. 1st ed. Berkshire, England: Open University Press.</w:t>
      </w:r>
    </w:p>
    <w:p w14:paraId="30BE6BB1" w14:textId="77777777" w:rsidR="00C5194F" w:rsidRPr="00B20A50" w:rsidRDefault="00C5194F" w:rsidP="00C5194F">
      <w:pPr>
        <w:spacing w:line="360" w:lineRule="auto"/>
        <w:rPr>
          <w:rFonts w:ascii="Arial" w:hAnsi="Arial" w:cs="Arial"/>
          <w:sz w:val="22"/>
          <w:szCs w:val="22"/>
        </w:rPr>
      </w:pPr>
      <w:r w:rsidRPr="00B20A50">
        <w:rPr>
          <w:rFonts w:ascii="Arial" w:hAnsi="Arial" w:cs="Arial"/>
          <w:sz w:val="22"/>
          <w:szCs w:val="22"/>
        </w:rPr>
        <w:t xml:space="preserve">Christakis, D.A. and Hale, L. (2025) </w:t>
      </w:r>
      <w:r w:rsidRPr="00B20A50">
        <w:rPr>
          <w:rFonts w:ascii="Arial" w:hAnsi="Arial" w:cs="Arial"/>
          <w:i/>
          <w:iCs/>
          <w:sz w:val="22"/>
          <w:szCs w:val="22"/>
        </w:rPr>
        <w:t>Handbook of Children and Screens: Digital Media, Development, and Well-Being from Birth Through Adolescence</w:t>
      </w:r>
      <w:r w:rsidRPr="00B20A50">
        <w:rPr>
          <w:rFonts w:ascii="Arial" w:hAnsi="Arial" w:cs="Arial"/>
          <w:sz w:val="22"/>
          <w:szCs w:val="22"/>
        </w:rPr>
        <w:t xml:space="preserve">. 1st ed. 2025. Cham: Springer Nature Switzerland. Available at: </w:t>
      </w:r>
      <w:hyperlink r:id="rId7" w:history="1">
        <w:r w:rsidRPr="00B20A50">
          <w:rPr>
            <w:rStyle w:val="Hyperlink"/>
            <w:rFonts w:ascii="Arial" w:hAnsi="Arial" w:cs="Arial"/>
            <w:sz w:val="22"/>
            <w:szCs w:val="22"/>
          </w:rPr>
          <w:t>https://doi.org/10.1007/978-3-031-69362-5</w:t>
        </w:r>
      </w:hyperlink>
    </w:p>
    <w:p w14:paraId="2AD52E5D" w14:textId="7D4E15FB" w:rsidR="00B95F04" w:rsidRPr="00B20A50" w:rsidRDefault="00B95F04" w:rsidP="00B95F04">
      <w:pPr>
        <w:spacing w:line="360" w:lineRule="auto"/>
        <w:rPr>
          <w:rFonts w:ascii="Arial" w:hAnsi="Arial" w:cs="Arial"/>
          <w:sz w:val="22"/>
          <w:szCs w:val="22"/>
        </w:rPr>
      </w:pPr>
      <w:r w:rsidRPr="00B20A50">
        <w:rPr>
          <w:rFonts w:ascii="Arial" w:hAnsi="Arial" w:cs="Arial"/>
          <w:sz w:val="22"/>
          <w:szCs w:val="22"/>
        </w:rPr>
        <w:t>McAlister, K</w:t>
      </w:r>
      <w:r w:rsidR="0027001F">
        <w:rPr>
          <w:rFonts w:ascii="Arial" w:hAnsi="Arial" w:cs="Arial"/>
          <w:sz w:val="22"/>
          <w:szCs w:val="22"/>
        </w:rPr>
        <w:t xml:space="preserve">elsey </w:t>
      </w:r>
      <w:r w:rsidRPr="00B20A50">
        <w:rPr>
          <w:rFonts w:ascii="Arial" w:hAnsi="Arial" w:cs="Arial"/>
          <w:sz w:val="22"/>
          <w:szCs w:val="22"/>
        </w:rPr>
        <w:t>L</w:t>
      </w:r>
      <w:r w:rsidRPr="001C3383">
        <w:rPr>
          <w:rFonts w:ascii="Arial" w:hAnsi="Arial" w:cs="Arial"/>
          <w:sz w:val="22"/>
          <w:szCs w:val="22"/>
        </w:rPr>
        <w:t>.</w:t>
      </w:r>
      <w:r w:rsidR="001C3383" w:rsidRPr="001C3383">
        <w:rPr>
          <w:rFonts w:ascii="Arial" w:hAnsi="Arial" w:cs="Arial"/>
          <w:sz w:val="22"/>
          <w:szCs w:val="22"/>
        </w:rPr>
        <w:t xml:space="preserve">; Beatty, Clare </w:t>
      </w:r>
      <w:r w:rsidR="0027001F" w:rsidRPr="001C3383">
        <w:rPr>
          <w:rFonts w:ascii="Arial" w:hAnsi="Arial" w:cs="Arial"/>
          <w:sz w:val="22"/>
          <w:szCs w:val="22"/>
        </w:rPr>
        <w:t>C</w:t>
      </w:r>
      <w:r w:rsidR="0027001F">
        <w:rPr>
          <w:rFonts w:ascii="Arial" w:hAnsi="Arial" w:cs="Arial"/>
          <w:sz w:val="22"/>
          <w:szCs w:val="22"/>
        </w:rPr>
        <w:t>.</w:t>
      </w:r>
      <w:r w:rsidR="0027001F" w:rsidRPr="001C3383">
        <w:rPr>
          <w:rFonts w:ascii="Arial" w:hAnsi="Arial" w:cs="Arial"/>
          <w:sz w:val="22"/>
          <w:szCs w:val="22"/>
        </w:rPr>
        <w:t>;</w:t>
      </w:r>
      <w:r w:rsidR="001C3383" w:rsidRPr="001C3383">
        <w:rPr>
          <w:rFonts w:ascii="Arial" w:hAnsi="Arial" w:cs="Arial"/>
          <w:sz w:val="22"/>
          <w:szCs w:val="22"/>
        </w:rPr>
        <w:t xml:space="preserve"> Smith-Caswell, Jacqueline </w:t>
      </w:r>
      <w:r w:rsidR="0027001F" w:rsidRPr="001C3383">
        <w:rPr>
          <w:rFonts w:ascii="Arial" w:hAnsi="Arial" w:cs="Arial"/>
          <w:sz w:val="22"/>
          <w:szCs w:val="22"/>
        </w:rPr>
        <w:t>E</w:t>
      </w:r>
      <w:r w:rsidR="0027001F">
        <w:rPr>
          <w:rFonts w:ascii="Arial" w:hAnsi="Arial" w:cs="Arial"/>
          <w:sz w:val="22"/>
          <w:szCs w:val="22"/>
        </w:rPr>
        <w:t>.</w:t>
      </w:r>
      <w:r w:rsidR="0027001F" w:rsidRPr="001C3383">
        <w:rPr>
          <w:rFonts w:ascii="Arial" w:hAnsi="Arial" w:cs="Arial"/>
          <w:sz w:val="22"/>
          <w:szCs w:val="22"/>
        </w:rPr>
        <w:t>;</w:t>
      </w:r>
      <w:r w:rsidR="001C3383" w:rsidRPr="001C3383">
        <w:rPr>
          <w:rFonts w:ascii="Arial" w:hAnsi="Arial" w:cs="Arial"/>
          <w:sz w:val="22"/>
          <w:szCs w:val="22"/>
        </w:rPr>
        <w:t xml:space="preserve"> </w:t>
      </w:r>
      <w:proofErr w:type="spellStart"/>
      <w:r w:rsidR="001C3383" w:rsidRPr="001C3383">
        <w:rPr>
          <w:rFonts w:ascii="Arial" w:hAnsi="Arial" w:cs="Arial"/>
          <w:sz w:val="22"/>
          <w:szCs w:val="22"/>
        </w:rPr>
        <w:t>Yourell</w:t>
      </w:r>
      <w:proofErr w:type="spellEnd"/>
      <w:r w:rsidR="001C3383" w:rsidRPr="001C3383">
        <w:rPr>
          <w:rFonts w:ascii="Arial" w:hAnsi="Arial" w:cs="Arial"/>
          <w:sz w:val="22"/>
          <w:szCs w:val="22"/>
        </w:rPr>
        <w:t xml:space="preserve">, Jacqlyn </w:t>
      </w:r>
      <w:r w:rsidR="0027001F" w:rsidRPr="001C3383">
        <w:rPr>
          <w:rFonts w:ascii="Arial" w:hAnsi="Arial" w:cs="Arial"/>
          <w:sz w:val="22"/>
          <w:szCs w:val="22"/>
        </w:rPr>
        <w:t>L</w:t>
      </w:r>
      <w:r w:rsidR="0027001F">
        <w:rPr>
          <w:rFonts w:ascii="Arial" w:hAnsi="Arial" w:cs="Arial"/>
          <w:sz w:val="22"/>
          <w:szCs w:val="22"/>
        </w:rPr>
        <w:t>.</w:t>
      </w:r>
      <w:r w:rsidR="0027001F" w:rsidRPr="001C3383">
        <w:rPr>
          <w:rFonts w:ascii="Arial" w:hAnsi="Arial" w:cs="Arial"/>
          <w:sz w:val="22"/>
          <w:szCs w:val="22"/>
        </w:rPr>
        <w:t>;</w:t>
      </w:r>
      <w:r w:rsidR="001C3383" w:rsidRPr="001C3383">
        <w:rPr>
          <w:rFonts w:ascii="Arial" w:hAnsi="Arial" w:cs="Arial"/>
          <w:sz w:val="22"/>
          <w:szCs w:val="22"/>
        </w:rPr>
        <w:t xml:space="preserve"> Huberty, Jennifer L</w:t>
      </w:r>
      <w:r w:rsidR="0027001F">
        <w:rPr>
          <w:rFonts w:ascii="Arial" w:hAnsi="Arial" w:cs="Arial"/>
          <w:sz w:val="22"/>
          <w:szCs w:val="22"/>
        </w:rPr>
        <w:t>.</w:t>
      </w:r>
      <w:r w:rsidRPr="00B20A50">
        <w:rPr>
          <w:rFonts w:ascii="Arial" w:hAnsi="Arial" w:cs="Arial"/>
          <w:sz w:val="22"/>
          <w:szCs w:val="22"/>
        </w:rPr>
        <w:t xml:space="preserve"> (2024) “Social Media Use in Adolescents: Bans, Benefits, and Emotion Regulation </w:t>
      </w:r>
      <w:proofErr w:type="spellStart"/>
      <w:r w:rsidRPr="00B20A50">
        <w:rPr>
          <w:rFonts w:ascii="Arial" w:hAnsi="Arial" w:cs="Arial"/>
          <w:sz w:val="22"/>
          <w:szCs w:val="22"/>
        </w:rPr>
        <w:t>Behaviors</w:t>
      </w:r>
      <w:proofErr w:type="spellEnd"/>
      <w:r w:rsidRPr="00B20A50">
        <w:rPr>
          <w:rFonts w:ascii="Arial" w:hAnsi="Arial" w:cs="Arial"/>
          <w:sz w:val="22"/>
          <w:szCs w:val="22"/>
        </w:rPr>
        <w:t xml:space="preserve">,” </w:t>
      </w:r>
      <w:r w:rsidRPr="00B20A50">
        <w:rPr>
          <w:rFonts w:ascii="Arial" w:hAnsi="Arial" w:cs="Arial"/>
          <w:i/>
          <w:iCs/>
          <w:sz w:val="22"/>
          <w:szCs w:val="22"/>
        </w:rPr>
        <w:t>JMIR mental health</w:t>
      </w:r>
      <w:r w:rsidRPr="00B20A50">
        <w:rPr>
          <w:rFonts w:ascii="Arial" w:hAnsi="Arial" w:cs="Arial"/>
          <w:sz w:val="22"/>
          <w:szCs w:val="22"/>
        </w:rPr>
        <w:t xml:space="preserve">, 11, pp. e64626–e64626. Available at: </w:t>
      </w:r>
      <w:hyperlink r:id="rId8" w:history="1">
        <w:r w:rsidR="00B26933" w:rsidRPr="001B1812">
          <w:rPr>
            <w:rStyle w:val="Hyperlink"/>
            <w:rFonts w:ascii="Arial" w:hAnsi="Arial" w:cs="Arial"/>
            <w:sz w:val="22"/>
            <w:szCs w:val="22"/>
          </w:rPr>
          <w:t>https://doi.org/10.2196/64626</w:t>
        </w:r>
      </w:hyperlink>
      <w:r w:rsidR="00B26933">
        <w:rPr>
          <w:rFonts w:ascii="Arial" w:hAnsi="Arial" w:cs="Arial"/>
          <w:sz w:val="22"/>
          <w:szCs w:val="22"/>
        </w:rPr>
        <w:t xml:space="preserve"> </w:t>
      </w:r>
    </w:p>
    <w:p w14:paraId="4F6078F4" w14:textId="061AC6FA" w:rsidR="00B95F04" w:rsidRPr="00B20A50" w:rsidRDefault="00B95F04" w:rsidP="00B95F04">
      <w:pPr>
        <w:spacing w:line="360" w:lineRule="auto"/>
        <w:rPr>
          <w:rFonts w:ascii="Arial" w:hAnsi="Arial" w:cs="Arial"/>
          <w:sz w:val="22"/>
          <w:szCs w:val="22"/>
        </w:rPr>
      </w:pPr>
      <w:r w:rsidRPr="00B20A50">
        <w:rPr>
          <w:rFonts w:ascii="Arial" w:hAnsi="Arial" w:cs="Arial"/>
          <w:sz w:val="22"/>
          <w:szCs w:val="22"/>
        </w:rPr>
        <w:t xml:space="preserve">Popat, A. and Tarrant, C. (2023) “Exploring adolescents’ perspectives on social media and mental health and well-being – A qualitative literature review,” </w:t>
      </w:r>
      <w:r w:rsidRPr="00B20A50">
        <w:rPr>
          <w:rFonts w:ascii="Arial" w:hAnsi="Arial" w:cs="Arial"/>
          <w:i/>
          <w:iCs/>
          <w:sz w:val="22"/>
          <w:szCs w:val="22"/>
        </w:rPr>
        <w:t>Clinical child psychology and psychiatry</w:t>
      </w:r>
      <w:r w:rsidRPr="00B20A50">
        <w:rPr>
          <w:rFonts w:ascii="Arial" w:hAnsi="Arial" w:cs="Arial"/>
          <w:sz w:val="22"/>
          <w:szCs w:val="22"/>
        </w:rPr>
        <w:t xml:space="preserve">, 28(1), pp. 323–337. Available at: </w:t>
      </w:r>
      <w:hyperlink r:id="rId9" w:history="1">
        <w:r w:rsidR="00B26933" w:rsidRPr="001B1812">
          <w:rPr>
            <w:rStyle w:val="Hyperlink"/>
            <w:rFonts w:ascii="Arial" w:hAnsi="Arial" w:cs="Arial"/>
            <w:sz w:val="22"/>
            <w:szCs w:val="22"/>
          </w:rPr>
          <w:t>https://doi.org/10.1177/13591045221092884</w:t>
        </w:r>
      </w:hyperlink>
      <w:r w:rsidR="00B26933">
        <w:rPr>
          <w:rFonts w:ascii="Arial" w:hAnsi="Arial" w:cs="Arial"/>
          <w:sz w:val="22"/>
          <w:szCs w:val="22"/>
        </w:rPr>
        <w:t xml:space="preserve"> </w:t>
      </w:r>
    </w:p>
    <w:p w14:paraId="5AF5DF5C" w14:textId="77777777" w:rsidR="00EE5F06" w:rsidRPr="00B20A50" w:rsidRDefault="00EE5F06" w:rsidP="00EE5F06">
      <w:pPr>
        <w:spacing w:line="360" w:lineRule="auto"/>
        <w:rPr>
          <w:rFonts w:ascii="Arial" w:hAnsi="Arial" w:cs="Arial"/>
          <w:sz w:val="22"/>
          <w:szCs w:val="22"/>
        </w:rPr>
      </w:pPr>
      <w:r w:rsidRPr="00B20A50">
        <w:rPr>
          <w:rFonts w:ascii="Arial" w:hAnsi="Arial" w:cs="Arial"/>
          <w:sz w:val="22"/>
          <w:szCs w:val="22"/>
        </w:rPr>
        <w:t>Prestera, G</w:t>
      </w:r>
      <w:r w:rsidRPr="004213A3">
        <w:rPr>
          <w:rFonts w:ascii="Arial" w:hAnsi="Arial" w:cs="Arial"/>
          <w:sz w:val="22"/>
          <w:szCs w:val="22"/>
        </w:rPr>
        <w:t>.</w:t>
      </w:r>
      <w:r>
        <w:rPr>
          <w:rFonts w:ascii="Arial" w:hAnsi="Arial" w:cs="Arial"/>
          <w:sz w:val="22"/>
          <w:szCs w:val="22"/>
        </w:rPr>
        <w:t xml:space="preserve">, </w:t>
      </w:r>
      <w:r w:rsidRPr="004213A3">
        <w:rPr>
          <w:rFonts w:ascii="Arial" w:hAnsi="Arial" w:cs="Arial"/>
          <w:sz w:val="22"/>
          <w:szCs w:val="22"/>
        </w:rPr>
        <w:t>Amadori, A</w:t>
      </w:r>
      <w:r>
        <w:rPr>
          <w:rFonts w:ascii="Arial" w:hAnsi="Arial" w:cs="Arial"/>
          <w:sz w:val="22"/>
          <w:szCs w:val="22"/>
        </w:rPr>
        <w:t xml:space="preserve">., </w:t>
      </w:r>
      <w:r w:rsidRPr="004213A3">
        <w:rPr>
          <w:rFonts w:ascii="Arial" w:hAnsi="Arial" w:cs="Arial"/>
          <w:sz w:val="22"/>
          <w:szCs w:val="22"/>
        </w:rPr>
        <w:t>Sangiuliano I</w:t>
      </w:r>
      <w:r>
        <w:rPr>
          <w:rFonts w:ascii="Arial" w:hAnsi="Arial" w:cs="Arial"/>
          <w:sz w:val="22"/>
          <w:szCs w:val="22"/>
        </w:rPr>
        <w:t xml:space="preserve">ntra, F., </w:t>
      </w:r>
      <w:r w:rsidRPr="004213A3">
        <w:rPr>
          <w:rFonts w:ascii="Arial" w:hAnsi="Arial" w:cs="Arial"/>
          <w:sz w:val="22"/>
          <w:szCs w:val="22"/>
        </w:rPr>
        <w:t xml:space="preserve">Taverna, </w:t>
      </w:r>
      <w:r>
        <w:rPr>
          <w:rFonts w:ascii="Arial" w:hAnsi="Arial" w:cs="Arial"/>
          <w:sz w:val="22"/>
          <w:szCs w:val="22"/>
        </w:rPr>
        <w:t>L.,</w:t>
      </w:r>
      <w:r w:rsidRPr="004213A3">
        <w:rPr>
          <w:rFonts w:ascii="Arial" w:hAnsi="Arial" w:cs="Arial"/>
          <w:sz w:val="22"/>
          <w:szCs w:val="22"/>
        </w:rPr>
        <w:t xml:space="preserve"> Basso, </w:t>
      </w:r>
      <w:r>
        <w:rPr>
          <w:rFonts w:ascii="Arial" w:hAnsi="Arial" w:cs="Arial"/>
          <w:sz w:val="22"/>
          <w:szCs w:val="22"/>
        </w:rPr>
        <w:t>D.,</w:t>
      </w:r>
      <w:r w:rsidRPr="004213A3">
        <w:rPr>
          <w:rFonts w:ascii="Arial" w:hAnsi="Arial" w:cs="Arial"/>
          <w:sz w:val="22"/>
          <w:szCs w:val="22"/>
        </w:rPr>
        <w:t xml:space="preserve"> Brighi, A</w:t>
      </w:r>
      <w:r>
        <w:rPr>
          <w:rFonts w:ascii="Arial" w:hAnsi="Arial" w:cs="Arial"/>
          <w:sz w:val="22"/>
          <w:szCs w:val="22"/>
        </w:rPr>
        <w:t>.</w:t>
      </w:r>
      <w:r w:rsidRPr="00DB14D2">
        <w:rPr>
          <w:rFonts w:ascii="Arial" w:hAnsi="Arial" w:cs="Arial"/>
          <w:i/>
          <w:iCs/>
          <w:sz w:val="22"/>
          <w:szCs w:val="22"/>
        </w:rPr>
        <w:t xml:space="preserve"> </w:t>
      </w:r>
      <w:r w:rsidRPr="00B20A50">
        <w:rPr>
          <w:rFonts w:ascii="Arial" w:hAnsi="Arial" w:cs="Arial"/>
          <w:sz w:val="22"/>
          <w:szCs w:val="22"/>
        </w:rPr>
        <w:t xml:space="preserve">(2025) “The impact of social norms and conformity on cyberbullying perpetration among adolescents: an integration of the theory of planned </w:t>
      </w:r>
      <w:proofErr w:type="spellStart"/>
      <w:r w:rsidRPr="00B20A50">
        <w:rPr>
          <w:rFonts w:ascii="Arial" w:hAnsi="Arial" w:cs="Arial"/>
          <w:sz w:val="22"/>
          <w:szCs w:val="22"/>
        </w:rPr>
        <w:t>behavior</w:t>
      </w:r>
      <w:proofErr w:type="spellEnd"/>
      <w:r w:rsidRPr="00B20A50">
        <w:rPr>
          <w:rFonts w:ascii="Arial" w:hAnsi="Arial" w:cs="Arial"/>
          <w:sz w:val="22"/>
          <w:szCs w:val="22"/>
        </w:rPr>
        <w:t xml:space="preserve"> model,” </w:t>
      </w:r>
      <w:r w:rsidRPr="00B20A50">
        <w:rPr>
          <w:rFonts w:ascii="Arial" w:hAnsi="Arial" w:cs="Arial"/>
          <w:i/>
          <w:iCs/>
          <w:sz w:val="22"/>
          <w:szCs w:val="22"/>
        </w:rPr>
        <w:t>Frontiers in psychology</w:t>
      </w:r>
      <w:r w:rsidRPr="00B20A50">
        <w:rPr>
          <w:rFonts w:ascii="Arial" w:hAnsi="Arial" w:cs="Arial"/>
          <w:sz w:val="22"/>
          <w:szCs w:val="22"/>
        </w:rPr>
        <w:t xml:space="preserve">, 16, p. 1492295. Available at: </w:t>
      </w:r>
      <w:hyperlink r:id="rId10" w:history="1">
        <w:r w:rsidRPr="00B20A50">
          <w:rPr>
            <w:rStyle w:val="Hyperlink"/>
            <w:rFonts w:ascii="Arial" w:hAnsi="Arial" w:cs="Arial"/>
            <w:sz w:val="22"/>
            <w:szCs w:val="22"/>
          </w:rPr>
          <w:t>https://doi.org/10.3389/fpsyg.2025.1492295</w:t>
        </w:r>
      </w:hyperlink>
    </w:p>
    <w:p w14:paraId="3C509FF2" w14:textId="77777777" w:rsidR="0046452B" w:rsidRPr="00837D14" w:rsidRDefault="0046452B" w:rsidP="0046452B">
      <w:pPr>
        <w:spacing w:line="360" w:lineRule="auto"/>
        <w:rPr>
          <w:rFonts w:ascii="Arial" w:hAnsi="Arial" w:cs="Arial"/>
          <w:sz w:val="22"/>
          <w:szCs w:val="22"/>
        </w:rPr>
      </w:pPr>
      <w:r w:rsidRPr="00837D14">
        <w:rPr>
          <w:rFonts w:ascii="Arial" w:hAnsi="Arial" w:cs="Arial"/>
          <w:sz w:val="22"/>
          <w:szCs w:val="22"/>
        </w:rPr>
        <w:t>Tuomisto</w:t>
      </w:r>
      <w:r>
        <w:rPr>
          <w:rFonts w:ascii="Arial" w:hAnsi="Arial" w:cs="Arial"/>
          <w:sz w:val="22"/>
          <w:szCs w:val="22"/>
        </w:rPr>
        <w:t>, E.;</w:t>
      </w:r>
      <w:r w:rsidRPr="00837D14">
        <w:rPr>
          <w:rFonts w:ascii="Arial" w:hAnsi="Arial" w:cs="Arial"/>
          <w:sz w:val="22"/>
          <w:szCs w:val="22"/>
        </w:rPr>
        <w:t xml:space="preserve"> </w:t>
      </w:r>
      <w:proofErr w:type="spellStart"/>
      <w:r w:rsidRPr="00837D14">
        <w:rPr>
          <w:rFonts w:ascii="Arial" w:hAnsi="Arial" w:cs="Arial"/>
          <w:sz w:val="22"/>
          <w:szCs w:val="22"/>
        </w:rPr>
        <w:t>Kaltiala</w:t>
      </w:r>
      <w:proofErr w:type="spellEnd"/>
      <w:r>
        <w:rPr>
          <w:rFonts w:ascii="Arial" w:hAnsi="Arial" w:cs="Arial"/>
          <w:sz w:val="22"/>
          <w:szCs w:val="22"/>
        </w:rPr>
        <w:t xml:space="preserve">, </w:t>
      </w:r>
      <w:r w:rsidRPr="00837D14">
        <w:rPr>
          <w:rFonts w:ascii="Arial" w:hAnsi="Arial" w:cs="Arial"/>
          <w:sz w:val="22"/>
          <w:szCs w:val="22"/>
        </w:rPr>
        <w:t>R</w:t>
      </w:r>
      <w:r>
        <w:rPr>
          <w:rFonts w:ascii="Arial" w:hAnsi="Arial" w:cs="Arial"/>
          <w:sz w:val="22"/>
          <w:szCs w:val="22"/>
        </w:rPr>
        <w:t>.;</w:t>
      </w:r>
      <w:r w:rsidRPr="00837D14">
        <w:rPr>
          <w:rFonts w:ascii="Arial" w:hAnsi="Arial" w:cs="Arial"/>
          <w:sz w:val="22"/>
          <w:szCs w:val="22"/>
        </w:rPr>
        <w:t xml:space="preserve"> </w:t>
      </w:r>
      <w:proofErr w:type="spellStart"/>
      <w:r w:rsidRPr="00837D14">
        <w:rPr>
          <w:rFonts w:ascii="Arial" w:hAnsi="Arial" w:cs="Arial"/>
          <w:sz w:val="22"/>
          <w:szCs w:val="22"/>
        </w:rPr>
        <w:t>Frojd</w:t>
      </w:r>
      <w:proofErr w:type="spellEnd"/>
      <w:r>
        <w:rPr>
          <w:rFonts w:ascii="Arial" w:hAnsi="Arial" w:cs="Arial"/>
          <w:sz w:val="22"/>
          <w:szCs w:val="22"/>
        </w:rPr>
        <w:t xml:space="preserve">, S.; </w:t>
      </w:r>
      <w:proofErr w:type="spellStart"/>
      <w:r w:rsidRPr="00837D14">
        <w:rPr>
          <w:rFonts w:ascii="Arial" w:hAnsi="Arial" w:cs="Arial"/>
          <w:sz w:val="22"/>
          <w:szCs w:val="22"/>
        </w:rPr>
        <w:t>Marttunen</w:t>
      </w:r>
      <w:proofErr w:type="spellEnd"/>
      <w:r>
        <w:rPr>
          <w:rFonts w:ascii="Arial" w:hAnsi="Arial" w:cs="Arial"/>
          <w:sz w:val="22"/>
          <w:szCs w:val="22"/>
        </w:rPr>
        <w:t xml:space="preserve">, </w:t>
      </w:r>
      <w:r w:rsidRPr="00837D14">
        <w:rPr>
          <w:rFonts w:ascii="Arial" w:hAnsi="Arial" w:cs="Arial"/>
          <w:sz w:val="22"/>
          <w:szCs w:val="22"/>
        </w:rPr>
        <w:t>M</w:t>
      </w:r>
      <w:r>
        <w:rPr>
          <w:rFonts w:ascii="Arial" w:hAnsi="Arial" w:cs="Arial"/>
          <w:sz w:val="22"/>
          <w:szCs w:val="22"/>
        </w:rPr>
        <w:t>.</w:t>
      </w:r>
      <w:r w:rsidRPr="00837D14">
        <w:rPr>
          <w:rFonts w:ascii="Arial" w:hAnsi="Arial" w:cs="Arial"/>
          <w:sz w:val="22"/>
          <w:szCs w:val="22"/>
        </w:rPr>
        <w:t xml:space="preserve"> (2024) “The Connection between Mental Health Symptoms and Social Media Experiences in Adolescence,” </w:t>
      </w:r>
      <w:proofErr w:type="spellStart"/>
      <w:r w:rsidRPr="00837D14">
        <w:rPr>
          <w:rFonts w:ascii="Arial" w:hAnsi="Arial" w:cs="Arial"/>
          <w:i/>
          <w:iCs/>
          <w:sz w:val="22"/>
          <w:szCs w:val="22"/>
        </w:rPr>
        <w:t>Psychiatria</w:t>
      </w:r>
      <w:proofErr w:type="spellEnd"/>
      <w:r w:rsidRPr="00837D14">
        <w:rPr>
          <w:rFonts w:ascii="Arial" w:hAnsi="Arial" w:cs="Arial"/>
          <w:i/>
          <w:iCs/>
          <w:sz w:val="22"/>
          <w:szCs w:val="22"/>
        </w:rPr>
        <w:t xml:space="preserve"> </w:t>
      </w:r>
      <w:proofErr w:type="spellStart"/>
      <w:r w:rsidRPr="00837D14">
        <w:rPr>
          <w:rFonts w:ascii="Arial" w:hAnsi="Arial" w:cs="Arial"/>
          <w:i/>
          <w:iCs/>
          <w:sz w:val="22"/>
          <w:szCs w:val="22"/>
        </w:rPr>
        <w:t>fennica</w:t>
      </w:r>
      <w:proofErr w:type="spellEnd"/>
      <w:r w:rsidRPr="00837D14">
        <w:rPr>
          <w:rFonts w:ascii="Arial" w:hAnsi="Arial" w:cs="Arial"/>
          <w:i/>
          <w:iCs/>
          <w:sz w:val="22"/>
          <w:szCs w:val="22"/>
        </w:rPr>
        <w:t xml:space="preserve"> (Online)</w:t>
      </w:r>
      <w:r w:rsidRPr="00837D14">
        <w:rPr>
          <w:rFonts w:ascii="Arial" w:hAnsi="Arial" w:cs="Arial"/>
          <w:sz w:val="22"/>
          <w:szCs w:val="22"/>
        </w:rPr>
        <w:t xml:space="preserve">, 55, pp. 296–306. Available at: </w:t>
      </w:r>
      <w:hyperlink r:id="rId11" w:history="1">
        <w:r w:rsidRPr="00837D14">
          <w:rPr>
            <w:rStyle w:val="Hyperlink"/>
            <w:rFonts w:ascii="Arial" w:hAnsi="Arial" w:cs="Arial"/>
            <w:sz w:val="22"/>
            <w:szCs w:val="22"/>
          </w:rPr>
          <w:t>https://doaj.org/article/d7c14b3ba7de4deeb119c93f258b171c</w:t>
        </w:r>
      </w:hyperlink>
      <w:r w:rsidRPr="00837D14">
        <w:rPr>
          <w:rFonts w:ascii="Arial" w:hAnsi="Arial" w:cs="Arial"/>
          <w:sz w:val="22"/>
          <w:szCs w:val="22"/>
        </w:rPr>
        <w:t xml:space="preserve"> (Accessed: 27 July 2026)</w:t>
      </w:r>
    </w:p>
    <w:p w14:paraId="68B7113A" w14:textId="77171135" w:rsidR="00B95F04" w:rsidRPr="00B20A50" w:rsidRDefault="00B95F04" w:rsidP="00B95F04">
      <w:pPr>
        <w:spacing w:line="360" w:lineRule="auto"/>
        <w:rPr>
          <w:rFonts w:ascii="Arial" w:hAnsi="Arial" w:cs="Arial"/>
          <w:sz w:val="22"/>
          <w:szCs w:val="22"/>
        </w:rPr>
      </w:pPr>
      <w:r w:rsidRPr="00B20A50">
        <w:rPr>
          <w:rFonts w:ascii="Arial" w:hAnsi="Arial" w:cs="Arial"/>
          <w:sz w:val="22"/>
          <w:szCs w:val="22"/>
        </w:rPr>
        <w:t xml:space="preserve">Vijayakumar, </w:t>
      </w:r>
      <w:r w:rsidRPr="00787332">
        <w:rPr>
          <w:rFonts w:ascii="Arial" w:hAnsi="Arial" w:cs="Arial"/>
          <w:sz w:val="22"/>
          <w:szCs w:val="22"/>
        </w:rPr>
        <w:t>N.</w:t>
      </w:r>
      <w:r w:rsidR="00301518" w:rsidRPr="00787332">
        <w:rPr>
          <w:rFonts w:ascii="Arial" w:hAnsi="Arial" w:cs="Arial"/>
          <w:sz w:val="22"/>
          <w:szCs w:val="22"/>
        </w:rPr>
        <w:t>; Dashti, S. G</w:t>
      </w:r>
      <w:r w:rsidR="00787332">
        <w:rPr>
          <w:rFonts w:ascii="Arial" w:hAnsi="Arial" w:cs="Arial"/>
          <w:sz w:val="22"/>
          <w:szCs w:val="22"/>
        </w:rPr>
        <w:t>.</w:t>
      </w:r>
      <w:r w:rsidR="00301518" w:rsidRPr="00787332">
        <w:rPr>
          <w:rFonts w:ascii="Arial" w:hAnsi="Arial" w:cs="Arial"/>
          <w:sz w:val="22"/>
          <w:szCs w:val="22"/>
        </w:rPr>
        <w:t xml:space="preserve">; </w:t>
      </w:r>
      <w:proofErr w:type="spellStart"/>
      <w:r w:rsidR="00301518" w:rsidRPr="00787332">
        <w:rPr>
          <w:rFonts w:ascii="Arial" w:hAnsi="Arial" w:cs="Arial"/>
          <w:sz w:val="22"/>
          <w:szCs w:val="22"/>
        </w:rPr>
        <w:t>Canterford</w:t>
      </w:r>
      <w:proofErr w:type="spellEnd"/>
      <w:r w:rsidR="00301518" w:rsidRPr="00787332">
        <w:rPr>
          <w:rFonts w:ascii="Arial" w:hAnsi="Arial" w:cs="Arial"/>
          <w:sz w:val="22"/>
          <w:szCs w:val="22"/>
        </w:rPr>
        <w:t>, L</w:t>
      </w:r>
      <w:r w:rsidR="00787332">
        <w:rPr>
          <w:rFonts w:ascii="Arial" w:hAnsi="Arial" w:cs="Arial"/>
          <w:sz w:val="22"/>
          <w:szCs w:val="22"/>
        </w:rPr>
        <w:t>.</w:t>
      </w:r>
      <w:r w:rsidR="00301518" w:rsidRPr="00787332">
        <w:rPr>
          <w:rFonts w:ascii="Arial" w:hAnsi="Arial" w:cs="Arial"/>
          <w:sz w:val="22"/>
          <w:szCs w:val="22"/>
        </w:rPr>
        <w:t>; Ellul, S</w:t>
      </w:r>
      <w:r w:rsidR="00787332">
        <w:rPr>
          <w:rFonts w:ascii="Arial" w:hAnsi="Arial" w:cs="Arial"/>
          <w:sz w:val="22"/>
          <w:szCs w:val="22"/>
        </w:rPr>
        <w:t>.</w:t>
      </w:r>
      <w:r w:rsidR="00301518" w:rsidRPr="00787332">
        <w:rPr>
          <w:rFonts w:ascii="Arial" w:hAnsi="Arial" w:cs="Arial"/>
          <w:sz w:val="22"/>
          <w:szCs w:val="22"/>
        </w:rPr>
        <w:t xml:space="preserve">; </w:t>
      </w:r>
      <w:proofErr w:type="spellStart"/>
      <w:r w:rsidR="00301518" w:rsidRPr="00787332">
        <w:rPr>
          <w:rFonts w:ascii="Arial" w:hAnsi="Arial" w:cs="Arial"/>
          <w:sz w:val="22"/>
          <w:szCs w:val="22"/>
        </w:rPr>
        <w:t>Parissi</w:t>
      </w:r>
      <w:proofErr w:type="spellEnd"/>
      <w:r w:rsidR="00301518" w:rsidRPr="00787332">
        <w:rPr>
          <w:rFonts w:ascii="Arial" w:hAnsi="Arial" w:cs="Arial"/>
          <w:sz w:val="22"/>
          <w:szCs w:val="22"/>
        </w:rPr>
        <w:t>, Anthony J. A</w:t>
      </w:r>
      <w:r w:rsidR="00787332">
        <w:rPr>
          <w:rFonts w:ascii="Arial" w:hAnsi="Arial" w:cs="Arial"/>
          <w:sz w:val="22"/>
          <w:szCs w:val="22"/>
        </w:rPr>
        <w:t>.</w:t>
      </w:r>
      <w:r w:rsidR="00301518" w:rsidRPr="00787332">
        <w:rPr>
          <w:rFonts w:ascii="Arial" w:hAnsi="Arial" w:cs="Arial"/>
          <w:sz w:val="22"/>
          <w:szCs w:val="22"/>
        </w:rPr>
        <w:t>; Goddings, A</w:t>
      </w:r>
      <w:r w:rsidR="00DB14DE">
        <w:rPr>
          <w:rFonts w:ascii="Arial" w:hAnsi="Arial" w:cs="Arial"/>
          <w:sz w:val="22"/>
          <w:szCs w:val="22"/>
        </w:rPr>
        <w:t>.-L.</w:t>
      </w:r>
      <w:r w:rsidR="00301518" w:rsidRPr="00787332">
        <w:rPr>
          <w:rFonts w:ascii="Arial" w:hAnsi="Arial" w:cs="Arial"/>
          <w:sz w:val="22"/>
          <w:szCs w:val="22"/>
        </w:rPr>
        <w:t>; Viner, R</w:t>
      </w:r>
      <w:r w:rsidR="00DB14DE">
        <w:rPr>
          <w:rFonts w:ascii="Arial" w:hAnsi="Arial" w:cs="Arial"/>
          <w:sz w:val="22"/>
          <w:szCs w:val="22"/>
        </w:rPr>
        <w:t>.</w:t>
      </w:r>
      <w:r w:rsidR="00301518" w:rsidRPr="00787332">
        <w:rPr>
          <w:rFonts w:ascii="Arial" w:hAnsi="Arial" w:cs="Arial"/>
          <w:sz w:val="22"/>
          <w:szCs w:val="22"/>
        </w:rPr>
        <w:t xml:space="preserve"> M.; Moran, P</w:t>
      </w:r>
      <w:r w:rsidR="00DB14DE">
        <w:rPr>
          <w:rFonts w:ascii="Arial" w:hAnsi="Arial" w:cs="Arial"/>
          <w:sz w:val="22"/>
          <w:szCs w:val="22"/>
        </w:rPr>
        <w:t>.</w:t>
      </w:r>
      <w:r w:rsidR="00301518" w:rsidRPr="00787332">
        <w:rPr>
          <w:rFonts w:ascii="Arial" w:hAnsi="Arial" w:cs="Arial"/>
          <w:sz w:val="22"/>
          <w:szCs w:val="22"/>
        </w:rPr>
        <w:t xml:space="preserve">; </w:t>
      </w:r>
      <w:proofErr w:type="spellStart"/>
      <w:r w:rsidR="00301518" w:rsidRPr="00787332">
        <w:rPr>
          <w:rFonts w:ascii="Arial" w:hAnsi="Arial" w:cs="Arial"/>
          <w:sz w:val="22"/>
          <w:szCs w:val="22"/>
        </w:rPr>
        <w:t>Borschmann</w:t>
      </w:r>
      <w:proofErr w:type="spellEnd"/>
      <w:r w:rsidR="00301518" w:rsidRPr="00787332">
        <w:rPr>
          <w:rFonts w:ascii="Arial" w:hAnsi="Arial" w:cs="Arial"/>
          <w:sz w:val="22"/>
          <w:szCs w:val="22"/>
        </w:rPr>
        <w:t>, R</w:t>
      </w:r>
      <w:r w:rsidR="00DB14DE">
        <w:rPr>
          <w:rFonts w:ascii="Arial" w:hAnsi="Arial" w:cs="Arial"/>
          <w:sz w:val="22"/>
          <w:szCs w:val="22"/>
        </w:rPr>
        <w:t>.</w:t>
      </w:r>
      <w:r w:rsidR="00301518" w:rsidRPr="00787332">
        <w:rPr>
          <w:rFonts w:ascii="Arial" w:hAnsi="Arial" w:cs="Arial"/>
          <w:sz w:val="22"/>
          <w:szCs w:val="22"/>
        </w:rPr>
        <w:t>; Mundy, L</w:t>
      </w:r>
      <w:r w:rsidR="00984EC9">
        <w:rPr>
          <w:rFonts w:ascii="Arial" w:hAnsi="Arial" w:cs="Arial"/>
          <w:sz w:val="22"/>
          <w:szCs w:val="22"/>
        </w:rPr>
        <w:t>.</w:t>
      </w:r>
      <w:r w:rsidR="00301518" w:rsidRPr="00787332">
        <w:rPr>
          <w:rFonts w:ascii="Arial" w:hAnsi="Arial" w:cs="Arial"/>
          <w:sz w:val="22"/>
          <w:szCs w:val="22"/>
        </w:rPr>
        <w:t xml:space="preserve"> K.; Robson, E</w:t>
      </w:r>
      <w:r w:rsidR="00984EC9">
        <w:rPr>
          <w:rFonts w:ascii="Arial" w:hAnsi="Arial" w:cs="Arial"/>
          <w:sz w:val="22"/>
          <w:szCs w:val="22"/>
        </w:rPr>
        <w:t>.</w:t>
      </w:r>
      <w:r w:rsidR="00301518" w:rsidRPr="00787332">
        <w:rPr>
          <w:rFonts w:ascii="Arial" w:hAnsi="Arial" w:cs="Arial"/>
          <w:sz w:val="22"/>
          <w:szCs w:val="22"/>
        </w:rPr>
        <w:t xml:space="preserve"> M.; Sawyer, S</w:t>
      </w:r>
      <w:r w:rsidR="00984EC9">
        <w:rPr>
          <w:rFonts w:ascii="Arial" w:hAnsi="Arial" w:cs="Arial"/>
          <w:sz w:val="22"/>
          <w:szCs w:val="22"/>
        </w:rPr>
        <w:t>.</w:t>
      </w:r>
      <w:r w:rsidR="00301518" w:rsidRPr="00787332">
        <w:rPr>
          <w:rFonts w:ascii="Arial" w:hAnsi="Arial" w:cs="Arial"/>
          <w:sz w:val="22"/>
          <w:szCs w:val="22"/>
        </w:rPr>
        <w:t xml:space="preserve"> M</w:t>
      </w:r>
      <w:r w:rsidR="00301518" w:rsidRPr="00301518">
        <w:rPr>
          <w:rFonts w:ascii="Arial" w:hAnsi="Arial" w:cs="Arial"/>
          <w:i/>
          <w:iCs/>
          <w:sz w:val="22"/>
          <w:szCs w:val="22"/>
        </w:rPr>
        <w:t>.</w:t>
      </w:r>
      <w:r w:rsidRPr="00B20A50">
        <w:rPr>
          <w:rFonts w:ascii="Arial" w:hAnsi="Arial" w:cs="Arial"/>
          <w:sz w:val="22"/>
          <w:szCs w:val="22"/>
        </w:rPr>
        <w:t xml:space="preserve"> (2026) “The Effects of Social Media on Adolescent Mental Health: Findings From a Population</w:t>
      </w:r>
      <w:r w:rsidRPr="00B20A50">
        <w:rPr>
          <w:rFonts w:ascii="Cambria Math" w:hAnsi="Cambria Math" w:cs="Cambria Math"/>
          <w:sz w:val="22"/>
          <w:szCs w:val="22"/>
        </w:rPr>
        <w:t>‐</w:t>
      </w:r>
      <w:r w:rsidRPr="00B20A50">
        <w:rPr>
          <w:rFonts w:ascii="Arial" w:hAnsi="Arial" w:cs="Arial"/>
          <w:sz w:val="22"/>
          <w:szCs w:val="22"/>
        </w:rPr>
        <w:t xml:space="preserve">Based Cohort Study in Australia,” </w:t>
      </w:r>
      <w:r w:rsidRPr="00B20A50">
        <w:rPr>
          <w:rFonts w:ascii="Arial" w:hAnsi="Arial" w:cs="Arial"/>
          <w:i/>
          <w:iCs/>
          <w:sz w:val="22"/>
          <w:szCs w:val="22"/>
        </w:rPr>
        <w:t>Medical journal of Australia</w:t>
      </w:r>
      <w:r w:rsidRPr="00B20A50">
        <w:rPr>
          <w:rFonts w:ascii="Arial" w:hAnsi="Arial" w:cs="Arial"/>
          <w:sz w:val="22"/>
          <w:szCs w:val="22"/>
        </w:rPr>
        <w:t xml:space="preserve">, 224(6), pp. e70220-n/a. Available at: </w:t>
      </w:r>
      <w:hyperlink r:id="rId12" w:history="1">
        <w:r w:rsidR="00B26933" w:rsidRPr="001B1812">
          <w:rPr>
            <w:rStyle w:val="Hyperlink"/>
            <w:rFonts w:ascii="Arial" w:hAnsi="Arial" w:cs="Arial"/>
            <w:sz w:val="22"/>
            <w:szCs w:val="22"/>
          </w:rPr>
          <w:t>https://doi.org/10.5694/mja2.70220</w:t>
        </w:r>
      </w:hyperlink>
      <w:r w:rsidR="00B26933">
        <w:rPr>
          <w:rFonts w:ascii="Arial" w:hAnsi="Arial" w:cs="Arial"/>
          <w:sz w:val="22"/>
          <w:szCs w:val="22"/>
        </w:rPr>
        <w:t xml:space="preserve"> </w:t>
      </w:r>
    </w:p>
    <w:p w14:paraId="378B007C" w14:textId="5541EFAC" w:rsidR="00B95F04" w:rsidRDefault="00B95F04" w:rsidP="00B95F04">
      <w:pPr>
        <w:spacing w:line="360" w:lineRule="auto"/>
        <w:rPr>
          <w:rFonts w:ascii="Arial" w:hAnsi="Arial" w:cs="Arial"/>
          <w:sz w:val="22"/>
          <w:szCs w:val="22"/>
        </w:rPr>
      </w:pPr>
      <w:r w:rsidRPr="00B20A50">
        <w:rPr>
          <w:rFonts w:ascii="Arial" w:hAnsi="Arial" w:cs="Arial"/>
          <w:sz w:val="22"/>
          <w:szCs w:val="22"/>
        </w:rPr>
        <w:t>Zhu, X.</w:t>
      </w:r>
      <w:r w:rsidR="002B43E1">
        <w:rPr>
          <w:rFonts w:ascii="Arial" w:hAnsi="Arial" w:cs="Arial"/>
          <w:sz w:val="22"/>
          <w:szCs w:val="22"/>
        </w:rPr>
        <w:t>;</w:t>
      </w:r>
      <w:r w:rsidR="002B43E1" w:rsidRPr="002B43E1">
        <w:rPr>
          <w:rFonts w:ascii="Arial" w:hAnsi="Arial" w:cs="Arial"/>
          <w:i/>
          <w:iCs/>
          <w:sz w:val="22"/>
          <w:szCs w:val="22"/>
        </w:rPr>
        <w:t xml:space="preserve"> </w:t>
      </w:r>
      <w:r w:rsidR="002B43E1" w:rsidRPr="002B43E1">
        <w:rPr>
          <w:rFonts w:ascii="Arial" w:hAnsi="Arial" w:cs="Arial"/>
          <w:sz w:val="22"/>
          <w:szCs w:val="22"/>
        </w:rPr>
        <w:t>Yang, Y</w:t>
      </w:r>
      <w:r w:rsidR="002B43E1">
        <w:rPr>
          <w:rFonts w:ascii="Arial" w:hAnsi="Arial" w:cs="Arial"/>
          <w:sz w:val="22"/>
          <w:szCs w:val="22"/>
        </w:rPr>
        <w:t>.</w:t>
      </w:r>
      <w:r w:rsidR="002B43E1" w:rsidRPr="002B43E1">
        <w:rPr>
          <w:rFonts w:ascii="Arial" w:hAnsi="Arial" w:cs="Arial"/>
          <w:sz w:val="22"/>
          <w:szCs w:val="22"/>
        </w:rPr>
        <w:t>; Wright, H</w:t>
      </w:r>
      <w:r w:rsidR="002B43E1">
        <w:rPr>
          <w:rFonts w:ascii="Arial" w:hAnsi="Arial" w:cs="Arial"/>
          <w:sz w:val="22"/>
          <w:szCs w:val="22"/>
        </w:rPr>
        <w:t>.</w:t>
      </w:r>
      <w:r w:rsidR="002B43E1" w:rsidRPr="002B43E1">
        <w:rPr>
          <w:rFonts w:ascii="Arial" w:hAnsi="Arial" w:cs="Arial"/>
          <w:sz w:val="22"/>
          <w:szCs w:val="22"/>
        </w:rPr>
        <w:t>; Speyer, L</w:t>
      </w:r>
      <w:r w:rsidR="002B43E1">
        <w:rPr>
          <w:rFonts w:ascii="Arial" w:hAnsi="Arial" w:cs="Arial"/>
          <w:sz w:val="22"/>
          <w:szCs w:val="22"/>
        </w:rPr>
        <w:t>.</w:t>
      </w:r>
      <w:r w:rsidR="002B43E1" w:rsidRPr="002B43E1">
        <w:rPr>
          <w:rFonts w:ascii="Arial" w:hAnsi="Arial" w:cs="Arial"/>
          <w:sz w:val="22"/>
          <w:szCs w:val="22"/>
        </w:rPr>
        <w:t xml:space="preserve"> G</w:t>
      </w:r>
      <w:r w:rsidR="002B43E1">
        <w:rPr>
          <w:rFonts w:ascii="Arial" w:hAnsi="Arial" w:cs="Arial"/>
          <w:sz w:val="22"/>
          <w:szCs w:val="22"/>
        </w:rPr>
        <w:t>.</w:t>
      </w:r>
      <w:r w:rsidR="002B43E1" w:rsidRPr="002B43E1">
        <w:rPr>
          <w:rFonts w:ascii="Arial" w:hAnsi="Arial" w:cs="Arial"/>
          <w:sz w:val="22"/>
          <w:szCs w:val="22"/>
        </w:rPr>
        <w:t>; Allitt, M</w:t>
      </w:r>
      <w:r w:rsidR="002B43E1">
        <w:rPr>
          <w:rFonts w:ascii="Arial" w:hAnsi="Arial" w:cs="Arial"/>
          <w:sz w:val="22"/>
          <w:szCs w:val="22"/>
        </w:rPr>
        <w:t>.</w:t>
      </w:r>
      <w:r w:rsidR="002B43E1" w:rsidRPr="002B43E1">
        <w:rPr>
          <w:rFonts w:ascii="Arial" w:hAnsi="Arial" w:cs="Arial"/>
          <w:sz w:val="22"/>
          <w:szCs w:val="22"/>
        </w:rPr>
        <w:t xml:space="preserve">; </w:t>
      </w:r>
      <w:proofErr w:type="spellStart"/>
      <w:r w:rsidR="002B43E1" w:rsidRPr="002B43E1">
        <w:rPr>
          <w:rFonts w:ascii="Arial" w:hAnsi="Arial" w:cs="Arial"/>
          <w:sz w:val="22"/>
          <w:szCs w:val="22"/>
        </w:rPr>
        <w:t>Obsuth</w:t>
      </w:r>
      <w:proofErr w:type="spellEnd"/>
      <w:r w:rsidR="002B43E1" w:rsidRPr="002B43E1">
        <w:rPr>
          <w:rFonts w:ascii="Arial" w:hAnsi="Arial" w:cs="Arial"/>
          <w:sz w:val="22"/>
          <w:szCs w:val="22"/>
        </w:rPr>
        <w:t>, I</w:t>
      </w:r>
      <w:r w:rsidR="002B43E1">
        <w:rPr>
          <w:rFonts w:ascii="Arial" w:hAnsi="Arial" w:cs="Arial"/>
          <w:sz w:val="22"/>
          <w:szCs w:val="22"/>
        </w:rPr>
        <w:t>.</w:t>
      </w:r>
      <w:r w:rsidR="002B43E1" w:rsidRPr="002B43E1">
        <w:rPr>
          <w:rFonts w:ascii="Arial" w:hAnsi="Arial" w:cs="Arial"/>
          <w:sz w:val="22"/>
          <w:szCs w:val="22"/>
        </w:rPr>
        <w:t>; Errington, P</w:t>
      </w:r>
      <w:r w:rsidR="002B43E1">
        <w:rPr>
          <w:rFonts w:ascii="Arial" w:hAnsi="Arial" w:cs="Arial"/>
          <w:sz w:val="22"/>
          <w:szCs w:val="22"/>
        </w:rPr>
        <w:t>.</w:t>
      </w:r>
      <w:r w:rsidR="002B43E1" w:rsidRPr="002B43E1">
        <w:rPr>
          <w:rFonts w:ascii="Arial" w:hAnsi="Arial" w:cs="Arial"/>
          <w:sz w:val="22"/>
          <w:szCs w:val="22"/>
        </w:rPr>
        <w:t>; Murray, A</w:t>
      </w:r>
      <w:r w:rsidR="002B43E1">
        <w:rPr>
          <w:rFonts w:ascii="Arial" w:hAnsi="Arial" w:cs="Arial"/>
          <w:sz w:val="22"/>
          <w:szCs w:val="22"/>
        </w:rPr>
        <w:t>.</w:t>
      </w:r>
      <w:r w:rsidR="002B43E1" w:rsidRPr="002B43E1">
        <w:rPr>
          <w:rFonts w:ascii="Arial" w:hAnsi="Arial" w:cs="Arial"/>
          <w:sz w:val="22"/>
          <w:szCs w:val="22"/>
        </w:rPr>
        <w:t xml:space="preserve"> L</w:t>
      </w:r>
      <w:r w:rsidR="002B43E1">
        <w:rPr>
          <w:rFonts w:ascii="Arial" w:hAnsi="Arial" w:cs="Arial"/>
          <w:sz w:val="22"/>
          <w:szCs w:val="22"/>
        </w:rPr>
        <w:t>.</w:t>
      </w:r>
      <w:r w:rsidR="002B43E1" w:rsidRPr="002B43E1">
        <w:rPr>
          <w:rFonts w:ascii="Arial" w:hAnsi="Arial" w:cs="Arial"/>
          <w:i/>
          <w:iCs/>
          <w:sz w:val="22"/>
          <w:szCs w:val="22"/>
        </w:rPr>
        <w:t xml:space="preserve"> </w:t>
      </w:r>
      <w:r w:rsidRPr="00B20A50">
        <w:rPr>
          <w:rFonts w:ascii="Arial" w:hAnsi="Arial" w:cs="Arial"/>
          <w:sz w:val="22"/>
          <w:szCs w:val="22"/>
        </w:rPr>
        <w:t xml:space="preserve">(2026) “The association between social media use and mental health symptoms in middle </w:t>
      </w:r>
      <w:r w:rsidRPr="00B20A50">
        <w:rPr>
          <w:rFonts w:ascii="Arial" w:hAnsi="Arial" w:cs="Arial"/>
          <w:sz w:val="22"/>
          <w:szCs w:val="22"/>
        </w:rPr>
        <w:lastRenderedPageBreak/>
        <w:t xml:space="preserve">adolescence: A counterfactual analysis,” </w:t>
      </w:r>
      <w:r w:rsidRPr="00B20A50">
        <w:rPr>
          <w:rFonts w:ascii="Arial" w:hAnsi="Arial" w:cs="Arial"/>
          <w:i/>
          <w:iCs/>
          <w:sz w:val="22"/>
          <w:szCs w:val="22"/>
        </w:rPr>
        <w:t>SSM - mental health</w:t>
      </w:r>
      <w:r w:rsidRPr="00B20A50">
        <w:rPr>
          <w:rFonts w:ascii="Arial" w:hAnsi="Arial" w:cs="Arial"/>
          <w:sz w:val="22"/>
          <w:szCs w:val="22"/>
        </w:rPr>
        <w:t xml:space="preserve">, 9. Available at: </w:t>
      </w:r>
      <w:hyperlink r:id="rId13" w:history="1">
        <w:r w:rsidR="00B26933" w:rsidRPr="001B1812">
          <w:rPr>
            <w:rStyle w:val="Hyperlink"/>
            <w:rFonts w:ascii="Arial" w:hAnsi="Arial" w:cs="Arial"/>
            <w:sz w:val="22"/>
            <w:szCs w:val="22"/>
          </w:rPr>
          <w:t>https://doi.org/10.1016/j.ssmmh.2025.100582</w:t>
        </w:r>
      </w:hyperlink>
      <w:r w:rsidR="00B26933">
        <w:rPr>
          <w:rFonts w:ascii="Arial" w:hAnsi="Arial" w:cs="Arial"/>
          <w:sz w:val="22"/>
          <w:szCs w:val="22"/>
        </w:rPr>
        <w:t xml:space="preserve"> </w:t>
      </w:r>
    </w:p>
    <w:p w14:paraId="7DF8FBCE" w14:textId="77777777" w:rsidR="008E0169" w:rsidRPr="0072322A" w:rsidRDefault="008E0169" w:rsidP="0072322A">
      <w:pPr>
        <w:spacing w:line="360" w:lineRule="auto"/>
        <w:rPr>
          <w:rFonts w:ascii="Arial" w:hAnsi="Arial" w:cs="Arial"/>
          <w:sz w:val="22"/>
          <w:szCs w:val="22"/>
        </w:rPr>
      </w:pPr>
    </w:p>
    <w:sectPr w:rsidR="008E0169" w:rsidRPr="0072322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CD55A" w14:textId="77777777" w:rsidR="00370B11" w:rsidRDefault="00370B11" w:rsidP="00EF4BA8">
      <w:pPr>
        <w:spacing w:after="0" w:line="240" w:lineRule="auto"/>
      </w:pPr>
      <w:r>
        <w:separator/>
      </w:r>
    </w:p>
  </w:endnote>
  <w:endnote w:type="continuationSeparator" w:id="0">
    <w:p w14:paraId="5F3AAF15" w14:textId="77777777" w:rsidR="00370B11" w:rsidRDefault="00370B11" w:rsidP="00EF4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FUI-Regular">
    <w:altName w:val="Cambria"/>
    <w:charset w:val="00"/>
    <w:family w:val="roman"/>
    <w:pitch w:val="default"/>
  </w:font>
  <w:font w:name=".SF UI">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1157779"/>
      <w:docPartObj>
        <w:docPartGallery w:val="Page Numbers (Bottom of Page)"/>
        <w:docPartUnique/>
      </w:docPartObj>
    </w:sdtPr>
    <w:sdtEndPr>
      <w:rPr>
        <w:noProof/>
      </w:rPr>
    </w:sdtEndPr>
    <w:sdtContent>
      <w:p w14:paraId="180EF5FE" w14:textId="41A42EF8" w:rsidR="00EF4BA8" w:rsidRDefault="00EF4B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877A3" w14:textId="77777777" w:rsidR="00EF4BA8" w:rsidRDefault="00EF4B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6787A" w14:textId="77777777" w:rsidR="00370B11" w:rsidRDefault="00370B11" w:rsidP="00EF4BA8">
      <w:pPr>
        <w:spacing w:after="0" w:line="240" w:lineRule="auto"/>
      </w:pPr>
      <w:r>
        <w:separator/>
      </w:r>
    </w:p>
  </w:footnote>
  <w:footnote w:type="continuationSeparator" w:id="0">
    <w:p w14:paraId="3055FDA6" w14:textId="77777777" w:rsidR="00370B11" w:rsidRDefault="00370B11" w:rsidP="00EF4B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B66"/>
    <w:rsid w:val="00001016"/>
    <w:rsid w:val="00011DE0"/>
    <w:rsid w:val="00014555"/>
    <w:rsid w:val="00022E3E"/>
    <w:rsid w:val="000246F8"/>
    <w:rsid w:val="00026741"/>
    <w:rsid w:val="00027DA6"/>
    <w:rsid w:val="000310AC"/>
    <w:rsid w:val="00032E28"/>
    <w:rsid w:val="0003605D"/>
    <w:rsid w:val="00040671"/>
    <w:rsid w:val="00042106"/>
    <w:rsid w:val="0004364B"/>
    <w:rsid w:val="00050896"/>
    <w:rsid w:val="000554E1"/>
    <w:rsid w:val="000742AF"/>
    <w:rsid w:val="000770F6"/>
    <w:rsid w:val="00077A6B"/>
    <w:rsid w:val="00077B54"/>
    <w:rsid w:val="00095EEC"/>
    <w:rsid w:val="000B3611"/>
    <w:rsid w:val="000B5829"/>
    <w:rsid w:val="000C2212"/>
    <w:rsid w:val="000D336A"/>
    <w:rsid w:val="000E250D"/>
    <w:rsid w:val="000E7E93"/>
    <w:rsid w:val="000F0E5C"/>
    <w:rsid w:val="000F73F2"/>
    <w:rsid w:val="00100291"/>
    <w:rsid w:val="00112303"/>
    <w:rsid w:val="00117407"/>
    <w:rsid w:val="00143C6F"/>
    <w:rsid w:val="00144BF9"/>
    <w:rsid w:val="001562D4"/>
    <w:rsid w:val="001644B5"/>
    <w:rsid w:val="00173CD3"/>
    <w:rsid w:val="00176C8F"/>
    <w:rsid w:val="00184585"/>
    <w:rsid w:val="00197CAB"/>
    <w:rsid w:val="001A5221"/>
    <w:rsid w:val="001B3529"/>
    <w:rsid w:val="001B5F0E"/>
    <w:rsid w:val="001C26E0"/>
    <w:rsid w:val="001C3383"/>
    <w:rsid w:val="001D4D8F"/>
    <w:rsid w:val="001D52DF"/>
    <w:rsid w:val="001E29C5"/>
    <w:rsid w:val="001F3A79"/>
    <w:rsid w:val="00200846"/>
    <w:rsid w:val="00207255"/>
    <w:rsid w:val="002074A0"/>
    <w:rsid w:val="00210289"/>
    <w:rsid w:val="0021232E"/>
    <w:rsid w:val="00212486"/>
    <w:rsid w:val="00212FAA"/>
    <w:rsid w:val="00227306"/>
    <w:rsid w:val="00235125"/>
    <w:rsid w:val="0023521D"/>
    <w:rsid w:val="002400DA"/>
    <w:rsid w:val="00241ACD"/>
    <w:rsid w:val="00242AB7"/>
    <w:rsid w:val="0025711F"/>
    <w:rsid w:val="0027001F"/>
    <w:rsid w:val="002751C5"/>
    <w:rsid w:val="002845E3"/>
    <w:rsid w:val="00291A4F"/>
    <w:rsid w:val="002B339D"/>
    <w:rsid w:val="002B43E1"/>
    <w:rsid w:val="002C4284"/>
    <w:rsid w:val="002D1508"/>
    <w:rsid w:val="002D7925"/>
    <w:rsid w:val="002E1D3D"/>
    <w:rsid w:val="002E4211"/>
    <w:rsid w:val="003013F2"/>
    <w:rsid w:val="00301518"/>
    <w:rsid w:val="003157F0"/>
    <w:rsid w:val="003202D1"/>
    <w:rsid w:val="00323948"/>
    <w:rsid w:val="00335371"/>
    <w:rsid w:val="003369C3"/>
    <w:rsid w:val="00336B90"/>
    <w:rsid w:val="00346594"/>
    <w:rsid w:val="00346F27"/>
    <w:rsid w:val="003477E7"/>
    <w:rsid w:val="00354EA9"/>
    <w:rsid w:val="00370B11"/>
    <w:rsid w:val="00383ED6"/>
    <w:rsid w:val="003852D9"/>
    <w:rsid w:val="003B1DB5"/>
    <w:rsid w:val="003C0E6C"/>
    <w:rsid w:val="003D472E"/>
    <w:rsid w:val="003D79A2"/>
    <w:rsid w:val="003E017C"/>
    <w:rsid w:val="00402AC1"/>
    <w:rsid w:val="004071E0"/>
    <w:rsid w:val="004213A3"/>
    <w:rsid w:val="00421759"/>
    <w:rsid w:val="004416CA"/>
    <w:rsid w:val="004429A7"/>
    <w:rsid w:val="00442EF4"/>
    <w:rsid w:val="004525EC"/>
    <w:rsid w:val="00461A99"/>
    <w:rsid w:val="0046452B"/>
    <w:rsid w:val="0047444B"/>
    <w:rsid w:val="00497C35"/>
    <w:rsid w:val="004B398D"/>
    <w:rsid w:val="004C1106"/>
    <w:rsid w:val="004C754E"/>
    <w:rsid w:val="004D56DE"/>
    <w:rsid w:val="004E3AF8"/>
    <w:rsid w:val="004F29E6"/>
    <w:rsid w:val="005001F9"/>
    <w:rsid w:val="005027FB"/>
    <w:rsid w:val="00511EB5"/>
    <w:rsid w:val="0051708A"/>
    <w:rsid w:val="00517938"/>
    <w:rsid w:val="00523BB6"/>
    <w:rsid w:val="00536470"/>
    <w:rsid w:val="00544D3A"/>
    <w:rsid w:val="00550268"/>
    <w:rsid w:val="00555015"/>
    <w:rsid w:val="00556A2A"/>
    <w:rsid w:val="005615E5"/>
    <w:rsid w:val="00574BC4"/>
    <w:rsid w:val="00574E7E"/>
    <w:rsid w:val="005962D9"/>
    <w:rsid w:val="005A192D"/>
    <w:rsid w:val="005A23A2"/>
    <w:rsid w:val="005A7F87"/>
    <w:rsid w:val="00607992"/>
    <w:rsid w:val="00626334"/>
    <w:rsid w:val="006324F9"/>
    <w:rsid w:val="006347DB"/>
    <w:rsid w:val="0063660F"/>
    <w:rsid w:val="00661918"/>
    <w:rsid w:val="0067355C"/>
    <w:rsid w:val="006742A4"/>
    <w:rsid w:val="00691555"/>
    <w:rsid w:val="00696482"/>
    <w:rsid w:val="006A1105"/>
    <w:rsid w:val="006A62F5"/>
    <w:rsid w:val="006B2583"/>
    <w:rsid w:val="006B7F94"/>
    <w:rsid w:val="006C627D"/>
    <w:rsid w:val="006D352E"/>
    <w:rsid w:val="006E2D0F"/>
    <w:rsid w:val="006E6C28"/>
    <w:rsid w:val="007014E4"/>
    <w:rsid w:val="00720AD3"/>
    <w:rsid w:val="0072322A"/>
    <w:rsid w:val="00757143"/>
    <w:rsid w:val="007768D1"/>
    <w:rsid w:val="00776D57"/>
    <w:rsid w:val="007853FA"/>
    <w:rsid w:val="00787332"/>
    <w:rsid w:val="007914AE"/>
    <w:rsid w:val="0079349B"/>
    <w:rsid w:val="00795A81"/>
    <w:rsid w:val="007B516D"/>
    <w:rsid w:val="007F69B3"/>
    <w:rsid w:val="007F6A45"/>
    <w:rsid w:val="008029AC"/>
    <w:rsid w:val="00813DF1"/>
    <w:rsid w:val="00817C89"/>
    <w:rsid w:val="00821917"/>
    <w:rsid w:val="00824785"/>
    <w:rsid w:val="00825CFD"/>
    <w:rsid w:val="008359AD"/>
    <w:rsid w:val="008405A4"/>
    <w:rsid w:val="00853B7A"/>
    <w:rsid w:val="008629F9"/>
    <w:rsid w:val="00863EAD"/>
    <w:rsid w:val="008839E5"/>
    <w:rsid w:val="0089551B"/>
    <w:rsid w:val="00896042"/>
    <w:rsid w:val="008A1A61"/>
    <w:rsid w:val="008A302E"/>
    <w:rsid w:val="008A5BB7"/>
    <w:rsid w:val="008D4196"/>
    <w:rsid w:val="008E0169"/>
    <w:rsid w:val="008E46BA"/>
    <w:rsid w:val="008F1AD4"/>
    <w:rsid w:val="008F1EFC"/>
    <w:rsid w:val="008F52F0"/>
    <w:rsid w:val="00904719"/>
    <w:rsid w:val="0090731C"/>
    <w:rsid w:val="00932F5C"/>
    <w:rsid w:val="00943352"/>
    <w:rsid w:val="009637A1"/>
    <w:rsid w:val="00972326"/>
    <w:rsid w:val="00984EC9"/>
    <w:rsid w:val="009937B6"/>
    <w:rsid w:val="009A4ED4"/>
    <w:rsid w:val="009B270E"/>
    <w:rsid w:val="009B45BE"/>
    <w:rsid w:val="009C244D"/>
    <w:rsid w:val="009D1F08"/>
    <w:rsid w:val="009F0770"/>
    <w:rsid w:val="00A138E3"/>
    <w:rsid w:val="00A33356"/>
    <w:rsid w:val="00A378C1"/>
    <w:rsid w:val="00A46B2C"/>
    <w:rsid w:val="00A60442"/>
    <w:rsid w:val="00A61829"/>
    <w:rsid w:val="00A61EB4"/>
    <w:rsid w:val="00A63434"/>
    <w:rsid w:val="00A73294"/>
    <w:rsid w:val="00A76D98"/>
    <w:rsid w:val="00A7716A"/>
    <w:rsid w:val="00A841B3"/>
    <w:rsid w:val="00A904BE"/>
    <w:rsid w:val="00AA099F"/>
    <w:rsid w:val="00AA4A7C"/>
    <w:rsid w:val="00AA50C8"/>
    <w:rsid w:val="00AB6B24"/>
    <w:rsid w:val="00AC4CA5"/>
    <w:rsid w:val="00AD5E80"/>
    <w:rsid w:val="00B1482E"/>
    <w:rsid w:val="00B26933"/>
    <w:rsid w:val="00B303F8"/>
    <w:rsid w:val="00B426BC"/>
    <w:rsid w:val="00B443F8"/>
    <w:rsid w:val="00B67DB7"/>
    <w:rsid w:val="00B76B66"/>
    <w:rsid w:val="00B7767E"/>
    <w:rsid w:val="00B83490"/>
    <w:rsid w:val="00B95F04"/>
    <w:rsid w:val="00B9753F"/>
    <w:rsid w:val="00BA07AF"/>
    <w:rsid w:val="00BC50AB"/>
    <w:rsid w:val="00BC6291"/>
    <w:rsid w:val="00BD4DAC"/>
    <w:rsid w:val="00BE4626"/>
    <w:rsid w:val="00BF3BBA"/>
    <w:rsid w:val="00C07D70"/>
    <w:rsid w:val="00C11A0B"/>
    <w:rsid w:val="00C144FF"/>
    <w:rsid w:val="00C3181B"/>
    <w:rsid w:val="00C5194F"/>
    <w:rsid w:val="00C61F46"/>
    <w:rsid w:val="00C83EFB"/>
    <w:rsid w:val="00C86FD3"/>
    <w:rsid w:val="00C9767B"/>
    <w:rsid w:val="00CB37A0"/>
    <w:rsid w:val="00CB3FF0"/>
    <w:rsid w:val="00CB42E2"/>
    <w:rsid w:val="00CB6942"/>
    <w:rsid w:val="00CD5152"/>
    <w:rsid w:val="00CE14F4"/>
    <w:rsid w:val="00D07BEC"/>
    <w:rsid w:val="00D200A6"/>
    <w:rsid w:val="00D2170A"/>
    <w:rsid w:val="00D22DF7"/>
    <w:rsid w:val="00D25F8D"/>
    <w:rsid w:val="00D77E4A"/>
    <w:rsid w:val="00D849C8"/>
    <w:rsid w:val="00DA3AF2"/>
    <w:rsid w:val="00DB14D2"/>
    <w:rsid w:val="00DB14DE"/>
    <w:rsid w:val="00DB7BC7"/>
    <w:rsid w:val="00DE3A06"/>
    <w:rsid w:val="00DF0A9E"/>
    <w:rsid w:val="00E0145F"/>
    <w:rsid w:val="00E20EF7"/>
    <w:rsid w:val="00E30501"/>
    <w:rsid w:val="00E3067D"/>
    <w:rsid w:val="00E40E80"/>
    <w:rsid w:val="00E45F1E"/>
    <w:rsid w:val="00E6592C"/>
    <w:rsid w:val="00E717EF"/>
    <w:rsid w:val="00E745F4"/>
    <w:rsid w:val="00E91755"/>
    <w:rsid w:val="00E95E69"/>
    <w:rsid w:val="00EA4017"/>
    <w:rsid w:val="00EB47BC"/>
    <w:rsid w:val="00EB7B5C"/>
    <w:rsid w:val="00ED66DC"/>
    <w:rsid w:val="00EE5EBD"/>
    <w:rsid w:val="00EE5F06"/>
    <w:rsid w:val="00EF3EBE"/>
    <w:rsid w:val="00EF4BA8"/>
    <w:rsid w:val="00EF7B49"/>
    <w:rsid w:val="00F036EB"/>
    <w:rsid w:val="00F100F4"/>
    <w:rsid w:val="00F46078"/>
    <w:rsid w:val="00F5796C"/>
    <w:rsid w:val="00F60BC2"/>
    <w:rsid w:val="00F6716B"/>
    <w:rsid w:val="00F7460F"/>
    <w:rsid w:val="00FA2A9A"/>
    <w:rsid w:val="00FA42B6"/>
    <w:rsid w:val="00FC1B79"/>
    <w:rsid w:val="00FD040D"/>
    <w:rsid w:val="00FD2AD3"/>
    <w:rsid w:val="00FE6893"/>
    <w:rsid w:val="00FF0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DD05A"/>
  <w15:chartTrackingRefBased/>
  <w15:docId w15:val="{625075AA-B570-486B-AFCF-9ED1C58A5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6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6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6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6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6B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B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B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B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6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6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6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6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6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6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6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6B66"/>
    <w:rPr>
      <w:rFonts w:eastAsiaTheme="majorEastAsia" w:cstheme="majorBidi"/>
      <w:color w:val="272727" w:themeColor="text1" w:themeTint="D8"/>
    </w:rPr>
  </w:style>
  <w:style w:type="paragraph" w:styleId="Title">
    <w:name w:val="Title"/>
    <w:basedOn w:val="Normal"/>
    <w:next w:val="Normal"/>
    <w:link w:val="TitleChar"/>
    <w:uiPriority w:val="10"/>
    <w:qFormat/>
    <w:rsid w:val="00B76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6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B66"/>
    <w:pPr>
      <w:spacing w:before="160"/>
      <w:jc w:val="center"/>
    </w:pPr>
    <w:rPr>
      <w:i/>
      <w:iCs/>
      <w:color w:val="404040" w:themeColor="text1" w:themeTint="BF"/>
    </w:rPr>
  </w:style>
  <w:style w:type="character" w:customStyle="1" w:styleId="QuoteChar">
    <w:name w:val="Quote Char"/>
    <w:basedOn w:val="DefaultParagraphFont"/>
    <w:link w:val="Quote"/>
    <w:uiPriority w:val="29"/>
    <w:rsid w:val="00B76B66"/>
    <w:rPr>
      <w:i/>
      <w:iCs/>
      <w:color w:val="404040" w:themeColor="text1" w:themeTint="BF"/>
    </w:rPr>
  </w:style>
  <w:style w:type="paragraph" w:styleId="ListParagraph">
    <w:name w:val="List Paragraph"/>
    <w:basedOn w:val="Normal"/>
    <w:uiPriority w:val="34"/>
    <w:qFormat/>
    <w:rsid w:val="00B76B66"/>
    <w:pPr>
      <w:ind w:left="720"/>
      <w:contextualSpacing/>
    </w:pPr>
  </w:style>
  <w:style w:type="character" w:styleId="IntenseEmphasis">
    <w:name w:val="Intense Emphasis"/>
    <w:basedOn w:val="DefaultParagraphFont"/>
    <w:uiPriority w:val="21"/>
    <w:qFormat/>
    <w:rsid w:val="00B76B66"/>
    <w:rPr>
      <w:i/>
      <w:iCs/>
      <w:color w:val="0F4761" w:themeColor="accent1" w:themeShade="BF"/>
    </w:rPr>
  </w:style>
  <w:style w:type="paragraph" w:styleId="IntenseQuote">
    <w:name w:val="Intense Quote"/>
    <w:basedOn w:val="Normal"/>
    <w:next w:val="Normal"/>
    <w:link w:val="IntenseQuoteChar"/>
    <w:uiPriority w:val="30"/>
    <w:qFormat/>
    <w:rsid w:val="00B76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6B66"/>
    <w:rPr>
      <w:i/>
      <w:iCs/>
      <w:color w:val="0F4761" w:themeColor="accent1" w:themeShade="BF"/>
    </w:rPr>
  </w:style>
  <w:style w:type="character" w:styleId="IntenseReference">
    <w:name w:val="Intense Reference"/>
    <w:basedOn w:val="DefaultParagraphFont"/>
    <w:uiPriority w:val="32"/>
    <w:qFormat/>
    <w:rsid w:val="00B76B66"/>
    <w:rPr>
      <w:b/>
      <w:bCs/>
      <w:smallCaps/>
      <w:color w:val="0F4761" w:themeColor="accent1" w:themeShade="BF"/>
      <w:spacing w:val="5"/>
    </w:rPr>
  </w:style>
  <w:style w:type="character" w:customStyle="1" w:styleId="s1">
    <w:name w:val="s1"/>
    <w:basedOn w:val="DefaultParagraphFont"/>
    <w:rsid w:val="00421759"/>
    <w:rPr>
      <w:rFonts w:ascii=".SFUI-Regular" w:hAnsi=".SFUI-Regular" w:hint="default"/>
      <w:b w:val="0"/>
      <w:bCs w:val="0"/>
      <w:i w:val="0"/>
      <w:iCs w:val="0"/>
      <w:sz w:val="24"/>
      <w:szCs w:val="24"/>
    </w:rPr>
  </w:style>
  <w:style w:type="paragraph" w:customStyle="1" w:styleId="p1">
    <w:name w:val="p1"/>
    <w:basedOn w:val="Normal"/>
    <w:rsid w:val="00001016"/>
    <w:pPr>
      <w:spacing w:after="240" w:line="300" w:lineRule="atLeast"/>
    </w:pPr>
    <w:rPr>
      <w:rFonts w:ascii=".SF UI" w:eastAsiaTheme="minorEastAsia" w:hAnsi=".SF UI" w:cs="Times New Roman"/>
      <w:color w:val="000000"/>
      <w:kern w:val="0"/>
      <w:lang w:eastAsia="en-GB"/>
      <w14:ligatures w14:val="none"/>
    </w:rPr>
  </w:style>
  <w:style w:type="character" w:styleId="Hyperlink">
    <w:name w:val="Hyperlink"/>
    <w:basedOn w:val="DefaultParagraphFont"/>
    <w:uiPriority w:val="99"/>
    <w:unhideWhenUsed/>
    <w:rsid w:val="00B95F04"/>
    <w:rPr>
      <w:color w:val="467886" w:themeColor="hyperlink"/>
      <w:u w:val="single"/>
    </w:rPr>
  </w:style>
  <w:style w:type="character" w:styleId="UnresolvedMention">
    <w:name w:val="Unresolved Mention"/>
    <w:basedOn w:val="DefaultParagraphFont"/>
    <w:uiPriority w:val="99"/>
    <w:semiHidden/>
    <w:unhideWhenUsed/>
    <w:rsid w:val="00B26933"/>
    <w:rPr>
      <w:color w:val="605E5C"/>
      <w:shd w:val="clear" w:color="auto" w:fill="E1DFDD"/>
    </w:rPr>
  </w:style>
  <w:style w:type="paragraph" w:styleId="Header">
    <w:name w:val="header"/>
    <w:basedOn w:val="Normal"/>
    <w:link w:val="HeaderChar"/>
    <w:uiPriority w:val="99"/>
    <w:unhideWhenUsed/>
    <w:rsid w:val="00EF4B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BA8"/>
  </w:style>
  <w:style w:type="paragraph" w:styleId="Footer">
    <w:name w:val="footer"/>
    <w:basedOn w:val="Normal"/>
    <w:link w:val="FooterChar"/>
    <w:uiPriority w:val="99"/>
    <w:unhideWhenUsed/>
    <w:rsid w:val="00EF4B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B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64626" TargetMode="External"/><Relationship Id="rId13" Type="http://schemas.openxmlformats.org/officeDocument/2006/relationships/hyperlink" Target="https://doi.org/10.1016/j.ssmmh.2025.100582" TargetMode="External"/><Relationship Id="rId3" Type="http://schemas.openxmlformats.org/officeDocument/2006/relationships/webSettings" Target="webSettings.xml"/><Relationship Id="rId7" Type="http://schemas.openxmlformats.org/officeDocument/2006/relationships/hyperlink" Target="https://doi.org/10.1007/978-3-031-69362-5" TargetMode="External"/><Relationship Id="rId12" Type="http://schemas.openxmlformats.org/officeDocument/2006/relationships/hyperlink" Target="https://doi.org/10.5694/mja2.7022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3389/ijph.2025.1608425" TargetMode="External"/><Relationship Id="rId11" Type="http://schemas.openxmlformats.org/officeDocument/2006/relationships/hyperlink" Target="https://doaj.org/article/d7c14b3ba7de4deeb119c93f258b171c"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3389/fpsyg.2025.1492295" TargetMode="External"/><Relationship Id="rId4" Type="http://schemas.openxmlformats.org/officeDocument/2006/relationships/footnotes" Target="footnotes.xml"/><Relationship Id="rId9" Type="http://schemas.openxmlformats.org/officeDocument/2006/relationships/hyperlink" Target="https://doi.org/10.1177/1359104522109288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210</TotalTime>
  <Pages>7</Pages>
  <Words>2008</Words>
  <Characters>12213</Characters>
  <Application>Microsoft Office Word</Application>
  <DocSecurity>0</DocSecurity>
  <Lines>190</Lines>
  <Paragraphs>22</Paragraphs>
  <ScaleCrop>false</ScaleCrop>
  <Company/>
  <LinksUpToDate>false</LinksUpToDate>
  <CharactersWithSpaces>14199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Matytsyna (2507682)</dc:creator>
  <cp:keywords/>
  <dc:description/>
  <cp:lastModifiedBy>Yuliia Matytsyna</cp:lastModifiedBy>
  <cp:revision>293</cp:revision>
  <dcterms:created xsi:type="dcterms:W3CDTF">2026-07-27T22:36:00Z</dcterms:created>
  <dcterms:modified xsi:type="dcterms:W3CDTF">2026-07-28T02:27:00Z</dcterms:modified>
</cp:coreProperties>
</file>