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BA3F64" w14:textId="6FB4D85C" w:rsidR="00E47B78" w:rsidRDefault="00E47B78" w:rsidP="00E47B78">
      <w:pPr>
        <w:pStyle w:val="Heading1"/>
        <w:spacing w:line="720" w:lineRule="auto"/>
        <w:jc w:val="center"/>
      </w:pPr>
      <w:r>
        <w:t>Title: GP partnership module strategic report</w:t>
      </w:r>
    </w:p>
    <w:p w14:paraId="5D11940C" w14:textId="07DD2634" w:rsidR="00E47B78" w:rsidRDefault="00E47B78" w:rsidP="00E47B78">
      <w:pPr>
        <w:pStyle w:val="Heading1"/>
        <w:spacing w:line="720" w:lineRule="auto"/>
        <w:jc w:val="center"/>
      </w:pPr>
      <w:r>
        <w:t xml:space="preserve">Author: Ahmed Mohamed </w:t>
      </w:r>
      <w:proofErr w:type="spellStart"/>
      <w:r>
        <w:t>Mohamed</w:t>
      </w:r>
      <w:proofErr w:type="spellEnd"/>
      <w:r>
        <w:t xml:space="preserve"> Metwaly</w:t>
      </w:r>
    </w:p>
    <w:p w14:paraId="7985565D" w14:textId="77777777" w:rsidR="00E47B78" w:rsidRDefault="00E47B78" w:rsidP="00E47B78">
      <w:pPr>
        <w:pStyle w:val="Heading1"/>
        <w:spacing w:line="720" w:lineRule="auto"/>
        <w:jc w:val="center"/>
      </w:pPr>
      <w:r>
        <w:t>ID number:  2022375</w:t>
      </w:r>
    </w:p>
    <w:p w14:paraId="75486FD0" w14:textId="77777777" w:rsidR="00E47B78" w:rsidRDefault="00E47B78">
      <w:pPr>
        <w:rPr>
          <w:rFonts w:asciiTheme="majorHAnsi" w:eastAsiaTheme="majorEastAsia" w:hAnsiTheme="majorHAnsi" w:cstheme="majorBidi"/>
          <w:color w:val="365F91" w:themeColor="accent1" w:themeShade="BF"/>
          <w:sz w:val="32"/>
          <w:szCs w:val="32"/>
        </w:rPr>
      </w:pPr>
      <w:r>
        <w:br w:type="page"/>
      </w:r>
    </w:p>
    <w:p w14:paraId="3ECE6E25" w14:textId="1ACFDCFF" w:rsidR="00E47B78" w:rsidRPr="00E47B78" w:rsidRDefault="00E47B78" w:rsidP="00E47B78">
      <w:pPr>
        <w:pStyle w:val="Heading1"/>
        <w:rPr>
          <w:b/>
          <w:bCs/>
          <w:u w:val="single"/>
        </w:rPr>
      </w:pPr>
      <w:r>
        <w:rPr>
          <w:b/>
          <w:bCs/>
          <w:u w:val="single"/>
        </w:rPr>
        <w:lastRenderedPageBreak/>
        <w:t xml:space="preserve">Table of </w:t>
      </w:r>
      <w:r w:rsidRPr="00E47B78">
        <w:rPr>
          <w:b/>
          <w:bCs/>
          <w:u w:val="single"/>
        </w:rPr>
        <w:t xml:space="preserve">Content: </w:t>
      </w:r>
    </w:p>
    <w:p w14:paraId="16FD094E" w14:textId="2AC0FFC8" w:rsidR="00E47B78" w:rsidRDefault="00E47B78" w:rsidP="00FA2356">
      <w:pPr>
        <w:spacing w:line="480" w:lineRule="auto"/>
      </w:pPr>
    </w:p>
    <w:p w14:paraId="22F042F5" w14:textId="77777777" w:rsidR="00E47B78" w:rsidRPr="00E47B78" w:rsidRDefault="00E47B78" w:rsidP="00E47B78">
      <w:r w:rsidRPr="00E47B78">
        <w:t xml:space="preserve">Executive summary: </w:t>
      </w:r>
    </w:p>
    <w:p w14:paraId="76458179" w14:textId="77777777" w:rsidR="00E47B78" w:rsidRPr="00E47B78" w:rsidRDefault="00E47B78" w:rsidP="00E47B78">
      <w:r w:rsidRPr="00E47B78">
        <w:t xml:space="preserve">Introduction: </w:t>
      </w:r>
    </w:p>
    <w:p w14:paraId="6385024E" w14:textId="77777777" w:rsidR="00E47B78" w:rsidRPr="00E47B78" w:rsidRDefault="00E47B78" w:rsidP="00E47B78">
      <w:r w:rsidRPr="00E47B78">
        <w:t xml:space="preserve">The framework of strategy: </w:t>
      </w:r>
    </w:p>
    <w:p w14:paraId="00B65437" w14:textId="77777777" w:rsidR="00E47B78" w:rsidRDefault="00E47B78" w:rsidP="00E47B78">
      <w:r w:rsidRPr="00E47B78">
        <w:t>1: GP partnership module strategic position:</w:t>
      </w:r>
    </w:p>
    <w:p w14:paraId="6DC96857" w14:textId="77777777" w:rsidR="00E47B78" w:rsidRDefault="00E47B78" w:rsidP="00E47B78">
      <w:r>
        <w:t xml:space="preserve">1.1: PESTEL analysis: </w:t>
      </w:r>
    </w:p>
    <w:p w14:paraId="62B4D1CF" w14:textId="77777777" w:rsidR="00E47B78" w:rsidRDefault="00E47B78" w:rsidP="00E47B78">
      <w:r>
        <w:t xml:space="preserve">1.2 Porter’s five forces framework </w:t>
      </w:r>
    </w:p>
    <w:p w14:paraId="4DE1CF7C" w14:textId="77777777" w:rsidR="00E47B78" w:rsidRDefault="00E47B78" w:rsidP="00E47B78">
      <w:r>
        <w:t>1.3 analysing the GP partnership resources and capabilities</w:t>
      </w:r>
    </w:p>
    <w:p w14:paraId="6AE1A75A" w14:textId="77777777" w:rsidR="00E47B78" w:rsidRDefault="00E47B78" w:rsidP="00E47B78">
      <w:r>
        <w:t xml:space="preserve">1.4 SWOT </w:t>
      </w:r>
    </w:p>
    <w:p w14:paraId="6DDE29B2" w14:textId="77777777" w:rsidR="00E47B78" w:rsidRPr="00E47B78" w:rsidRDefault="00E47B78" w:rsidP="00E47B78">
      <w:r w:rsidRPr="00E47B78">
        <w:t>2: GP Partnership module strategic choices</w:t>
      </w:r>
    </w:p>
    <w:p w14:paraId="7EF27132" w14:textId="77777777" w:rsidR="00E47B78" w:rsidRPr="00E47B78" w:rsidRDefault="00E47B78" w:rsidP="00E47B78">
      <w:r w:rsidRPr="00E47B78">
        <w:t>2.1 Generic competitive strategies:</w:t>
      </w:r>
    </w:p>
    <w:p w14:paraId="35ED7BC8" w14:textId="77777777" w:rsidR="00E47B78" w:rsidRDefault="00E47B78" w:rsidP="00E47B78">
      <w:r>
        <w:t xml:space="preserve">2.2 strategy directions; </w:t>
      </w:r>
      <w:proofErr w:type="spellStart"/>
      <w:r w:rsidRPr="00D55616">
        <w:t>Anso</w:t>
      </w:r>
      <w:proofErr w:type="spellEnd"/>
      <w:r w:rsidRPr="00D55616">
        <w:t xml:space="preserve"> ’s corporate strategy matrix</w:t>
      </w:r>
    </w:p>
    <w:p w14:paraId="72B281CB" w14:textId="77777777" w:rsidR="00E47B78" w:rsidRDefault="00E47B78" w:rsidP="00E47B78">
      <w:r w:rsidRPr="00E47B78">
        <w:t>3: strategy development process</w:t>
      </w:r>
    </w:p>
    <w:p w14:paraId="452A364B" w14:textId="77777777" w:rsidR="00E47B78" w:rsidRDefault="00E47B78" w:rsidP="00E47B78">
      <w:r>
        <w:t xml:space="preserve">Conclusion </w:t>
      </w:r>
    </w:p>
    <w:p w14:paraId="7F71A44C" w14:textId="77777777" w:rsidR="00E47B78" w:rsidRDefault="00E47B78" w:rsidP="00E47B78">
      <w:r w:rsidRPr="00E47B78">
        <w:t>4: Evaluating the</w:t>
      </w:r>
      <w:r>
        <w:t xml:space="preserve"> GP partnership</w:t>
      </w:r>
      <w:r w:rsidRPr="00E47B78">
        <w:t xml:space="preserve"> Strategy</w:t>
      </w:r>
    </w:p>
    <w:p w14:paraId="45B8FBA2" w14:textId="77777777" w:rsidR="00E47B78" w:rsidRDefault="00E47B78" w:rsidP="00E47B78">
      <w:r w:rsidRPr="00E47B78">
        <w:t xml:space="preserve">4.1 Proposed strategy </w:t>
      </w:r>
    </w:p>
    <w:p w14:paraId="649A51C9" w14:textId="77777777" w:rsidR="00E47B78" w:rsidRDefault="00E47B78" w:rsidP="00E47B78">
      <w:r>
        <w:t>4.2 Evaluation of the proposed strategy</w:t>
      </w:r>
    </w:p>
    <w:p w14:paraId="0F40875B" w14:textId="77777777" w:rsidR="00E47B78" w:rsidRDefault="00E47B78" w:rsidP="00E47B78">
      <w:r w:rsidRPr="00E47B78">
        <w:t xml:space="preserve">Recommendations: </w:t>
      </w:r>
    </w:p>
    <w:p w14:paraId="492170C6" w14:textId="77777777" w:rsidR="00E47B78" w:rsidRDefault="00E47B78" w:rsidP="00FA2356">
      <w:pPr>
        <w:spacing w:line="480" w:lineRule="auto"/>
      </w:pPr>
    </w:p>
    <w:p w14:paraId="17354AD3" w14:textId="277B4337" w:rsidR="00E47B78" w:rsidRPr="00E47B78" w:rsidRDefault="00E47B78" w:rsidP="00E47B78">
      <w:pPr>
        <w:pStyle w:val="Heading1"/>
        <w:rPr>
          <w:b/>
          <w:bCs/>
          <w:u w:val="single"/>
        </w:rPr>
      </w:pPr>
      <w:bookmarkStart w:id="0" w:name="_Hlk90673656"/>
      <w:r w:rsidRPr="00E47B78">
        <w:rPr>
          <w:b/>
          <w:bCs/>
          <w:u w:val="single"/>
        </w:rPr>
        <w:t xml:space="preserve">Executive summary: </w:t>
      </w:r>
    </w:p>
    <w:bookmarkEnd w:id="0"/>
    <w:p w14:paraId="591B2F58" w14:textId="02F4176B" w:rsidR="00E47B78" w:rsidRDefault="00E47B78" w:rsidP="00FA2356">
      <w:pPr>
        <w:spacing w:line="480" w:lineRule="auto"/>
      </w:pPr>
    </w:p>
    <w:p w14:paraId="53AB74DA" w14:textId="335DDB0F" w:rsidR="00E47B78" w:rsidRDefault="00E47B78" w:rsidP="00E47B78">
      <w:pPr>
        <w:spacing w:line="480" w:lineRule="auto"/>
      </w:pPr>
      <w:r>
        <w:t xml:space="preserve">There is general perception that GP partnership module represented in the GP practices is under strategy control from the government represented in the NHS England but in deeper evaluation the GP practices can have a lot of strategic choices that they can take. The GP partnership module can have common strategy that they can work on together using their alliances and industry bodies. Still each practice will need its own strategy. There is no one strategy fits all the GP practices, but it is according to the strategy analysis for each practice, they can work out which strategic choice would suit the practice. </w:t>
      </w:r>
    </w:p>
    <w:p w14:paraId="66CD18CF" w14:textId="00803FBB" w:rsidR="00E47B78" w:rsidRPr="00E47B78" w:rsidRDefault="00E47B78" w:rsidP="00E47B78">
      <w:pPr>
        <w:pStyle w:val="Heading1"/>
        <w:rPr>
          <w:b/>
          <w:bCs/>
          <w:u w:val="single"/>
        </w:rPr>
      </w:pPr>
      <w:bookmarkStart w:id="1" w:name="_Hlk90673672"/>
      <w:r w:rsidRPr="00E47B78">
        <w:rPr>
          <w:b/>
          <w:bCs/>
          <w:u w:val="single"/>
        </w:rPr>
        <w:t xml:space="preserve">Introduction: </w:t>
      </w:r>
    </w:p>
    <w:bookmarkEnd w:id="1"/>
    <w:p w14:paraId="53199720" w14:textId="77777777" w:rsidR="00E47B78" w:rsidRPr="00E47B78" w:rsidRDefault="00E47B78" w:rsidP="00E47B78"/>
    <w:p w14:paraId="6AA4F2B8" w14:textId="1355BB2B" w:rsidR="00FA2356" w:rsidRDefault="00FA2356" w:rsidP="00FA2356">
      <w:pPr>
        <w:spacing w:line="480" w:lineRule="auto"/>
      </w:pPr>
      <w:r>
        <w:t xml:space="preserve">There have been many definitions for strategy and strategy management suggested by the strategy theorists and the common feature was the long-term nature. One </w:t>
      </w:r>
      <w:r>
        <w:lastRenderedPageBreak/>
        <w:t xml:space="preserve">important example of the strategy definitions was </w:t>
      </w:r>
      <w:r w:rsidRPr="00FA2356">
        <w:t xml:space="preserve">Chandler </w:t>
      </w:r>
      <w:r>
        <w:t xml:space="preserve">(1962) who defined the strategy as </w:t>
      </w:r>
      <w:r w:rsidRPr="00FA2356">
        <w:t>‘the determination of the long-run goals and objectives of an enterprise and the adoption of courses of action and the allocation of resources necessary for carrying out these goals’</w:t>
      </w:r>
    </w:p>
    <w:p w14:paraId="5AFA1213" w14:textId="77777777" w:rsidR="00586ED1" w:rsidRDefault="00586ED1" w:rsidP="00FA2356">
      <w:pPr>
        <w:spacing w:line="480" w:lineRule="auto"/>
      </w:pPr>
    </w:p>
    <w:p w14:paraId="2A12ADE9" w14:textId="7FC05F63" w:rsidR="00FA2356" w:rsidRPr="00E47B78" w:rsidRDefault="00FA2356" w:rsidP="00FA2356">
      <w:pPr>
        <w:spacing w:line="480" w:lineRule="auto"/>
        <w:rPr>
          <w:b/>
          <w:bCs/>
        </w:rPr>
      </w:pPr>
      <w:r w:rsidRPr="00E47B78">
        <w:rPr>
          <w:b/>
          <w:bCs/>
        </w:rPr>
        <w:t xml:space="preserve">Strategy horizons: </w:t>
      </w:r>
    </w:p>
    <w:p w14:paraId="0D980C66" w14:textId="76B50F54" w:rsidR="00FA2356" w:rsidRDefault="00FA2356" w:rsidP="00FA2356">
      <w:pPr>
        <w:spacing w:line="480" w:lineRule="auto"/>
      </w:pPr>
      <w:r>
        <w:t>The long-term nature of the strategy makes it important for organisations to divide the strategy into three horizons (</w:t>
      </w:r>
      <w:r w:rsidRPr="00A953B6">
        <w:t>Whittington</w:t>
      </w:r>
      <w:r>
        <w:t xml:space="preserve">, 2019, p.6). The duration of each horizon differs according to the type of the organisation. Horizon 1 involve the current basic activity. For the NHS this could be coping with the current demand and delivering the COVID vaccine program. Horizon 2 involves emerging activities that provide future resources. For the NHS this could be activities that aim at increasing talented workforce. Horizon 3 involve more open and uncertain options. For NHS it could be privatisation or partial privatisation. </w:t>
      </w:r>
    </w:p>
    <w:p w14:paraId="65273CF0" w14:textId="134045B6" w:rsidR="00D67FC6" w:rsidRDefault="00FA2356" w:rsidP="00E47B78">
      <w:pPr>
        <w:spacing w:line="480" w:lineRule="auto"/>
      </w:pPr>
      <w:r>
        <w:t>The NHS</w:t>
      </w:r>
      <w:r w:rsidR="00D60F30">
        <w:t>,</w:t>
      </w:r>
      <w:r>
        <w:t xml:space="preserve"> as public sector </w:t>
      </w:r>
      <w:r w:rsidR="00D60F30">
        <w:t xml:space="preserve">is </w:t>
      </w:r>
      <w:r w:rsidR="00D67FC6">
        <w:t xml:space="preserve">does </w:t>
      </w:r>
      <w:r w:rsidR="00D60F30">
        <w:t xml:space="preserve">have a non-profit strategy </w:t>
      </w:r>
      <w:r w:rsidR="00D67FC6">
        <w:t>direction represented in people and community health</w:t>
      </w:r>
      <w:r w:rsidR="00C94925">
        <w:t>, still this does not necessarily apply to the GP partnership module or any of the other health care providers in the UK market</w:t>
      </w:r>
      <w:r w:rsidR="00E47B78">
        <w:t xml:space="preserve">, However the relationship between patients and their GPs usually </w:t>
      </w:r>
      <w:proofErr w:type="gramStart"/>
      <w:r w:rsidR="00E47B78">
        <w:t>affect</w:t>
      </w:r>
      <w:proofErr w:type="gramEnd"/>
      <w:r w:rsidR="00E47B78">
        <w:t xml:space="preserve"> the strategic direction of the GP practices the factor that may not be present in privately and overseas owned health care providers. </w:t>
      </w:r>
    </w:p>
    <w:p w14:paraId="23BF2353" w14:textId="77777777" w:rsidR="00E47B78" w:rsidRDefault="00E47B78" w:rsidP="00E47B78">
      <w:pPr>
        <w:spacing w:line="480" w:lineRule="auto"/>
      </w:pPr>
    </w:p>
    <w:p w14:paraId="6273E101" w14:textId="279F7782" w:rsidR="00D67FC6" w:rsidRPr="00E47B78" w:rsidRDefault="00D67FC6" w:rsidP="00E47B78">
      <w:pPr>
        <w:pStyle w:val="Heading1"/>
        <w:rPr>
          <w:b/>
          <w:bCs/>
          <w:u w:val="single"/>
        </w:rPr>
      </w:pPr>
      <w:bookmarkStart w:id="2" w:name="_Hlk90673687"/>
      <w:r w:rsidRPr="00E47B78">
        <w:rPr>
          <w:b/>
          <w:bCs/>
          <w:u w:val="single"/>
        </w:rPr>
        <w:t xml:space="preserve">The framework of strategy: </w:t>
      </w:r>
    </w:p>
    <w:bookmarkEnd w:id="2"/>
    <w:p w14:paraId="2BB86E20" w14:textId="77777777" w:rsidR="00E47B78" w:rsidRPr="00E47B78" w:rsidRDefault="00E47B78" w:rsidP="00E47B78"/>
    <w:p w14:paraId="629DC2F2" w14:textId="059E030A" w:rsidR="00D67FC6" w:rsidRDefault="00D67FC6" w:rsidP="00D67FC6">
      <w:pPr>
        <w:spacing w:line="480" w:lineRule="auto"/>
      </w:pPr>
      <w:r>
        <w:t>There are three components that draw the framework of strategy:</w:t>
      </w:r>
    </w:p>
    <w:p w14:paraId="598D9E80" w14:textId="5AD59298" w:rsidR="00D67FC6" w:rsidRDefault="00D67FC6" w:rsidP="00D67FC6">
      <w:pPr>
        <w:pStyle w:val="ListParagraph"/>
        <w:numPr>
          <w:ilvl w:val="0"/>
          <w:numId w:val="1"/>
        </w:numPr>
        <w:spacing w:line="480" w:lineRule="auto"/>
      </w:pPr>
      <w:r>
        <w:t>Determining the strategic position</w:t>
      </w:r>
    </w:p>
    <w:p w14:paraId="38D0F470" w14:textId="1FFB20E5" w:rsidR="00D67FC6" w:rsidRDefault="00D67FC6" w:rsidP="00D67FC6">
      <w:pPr>
        <w:pStyle w:val="ListParagraph"/>
        <w:numPr>
          <w:ilvl w:val="0"/>
          <w:numId w:val="1"/>
        </w:numPr>
        <w:spacing w:line="480" w:lineRule="auto"/>
      </w:pPr>
      <w:r>
        <w:t>Formulating the strategic choices</w:t>
      </w:r>
    </w:p>
    <w:p w14:paraId="0029BC80" w14:textId="7240EC9F" w:rsidR="00D67FC6" w:rsidRDefault="00D67FC6" w:rsidP="00D67FC6">
      <w:pPr>
        <w:pStyle w:val="ListParagraph"/>
        <w:numPr>
          <w:ilvl w:val="0"/>
          <w:numId w:val="1"/>
        </w:numPr>
        <w:spacing w:line="480" w:lineRule="auto"/>
      </w:pPr>
      <w:r>
        <w:lastRenderedPageBreak/>
        <w:t xml:space="preserve">Planning strategy in action. </w:t>
      </w:r>
    </w:p>
    <w:p w14:paraId="331CC3A2" w14:textId="55DCBF8C" w:rsidR="000132AA" w:rsidRDefault="00D67FC6" w:rsidP="00E47B78">
      <w:pPr>
        <w:spacing w:line="480" w:lineRule="auto"/>
      </w:pPr>
      <w:r>
        <w:t>Many strategy theorists including Alfred Chandler take linear approach starting from strategy positions to choices then followed by in action. Still there are very important strategy theorists, like Henry Mintzberg, recognises that in practice this linear approach cannot be achieved (</w:t>
      </w:r>
      <w:r w:rsidRPr="00A953B6">
        <w:t>Whittington</w:t>
      </w:r>
      <w:r>
        <w:t>, 2019, p.12-18). In this report I will take a linear approach to analyse the NHS</w:t>
      </w:r>
      <w:r w:rsidR="00C94925">
        <w:t xml:space="preserve"> GP partnership module</w:t>
      </w:r>
      <w:r>
        <w:t xml:space="preserve"> strategy position, explore its choices then try putting strategy in action plan. </w:t>
      </w:r>
    </w:p>
    <w:p w14:paraId="10AD4DBB" w14:textId="77777777" w:rsidR="00E47B78" w:rsidRDefault="00E47B78" w:rsidP="00E47B78">
      <w:pPr>
        <w:spacing w:line="480" w:lineRule="auto"/>
      </w:pPr>
    </w:p>
    <w:p w14:paraId="12AE9D46" w14:textId="77777777" w:rsidR="00E47B78" w:rsidRDefault="000132AA" w:rsidP="00E47B78">
      <w:pPr>
        <w:pStyle w:val="Heading1"/>
        <w:rPr>
          <w:rFonts w:ascii="Arial" w:eastAsiaTheme="minorHAnsi" w:hAnsi="Arial" w:cs="Arial"/>
          <w:color w:val="auto"/>
          <w:sz w:val="24"/>
          <w:szCs w:val="24"/>
        </w:rPr>
      </w:pPr>
      <w:bookmarkStart w:id="3" w:name="_Hlk90673698"/>
      <w:r w:rsidRPr="00E47B78">
        <w:rPr>
          <w:b/>
          <w:bCs/>
          <w:u w:val="single"/>
        </w:rPr>
        <w:t xml:space="preserve">1: </w:t>
      </w:r>
      <w:r w:rsidR="00962CA4" w:rsidRPr="00E47B78">
        <w:rPr>
          <w:b/>
          <w:bCs/>
          <w:u w:val="single"/>
        </w:rPr>
        <w:t>GP partnership module</w:t>
      </w:r>
      <w:r w:rsidRPr="00E47B78">
        <w:rPr>
          <w:b/>
          <w:bCs/>
          <w:u w:val="single"/>
        </w:rPr>
        <w:t xml:space="preserve"> strategic position:</w:t>
      </w:r>
    </w:p>
    <w:bookmarkEnd w:id="3"/>
    <w:p w14:paraId="5620C543" w14:textId="74FFC17C" w:rsidR="000132AA" w:rsidRPr="00E47B78" w:rsidRDefault="000132AA" w:rsidP="00E47B78">
      <w:pPr>
        <w:pStyle w:val="Heading1"/>
        <w:rPr>
          <w:rFonts w:ascii="Arial" w:eastAsiaTheme="minorHAnsi" w:hAnsi="Arial" w:cs="Arial"/>
          <w:color w:val="auto"/>
          <w:sz w:val="24"/>
          <w:szCs w:val="24"/>
        </w:rPr>
      </w:pPr>
      <w:r w:rsidRPr="00E47B78">
        <w:rPr>
          <w:rFonts w:ascii="Arial" w:eastAsiaTheme="minorHAnsi" w:hAnsi="Arial" w:cs="Arial"/>
          <w:color w:val="auto"/>
          <w:sz w:val="24"/>
          <w:szCs w:val="24"/>
        </w:rPr>
        <w:t xml:space="preserve"> </w:t>
      </w:r>
    </w:p>
    <w:p w14:paraId="2F798235" w14:textId="23479011" w:rsidR="000132AA" w:rsidRDefault="000132AA" w:rsidP="00E47B78">
      <w:pPr>
        <w:spacing w:line="480" w:lineRule="auto"/>
      </w:pPr>
      <w:r>
        <w:t xml:space="preserve">To understand the strategic position of the </w:t>
      </w:r>
      <w:r w:rsidR="00C94925">
        <w:t>GP partnership modules,</w:t>
      </w:r>
      <w:r>
        <w:t xml:space="preserve"> we need to study the internal and external factors. We can imagine the </w:t>
      </w:r>
      <w:r w:rsidR="00C94925">
        <w:t>GP partnership</w:t>
      </w:r>
      <w:r>
        <w:t xml:space="preserve"> to be in the centre of our analysis surrounded by the market, surrounded by the sector regulations and finally surrounded by the macroenvironmental factors including political, social, economic, and other factors. I will start by analysing the macro-environmental factors using the PESTEL tool in view of the COVID pandemic. </w:t>
      </w:r>
    </w:p>
    <w:p w14:paraId="00D0BF04" w14:textId="154E6815" w:rsidR="000132AA" w:rsidRDefault="000132AA" w:rsidP="00E47B78">
      <w:pPr>
        <w:pStyle w:val="Heading1"/>
      </w:pPr>
      <w:bookmarkStart w:id="4" w:name="_Hlk90673714"/>
      <w:r>
        <w:t xml:space="preserve">1.1: PESTEL analysis: </w:t>
      </w:r>
    </w:p>
    <w:bookmarkEnd w:id="4"/>
    <w:p w14:paraId="7BFBA96B" w14:textId="77777777" w:rsidR="00E47B78" w:rsidRPr="00E47B78" w:rsidRDefault="00E47B78" w:rsidP="00E47B78"/>
    <w:p w14:paraId="0202DD16" w14:textId="7577299C" w:rsidR="000132AA" w:rsidRDefault="000132AA" w:rsidP="000132AA">
      <w:pPr>
        <w:spacing w:line="480" w:lineRule="auto"/>
      </w:pPr>
      <w:r>
        <w:t xml:space="preserve">Different organisations are affected by the market environment, including suppliers, competitors, and customers, but also is affected by non-market factors, like political, </w:t>
      </w:r>
      <w:proofErr w:type="gramStart"/>
      <w:r>
        <w:t>social</w:t>
      </w:r>
      <w:proofErr w:type="gramEnd"/>
      <w:r>
        <w:t xml:space="preserve"> and economic, that need to be considered in the strategy planning (</w:t>
      </w:r>
      <w:proofErr w:type="spellStart"/>
      <w:r w:rsidRPr="000132AA">
        <w:t>Dorobantu</w:t>
      </w:r>
      <w:proofErr w:type="spellEnd"/>
      <w:r>
        <w:t xml:space="preserve"> et al, 2017, pp.140-140). PESTEL or PESTLE analysis tool is an extension of PEST (political, economic, social and technology) factors analysis</w:t>
      </w:r>
      <w:r w:rsidR="00C94925">
        <w:t xml:space="preserve"> tool</w:t>
      </w:r>
      <w:r>
        <w:t xml:space="preserve"> by adding ecological and legal factors to the new analysis tool (Thomas, 2007, pp.9-21). </w:t>
      </w:r>
    </w:p>
    <w:p w14:paraId="75A97745" w14:textId="77777777" w:rsidR="000132AA" w:rsidRDefault="000132AA" w:rsidP="000132AA">
      <w:pPr>
        <w:spacing w:line="480" w:lineRule="auto"/>
      </w:pPr>
    </w:p>
    <w:p w14:paraId="63118233" w14:textId="009F6C21" w:rsidR="000132AA" w:rsidRPr="00E47B78" w:rsidRDefault="000132AA" w:rsidP="00E47B78">
      <w:pPr>
        <w:spacing w:line="480" w:lineRule="auto"/>
        <w:rPr>
          <w:b/>
          <w:bCs/>
        </w:rPr>
      </w:pPr>
      <w:r w:rsidRPr="00E47B78">
        <w:rPr>
          <w:b/>
          <w:bCs/>
        </w:rPr>
        <w:t xml:space="preserve">1.1.1: Politics: </w:t>
      </w:r>
    </w:p>
    <w:p w14:paraId="6E0CAB0E" w14:textId="3510F609" w:rsidR="000132AA" w:rsidRDefault="00E248DD" w:rsidP="00E248DD">
      <w:pPr>
        <w:spacing w:line="480" w:lineRule="auto"/>
      </w:pPr>
      <w:r>
        <w:lastRenderedPageBreak/>
        <w:t xml:space="preserve">In the beginning of the COVID there was a wide support and appreciation from the community and the political </w:t>
      </w:r>
      <w:r w:rsidR="00C94925">
        <w:t>parties</w:t>
      </w:r>
      <w:r>
        <w:t xml:space="preserve"> for the NHS </w:t>
      </w:r>
      <w:r w:rsidR="00C94925">
        <w:t xml:space="preserve">and GPs </w:t>
      </w:r>
      <w:r>
        <w:t xml:space="preserve">and we all remember the clapping and cheering for the NHS staff at 8 o’clock (Wood, 2020). A lot of people kept themselves away from doctors in the beginning for different reasons till more people got their vaccinations. People started to come back to </w:t>
      </w:r>
      <w:r w:rsidR="00C94925">
        <w:t xml:space="preserve">their GPs </w:t>
      </w:r>
      <w:r>
        <w:t xml:space="preserve">with problem that they kept during the beginning of the pandemic. This generated increased need for </w:t>
      </w:r>
      <w:r w:rsidR="00C94925">
        <w:t>GP</w:t>
      </w:r>
      <w:r>
        <w:t xml:space="preserve"> appointments </w:t>
      </w:r>
      <w:r w:rsidR="00C94925">
        <w:t xml:space="preserve">and </w:t>
      </w:r>
      <w:r>
        <w:t xml:space="preserve">together with failure of the GP recruitment efforts resulted in one of the highest pressures in the </w:t>
      </w:r>
      <w:r w:rsidR="00C94925">
        <w:t>primary care</w:t>
      </w:r>
      <w:r>
        <w:t xml:space="preserve"> (BMA, 2021). This resulted in political pressure on the health care caused by the unsatisfied patients who are not able to get a GP appointment, long waiting in the emergency department or waiting longer for ambulance (The guardian, Campbell, 2021). The government as a reaction has issued blueprint and plan to encourage GPs to offer more face-to-face appointments (NHS England and NHS improvement, 2021). This plan was widely refused and criticised by </w:t>
      </w:r>
      <w:r w:rsidR="00C94925">
        <w:t>GPs</w:t>
      </w:r>
      <w:r>
        <w:t xml:space="preserve"> and seen as beating the health care staff with a stick rather than offering support to the extent that more than 80 percent of the</w:t>
      </w:r>
      <w:r w:rsidR="00C94925">
        <w:t xml:space="preserve"> GP</w:t>
      </w:r>
      <w:r>
        <w:t xml:space="preserve"> practices voted for industrial action in the BMA ballet (</w:t>
      </w:r>
      <w:proofErr w:type="spellStart"/>
      <w:r w:rsidR="00E47B78">
        <w:t>Rimmer</w:t>
      </w:r>
      <w:proofErr w:type="spellEnd"/>
      <w:r>
        <w:t xml:space="preserve">, 2021). </w:t>
      </w:r>
      <w:r w:rsidR="00C540DF">
        <w:t xml:space="preserve">Majority of the indicative BMA ballet for the industrial action, indicated willingness to withdraw from the primary care network on which the NHS rely heavily to deliver the long-term NHS plans. </w:t>
      </w:r>
    </w:p>
    <w:p w14:paraId="089080F1" w14:textId="12FCFEEA" w:rsidR="00E248DD" w:rsidRDefault="00E248DD" w:rsidP="00E248DD">
      <w:pPr>
        <w:spacing w:line="480" w:lineRule="auto"/>
      </w:pPr>
      <w:r>
        <w:t>There are various political forces that is affecting the current NHS situation: pressure from unsatisfied patients, pressure from media and pressure from the industrial union</w:t>
      </w:r>
      <w:r w:rsidR="00C540DF">
        <w:t>s</w:t>
      </w:r>
      <w:r>
        <w:t xml:space="preserve">. </w:t>
      </w:r>
    </w:p>
    <w:p w14:paraId="1DD80694" w14:textId="0381298C" w:rsidR="00E248DD" w:rsidRDefault="00E248DD" w:rsidP="00E248DD">
      <w:pPr>
        <w:spacing w:line="480" w:lineRule="auto"/>
      </w:pPr>
    </w:p>
    <w:p w14:paraId="0D2381CE" w14:textId="3C68FCAF" w:rsidR="00E248DD" w:rsidRPr="00E47B78" w:rsidRDefault="00E248DD" w:rsidP="00E248DD">
      <w:pPr>
        <w:spacing w:line="480" w:lineRule="auto"/>
        <w:rPr>
          <w:b/>
          <w:bCs/>
        </w:rPr>
      </w:pPr>
      <w:r w:rsidRPr="00E47B78">
        <w:rPr>
          <w:b/>
          <w:bCs/>
        </w:rPr>
        <w:t xml:space="preserve">1.1.2: Economical: </w:t>
      </w:r>
    </w:p>
    <w:p w14:paraId="45C477B1" w14:textId="3A0B2B30" w:rsidR="00C540DF" w:rsidRDefault="00E248DD" w:rsidP="000132AA">
      <w:pPr>
        <w:spacing w:line="480" w:lineRule="auto"/>
      </w:pPr>
      <w:r>
        <w:lastRenderedPageBreak/>
        <w:t>The interventions need</w:t>
      </w:r>
      <w:r w:rsidR="00C94925">
        <w:t>ed</w:t>
      </w:r>
      <w:r>
        <w:t xml:space="preserve"> to prevent COVID spreading resulted in increased unemployment rate (</w:t>
      </w:r>
      <w:proofErr w:type="spellStart"/>
      <w:r w:rsidRPr="00E248DD">
        <w:t>Rosén</w:t>
      </w:r>
      <w:proofErr w:type="spellEnd"/>
      <w:r>
        <w:t xml:space="preserve">, 2021) which in return increase the need for GP appointments. Besides periods of isolation and financial hardship increases mental health illnesses. </w:t>
      </w:r>
    </w:p>
    <w:p w14:paraId="6324E299" w14:textId="334D3586" w:rsidR="00E248DD" w:rsidRDefault="00C94925" w:rsidP="00C540DF">
      <w:pPr>
        <w:spacing w:line="480" w:lineRule="auto"/>
      </w:pPr>
      <w:r>
        <w:t>In the positive side, t</w:t>
      </w:r>
      <w:r w:rsidR="00E248DD">
        <w:t>he NHS long term plan started integrated care systems and employed social prescribers as part of the primary care networks with the aim to reduce non-medical GP appointments (</w:t>
      </w:r>
      <w:r w:rsidR="00E47B78">
        <w:t>National Health Service</w:t>
      </w:r>
      <w:r w:rsidR="00E248DD">
        <w:t xml:space="preserve">, 2021). </w:t>
      </w:r>
    </w:p>
    <w:p w14:paraId="50EE9207" w14:textId="49AFC8A6" w:rsidR="00586ED1" w:rsidRDefault="00586ED1" w:rsidP="00C540DF">
      <w:pPr>
        <w:spacing w:line="480" w:lineRule="auto"/>
      </w:pPr>
      <w:r>
        <w:t xml:space="preserve">The COVID pandemic represents to many industries that it the recession in the economic curve </w:t>
      </w:r>
      <w:r w:rsidR="00C94925">
        <w:t>that is</w:t>
      </w:r>
      <w:r>
        <w:t xml:space="preserve"> expected </w:t>
      </w:r>
      <w:r w:rsidR="00C94925">
        <w:t xml:space="preserve">to </w:t>
      </w:r>
      <w:r>
        <w:t xml:space="preserve">be followed by acceleration, unless there is another reason of recession follow the pandemic before a period of recover. Hence single-point forecasting about the future is that the effect of recession on the NHS will be transient.  </w:t>
      </w:r>
    </w:p>
    <w:p w14:paraId="65CC6257" w14:textId="6CE58A1B" w:rsidR="00CE1130" w:rsidRDefault="00CE1130" w:rsidP="00C540DF">
      <w:pPr>
        <w:spacing w:line="480" w:lineRule="auto"/>
      </w:pPr>
    </w:p>
    <w:p w14:paraId="3CF01A3B" w14:textId="61AFEEA3" w:rsidR="00CE1130" w:rsidRDefault="00CE1130" w:rsidP="00C540DF">
      <w:pPr>
        <w:spacing w:line="480" w:lineRule="auto"/>
      </w:pPr>
      <w:r>
        <w:t xml:space="preserve">In a different direction, the GP partnership module may disappear as more doctors choosing to be salaried (Dixon, 2017). NHS England started to develop local alliances and primary care networks (PCN) to apply the long-term NHS plan and injecting more money in these new organisations that has higher ability to compete for types of services than the older partnership module (examples of these services: the extended access, hot </w:t>
      </w:r>
      <w:proofErr w:type="gramStart"/>
      <w:r>
        <w:t>hub</w:t>
      </w:r>
      <w:proofErr w:type="gramEnd"/>
      <w:r>
        <w:t xml:space="preserve"> and vaccine centres). This shift of economic expenditure has caused shift of the workforce from the partnership module to these new modules. I think this may lead to more services moving to these new alliances. Some of the partners will leave their partnership and go join these alliances but some others will join other practices and form larger groups of practices that is able to compete with the alliances for the delivery of services. Some of the smaller </w:t>
      </w:r>
      <w:r>
        <w:lastRenderedPageBreak/>
        <w:t xml:space="preserve">practices or the practices that will not be able to change will fail and stop their services and its work force will join other services.  </w:t>
      </w:r>
    </w:p>
    <w:p w14:paraId="335AA936" w14:textId="77777777" w:rsidR="00C540DF" w:rsidRDefault="00C540DF" w:rsidP="00C540DF">
      <w:pPr>
        <w:spacing w:line="480" w:lineRule="auto"/>
      </w:pPr>
    </w:p>
    <w:p w14:paraId="78A39053" w14:textId="3ED746C8" w:rsidR="00E248DD" w:rsidRPr="00E47B78" w:rsidRDefault="00E248DD" w:rsidP="000132AA">
      <w:pPr>
        <w:spacing w:line="480" w:lineRule="auto"/>
        <w:rPr>
          <w:b/>
          <w:bCs/>
        </w:rPr>
      </w:pPr>
      <w:r w:rsidRPr="00E47B78">
        <w:rPr>
          <w:b/>
          <w:bCs/>
        </w:rPr>
        <w:t xml:space="preserve">1.1.3: social: </w:t>
      </w:r>
    </w:p>
    <w:p w14:paraId="7E4C99F1" w14:textId="4041E654" w:rsidR="00C540DF" w:rsidRDefault="00CE1130" w:rsidP="00C540DF">
      <w:pPr>
        <w:spacing w:line="480" w:lineRule="auto"/>
      </w:pPr>
      <w:r>
        <w:t>Few months after the onset of the</w:t>
      </w:r>
      <w:r w:rsidR="00C540DF">
        <w:t xml:space="preserve"> pandemic, there has been increased public fear of misdiagnosis with telephone call consultations. Many practitioners reported that patients are booking appointments more frequently for the same problem ‘‘not sure if the doctor last time missed something or you need to see me’’. This effect led to more demand on all types of appointment and especially for face-to-face appointments. The BMA </w:t>
      </w:r>
      <w:r w:rsidR="00C94925">
        <w:t xml:space="preserve">(2021) </w:t>
      </w:r>
      <w:r w:rsidR="00C540DF">
        <w:t xml:space="preserve">reported increase on the overall general practice appointments. An example is October appointments in 2021 were 33.9 million risen by 10% from 30 million on October 2019 before the pandemic. </w:t>
      </w:r>
    </w:p>
    <w:p w14:paraId="367265DB" w14:textId="69FE4E54" w:rsidR="000132AA" w:rsidRDefault="000132AA" w:rsidP="00D67FC6">
      <w:pPr>
        <w:spacing w:line="480" w:lineRule="auto"/>
      </w:pPr>
    </w:p>
    <w:p w14:paraId="5C0FE8F8" w14:textId="1DE1F0A2" w:rsidR="00C540DF" w:rsidRPr="00E47B78" w:rsidRDefault="00C540DF" w:rsidP="00D67FC6">
      <w:pPr>
        <w:spacing w:line="480" w:lineRule="auto"/>
        <w:rPr>
          <w:b/>
          <w:bCs/>
        </w:rPr>
      </w:pPr>
      <w:r w:rsidRPr="00E47B78">
        <w:rPr>
          <w:b/>
          <w:bCs/>
        </w:rPr>
        <w:t xml:space="preserve">1.1.4 Technological </w:t>
      </w:r>
    </w:p>
    <w:p w14:paraId="0E42A6D9" w14:textId="7CCE2A0A" w:rsidR="00D67FC6" w:rsidRDefault="00C540DF" w:rsidP="00D67FC6">
      <w:pPr>
        <w:spacing w:line="480" w:lineRule="auto"/>
      </w:pPr>
      <w:r>
        <w:t>The technology advancement in the NHS</w:t>
      </w:r>
      <w:r w:rsidR="00135F7A">
        <w:t xml:space="preserve"> </w:t>
      </w:r>
      <w:r>
        <w:t xml:space="preserve">has played key role during the pandemic and in the opposite side the pandemic has accelerated the technology advancement </w:t>
      </w:r>
      <w:r w:rsidR="00135F7A">
        <w:t>in different aspects like citizen services, interdepartmental connections, and employee services (</w:t>
      </w:r>
      <w:r w:rsidR="00E47B78">
        <w:rPr>
          <w:rFonts w:asciiTheme="minorHAnsi" w:hAnsiTheme="minorHAnsi" w:cstheme="minorHAnsi"/>
        </w:rPr>
        <w:t>National Health Service Business Association</w:t>
      </w:r>
      <w:r w:rsidR="00135F7A">
        <w:t>, 2021)</w:t>
      </w:r>
      <w:r>
        <w:t xml:space="preserve">. </w:t>
      </w:r>
      <w:r w:rsidR="00135F7A">
        <w:t>The technology changes</w:t>
      </w:r>
      <w:r w:rsidR="00C94925">
        <w:t xml:space="preserve"> plans</w:t>
      </w:r>
      <w:r w:rsidR="00135F7A">
        <w:t xml:space="preserve"> that </w:t>
      </w:r>
      <w:r w:rsidR="00E47B78">
        <w:t>were</w:t>
      </w:r>
      <w:r w:rsidR="00135F7A">
        <w:t xml:space="preserve"> </w:t>
      </w:r>
      <w:r w:rsidR="00C94925">
        <w:t>planned</w:t>
      </w:r>
      <w:r w:rsidR="00135F7A">
        <w:t xml:space="preserve"> to take months and years in the NHS long term plan was forced to come into life within weeks </w:t>
      </w:r>
      <w:r w:rsidR="00C94925">
        <w:t>because of</w:t>
      </w:r>
      <w:r w:rsidR="00135F7A">
        <w:t xml:space="preserve"> the pandemic to assist with the remote consultation and working. </w:t>
      </w:r>
    </w:p>
    <w:p w14:paraId="72988C48" w14:textId="0503A128" w:rsidR="00D67FC6" w:rsidRDefault="00135F7A" w:rsidP="00135F7A">
      <w:pPr>
        <w:spacing w:line="480" w:lineRule="auto"/>
      </w:pPr>
      <w:r>
        <w:t>There is evidence of higher satisfaction rate of video consultations (</w:t>
      </w:r>
      <w:proofErr w:type="spellStart"/>
      <w:r w:rsidRPr="00135F7A">
        <w:t>Zorron</w:t>
      </w:r>
      <w:proofErr w:type="spellEnd"/>
      <w:r>
        <w:t xml:space="preserve"> et al, 2021). Video consultation use has increased significantly in the NHS in general. Still video consultation is not the preferred model for many general practitioners (</w:t>
      </w:r>
      <w:r w:rsidRPr="00135F7A">
        <w:t>Randhawa</w:t>
      </w:r>
      <w:r>
        <w:t xml:space="preserve">, 2019).  There were different challenges, that made video consultation </w:t>
      </w:r>
      <w:r>
        <w:lastRenderedPageBreak/>
        <w:t xml:space="preserve">not to be the first choice for health care professionals. These challenges were related to time and difficulties of connection especially from the patients’ side. </w:t>
      </w:r>
      <w:proofErr w:type="spellStart"/>
      <w:r>
        <w:t>Ac</w:t>
      </w:r>
      <w:r w:rsidR="00CE1130">
        <w:t>c</w:t>
      </w:r>
      <w:r>
        <w:t>urx</w:t>
      </w:r>
      <w:proofErr w:type="spellEnd"/>
      <w:r>
        <w:t xml:space="preserve"> was one of most popular application that was used for video consultation in general practice but the connection to video consultation relied on a link that go from the doctor system to the patient smart phone that open to a web-based link that require permissions from the smart phone that occasionally found to be obstructing the consultation</w:t>
      </w:r>
      <w:r w:rsidR="00C94925">
        <w:t xml:space="preserve"> </w:t>
      </w:r>
      <w:r>
        <w:t xml:space="preserve">and </w:t>
      </w:r>
      <w:r w:rsidR="00C94925">
        <w:t xml:space="preserve">not rarely </w:t>
      </w:r>
      <w:r>
        <w:t>lead</w:t>
      </w:r>
      <w:r w:rsidR="00C94925">
        <w:t>ing</w:t>
      </w:r>
      <w:r>
        <w:t xml:space="preserve"> to failure of doing</w:t>
      </w:r>
      <w:r w:rsidR="00C94925">
        <w:t xml:space="preserve"> a</w:t>
      </w:r>
      <w:r>
        <w:t xml:space="preserve"> video consultation. Also, the start of the consultations meant that the clinician needed to call the patients first to ask them to click the link immediately after it was sent and taking time to get the connection that is challenging especially with the 10 minutes consultations in the general practice. In the other hand the private sector requires patients to download specific application</w:t>
      </w:r>
      <w:r w:rsidR="00C94925">
        <w:t xml:space="preserve"> and test it</w:t>
      </w:r>
      <w:r>
        <w:t xml:space="preserve"> in advance </w:t>
      </w:r>
      <w:r w:rsidR="00C94925">
        <w:t xml:space="preserve">with faster and easier experience of </w:t>
      </w:r>
      <w:r>
        <w:t>video consultations</w:t>
      </w:r>
      <w:r w:rsidR="00C94925">
        <w:t>;</w:t>
      </w:r>
      <w:r>
        <w:t xml:space="preserve"> hence improve the patient satisfaction.</w:t>
      </w:r>
    </w:p>
    <w:p w14:paraId="332BD166" w14:textId="07B4E6C8" w:rsidR="00135F7A" w:rsidRDefault="00135F7A" w:rsidP="00135F7A">
      <w:pPr>
        <w:spacing w:line="480" w:lineRule="auto"/>
      </w:pPr>
      <w:r>
        <w:t xml:space="preserve">The NHS has developed different types of fellowships including digital fellowship to lead the digital transformation of the NHS (The </w:t>
      </w:r>
      <w:proofErr w:type="spellStart"/>
      <w:r>
        <w:t>Topol</w:t>
      </w:r>
      <w:proofErr w:type="spellEnd"/>
      <w:r>
        <w:t xml:space="preserve"> review, 2019)</w:t>
      </w:r>
      <w:r w:rsidR="00C94925">
        <w:t xml:space="preserve"> that is expected to improve the practitioner experience and shape the digital transformation in a way that take the practitioner views. </w:t>
      </w:r>
    </w:p>
    <w:p w14:paraId="7DAE78FA" w14:textId="2963FBC5" w:rsidR="00135F7A" w:rsidRDefault="00135F7A" w:rsidP="00135F7A">
      <w:pPr>
        <w:spacing w:line="480" w:lineRule="auto"/>
      </w:pPr>
    </w:p>
    <w:p w14:paraId="7BBE6C3C" w14:textId="45AD1790" w:rsidR="00135F7A" w:rsidRPr="00E47B78" w:rsidRDefault="00135F7A" w:rsidP="00135F7A">
      <w:pPr>
        <w:spacing w:line="480" w:lineRule="auto"/>
        <w:rPr>
          <w:b/>
          <w:bCs/>
        </w:rPr>
      </w:pPr>
      <w:r w:rsidRPr="00E47B78">
        <w:rPr>
          <w:b/>
          <w:bCs/>
        </w:rPr>
        <w:t>1.1.5 Ecological</w:t>
      </w:r>
    </w:p>
    <w:p w14:paraId="0DFB0329" w14:textId="47D376AA" w:rsidR="00D67FC6" w:rsidRDefault="00135F7A" w:rsidP="00135F7A">
      <w:pPr>
        <w:spacing w:line="480" w:lineRule="auto"/>
      </w:pPr>
      <w:r>
        <w:t>The efforts to limit the numbers of COVID infections required the use of single use container and the use of professional protective equipment (PPE) when seeing patients and changing them between patients (</w:t>
      </w:r>
      <w:r w:rsidRPr="00135F7A">
        <w:t>Buck</w:t>
      </w:r>
      <w:r>
        <w:t xml:space="preserve">, 2020). Increased demand on face-to-face appointments means increased use of PPE that will mean new challenge for the NHS clinical waste. </w:t>
      </w:r>
    </w:p>
    <w:p w14:paraId="167C2802" w14:textId="34179CCF" w:rsidR="00135F7A" w:rsidRDefault="00135F7A" w:rsidP="00135F7A">
      <w:pPr>
        <w:spacing w:line="480" w:lineRule="auto"/>
      </w:pPr>
    </w:p>
    <w:p w14:paraId="08E78100" w14:textId="3E276CB1" w:rsidR="00135F7A" w:rsidRPr="00E47B78" w:rsidRDefault="00135F7A" w:rsidP="00135F7A">
      <w:pPr>
        <w:spacing w:line="480" w:lineRule="auto"/>
        <w:rPr>
          <w:b/>
          <w:bCs/>
        </w:rPr>
      </w:pPr>
      <w:r w:rsidRPr="00E47B78">
        <w:rPr>
          <w:b/>
          <w:bCs/>
        </w:rPr>
        <w:lastRenderedPageBreak/>
        <w:t>1.1.6 Legal</w:t>
      </w:r>
    </w:p>
    <w:p w14:paraId="0981A5A9" w14:textId="5B9C1264" w:rsidR="00135F7A" w:rsidRDefault="00C94925" w:rsidP="00135F7A">
      <w:pPr>
        <w:spacing w:line="480" w:lineRule="auto"/>
      </w:pPr>
      <w:r>
        <w:t>Throughout</w:t>
      </w:r>
      <w:r w:rsidR="00586ED1">
        <w:t xml:space="preserve"> the COVID pandemic, the NHS employers </w:t>
      </w:r>
      <w:r>
        <w:t>including GP practices</w:t>
      </w:r>
      <w:r w:rsidR="00586ED1">
        <w:t xml:space="preserve"> needed to make constant changes in the way they work depending on the constant legislation changes. An example of that the introduction of the 2-meter distance in the workplace and the waiting area and the constant changes in self isolation rules and return to work which frequently was stricter for the NHS staff and care staff.</w:t>
      </w:r>
    </w:p>
    <w:p w14:paraId="6E42BE21" w14:textId="244D6476" w:rsidR="00586ED1" w:rsidRDefault="00586ED1" w:rsidP="00135F7A">
      <w:pPr>
        <w:spacing w:line="480" w:lineRule="auto"/>
      </w:pPr>
      <w:r>
        <w:t>Before the pandemic there was various legislative changes that needed to take place to allow the long-term NHS plan and integrated care systems application that was accelerated with the onset of the pandemic (</w:t>
      </w:r>
      <w:proofErr w:type="spellStart"/>
      <w:r w:rsidRPr="00586ED1">
        <w:t>Thorlby</w:t>
      </w:r>
      <w:proofErr w:type="spellEnd"/>
      <w:r>
        <w:t xml:space="preserve">, 2021). </w:t>
      </w:r>
    </w:p>
    <w:p w14:paraId="4813D570" w14:textId="3BF009F9" w:rsidR="00611201" w:rsidRDefault="00611201" w:rsidP="00135F7A">
      <w:pPr>
        <w:spacing w:line="480" w:lineRule="auto"/>
      </w:pPr>
    </w:p>
    <w:p w14:paraId="02BB5899" w14:textId="1D788A22" w:rsidR="00611201" w:rsidRDefault="00611201" w:rsidP="00E47B78">
      <w:pPr>
        <w:pStyle w:val="Heading1"/>
      </w:pPr>
      <w:bookmarkStart w:id="5" w:name="_Hlk90673734"/>
      <w:r>
        <w:t xml:space="preserve">1.2 Porter’s five forces framework </w:t>
      </w:r>
    </w:p>
    <w:bookmarkEnd w:id="5"/>
    <w:p w14:paraId="3457EDE7" w14:textId="77777777" w:rsidR="00E47B78" w:rsidRPr="00E47B78" w:rsidRDefault="00E47B78" w:rsidP="00E47B78"/>
    <w:p w14:paraId="310357A4" w14:textId="0E584502" w:rsidR="00AE6687" w:rsidRDefault="00611201" w:rsidP="00611201">
      <w:pPr>
        <w:spacing w:line="480" w:lineRule="auto"/>
      </w:pPr>
      <w:r>
        <w:t>The second step to understand the strategic position of the GP partnership module is perform industry analysis. The industry can be defined as ‘‘group of firms are producing products or services that essentially the same’’ (</w:t>
      </w:r>
      <w:bookmarkStart w:id="6" w:name="_Hlk89606009"/>
      <w:r w:rsidRPr="00A953B6">
        <w:t>Whittington</w:t>
      </w:r>
      <w:bookmarkEnd w:id="6"/>
      <w:r>
        <w:t xml:space="preserve">, 2019, p.63). The GP partnerships supply non-emergency primary care services outside the hospital in United Kingdom. Hence the industry is will include any firm or company that offer non-emergency primary care services in the UK. </w:t>
      </w:r>
    </w:p>
    <w:p w14:paraId="7FA73506" w14:textId="25EA71BF" w:rsidR="00611201" w:rsidRDefault="00611201" w:rsidP="00611201">
      <w:pPr>
        <w:spacing w:line="480" w:lineRule="auto"/>
      </w:pPr>
      <w:r>
        <w:t>Porter’s five forces or competition forces is more complex competition for profit not simple competition for sale (</w:t>
      </w:r>
      <w:proofErr w:type="spellStart"/>
      <w:r w:rsidRPr="00611201">
        <w:t>Magretta</w:t>
      </w:r>
      <w:proofErr w:type="spellEnd"/>
      <w:r>
        <w:t xml:space="preserve">, 2012). The study of competition forces </w:t>
      </w:r>
      <w:proofErr w:type="gramStart"/>
      <w:r>
        <w:t>help</w:t>
      </w:r>
      <w:proofErr w:type="gramEnd"/>
      <w:r>
        <w:t xml:space="preserve"> understand the strategic position and more precisely the profitability of certain industry. The competition forces are 1- </w:t>
      </w:r>
      <w:r w:rsidRPr="00611201">
        <w:t xml:space="preserve">extent of rivalry between competitors; </w:t>
      </w:r>
      <w:r>
        <w:t>2-</w:t>
      </w:r>
      <w:r w:rsidRPr="00611201">
        <w:t xml:space="preserve"> threat of entry; </w:t>
      </w:r>
      <w:r>
        <w:t>3-</w:t>
      </w:r>
      <w:r w:rsidRPr="00611201">
        <w:t xml:space="preserve"> threat of substitutes; </w:t>
      </w:r>
      <w:r>
        <w:t>4</w:t>
      </w:r>
      <w:r w:rsidRPr="00611201">
        <w:t xml:space="preserve"> power of buyers; and</w:t>
      </w:r>
      <w:r>
        <w:t xml:space="preserve"> 5-</w:t>
      </w:r>
      <w:r w:rsidRPr="00611201">
        <w:t xml:space="preserve"> power of suppliers.</w:t>
      </w:r>
    </w:p>
    <w:p w14:paraId="2E1A7704" w14:textId="77777777" w:rsidR="00611201" w:rsidRDefault="00611201" w:rsidP="00611201">
      <w:pPr>
        <w:spacing w:line="480" w:lineRule="auto"/>
      </w:pPr>
    </w:p>
    <w:p w14:paraId="2D1C4EA2" w14:textId="6655B679" w:rsidR="00611201" w:rsidRPr="00E47B78" w:rsidRDefault="00611201" w:rsidP="00135F7A">
      <w:pPr>
        <w:spacing w:line="480" w:lineRule="auto"/>
        <w:rPr>
          <w:b/>
          <w:bCs/>
        </w:rPr>
      </w:pPr>
      <w:r w:rsidRPr="00E47B78">
        <w:rPr>
          <w:b/>
          <w:bCs/>
        </w:rPr>
        <w:t xml:space="preserve">1.2.1 rivalry between competitors: </w:t>
      </w:r>
    </w:p>
    <w:p w14:paraId="385F07A4" w14:textId="77777777" w:rsidR="00611201" w:rsidRDefault="00611201" w:rsidP="00135F7A">
      <w:pPr>
        <w:spacing w:line="480" w:lineRule="auto"/>
      </w:pPr>
    </w:p>
    <w:p w14:paraId="4827715E" w14:textId="0C846B20" w:rsidR="00611201" w:rsidRDefault="00611201" w:rsidP="00135F7A">
      <w:pPr>
        <w:spacing w:line="480" w:lineRule="auto"/>
      </w:pPr>
      <w:r>
        <w:lastRenderedPageBreak/>
        <w:t xml:space="preserve">The level of rivalry </w:t>
      </w:r>
      <w:r w:rsidR="00962CA4">
        <w:t>depends</w:t>
      </w:r>
      <w:r>
        <w:t xml:space="preserve"> on different factor, most importantly on the type of the service. There are </w:t>
      </w:r>
      <w:r w:rsidR="00962CA4">
        <w:t>two-way</w:t>
      </w:r>
      <w:r>
        <w:t xml:space="preserve"> primary care providers get their money. The basic contract depends on the number of patients registered with the GP practice and this cover day to day primary care consultations and care. There is extra money that come from supplying extra services like the vaccine, out of hours, extended access, training, research, </w:t>
      </w:r>
      <w:proofErr w:type="gramStart"/>
      <w:r>
        <w:t>vasectomy</w:t>
      </w:r>
      <w:proofErr w:type="gramEnd"/>
      <w:r>
        <w:t xml:space="preserve"> or contraception services. </w:t>
      </w:r>
    </w:p>
    <w:p w14:paraId="00E8AEB5" w14:textId="0C7756B3" w:rsidR="00611201" w:rsidRDefault="00611201" w:rsidP="00135F7A">
      <w:pPr>
        <w:spacing w:line="480" w:lineRule="auto"/>
      </w:pPr>
    </w:p>
    <w:p w14:paraId="10078B4A" w14:textId="5E34717C" w:rsidR="00611201" w:rsidRDefault="00611201" w:rsidP="00611201">
      <w:pPr>
        <w:spacing w:line="480" w:lineRule="auto"/>
      </w:pPr>
      <w:r>
        <w:t xml:space="preserve">The rivalry between the local GP practices is not high for the basic health care services because it relies on the capacity that is infrequently tight. Still, the rivalry is higher for the more specialised the service and the easier the money. For example, the minor surgery service can be supplied by every single practice or one practice can compete for the service for the local practice. But for more specialised service like vasectomy, it is usually one practice that offer the service for the rest of the local practice where the competition appears. </w:t>
      </w:r>
    </w:p>
    <w:p w14:paraId="56264AFF" w14:textId="77777777" w:rsidR="00611201" w:rsidRDefault="00611201" w:rsidP="00611201">
      <w:pPr>
        <w:spacing w:line="480" w:lineRule="auto"/>
      </w:pPr>
    </w:p>
    <w:p w14:paraId="311E170E" w14:textId="77777777" w:rsidR="00611201" w:rsidRDefault="00611201" w:rsidP="00135F7A">
      <w:pPr>
        <w:spacing w:line="480" w:lineRule="auto"/>
      </w:pPr>
      <w:r>
        <w:t xml:space="preserve">Taking GP practices in one side, the rivalry is higher with other providers like Babylon. These firms are perceived as threat to the local practices. Up till the time this report written the rivalry is higher in bigger cities only but with the government opening the door for bigger suppliers, the rivalry between these suppliers is only expected to increase.  </w:t>
      </w:r>
    </w:p>
    <w:p w14:paraId="0146202B" w14:textId="392CF1EF" w:rsidR="00611201" w:rsidRDefault="00611201" w:rsidP="00135F7A">
      <w:pPr>
        <w:spacing w:line="480" w:lineRule="auto"/>
      </w:pPr>
      <w:r>
        <w:t xml:space="preserve">The GP practices in Coventry and Warwickshire developed an alliance to provide certain services to prevent players like Babylon from entering the area. Bigger companies like Babylon focus on online consultations and on big cities where they can manage large number of practices; they have 7 practices in London and one in Birmingham. Local GP practices find similar companies attracting younger </w:t>
      </w:r>
      <w:r>
        <w:lastRenderedPageBreak/>
        <w:t xml:space="preserve">population who want to use technology to get fast health advice with less health needs and less likely to use many appointments like older population. </w:t>
      </w:r>
    </w:p>
    <w:p w14:paraId="7777B7DD" w14:textId="1377A6C4" w:rsidR="00586ED1" w:rsidRDefault="00586ED1" w:rsidP="00135F7A">
      <w:pPr>
        <w:spacing w:line="480" w:lineRule="auto"/>
      </w:pPr>
    </w:p>
    <w:p w14:paraId="70455AAF" w14:textId="60C13BE9" w:rsidR="00611201" w:rsidRPr="00E47B78" w:rsidRDefault="00611201" w:rsidP="00135F7A">
      <w:pPr>
        <w:spacing w:line="480" w:lineRule="auto"/>
        <w:rPr>
          <w:b/>
          <w:bCs/>
        </w:rPr>
      </w:pPr>
      <w:r w:rsidRPr="00E47B78">
        <w:rPr>
          <w:b/>
          <w:bCs/>
        </w:rPr>
        <w:t>1.2.2 threat of entry</w:t>
      </w:r>
    </w:p>
    <w:p w14:paraId="0990F7A1" w14:textId="5E64904B" w:rsidR="00586ED1" w:rsidRDefault="00611201" w:rsidP="00135F7A">
      <w:pPr>
        <w:spacing w:line="480" w:lineRule="auto"/>
      </w:pPr>
      <w:r>
        <w:t xml:space="preserve">There is various barrier for small new GP practices to entre the market. These barriers are: </w:t>
      </w:r>
    </w:p>
    <w:p w14:paraId="3C7B00F5" w14:textId="1A126A68" w:rsidR="00611201" w:rsidRDefault="00611201" w:rsidP="00611201">
      <w:pPr>
        <w:pStyle w:val="ListParagraph"/>
        <w:numPr>
          <w:ilvl w:val="0"/>
          <w:numId w:val="3"/>
        </w:numPr>
        <w:spacing w:line="480" w:lineRule="auto"/>
      </w:pPr>
      <w:r>
        <w:t xml:space="preserve">The GP practices make profit from patient registration that take long time to acquire. Most patients are loyal to their GP or to their GP practice and usually remain with the same practice for long period of time that may reach to many years. Most GP partnerships has been there for many years, but the GP partners have changed over the years. </w:t>
      </w:r>
    </w:p>
    <w:p w14:paraId="3DEFE7F2" w14:textId="6BACEEBB" w:rsidR="00611201" w:rsidRDefault="00611201" w:rsidP="00611201">
      <w:pPr>
        <w:pStyle w:val="ListParagraph"/>
        <w:numPr>
          <w:ilvl w:val="0"/>
          <w:numId w:val="3"/>
        </w:numPr>
        <w:spacing w:line="480" w:lineRule="auto"/>
      </w:pPr>
      <w:r>
        <w:t xml:space="preserve">High cost of the suppliers (locum health care professionals) and difficulty of employing doctors and nurses who are considered the suppliers of the GP services. </w:t>
      </w:r>
    </w:p>
    <w:p w14:paraId="644F7D2F" w14:textId="72301C79" w:rsidR="00611201" w:rsidRDefault="00611201" w:rsidP="00611201">
      <w:pPr>
        <w:spacing w:line="480" w:lineRule="auto"/>
      </w:pPr>
    </w:p>
    <w:p w14:paraId="37B96672" w14:textId="3DA6E46D" w:rsidR="00611201" w:rsidRDefault="00611201" w:rsidP="00611201">
      <w:pPr>
        <w:spacing w:line="480" w:lineRule="auto"/>
      </w:pPr>
      <w:r>
        <w:t xml:space="preserve">New entrant suppliers mostly coming to deliver new service, like out of hours service, or acquire existing practices. The later type of suppliers is seen greater threat to the existence of the GP partnership module because they give the same type of service and not merely taking additional services like out of hours or vasectomy. </w:t>
      </w:r>
      <w:proofErr w:type="spellStart"/>
      <w:r w:rsidRPr="00611201">
        <w:t>Iacobucci</w:t>
      </w:r>
      <w:proofErr w:type="spellEnd"/>
      <w:r>
        <w:t xml:space="preserve"> (2021) reported in the BMJ that </w:t>
      </w:r>
      <w:r w:rsidRPr="00611201">
        <w:t>Operose Healt</w:t>
      </w:r>
      <w:r>
        <w:t xml:space="preserve">h, which is US health care firm subsidiary, has taken over 50 practices in London that is making it the largest health care provider in UK. </w:t>
      </w:r>
    </w:p>
    <w:p w14:paraId="4695F619" w14:textId="020F0862" w:rsidR="00475D6F" w:rsidRDefault="00475D6F" w:rsidP="00611201">
      <w:pPr>
        <w:spacing w:line="480" w:lineRule="auto"/>
      </w:pPr>
    </w:p>
    <w:p w14:paraId="15C14F47" w14:textId="378950A4" w:rsidR="00475D6F" w:rsidRPr="00E47B78" w:rsidRDefault="00475D6F" w:rsidP="00611201">
      <w:pPr>
        <w:spacing w:line="480" w:lineRule="auto"/>
        <w:rPr>
          <w:b/>
          <w:bCs/>
        </w:rPr>
      </w:pPr>
      <w:r w:rsidRPr="00E47B78">
        <w:rPr>
          <w:b/>
          <w:bCs/>
        </w:rPr>
        <w:t>1.2.3 threat of substitute</w:t>
      </w:r>
    </w:p>
    <w:p w14:paraId="1D6D811F" w14:textId="515C39B3" w:rsidR="00475D6F" w:rsidRDefault="00475D6F" w:rsidP="00611201">
      <w:pPr>
        <w:spacing w:line="480" w:lineRule="auto"/>
      </w:pPr>
      <w:r>
        <w:lastRenderedPageBreak/>
        <w:t xml:space="preserve">The problem of GP recruitment crisis opened the gate for thinking of GP substitutes like physio, clinical pharmacist, social prescriber, podiatrists, and dietitians. The NHS started implementing this substitution process through employing these roles through the primary care networks (PCN) in a shared form of employment between practices in the same PCN. The GP practices welcomed this step as in the current form, it offers supplier substitute (GPs) without needing to pay for them from the practice money. But the money for these services come to the PCN not to the GP practices and it is separate from the main GP contract that mean the funding remain the same for the GP practices or even less if they choose to access certain services supplied by the PCN. </w:t>
      </w:r>
    </w:p>
    <w:p w14:paraId="5A1E6B4E" w14:textId="6EAF7ABC" w:rsidR="00475D6F" w:rsidRDefault="00475D6F" w:rsidP="00611201">
      <w:pPr>
        <w:spacing w:line="480" w:lineRule="auto"/>
      </w:pPr>
    </w:p>
    <w:p w14:paraId="5D047369" w14:textId="40AC9F11" w:rsidR="00475D6F" w:rsidRDefault="00475D6F" w:rsidP="00611201">
      <w:pPr>
        <w:spacing w:line="480" w:lineRule="auto"/>
      </w:pPr>
      <w:r>
        <w:t xml:space="preserve">There is a threat that, the NHS England can decide to take these roles outside the GP practices and give them their special contract. </w:t>
      </w:r>
    </w:p>
    <w:p w14:paraId="395F17DB" w14:textId="10230DBE" w:rsidR="00475D6F" w:rsidRDefault="00475D6F" w:rsidP="00611201">
      <w:pPr>
        <w:spacing w:line="480" w:lineRule="auto"/>
      </w:pPr>
    </w:p>
    <w:p w14:paraId="2BD2FC0E" w14:textId="6031759F" w:rsidR="00475D6F" w:rsidRPr="00E47B78" w:rsidRDefault="00475D6F" w:rsidP="00611201">
      <w:pPr>
        <w:spacing w:line="480" w:lineRule="auto"/>
        <w:rPr>
          <w:b/>
          <w:bCs/>
        </w:rPr>
      </w:pPr>
      <w:r w:rsidRPr="00E47B78">
        <w:rPr>
          <w:b/>
          <w:bCs/>
        </w:rPr>
        <w:t>1.2.4 power of buyers</w:t>
      </w:r>
    </w:p>
    <w:p w14:paraId="647A4A2C" w14:textId="2B1772CE" w:rsidR="00475D6F" w:rsidRDefault="00475D6F" w:rsidP="00611201">
      <w:pPr>
        <w:spacing w:line="480" w:lineRule="auto"/>
      </w:pPr>
      <w:r>
        <w:t xml:space="preserve">This is a huge problem for the GP partnership module. They have single and only buyer which is the NHS England that can drive the prices as low as it is unprofitable or do keep the same negotiated prices for very long time that does not reflect the increase in the industry expenses or the increased demand on the service. </w:t>
      </w:r>
    </w:p>
    <w:p w14:paraId="6E368B1D" w14:textId="3D83D0C5" w:rsidR="00475D6F" w:rsidRDefault="00475D6F" w:rsidP="00611201">
      <w:pPr>
        <w:spacing w:line="480" w:lineRule="auto"/>
      </w:pPr>
    </w:p>
    <w:p w14:paraId="04ECEB83" w14:textId="2A38B559" w:rsidR="00475D6F" w:rsidRDefault="00475D6F" w:rsidP="00611201">
      <w:pPr>
        <w:spacing w:line="480" w:lineRule="auto"/>
      </w:pPr>
      <w:r>
        <w:t xml:space="preserve">Here lies the importance of strong association that negotiate the terms of the contract with the NHS England. unfortunately, this is a unified process, so some of the GP practices will be forced to for the same contract even if they don’t agree with the terms and they will need to adapt to the terms. Here lies that the importance of </w:t>
      </w:r>
      <w:r>
        <w:lastRenderedPageBreak/>
        <w:t xml:space="preserve">the GP practices to keep involved on their associations to have their say about vital decisions about their business. </w:t>
      </w:r>
    </w:p>
    <w:p w14:paraId="5C91D4EC" w14:textId="61A24769" w:rsidR="00475D6F" w:rsidRDefault="00475D6F" w:rsidP="00611201">
      <w:pPr>
        <w:spacing w:line="480" w:lineRule="auto"/>
      </w:pPr>
    </w:p>
    <w:p w14:paraId="299A73A4" w14:textId="5195D8B9" w:rsidR="00475D6F" w:rsidRPr="00E47B78" w:rsidRDefault="00475D6F" w:rsidP="00611201">
      <w:pPr>
        <w:spacing w:line="480" w:lineRule="auto"/>
        <w:rPr>
          <w:b/>
          <w:bCs/>
        </w:rPr>
      </w:pPr>
      <w:r w:rsidRPr="00E47B78">
        <w:rPr>
          <w:b/>
          <w:bCs/>
        </w:rPr>
        <w:t>1.2.5 power of suppliers</w:t>
      </w:r>
    </w:p>
    <w:p w14:paraId="47E50370" w14:textId="6CE32A7F" w:rsidR="00D67FC6" w:rsidRDefault="00475D6F" w:rsidP="00D67FC6">
      <w:pPr>
        <w:spacing w:line="480" w:lineRule="auto"/>
      </w:pPr>
      <w:r>
        <w:t xml:space="preserve">However, there is several substitutes for the GP role in the GP practices like advanced nurse practitioners, the clinical pharmacists, or the physiotherapies but every one of these roles are specific and cannot entirely substitute the GP role. Also, the GP recruitment crisis mean that the GP practices are constantly needing to get locums to cover the work and supply the service. Often the GP practices fail to get locums, and this clarify the scarcity of the supplier which give them higher bargaining power. It is frequent that the GP locums specify certain work that they don’t do like home visits or duties also they have higher bargaining bower for the price. </w:t>
      </w:r>
    </w:p>
    <w:p w14:paraId="61E22FD0" w14:textId="3D512B22" w:rsidR="00475D6F" w:rsidRDefault="00475D6F" w:rsidP="00D67FC6">
      <w:pPr>
        <w:spacing w:line="480" w:lineRule="auto"/>
      </w:pPr>
    </w:p>
    <w:p w14:paraId="6DF098C2" w14:textId="26313DF6" w:rsidR="00475D6F" w:rsidRDefault="00475D6F" w:rsidP="00D67FC6">
      <w:pPr>
        <w:spacing w:line="480" w:lineRule="auto"/>
      </w:pPr>
      <w:r>
        <w:t xml:space="preserve">In the other side, many GP locums like the idea of long-term locum which give the GP practice some bargaining bower for the price and the services. </w:t>
      </w:r>
    </w:p>
    <w:p w14:paraId="4A22CA8D" w14:textId="33C1684D" w:rsidR="00475D6F" w:rsidRDefault="00475D6F" w:rsidP="00D67FC6">
      <w:pPr>
        <w:spacing w:line="480" w:lineRule="auto"/>
      </w:pPr>
    </w:p>
    <w:p w14:paraId="1DCB2D16" w14:textId="49B601FC" w:rsidR="00475D6F" w:rsidRDefault="00475D6F" w:rsidP="00D67FC6">
      <w:pPr>
        <w:spacing w:line="480" w:lineRule="auto"/>
      </w:pPr>
      <w:r>
        <w:t xml:space="preserve">Studying the Porter’s five forces there are few learning points for the GP practices: </w:t>
      </w:r>
    </w:p>
    <w:p w14:paraId="6676F630" w14:textId="0D512426" w:rsidR="00475D6F" w:rsidRDefault="00475D6F" w:rsidP="00475D6F">
      <w:pPr>
        <w:pStyle w:val="ListParagraph"/>
        <w:numPr>
          <w:ilvl w:val="0"/>
          <w:numId w:val="4"/>
        </w:numPr>
        <w:spacing w:line="480" w:lineRule="auto"/>
      </w:pPr>
      <w:r>
        <w:t xml:space="preserve">The GP practices need high importance for the negotiated contract with the NHS England. </w:t>
      </w:r>
    </w:p>
    <w:p w14:paraId="7CE48A5C" w14:textId="1EBB7579" w:rsidR="00475D6F" w:rsidRDefault="00475D6F" w:rsidP="00475D6F">
      <w:pPr>
        <w:pStyle w:val="ListParagraph"/>
        <w:numPr>
          <w:ilvl w:val="0"/>
          <w:numId w:val="4"/>
        </w:numPr>
        <w:spacing w:line="480" w:lineRule="auto"/>
      </w:pPr>
      <w:r>
        <w:t xml:space="preserve">Small GP practices is under more threat to be taken over by large corporation. To avoid this effect, they may need to make extensions or logistic mergers. </w:t>
      </w:r>
    </w:p>
    <w:p w14:paraId="5CE63637" w14:textId="77777777" w:rsidR="00E47B78" w:rsidRDefault="00475D6F" w:rsidP="00475D6F">
      <w:pPr>
        <w:pStyle w:val="ListParagraph"/>
        <w:numPr>
          <w:ilvl w:val="0"/>
          <w:numId w:val="4"/>
        </w:numPr>
        <w:spacing w:line="480" w:lineRule="auto"/>
      </w:pPr>
      <w:r>
        <w:t>The successful GP practices are the ones who will keep their current salaried GPs and ANPs in the practice and make early plans for replacement of leaving staff. Efforts needs to focus on this area to avoid the need for high-cost suppliers (GP locums).</w:t>
      </w:r>
    </w:p>
    <w:p w14:paraId="3FC9E017" w14:textId="2C4E8F8F" w:rsidR="00475D6F" w:rsidRDefault="00475D6F" w:rsidP="00E47B78">
      <w:pPr>
        <w:spacing w:line="480" w:lineRule="auto"/>
      </w:pPr>
      <w:r>
        <w:lastRenderedPageBreak/>
        <w:t xml:space="preserve"> </w:t>
      </w:r>
    </w:p>
    <w:p w14:paraId="7A7009FC" w14:textId="7D89E300" w:rsidR="00475D6F" w:rsidRDefault="00962CA4" w:rsidP="00E47B78">
      <w:pPr>
        <w:pStyle w:val="Heading1"/>
      </w:pPr>
      <w:bookmarkStart w:id="7" w:name="_Hlk90673775"/>
      <w:r>
        <w:t xml:space="preserve">1.3 analysing the </w:t>
      </w:r>
      <w:r w:rsidR="00E47B78">
        <w:t xml:space="preserve">GP partnership </w:t>
      </w:r>
      <w:r>
        <w:t>resources and capabilities</w:t>
      </w:r>
    </w:p>
    <w:bookmarkEnd w:id="7"/>
    <w:p w14:paraId="4A42202E" w14:textId="77777777" w:rsidR="00E47B78" w:rsidRPr="00E47B78" w:rsidRDefault="00E47B78" w:rsidP="00E47B78"/>
    <w:p w14:paraId="0D69F4CF" w14:textId="2B2DAE17" w:rsidR="00962CA4" w:rsidRDefault="00962CA4" w:rsidP="00475D6F">
      <w:pPr>
        <w:spacing w:line="480" w:lineRule="auto"/>
      </w:pPr>
      <w:r>
        <w:t xml:space="preserve">After analysing the outer layer represented in the macroenvironment using PESTEL tool, followed by analysing the middle layer surrounding the organisation represented by the industry analysis using the Porter’s five forces framework. It is time to analysis the organisation resources and capabilities using VRIO analysis. </w:t>
      </w:r>
    </w:p>
    <w:p w14:paraId="127C692C" w14:textId="49DB7508" w:rsidR="00962CA4" w:rsidRDefault="00962CA4" w:rsidP="00475D6F">
      <w:pPr>
        <w:spacing w:line="480" w:lineRule="auto"/>
      </w:pPr>
    </w:p>
    <w:p w14:paraId="5597C831" w14:textId="77777777" w:rsidR="00962CA4" w:rsidRDefault="00962CA4" w:rsidP="00475D6F">
      <w:pPr>
        <w:spacing w:line="480" w:lineRule="auto"/>
      </w:pPr>
      <w:r>
        <w:t xml:space="preserve">For every industry there are minimum resources and capability that is necessary to be there to be able to compete or even exist in the market.  But the distinctive resources and capabilities is needed to achieve competitive advantages. </w:t>
      </w:r>
    </w:p>
    <w:p w14:paraId="032588A7" w14:textId="3A2D5494" w:rsidR="00962CA4" w:rsidRDefault="00962CA4" w:rsidP="00475D6F">
      <w:pPr>
        <w:spacing w:line="480" w:lineRule="auto"/>
      </w:pPr>
    </w:p>
    <w:p w14:paraId="7812902C" w14:textId="0936ADCA" w:rsidR="00962CA4" w:rsidRPr="00E47B78" w:rsidRDefault="00962CA4" w:rsidP="00475D6F">
      <w:pPr>
        <w:spacing w:line="480" w:lineRule="auto"/>
        <w:rPr>
          <w:b/>
          <w:bCs/>
        </w:rPr>
      </w:pPr>
      <w:r w:rsidRPr="00E47B78">
        <w:rPr>
          <w:b/>
          <w:bCs/>
        </w:rPr>
        <w:t>1.3.1 V – Value</w:t>
      </w:r>
    </w:p>
    <w:p w14:paraId="427ED382" w14:textId="7A036A07" w:rsidR="00962CA4" w:rsidRDefault="00962CA4" w:rsidP="00475D6F">
      <w:pPr>
        <w:spacing w:line="480" w:lineRule="auto"/>
      </w:pPr>
      <w:r>
        <w:t xml:space="preserve">GP practices supply the primary care functions that has value for the direct customer represented in the NHS England and the end customers represented in the list of patients. But this resource can be easily replicated and supplied by other organisations like the companies running primary care services or by local trusts. </w:t>
      </w:r>
    </w:p>
    <w:p w14:paraId="0CB2EA92" w14:textId="78DC6A4A" w:rsidR="00962CA4" w:rsidRPr="00E47B78" w:rsidRDefault="00962CA4" w:rsidP="00475D6F">
      <w:pPr>
        <w:spacing w:line="480" w:lineRule="auto"/>
        <w:rPr>
          <w:b/>
          <w:bCs/>
        </w:rPr>
      </w:pPr>
      <w:r w:rsidRPr="00E47B78">
        <w:rPr>
          <w:b/>
          <w:bCs/>
        </w:rPr>
        <w:t>1.3.2 R - Rarity</w:t>
      </w:r>
    </w:p>
    <w:p w14:paraId="12DA3C49" w14:textId="4519DC3B" w:rsidR="00962CA4" w:rsidRDefault="00962CA4" w:rsidP="00475D6F">
      <w:pPr>
        <w:spacing w:line="480" w:lineRule="auto"/>
      </w:pPr>
      <w:r>
        <w:t xml:space="preserve">I do not see the GP services in this position. </w:t>
      </w:r>
    </w:p>
    <w:p w14:paraId="0C22A48B" w14:textId="3CB784DF" w:rsidR="00962CA4" w:rsidRPr="00E47B78" w:rsidRDefault="00962CA4" w:rsidP="00475D6F">
      <w:pPr>
        <w:spacing w:line="480" w:lineRule="auto"/>
        <w:rPr>
          <w:b/>
          <w:bCs/>
        </w:rPr>
      </w:pPr>
      <w:r w:rsidRPr="00E47B78">
        <w:rPr>
          <w:b/>
          <w:bCs/>
        </w:rPr>
        <w:t>1.3.3 I - Inimitability</w:t>
      </w:r>
    </w:p>
    <w:p w14:paraId="50D4CACE" w14:textId="3E040FA7" w:rsidR="00962CA4" w:rsidRDefault="00962CA4" w:rsidP="00475D6F">
      <w:pPr>
        <w:spacing w:line="480" w:lineRule="auto"/>
      </w:pPr>
      <w:r>
        <w:t xml:space="preserve">The service that is very difficult to be imitable by other organisations is the doctor patient relationship in the partnership module. In the typical partnership module, the doctors know their patients well and there is continuity of care. The long-term doctor patient relationship creates level of trust and understanding. </w:t>
      </w:r>
    </w:p>
    <w:p w14:paraId="2D0738D8" w14:textId="2E969E32" w:rsidR="00962CA4" w:rsidRDefault="00962CA4" w:rsidP="00475D6F">
      <w:pPr>
        <w:spacing w:line="480" w:lineRule="auto"/>
      </w:pPr>
      <w:r>
        <w:lastRenderedPageBreak/>
        <w:t xml:space="preserve">Medium and large size practices and practices relying on temporary doctors can lose this unique relationship and they may lose their patients easily if they are going through difficult times.  </w:t>
      </w:r>
    </w:p>
    <w:p w14:paraId="188CE4ED" w14:textId="70371097" w:rsidR="00E47B78" w:rsidRDefault="00962CA4" w:rsidP="00E47B78">
      <w:pPr>
        <w:spacing w:line="480" w:lineRule="auto"/>
      </w:pPr>
      <w:r>
        <w:t xml:space="preserve">Companies may try to develop this relationship, but this will require long term contracts for GP in their practices where patients come particularly to see them. Still this module is against the companies’ structure. </w:t>
      </w:r>
    </w:p>
    <w:p w14:paraId="2CA37D00" w14:textId="3AE68E5F" w:rsidR="00962CA4" w:rsidRPr="00E47B78" w:rsidRDefault="00962CA4" w:rsidP="00962CA4">
      <w:pPr>
        <w:spacing w:line="480" w:lineRule="auto"/>
        <w:rPr>
          <w:b/>
          <w:bCs/>
        </w:rPr>
      </w:pPr>
      <w:r w:rsidRPr="00E47B78">
        <w:rPr>
          <w:b/>
          <w:bCs/>
        </w:rPr>
        <w:t>1.3.4 O – Organisational support</w:t>
      </w:r>
    </w:p>
    <w:p w14:paraId="39F0A529" w14:textId="20712C47" w:rsidR="00962CA4" w:rsidRDefault="00962CA4" w:rsidP="00962CA4">
      <w:pPr>
        <w:spacing w:line="480" w:lineRule="auto"/>
      </w:pPr>
      <w:r>
        <w:t xml:space="preserve">With the current structure of the GP partnership module, there is variety between practices on the organisational support to take the opportunities or to obstruct threats. But having the alliances and PCNs facilitate the communication between local practices that may allow collaboration to take opportunities and obstruct threats. </w:t>
      </w:r>
    </w:p>
    <w:p w14:paraId="30BC512C" w14:textId="4382D35C" w:rsidR="00962CA4" w:rsidRDefault="00962CA4" w:rsidP="00962CA4">
      <w:pPr>
        <w:spacing w:line="480" w:lineRule="auto"/>
      </w:pPr>
    </w:p>
    <w:p w14:paraId="0CF34A1D" w14:textId="53702AED" w:rsidR="00962CA4" w:rsidRDefault="00962CA4" w:rsidP="00E47B78">
      <w:pPr>
        <w:pStyle w:val="Heading1"/>
      </w:pPr>
      <w:bookmarkStart w:id="8" w:name="_Hlk90673792"/>
      <w:r>
        <w:t xml:space="preserve">1.4 SWOT </w:t>
      </w:r>
    </w:p>
    <w:bookmarkEnd w:id="8"/>
    <w:p w14:paraId="112BAE53" w14:textId="77777777" w:rsidR="00E47B78" w:rsidRPr="00E47B78" w:rsidRDefault="00E47B78" w:rsidP="00E47B78"/>
    <w:p w14:paraId="31DF8847" w14:textId="7A1DA62E" w:rsidR="00962CA4" w:rsidRDefault="00962CA4" w:rsidP="00962CA4">
      <w:pPr>
        <w:spacing w:line="480" w:lineRule="auto"/>
      </w:pPr>
      <w:r>
        <w:t xml:space="preserve">To summarise the above factors and understand the relationship between </w:t>
      </w:r>
      <w:proofErr w:type="spellStart"/>
      <w:r>
        <w:t>between</w:t>
      </w:r>
      <w:proofErr w:type="spellEnd"/>
      <w:r>
        <w:t xml:space="preserve"> the environmental influences and resources and capabilities, I will use the SWOT (strengths, weaknesses, </w:t>
      </w:r>
      <w:proofErr w:type="gramStart"/>
      <w:r>
        <w:t>opportunities</w:t>
      </w:r>
      <w:proofErr w:type="gramEnd"/>
      <w:r>
        <w:t xml:space="preserve"> and threats) for the GP partnership module and compare it to the healthcare companies. </w:t>
      </w:r>
    </w:p>
    <w:p w14:paraId="1B5EFDB4" w14:textId="2637A0E2" w:rsidR="00962CA4" w:rsidRDefault="00962CA4" w:rsidP="00962CA4">
      <w:pPr>
        <w:spacing w:line="480" w:lineRule="auto"/>
      </w:pPr>
    </w:p>
    <w:p w14:paraId="3F23C44F" w14:textId="2A80FF1B" w:rsidR="00962CA4" w:rsidRPr="00E47B78" w:rsidRDefault="00962CA4" w:rsidP="00962CA4">
      <w:pPr>
        <w:spacing w:line="480" w:lineRule="auto"/>
        <w:rPr>
          <w:b/>
          <w:bCs/>
        </w:rPr>
      </w:pPr>
      <w:r w:rsidRPr="00E47B78">
        <w:rPr>
          <w:b/>
          <w:bCs/>
        </w:rPr>
        <w:t>1.4.1 GP partnership SWOT</w:t>
      </w:r>
    </w:p>
    <w:p w14:paraId="757757DA" w14:textId="51DE9F90" w:rsidR="00962CA4" w:rsidRDefault="00962CA4" w:rsidP="00962CA4">
      <w:pPr>
        <w:spacing w:line="480" w:lineRule="auto"/>
      </w:pPr>
      <w:r>
        <w:t xml:space="preserve">S – Strengths: </w:t>
      </w:r>
    </w:p>
    <w:p w14:paraId="649C2BD4" w14:textId="21C588CB" w:rsidR="00962CA4" w:rsidRDefault="00962CA4" w:rsidP="00962CA4">
      <w:pPr>
        <w:pStyle w:val="ListParagraph"/>
        <w:numPr>
          <w:ilvl w:val="0"/>
          <w:numId w:val="5"/>
        </w:numPr>
        <w:spacing w:line="480" w:lineRule="auto"/>
      </w:pPr>
      <w:r>
        <w:t xml:space="preserve">Patient loyalty. </w:t>
      </w:r>
    </w:p>
    <w:p w14:paraId="321D971C" w14:textId="1BE58B09" w:rsidR="00962CA4" w:rsidRDefault="00962CA4" w:rsidP="00962CA4">
      <w:pPr>
        <w:pStyle w:val="ListParagraph"/>
        <w:numPr>
          <w:ilvl w:val="0"/>
          <w:numId w:val="5"/>
        </w:numPr>
        <w:spacing w:line="480" w:lineRule="auto"/>
      </w:pPr>
      <w:r>
        <w:t>Strong union</w:t>
      </w:r>
    </w:p>
    <w:p w14:paraId="50138CA5" w14:textId="3F39E72B" w:rsidR="00962CA4" w:rsidRDefault="00962CA4" w:rsidP="00962CA4">
      <w:pPr>
        <w:spacing w:line="480" w:lineRule="auto"/>
      </w:pPr>
      <w:r>
        <w:t xml:space="preserve">W – weaknesses: </w:t>
      </w:r>
    </w:p>
    <w:p w14:paraId="2B6643A6" w14:textId="13ABA7D0" w:rsidR="00962CA4" w:rsidRDefault="00E119A6" w:rsidP="00962CA4">
      <w:pPr>
        <w:pStyle w:val="ListParagraph"/>
        <w:numPr>
          <w:ilvl w:val="0"/>
          <w:numId w:val="6"/>
        </w:numPr>
        <w:spacing w:line="480" w:lineRule="auto"/>
      </w:pPr>
      <w:r>
        <w:t>Single</w:t>
      </w:r>
      <w:r w:rsidR="00962CA4">
        <w:t xml:space="preserve"> buyer (NHS England)</w:t>
      </w:r>
    </w:p>
    <w:p w14:paraId="51D0816D" w14:textId="7422EEEB" w:rsidR="00962CA4" w:rsidRDefault="00E119A6" w:rsidP="00962CA4">
      <w:pPr>
        <w:pStyle w:val="ListParagraph"/>
        <w:numPr>
          <w:ilvl w:val="0"/>
          <w:numId w:val="6"/>
        </w:numPr>
        <w:spacing w:line="480" w:lineRule="auto"/>
      </w:pPr>
      <w:r>
        <w:lastRenderedPageBreak/>
        <w:t>H</w:t>
      </w:r>
      <w:r w:rsidR="00962CA4">
        <w:t>igh-cost suppliers (GP locums)</w:t>
      </w:r>
    </w:p>
    <w:p w14:paraId="4D627FE4" w14:textId="2EF691F2" w:rsidR="00962CA4" w:rsidRDefault="00962CA4" w:rsidP="00962CA4">
      <w:pPr>
        <w:spacing w:line="480" w:lineRule="auto"/>
      </w:pPr>
      <w:r>
        <w:t xml:space="preserve">O – </w:t>
      </w:r>
      <w:r w:rsidR="00E119A6">
        <w:t>O</w:t>
      </w:r>
      <w:r>
        <w:t xml:space="preserve">pportunities: </w:t>
      </w:r>
    </w:p>
    <w:p w14:paraId="2CFA431D" w14:textId="23293E79" w:rsidR="00962CA4" w:rsidRDefault="00962CA4" w:rsidP="00962CA4">
      <w:pPr>
        <w:pStyle w:val="ListParagraph"/>
        <w:numPr>
          <w:ilvl w:val="0"/>
          <w:numId w:val="7"/>
        </w:numPr>
        <w:spacing w:line="480" w:lineRule="auto"/>
      </w:pPr>
      <w:r>
        <w:t xml:space="preserve">Collaboration to win high profitable services. </w:t>
      </w:r>
    </w:p>
    <w:p w14:paraId="3FD87AB7" w14:textId="7602A180" w:rsidR="00962CA4" w:rsidRDefault="00962CA4" w:rsidP="00962CA4">
      <w:pPr>
        <w:pStyle w:val="ListParagraph"/>
        <w:numPr>
          <w:ilvl w:val="0"/>
          <w:numId w:val="7"/>
        </w:numPr>
        <w:spacing w:line="480" w:lineRule="auto"/>
      </w:pPr>
      <w:r>
        <w:t xml:space="preserve">Extension to acquire other practices or establish new practices. </w:t>
      </w:r>
    </w:p>
    <w:p w14:paraId="5DFAA0D6" w14:textId="170749F5" w:rsidR="00962CA4" w:rsidRDefault="00962CA4" w:rsidP="00962CA4">
      <w:pPr>
        <w:spacing w:line="480" w:lineRule="auto"/>
      </w:pPr>
      <w:r>
        <w:t xml:space="preserve">T – Threats: </w:t>
      </w:r>
    </w:p>
    <w:p w14:paraId="0DACE704" w14:textId="1BA57490" w:rsidR="00962CA4" w:rsidRDefault="00962CA4" w:rsidP="00962CA4">
      <w:pPr>
        <w:pStyle w:val="ListParagraph"/>
        <w:numPr>
          <w:ilvl w:val="0"/>
          <w:numId w:val="8"/>
        </w:numPr>
        <w:spacing w:line="480" w:lineRule="auto"/>
      </w:pPr>
      <w:r>
        <w:t xml:space="preserve">New health care supplier entry to the market with competitive resources and capabilities. </w:t>
      </w:r>
    </w:p>
    <w:p w14:paraId="45D28722" w14:textId="5D47A78B" w:rsidR="00962CA4" w:rsidRDefault="00962CA4" w:rsidP="00962CA4">
      <w:pPr>
        <w:pStyle w:val="ListParagraph"/>
        <w:numPr>
          <w:ilvl w:val="0"/>
          <w:numId w:val="8"/>
        </w:numPr>
        <w:spacing w:line="480" w:lineRule="auto"/>
      </w:pPr>
      <w:r>
        <w:t xml:space="preserve">NHS England exploiting the single buyer </w:t>
      </w:r>
      <w:r w:rsidR="00E119A6">
        <w:t>p</w:t>
      </w:r>
      <w:r>
        <w:t xml:space="preserve">ower. </w:t>
      </w:r>
    </w:p>
    <w:p w14:paraId="35352D34" w14:textId="758E28E2" w:rsidR="00E119A6" w:rsidRDefault="00962CA4" w:rsidP="00E119A6">
      <w:pPr>
        <w:pStyle w:val="ListParagraph"/>
        <w:numPr>
          <w:ilvl w:val="0"/>
          <w:numId w:val="8"/>
        </w:numPr>
        <w:spacing w:line="480" w:lineRule="auto"/>
      </w:pPr>
      <w:r>
        <w:t>Failure to meet the demand or going into losing position with the increased expenditure for the high demand (not meeting stakeholder expectations).</w:t>
      </w:r>
    </w:p>
    <w:p w14:paraId="0290D8C5" w14:textId="59877614" w:rsidR="00E119A6" w:rsidRDefault="00E119A6" w:rsidP="00E119A6">
      <w:pPr>
        <w:spacing w:line="480" w:lineRule="auto"/>
      </w:pPr>
    </w:p>
    <w:p w14:paraId="510F595D" w14:textId="0216E8B4" w:rsidR="00D60F30" w:rsidRPr="00E47B78" w:rsidRDefault="00E119A6" w:rsidP="00E47B78">
      <w:pPr>
        <w:pStyle w:val="Heading1"/>
        <w:rPr>
          <w:b/>
          <w:bCs/>
          <w:u w:val="single"/>
        </w:rPr>
      </w:pPr>
      <w:bookmarkStart w:id="9" w:name="_Hlk90673808"/>
      <w:r w:rsidRPr="00E47B78">
        <w:rPr>
          <w:b/>
          <w:bCs/>
          <w:u w:val="single"/>
        </w:rPr>
        <w:t>2: GP Partnership module strategic choices</w:t>
      </w:r>
    </w:p>
    <w:bookmarkEnd w:id="9"/>
    <w:p w14:paraId="43E9F2EB" w14:textId="77777777" w:rsidR="00E119A6" w:rsidRDefault="00E119A6" w:rsidP="00E119A6">
      <w:pPr>
        <w:spacing w:line="480" w:lineRule="auto"/>
      </w:pPr>
    </w:p>
    <w:p w14:paraId="4F7C7D5B" w14:textId="72EE0805" w:rsidR="00E119A6" w:rsidRPr="00E47B78" w:rsidRDefault="00E119A6" w:rsidP="00E47B78">
      <w:pPr>
        <w:pStyle w:val="Heading1"/>
      </w:pPr>
      <w:bookmarkStart w:id="10" w:name="_Hlk90673816"/>
      <w:r w:rsidRPr="00E47B78">
        <w:t>2.1 Generic competitive strategies:</w:t>
      </w:r>
    </w:p>
    <w:bookmarkEnd w:id="10"/>
    <w:p w14:paraId="30B6919E" w14:textId="77777777" w:rsidR="00E119A6" w:rsidRDefault="00E119A6" w:rsidP="00E119A6">
      <w:pPr>
        <w:spacing w:line="480" w:lineRule="auto"/>
      </w:pPr>
    </w:p>
    <w:p w14:paraId="3A8DF49D" w14:textId="79A7B3FA" w:rsidR="00E119A6" w:rsidRDefault="00E119A6" w:rsidP="00E119A6">
      <w:pPr>
        <w:spacing w:line="480" w:lineRule="auto"/>
      </w:pPr>
      <w:r>
        <w:t>The competitive strategy is concerned with how a company achieve competitive advantage on what the company’s domain of activity</w:t>
      </w:r>
      <w:r w:rsidR="00D55616">
        <w:t xml:space="preserve"> (Whittington, 2019, pp.203-214)</w:t>
      </w:r>
      <w:r>
        <w:t xml:space="preserve">. A GP practice can achieve the competitive leadership by cost leadership or differentiation leadership. </w:t>
      </w:r>
    </w:p>
    <w:p w14:paraId="598CE85D" w14:textId="6F44B984" w:rsidR="00E119A6" w:rsidRDefault="00E119A6" w:rsidP="00E119A6">
      <w:pPr>
        <w:spacing w:line="480" w:lineRule="auto"/>
      </w:pPr>
      <w:r>
        <w:t xml:space="preserve"> </w:t>
      </w:r>
    </w:p>
    <w:p w14:paraId="389D9B75" w14:textId="4B1BDA2E" w:rsidR="00E119A6" w:rsidRDefault="00E119A6" w:rsidP="00E119A6">
      <w:pPr>
        <w:spacing w:line="480" w:lineRule="auto"/>
      </w:pPr>
      <w:r w:rsidRPr="00E47B78">
        <w:rPr>
          <w:b/>
          <w:bCs/>
        </w:rPr>
        <w:t>2.1.1 cost leadership</w:t>
      </w:r>
      <w:r>
        <w:t xml:space="preserve">: the service offered by the GP practices is free to the end user and the contract with the direct buyer (NHS England) is general for all practices and companies giving the same service. The cost differentiation on the other side is possible by cost cutting that can be achieved by applying the most cost-effective methods of care. Most GP practices are continuously trying new ways to save time </w:t>
      </w:r>
      <w:r>
        <w:lastRenderedPageBreak/>
        <w:t xml:space="preserve">and cost; hence the experience differentiates these GP practices, but the practices need to keep open mind about new methods and give allocated time for assessing current methods and planning the new methods. </w:t>
      </w:r>
    </w:p>
    <w:p w14:paraId="34C26F68" w14:textId="2238A5DA" w:rsidR="00E119A6" w:rsidRDefault="00E119A6" w:rsidP="00E119A6">
      <w:pPr>
        <w:spacing w:line="480" w:lineRule="auto"/>
      </w:pPr>
    </w:p>
    <w:p w14:paraId="723F5118" w14:textId="18294619" w:rsidR="00E119A6" w:rsidRPr="00E47B78" w:rsidRDefault="00E119A6" w:rsidP="00E119A6">
      <w:pPr>
        <w:spacing w:line="480" w:lineRule="auto"/>
        <w:rPr>
          <w:b/>
          <w:bCs/>
        </w:rPr>
      </w:pPr>
      <w:r w:rsidRPr="00E47B78">
        <w:rPr>
          <w:b/>
          <w:bCs/>
        </w:rPr>
        <w:t>2.1.2 differentiation strategy</w:t>
      </w:r>
    </w:p>
    <w:p w14:paraId="04190B9C" w14:textId="3A19B7C7" w:rsidR="00E119A6" w:rsidRDefault="00E119A6" w:rsidP="00E119A6">
      <w:pPr>
        <w:spacing w:line="480" w:lineRule="auto"/>
      </w:pPr>
      <w:r>
        <w:t>The GP practice may choose to seek to be differentiated from the surrounding service providers and attract more registered patients with more funding by providing a service that is not present in the surrounding providers. The GP practices need to apply great attention for the differentiation feature. It must be desirable, feasible and applicable.</w:t>
      </w:r>
    </w:p>
    <w:p w14:paraId="52605BAB" w14:textId="55A99B2B" w:rsidR="00E119A6" w:rsidRDefault="00E119A6" w:rsidP="00E119A6">
      <w:pPr>
        <w:spacing w:line="480" w:lineRule="auto"/>
      </w:pPr>
    </w:p>
    <w:p w14:paraId="66B2979C" w14:textId="1F732A97" w:rsidR="00E119A6" w:rsidRPr="00E47B78" w:rsidRDefault="00E119A6" w:rsidP="00E119A6">
      <w:pPr>
        <w:spacing w:line="480" w:lineRule="auto"/>
        <w:rPr>
          <w:b/>
          <w:bCs/>
        </w:rPr>
      </w:pPr>
      <w:r w:rsidRPr="00E47B78">
        <w:rPr>
          <w:b/>
          <w:bCs/>
        </w:rPr>
        <w:t>2.1.3 focus strategy</w:t>
      </w:r>
    </w:p>
    <w:p w14:paraId="2035962F" w14:textId="18330C55" w:rsidR="00E119A6" w:rsidRDefault="00E119A6" w:rsidP="00E119A6">
      <w:pPr>
        <w:spacing w:line="480" w:lineRule="auto"/>
      </w:pPr>
      <w:r>
        <w:t xml:space="preserve">The GP practice may choose to focus on specific service or on the needs for specific segment of users. </w:t>
      </w:r>
    </w:p>
    <w:p w14:paraId="796CC65B" w14:textId="5D029B13" w:rsidR="00E119A6" w:rsidRDefault="00E119A6" w:rsidP="00E119A6">
      <w:pPr>
        <w:spacing w:line="480" w:lineRule="auto"/>
      </w:pPr>
    </w:p>
    <w:p w14:paraId="48041838" w14:textId="42346DA5" w:rsidR="00E119A6" w:rsidRDefault="00E119A6" w:rsidP="00E119A6">
      <w:pPr>
        <w:spacing w:line="480" w:lineRule="auto"/>
      </w:pPr>
      <w:r>
        <w:t xml:space="preserve">The pandemic had its impact on the accessibility for GP appointments. Young working people find it very difficult to expect a phone in a range of few hours which is a feature of most telephone calls. Also, the waiting time in the morning is very challenging if they are driving to work. </w:t>
      </w:r>
    </w:p>
    <w:p w14:paraId="705F2F8D" w14:textId="77777777" w:rsidR="00E119A6" w:rsidRDefault="00E119A6" w:rsidP="00E119A6">
      <w:pPr>
        <w:spacing w:line="480" w:lineRule="auto"/>
      </w:pPr>
    </w:p>
    <w:p w14:paraId="0272DA1E" w14:textId="6EC966A2" w:rsidR="00E119A6" w:rsidRDefault="00E119A6" w:rsidP="00E119A6">
      <w:pPr>
        <w:spacing w:line="480" w:lineRule="auto"/>
      </w:pPr>
      <w:r>
        <w:t xml:space="preserve">Some GP practice seek differentiation and focusing on attracting young working people by using application for video consultation and online booking that may prevent the young working group from moving to other health care providers and attract them from other practices that do not offer the service. </w:t>
      </w:r>
    </w:p>
    <w:p w14:paraId="3F73373C" w14:textId="421ABF4E" w:rsidR="00E119A6" w:rsidRDefault="00E119A6" w:rsidP="00E119A6">
      <w:pPr>
        <w:spacing w:line="480" w:lineRule="auto"/>
      </w:pPr>
    </w:p>
    <w:p w14:paraId="1729EA41" w14:textId="1F8B4838" w:rsidR="00E119A6" w:rsidRDefault="00D55616" w:rsidP="00E47B78">
      <w:pPr>
        <w:pStyle w:val="Heading1"/>
      </w:pPr>
      <w:bookmarkStart w:id="11" w:name="_Hlk90673830"/>
      <w:r>
        <w:lastRenderedPageBreak/>
        <w:t xml:space="preserve">2.2 strategy directions; </w:t>
      </w:r>
      <w:proofErr w:type="spellStart"/>
      <w:r w:rsidRPr="00D55616">
        <w:t>Anso</w:t>
      </w:r>
      <w:proofErr w:type="spellEnd"/>
      <w:r w:rsidRPr="00D55616">
        <w:t xml:space="preserve"> ’s corporate strategy matrix</w:t>
      </w:r>
    </w:p>
    <w:bookmarkEnd w:id="11"/>
    <w:p w14:paraId="3D5E5566" w14:textId="77777777" w:rsidR="00E47B78" w:rsidRPr="00E47B78" w:rsidRDefault="00E47B78" w:rsidP="00E47B78"/>
    <w:p w14:paraId="7B858F39" w14:textId="72499E19" w:rsidR="00D55616" w:rsidRDefault="00D55616" w:rsidP="00E119A6">
      <w:pPr>
        <w:spacing w:line="480" w:lineRule="auto"/>
      </w:pPr>
      <w:r>
        <w:t xml:space="preserve">The corporate strategy level decides the overall scope of the organisation. There are four basic directions that the organisation can take for their scope of work according to </w:t>
      </w:r>
      <w:proofErr w:type="spellStart"/>
      <w:r w:rsidRPr="00D55616">
        <w:t>Anso</w:t>
      </w:r>
      <w:proofErr w:type="spellEnd"/>
      <w:r w:rsidRPr="00D55616">
        <w:t xml:space="preserve"> ’s </w:t>
      </w:r>
      <w:r>
        <w:t xml:space="preserve">classic </w:t>
      </w:r>
      <w:r w:rsidRPr="00D55616">
        <w:t>corporate strategy matrix</w:t>
      </w:r>
      <w:r>
        <w:t xml:space="preserve"> (Whittington, 2019, pp. 237-244). </w:t>
      </w:r>
    </w:p>
    <w:p w14:paraId="19D7CDBB" w14:textId="77777777" w:rsidR="00D55616" w:rsidRDefault="00D55616" w:rsidP="00E119A6">
      <w:pPr>
        <w:spacing w:line="480" w:lineRule="auto"/>
      </w:pPr>
    </w:p>
    <w:p w14:paraId="25CEAF14" w14:textId="3FF30308" w:rsidR="00D55616" w:rsidRPr="00E47B78" w:rsidRDefault="00D55616" w:rsidP="00E119A6">
      <w:pPr>
        <w:spacing w:line="480" w:lineRule="auto"/>
        <w:rPr>
          <w:b/>
          <w:bCs/>
        </w:rPr>
      </w:pPr>
      <w:r w:rsidRPr="00E47B78">
        <w:rPr>
          <w:b/>
          <w:bCs/>
        </w:rPr>
        <w:t xml:space="preserve">2.2.1 Market penetration </w:t>
      </w:r>
    </w:p>
    <w:p w14:paraId="68C82C23" w14:textId="349B4074" w:rsidR="00D55616" w:rsidRDefault="00D55616" w:rsidP="00E119A6">
      <w:pPr>
        <w:spacing w:line="480" w:lineRule="auto"/>
      </w:pPr>
      <w:r>
        <w:t xml:space="preserve">In which the organisation aims to increase its share in the current market with the current services or products. The GP practices can aim to do that in their local communities, or it can happen spontaneously because of the expansion of the local community or by improving the services in compare to the other local services to attract more registrations. But this approach can be opposed by retaliation from other local competitors. </w:t>
      </w:r>
    </w:p>
    <w:p w14:paraId="43046E45" w14:textId="1C071586" w:rsidR="00D55616" w:rsidRDefault="00D55616" w:rsidP="00E119A6">
      <w:pPr>
        <w:spacing w:line="480" w:lineRule="auto"/>
      </w:pPr>
    </w:p>
    <w:p w14:paraId="56D181F5" w14:textId="52C81BDA" w:rsidR="00D55616" w:rsidRPr="00E47B78" w:rsidRDefault="00D55616" w:rsidP="00E119A6">
      <w:pPr>
        <w:spacing w:line="480" w:lineRule="auto"/>
        <w:rPr>
          <w:b/>
          <w:bCs/>
        </w:rPr>
      </w:pPr>
      <w:r w:rsidRPr="00E47B78">
        <w:rPr>
          <w:b/>
          <w:bCs/>
        </w:rPr>
        <w:t>2.2.2 product or service development</w:t>
      </w:r>
    </w:p>
    <w:p w14:paraId="61E15EF9" w14:textId="7A24644E" w:rsidR="00D55616" w:rsidRDefault="00D55616" w:rsidP="00E119A6">
      <w:pPr>
        <w:spacing w:line="480" w:lineRule="auto"/>
      </w:pPr>
      <w:r>
        <w:t xml:space="preserve">The GP practice may choose to offer modified or new service to attract more patient registration in the same local community (Market). For example, they may offer minor surgery or cryosurgery service however the development of this new service will require new resources and capabilities in the form of the training as well are equipment that could be expensive. </w:t>
      </w:r>
    </w:p>
    <w:p w14:paraId="1C8799C0" w14:textId="19221738" w:rsidR="00D55616" w:rsidRDefault="00D55616" w:rsidP="00E119A6">
      <w:pPr>
        <w:spacing w:line="480" w:lineRule="auto"/>
      </w:pPr>
    </w:p>
    <w:p w14:paraId="4BE18939" w14:textId="45A1A53F" w:rsidR="00D55616" w:rsidRPr="00E47B78" w:rsidRDefault="00D55616" w:rsidP="00E119A6">
      <w:pPr>
        <w:spacing w:line="480" w:lineRule="auto"/>
        <w:rPr>
          <w:b/>
          <w:bCs/>
        </w:rPr>
      </w:pPr>
      <w:r w:rsidRPr="00E47B78">
        <w:rPr>
          <w:b/>
          <w:bCs/>
        </w:rPr>
        <w:t>2.2.3 Market development</w:t>
      </w:r>
    </w:p>
    <w:p w14:paraId="5E38183B" w14:textId="3835013A" w:rsidR="00D55616" w:rsidRDefault="00D55616" w:rsidP="00D55616">
      <w:pPr>
        <w:spacing w:line="480" w:lineRule="auto"/>
      </w:pPr>
      <w:r>
        <w:t xml:space="preserve">The GP practice may choose to expand in new community using the same available services. This can be achieved by opening a branch in new built community and supporting this new expansion with existing or new staff. </w:t>
      </w:r>
    </w:p>
    <w:p w14:paraId="647CDEB1" w14:textId="2578173A" w:rsidR="00D55616" w:rsidRDefault="00D55616" w:rsidP="00D55616">
      <w:pPr>
        <w:spacing w:line="480" w:lineRule="auto"/>
      </w:pPr>
    </w:p>
    <w:p w14:paraId="0B1FC744" w14:textId="6AEAF36D" w:rsidR="00D55616" w:rsidRPr="00E47B78" w:rsidRDefault="00D55616" w:rsidP="00D55616">
      <w:pPr>
        <w:spacing w:line="480" w:lineRule="auto"/>
        <w:rPr>
          <w:b/>
          <w:bCs/>
        </w:rPr>
      </w:pPr>
      <w:r w:rsidRPr="00E47B78">
        <w:rPr>
          <w:b/>
          <w:bCs/>
        </w:rPr>
        <w:lastRenderedPageBreak/>
        <w:t xml:space="preserve">2.2.4 unrelated diversification </w:t>
      </w:r>
    </w:p>
    <w:p w14:paraId="52898605" w14:textId="0D432583" w:rsidR="00D55616" w:rsidRDefault="00D55616" w:rsidP="00D55616">
      <w:pPr>
        <w:spacing w:line="480" w:lineRule="auto"/>
      </w:pPr>
      <w:r>
        <w:t xml:space="preserve">This happen when the organisation expands to new market or service that is completely different from its own. An example for that a GP practice may decide to add to the services a new service like non-NHS cosmetic service. This will attract new type of paying patients at the same time the doctors or nurses in the practice will be benefiting from their reputation that they built by their NHS work. </w:t>
      </w:r>
    </w:p>
    <w:p w14:paraId="6402D2F4" w14:textId="5B63B59A" w:rsidR="00D55616" w:rsidRDefault="00D55616" w:rsidP="00D55616">
      <w:pPr>
        <w:spacing w:line="480" w:lineRule="auto"/>
      </w:pPr>
    </w:p>
    <w:p w14:paraId="1B3AC26B" w14:textId="106ECA6B" w:rsidR="00D55616" w:rsidRPr="00E47B78" w:rsidRDefault="00D55616" w:rsidP="00D55616">
      <w:pPr>
        <w:spacing w:line="480" w:lineRule="auto"/>
        <w:rPr>
          <w:b/>
          <w:bCs/>
        </w:rPr>
      </w:pPr>
      <w:r w:rsidRPr="00E47B78">
        <w:rPr>
          <w:b/>
          <w:bCs/>
        </w:rPr>
        <w:t xml:space="preserve">2.3 </w:t>
      </w:r>
      <w:r w:rsidR="006C5A7F" w:rsidRPr="00E47B78">
        <w:rPr>
          <w:b/>
          <w:bCs/>
        </w:rPr>
        <w:t xml:space="preserve">Mergers, acquisitions, and alliance </w:t>
      </w:r>
    </w:p>
    <w:p w14:paraId="0CBE1772" w14:textId="0E07CC55" w:rsidR="00D55616" w:rsidRDefault="006C5A7F" w:rsidP="00D55616">
      <w:pPr>
        <w:spacing w:line="480" w:lineRule="auto"/>
      </w:pPr>
      <w:r>
        <w:t xml:space="preserve">To achieve diversification or expansion there are three strategic methods of doing that: organic development, mergers and acquisitions, and strategic alliances. </w:t>
      </w:r>
    </w:p>
    <w:p w14:paraId="62BD8A0F" w14:textId="5C368FF3" w:rsidR="00D55616" w:rsidRDefault="00D55616" w:rsidP="00D55616">
      <w:pPr>
        <w:spacing w:line="480" w:lineRule="auto"/>
      </w:pPr>
    </w:p>
    <w:p w14:paraId="67DC8259" w14:textId="440DD2B8" w:rsidR="006C5A7F" w:rsidRPr="00E47B78" w:rsidRDefault="006C5A7F" w:rsidP="006C5A7F">
      <w:pPr>
        <w:spacing w:line="480" w:lineRule="auto"/>
        <w:rPr>
          <w:b/>
          <w:bCs/>
        </w:rPr>
      </w:pPr>
      <w:r w:rsidRPr="00E47B78">
        <w:rPr>
          <w:b/>
          <w:bCs/>
        </w:rPr>
        <w:t>2.3.1 organic development</w:t>
      </w:r>
    </w:p>
    <w:p w14:paraId="6159BD80" w14:textId="24108696" w:rsidR="006C5A7F" w:rsidRDefault="006C5A7F" w:rsidP="006C5A7F">
      <w:pPr>
        <w:spacing w:line="480" w:lineRule="auto"/>
      </w:pPr>
      <w:r>
        <w:t xml:space="preserve">It is like the DIY; the organisation builds its own capability. Like the example mentioned earlier, one GP practice may choose to open new branch in a new development area to serve the community supporting that with its current and new staff. It is more time consuming but gives more control on the management. </w:t>
      </w:r>
    </w:p>
    <w:p w14:paraId="2907DC6B" w14:textId="2D9FC9FE" w:rsidR="006C5A7F" w:rsidRDefault="006C5A7F" w:rsidP="006C5A7F">
      <w:pPr>
        <w:spacing w:line="480" w:lineRule="auto"/>
      </w:pPr>
    </w:p>
    <w:p w14:paraId="6614D5EF" w14:textId="0467D352" w:rsidR="006C5A7F" w:rsidRPr="00E47B78" w:rsidRDefault="006C5A7F" w:rsidP="006C5A7F">
      <w:pPr>
        <w:spacing w:line="480" w:lineRule="auto"/>
        <w:rPr>
          <w:b/>
          <w:bCs/>
        </w:rPr>
      </w:pPr>
      <w:r w:rsidRPr="00E47B78">
        <w:rPr>
          <w:b/>
          <w:bCs/>
        </w:rPr>
        <w:t xml:space="preserve">2.3.2 Mergers and acquisitions </w:t>
      </w:r>
    </w:p>
    <w:p w14:paraId="65013C08" w14:textId="77777777" w:rsidR="00E47B78" w:rsidRDefault="006C5A7F" w:rsidP="006C5A7F">
      <w:pPr>
        <w:spacing w:line="480" w:lineRule="auto"/>
      </w:pPr>
      <w:r>
        <w:t>There are different motives for organisations to take this strategy like extension or bringing new resources and capabilities (</w:t>
      </w:r>
      <w:proofErr w:type="spellStart"/>
      <w:r w:rsidRPr="006C5A7F">
        <w:t>Haleblian</w:t>
      </w:r>
      <w:proofErr w:type="spellEnd"/>
      <w:r>
        <w:t xml:space="preserve">, et al, 2009). Two GP practices may choose mergers to achieve financial gains because this will allow easier allocation of the current resources to the work needed in both practices and reduce the need for high-cost suppliers. for example, the two practices may have one practice manger on the other hand if there is deficiency of clinical staff in one </w:t>
      </w:r>
      <w:r>
        <w:lastRenderedPageBreak/>
        <w:t xml:space="preserve">practice, they can be redeployed to the other practice. Or if there is overload on one practice the extra load can be taken by the other.   </w:t>
      </w:r>
    </w:p>
    <w:p w14:paraId="049437EB" w14:textId="791B3B9D" w:rsidR="00E47B78" w:rsidRPr="00E47B78" w:rsidRDefault="00E47B78" w:rsidP="006C5A7F">
      <w:pPr>
        <w:spacing w:line="480" w:lineRule="auto"/>
        <w:rPr>
          <w:b/>
          <w:bCs/>
        </w:rPr>
      </w:pPr>
      <w:r w:rsidRPr="00E47B78">
        <w:rPr>
          <w:b/>
          <w:bCs/>
        </w:rPr>
        <w:t xml:space="preserve">2.3.3 alliance </w:t>
      </w:r>
    </w:p>
    <w:p w14:paraId="24CAFE8E" w14:textId="736CF61D" w:rsidR="00E47B78" w:rsidRDefault="00E47B78" w:rsidP="006C5A7F">
      <w:pPr>
        <w:spacing w:line="480" w:lineRule="auto"/>
      </w:pPr>
      <w:r>
        <w:t xml:space="preserve">GP practices may choose to go into non acquisition contract in the form of the alliances they could be equity or non-equity. </w:t>
      </w:r>
    </w:p>
    <w:p w14:paraId="365A839E" w14:textId="362A9D1D" w:rsidR="006C5A7F" w:rsidRDefault="00E47B78" w:rsidP="006C5A7F">
      <w:pPr>
        <w:spacing w:line="480" w:lineRule="auto"/>
      </w:pPr>
      <w:r>
        <w:t xml:space="preserve">When doing merger, </w:t>
      </w:r>
      <w:proofErr w:type="gramStart"/>
      <w:r>
        <w:t>acquisition</w:t>
      </w:r>
      <w:proofErr w:type="gramEnd"/>
      <w:r>
        <w:t xml:space="preserve"> or alliance between practices it is important to choose the strategic fit that will add to the company/practice and organisational fit where there is similarity between the management practices. </w:t>
      </w:r>
    </w:p>
    <w:p w14:paraId="1BDA2EA4" w14:textId="77777777" w:rsidR="00E47B78" w:rsidRDefault="00E47B78" w:rsidP="006C5A7F">
      <w:pPr>
        <w:spacing w:line="480" w:lineRule="auto"/>
      </w:pPr>
    </w:p>
    <w:p w14:paraId="4C1FA952" w14:textId="52D0C519" w:rsidR="00E47B78" w:rsidRDefault="00E47B78" w:rsidP="00E47B78">
      <w:pPr>
        <w:pStyle w:val="Heading1"/>
        <w:rPr>
          <w:b/>
          <w:bCs/>
          <w:u w:val="single"/>
        </w:rPr>
      </w:pPr>
      <w:bookmarkStart w:id="12" w:name="_Hlk90673848"/>
      <w:r w:rsidRPr="00E47B78">
        <w:rPr>
          <w:b/>
          <w:bCs/>
          <w:u w:val="single"/>
        </w:rPr>
        <w:t>3: strategy development process</w:t>
      </w:r>
    </w:p>
    <w:bookmarkEnd w:id="12"/>
    <w:p w14:paraId="2E26316A" w14:textId="77777777" w:rsidR="00E47B78" w:rsidRPr="00E47B78" w:rsidRDefault="00E47B78" w:rsidP="00E47B78"/>
    <w:p w14:paraId="44580BCA" w14:textId="2C411A05" w:rsidR="00E47B78" w:rsidRDefault="00E47B78" w:rsidP="00E47B78">
      <w:pPr>
        <w:spacing w:line="480" w:lineRule="auto"/>
      </w:pPr>
      <w:r>
        <w:t xml:space="preserve">GP practices are subject to the externally imposed strategy form the government still the predominant feature is the strategic leader role that is usually taken by one or more of the partners. The ideal combination in the partnership is to have corporate visionary leader as well organisational leader. Emergent strategy development in the GP practices is predominant where pattern of decisions forms the overall organisation direction. The busy nature of the NHS drives partners to forget about the deliberate strategy planning and they may forget that they may have choices away from what is imposed on them by the government. </w:t>
      </w:r>
    </w:p>
    <w:p w14:paraId="1B7A2F68" w14:textId="77777777" w:rsidR="00E47B78" w:rsidRDefault="00E47B78" w:rsidP="00E47B78">
      <w:pPr>
        <w:spacing w:line="480" w:lineRule="auto"/>
      </w:pPr>
    </w:p>
    <w:p w14:paraId="2B5D189B" w14:textId="11B1819C" w:rsidR="00E47B78" w:rsidRDefault="00E47B78" w:rsidP="00E47B78">
      <w:pPr>
        <w:pStyle w:val="Heading1"/>
        <w:rPr>
          <w:b/>
          <w:bCs/>
          <w:u w:val="single"/>
        </w:rPr>
      </w:pPr>
      <w:bookmarkStart w:id="13" w:name="_Hlk90673858"/>
      <w:r>
        <w:rPr>
          <w:b/>
          <w:bCs/>
          <w:u w:val="single"/>
        </w:rPr>
        <w:t xml:space="preserve">Conclusion </w:t>
      </w:r>
    </w:p>
    <w:p w14:paraId="3BA26486" w14:textId="714B97C8" w:rsidR="00E47B78" w:rsidRDefault="00E47B78" w:rsidP="00E47B78">
      <w:pPr>
        <w:pStyle w:val="Heading1"/>
        <w:rPr>
          <w:b/>
          <w:bCs/>
          <w:u w:val="single"/>
        </w:rPr>
      </w:pPr>
      <w:bookmarkStart w:id="14" w:name="_Hlk90673881"/>
      <w:bookmarkEnd w:id="13"/>
      <w:r w:rsidRPr="00E47B78">
        <w:rPr>
          <w:b/>
          <w:bCs/>
          <w:u w:val="single"/>
        </w:rPr>
        <w:t>4: Evaluating the</w:t>
      </w:r>
      <w:r>
        <w:rPr>
          <w:b/>
          <w:bCs/>
          <w:u w:val="single"/>
        </w:rPr>
        <w:t xml:space="preserve"> GP partnership</w:t>
      </w:r>
      <w:r w:rsidRPr="00E47B78">
        <w:rPr>
          <w:b/>
          <w:bCs/>
          <w:u w:val="single"/>
        </w:rPr>
        <w:t xml:space="preserve"> Strategy</w:t>
      </w:r>
    </w:p>
    <w:bookmarkEnd w:id="14"/>
    <w:p w14:paraId="69AD5660" w14:textId="77777777" w:rsidR="00E47B78" w:rsidRPr="00E47B78" w:rsidRDefault="00E47B78" w:rsidP="00E47B78"/>
    <w:p w14:paraId="25C2155E" w14:textId="5E67FE9A" w:rsidR="00E47B78" w:rsidRDefault="00E47B78" w:rsidP="00E47B78">
      <w:pPr>
        <w:spacing w:line="480" w:lineRule="auto"/>
      </w:pPr>
      <w:r>
        <w:t xml:space="preserve">Looking at the SWOT earlier and the strategic choices, each practice need to decide what are their priorities and what choice they can take to achieve their goal. The goals and choice will differ from practice to practice. Still any strategic choice that is </w:t>
      </w:r>
      <w:r>
        <w:lastRenderedPageBreak/>
        <w:t>decided by the practice it should be evaluated. I will focus on my GP practice situation and will evaluate my strategy choice with the backdrop of the pandemic.</w:t>
      </w:r>
    </w:p>
    <w:p w14:paraId="6CCC030A" w14:textId="636C20BB" w:rsidR="00E47B78" w:rsidRDefault="00E47B78" w:rsidP="00E47B78">
      <w:pPr>
        <w:spacing w:line="480" w:lineRule="auto"/>
      </w:pPr>
      <w:r>
        <w:t xml:space="preserve">S – patients’ loyalty </w:t>
      </w:r>
    </w:p>
    <w:p w14:paraId="35C6638C" w14:textId="2B9B3800" w:rsidR="00E47B78" w:rsidRDefault="00E47B78" w:rsidP="00E47B78">
      <w:pPr>
        <w:spacing w:line="480" w:lineRule="auto"/>
      </w:pPr>
      <w:r>
        <w:t xml:space="preserve">W – inability to recruit and replace GPs </w:t>
      </w:r>
    </w:p>
    <w:p w14:paraId="7CC033B5" w14:textId="72D116CC" w:rsidR="00E47B78" w:rsidRDefault="00E47B78" w:rsidP="00E47B78">
      <w:pPr>
        <w:spacing w:line="480" w:lineRule="auto"/>
      </w:pPr>
      <w:r>
        <w:t xml:space="preserve">O – attracting young working group of patients </w:t>
      </w:r>
    </w:p>
    <w:p w14:paraId="36A91FA3" w14:textId="6C9FEF6D" w:rsidR="00E47B78" w:rsidRDefault="00E47B78" w:rsidP="00E47B78">
      <w:pPr>
        <w:spacing w:line="480" w:lineRule="auto"/>
      </w:pPr>
      <w:r>
        <w:t xml:space="preserve">T – current patient leaving the practice because of access problems </w:t>
      </w:r>
    </w:p>
    <w:p w14:paraId="195C3CFE" w14:textId="569F41B8" w:rsidR="00E47B78" w:rsidRDefault="00E47B78" w:rsidP="00E47B78">
      <w:pPr>
        <w:pStyle w:val="Heading1"/>
      </w:pPr>
      <w:bookmarkStart w:id="15" w:name="_Hlk90673890"/>
      <w:r w:rsidRPr="00E47B78">
        <w:t xml:space="preserve">4.1 Proposed strategy </w:t>
      </w:r>
    </w:p>
    <w:bookmarkEnd w:id="15"/>
    <w:p w14:paraId="72033434" w14:textId="77777777" w:rsidR="00E47B78" w:rsidRPr="00E47B78" w:rsidRDefault="00E47B78" w:rsidP="00E47B78"/>
    <w:p w14:paraId="59EA0244" w14:textId="066D21D7" w:rsidR="00E47B78" w:rsidRDefault="00E47B78" w:rsidP="00E47B78">
      <w:pPr>
        <w:spacing w:line="480" w:lineRule="auto"/>
      </w:pPr>
      <w:r w:rsidRPr="00E47B78">
        <w:rPr>
          <w:b/>
          <w:bCs/>
        </w:rPr>
        <w:t>Horizon 1:</w:t>
      </w:r>
      <w:r>
        <w:t xml:space="preserve"> develop methods that improve the efficiency of GP work like developing </w:t>
      </w:r>
      <w:proofErr w:type="spellStart"/>
      <w:r>
        <w:t>accurx</w:t>
      </w:r>
      <w:proofErr w:type="spellEnd"/>
      <w:r>
        <w:t xml:space="preserve"> templates to replace consultations like HRT follow up.  </w:t>
      </w:r>
    </w:p>
    <w:p w14:paraId="483F8D96" w14:textId="57D0F7EF" w:rsidR="00E47B78" w:rsidRDefault="00E47B78" w:rsidP="00E47B78">
      <w:pPr>
        <w:spacing w:line="480" w:lineRule="auto"/>
      </w:pPr>
      <w:r w:rsidRPr="00E47B78">
        <w:rPr>
          <w:b/>
          <w:bCs/>
        </w:rPr>
        <w:t>Horizon 2:</w:t>
      </w:r>
      <w:r>
        <w:t xml:space="preserve"> strengthen the doctor-patient and increase patients’ loyalty plus increasing penetration to the working young people group of patients by developing new service of online booking and video consultations using ‘‘</w:t>
      </w:r>
      <w:proofErr w:type="spellStart"/>
      <w:r>
        <w:t>livi</w:t>
      </w:r>
      <w:proofErr w:type="spellEnd"/>
      <w:r>
        <w:t xml:space="preserve">’’ application or similar one. </w:t>
      </w:r>
    </w:p>
    <w:p w14:paraId="72DA58F4" w14:textId="7FF69E9B" w:rsidR="00E47B78" w:rsidRDefault="00E47B78" w:rsidP="00E47B78">
      <w:pPr>
        <w:spacing w:line="480" w:lineRule="auto"/>
      </w:pPr>
      <w:r w:rsidRPr="00E47B78">
        <w:rPr>
          <w:b/>
          <w:bCs/>
        </w:rPr>
        <w:t>Horizon 3</w:t>
      </w:r>
      <w:r>
        <w:t xml:space="preserve">: development of new non-NHS service like aesthetic service to go along with NHS service. </w:t>
      </w:r>
    </w:p>
    <w:p w14:paraId="5BF08683" w14:textId="6C6767F7" w:rsidR="00E47B78" w:rsidRDefault="00E47B78" w:rsidP="00E47B78">
      <w:pPr>
        <w:pStyle w:val="Heading1"/>
      </w:pPr>
      <w:bookmarkStart w:id="16" w:name="_Hlk90673900"/>
      <w:r>
        <w:t>4.2 Evaluation of the proposed strategy</w:t>
      </w:r>
    </w:p>
    <w:bookmarkEnd w:id="16"/>
    <w:p w14:paraId="560C55D5" w14:textId="77777777" w:rsidR="00E47B78" w:rsidRPr="00E47B78" w:rsidRDefault="00E47B78" w:rsidP="00E47B78"/>
    <w:p w14:paraId="33B1175D" w14:textId="02C7D1C0" w:rsidR="00E47B78" w:rsidRPr="00E47B78" w:rsidRDefault="00E47B78" w:rsidP="00E47B78">
      <w:pPr>
        <w:spacing w:line="480" w:lineRule="auto"/>
        <w:rPr>
          <w:b/>
          <w:bCs/>
        </w:rPr>
      </w:pPr>
      <w:r w:rsidRPr="00E47B78">
        <w:rPr>
          <w:b/>
          <w:bCs/>
        </w:rPr>
        <w:t>4.2.1 develop templates that replace</w:t>
      </w:r>
      <w:r>
        <w:rPr>
          <w:b/>
          <w:bCs/>
        </w:rPr>
        <w:t xml:space="preserve"> standard</w:t>
      </w:r>
      <w:r w:rsidRPr="00E47B78">
        <w:rPr>
          <w:b/>
          <w:bCs/>
        </w:rPr>
        <w:t xml:space="preserve"> GP consultations</w:t>
      </w:r>
    </w:p>
    <w:p w14:paraId="7B1A98AB" w14:textId="65AE1DDC" w:rsidR="00E47B78" w:rsidRDefault="00E47B78" w:rsidP="00E47B78">
      <w:pPr>
        <w:spacing w:line="480" w:lineRule="auto"/>
      </w:pPr>
    </w:p>
    <w:p w14:paraId="6E82DCDA" w14:textId="5F5A85A3" w:rsidR="00E47B78" w:rsidRDefault="00E47B78" w:rsidP="00E47B78">
      <w:pPr>
        <w:pStyle w:val="ListParagraph"/>
        <w:numPr>
          <w:ilvl w:val="0"/>
          <w:numId w:val="9"/>
        </w:numPr>
        <w:spacing w:line="480" w:lineRule="auto"/>
      </w:pPr>
      <w:r>
        <w:t xml:space="preserve">suitability: does this service address the key threat? yes because that reduces the current doctors work and increase the availability for seeing more patients. </w:t>
      </w:r>
    </w:p>
    <w:p w14:paraId="2EC59A74" w14:textId="68865D6F" w:rsidR="00E47B78" w:rsidRDefault="00E47B78" w:rsidP="00E47B78">
      <w:pPr>
        <w:pStyle w:val="ListParagraph"/>
        <w:numPr>
          <w:ilvl w:val="0"/>
          <w:numId w:val="9"/>
        </w:numPr>
        <w:spacing w:line="480" w:lineRule="auto"/>
      </w:pPr>
      <w:r>
        <w:t xml:space="preserve">Acceptability: Does it meet the expectation of the stakeholder? Yes, that method of consultation meets the requirement of the NHS and it is satisfying for patient and doctors from what is seen in pill review. </w:t>
      </w:r>
    </w:p>
    <w:p w14:paraId="71688D9B" w14:textId="77777777" w:rsidR="00E47B78" w:rsidRDefault="00E47B78" w:rsidP="00E47B78">
      <w:pPr>
        <w:pStyle w:val="ListParagraph"/>
        <w:numPr>
          <w:ilvl w:val="0"/>
          <w:numId w:val="9"/>
        </w:numPr>
        <w:spacing w:line="480" w:lineRule="auto"/>
      </w:pPr>
      <w:r>
        <w:lastRenderedPageBreak/>
        <w:t>Feasibility: will it work in practice? yes it can be developed by GPs in the practice and does not require extra money. It needs short time to develop the original template and easy to review patients results.</w:t>
      </w:r>
    </w:p>
    <w:p w14:paraId="7A4B7525" w14:textId="77777777" w:rsidR="00E47B78" w:rsidRDefault="00E47B78" w:rsidP="00E47B78">
      <w:pPr>
        <w:spacing w:line="480" w:lineRule="auto"/>
      </w:pPr>
    </w:p>
    <w:p w14:paraId="3BD9FE7C" w14:textId="7DB21E68" w:rsidR="00E47B78" w:rsidRPr="00E47B78" w:rsidRDefault="00E47B78" w:rsidP="00E47B78">
      <w:pPr>
        <w:spacing w:line="480" w:lineRule="auto"/>
        <w:rPr>
          <w:b/>
          <w:bCs/>
        </w:rPr>
      </w:pPr>
      <w:r w:rsidRPr="00E47B78">
        <w:rPr>
          <w:b/>
          <w:bCs/>
        </w:rPr>
        <w:t>4.2.</w:t>
      </w:r>
      <w:r w:rsidRPr="00E47B78">
        <w:rPr>
          <w:b/>
          <w:bCs/>
        </w:rPr>
        <w:t>2</w:t>
      </w:r>
      <w:r w:rsidRPr="00E47B78">
        <w:rPr>
          <w:b/>
          <w:bCs/>
        </w:rPr>
        <w:t xml:space="preserve"> new service of online booking and video consultations</w:t>
      </w:r>
    </w:p>
    <w:p w14:paraId="1D090E70" w14:textId="7F7B8E0A" w:rsidR="00E47B78" w:rsidRDefault="00E47B78" w:rsidP="00E47B78">
      <w:pPr>
        <w:spacing w:line="480" w:lineRule="auto"/>
      </w:pPr>
    </w:p>
    <w:p w14:paraId="42050E0B" w14:textId="29921413" w:rsidR="00E47B78" w:rsidRDefault="00E47B78" w:rsidP="00E47B78">
      <w:pPr>
        <w:pStyle w:val="ListParagraph"/>
        <w:numPr>
          <w:ilvl w:val="0"/>
          <w:numId w:val="10"/>
        </w:numPr>
        <w:spacing w:line="480" w:lineRule="auto"/>
      </w:pPr>
      <w:r>
        <w:t xml:space="preserve">Suitability: yes, the application is likely to increase the clinician and patients use of video consultations that is known for higher satisfaction. </w:t>
      </w:r>
    </w:p>
    <w:p w14:paraId="6E6FBC2C" w14:textId="558CC7D9" w:rsidR="00E47B78" w:rsidRDefault="00E47B78" w:rsidP="00E47B78">
      <w:pPr>
        <w:pStyle w:val="ListParagraph"/>
        <w:numPr>
          <w:ilvl w:val="0"/>
          <w:numId w:val="10"/>
        </w:numPr>
        <w:spacing w:line="480" w:lineRule="auto"/>
      </w:pPr>
      <w:r>
        <w:t xml:space="preserve">Acceptability: it is desirable by the end users and suppliers. </w:t>
      </w:r>
    </w:p>
    <w:p w14:paraId="06584034" w14:textId="6CB38022" w:rsidR="00E47B78" w:rsidRDefault="00E47B78" w:rsidP="00E47B78">
      <w:pPr>
        <w:pStyle w:val="ListParagraph"/>
        <w:numPr>
          <w:ilvl w:val="0"/>
          <w:numId w:val="10"/>
        </w:numPr>
        <w:spacing w:line="480" w:lineRule="auto"/>
      </w:pPr>
      <w:r>
        <w:t xml:space="preserve">Feasibility: the choice here is for alliance with known service provider like the </w:t>
      </w:r>
      <w:proofErr w:type="spellStart"/>
      <w:r>
        <w:t>Livi</w:t>
      </w:r>
      <w:proofErr w:type="spellEnd"/>
      <w:r>
        <w:t xml:space="preserve">. The financial expenses will determine the success of negotiation. </w:t>
      </w:r>
    </w:p>
    <w:p w14:paraId="3D479B8D" w14:textId="47C7379A" w:rsidR="00E47B78" w:rsidRDefault="00E47B78" w:rsidP="00E47B78">
      <w:pPr>
        <w:spacing w:line="480" w:lineRule="auto"/>
      </w:pPr>
    </w:p>
    <w:p w14:paraId="4687A061" w14:textId="2BF9174D" w:rsidR="00E47B78" w:rsidRPr="00E47B78" w:rsidRDefault="00E47B78" w:rsidP="00E47B78">
      <w:pPr>
        <w:spacing w:line="480" w:lineRule="auto"/>
        <w:rPr>
          <w:b/>
          <w:bCs/>
        </w:rPr>
      </w:pPr>
      <w:r w:rsidRPr="00E47B78">
        <w:rPr>
          <w:b/>
          <w:bCs/>
        </w:rPr>
        <w:t>4.2.</w:t>
      </w:r>
      <w:r w:rsidRPr="00E47B78">
        <w:rPr>
          <w:b/>
          <w:bCs/>
        </w:rPr>
        <w:t>3</w:t>
      </w:r>
      <w:r w:rsidRPr="00E47B78">
        <w:rPr>
          <w:b/>
          <w:bCs/>
        </w:rPr>
        <w:t xml:space="preserve"> </w:t>
      </w:r>
      <w:r w:rsidRPr="00E47B78">
        <w:rPr>
          <w:b/>
          <w:bCs/>
        </w:rPr>
        <w:t xml:space="preserve">development of aesthetic service </w:t>
      </w:r>
    </w:p>
    <w:p w14:paraId="0DFFA4BD" w14:textId="235FB03E" w:rsidR="00E47B78" w:rsidRDefault="00E47B78" w:rsidP="00E47B78">
      <w:pPr>
        <w:spacing w:line="480" w:lineRule="auto"/>
      </w:pPr>
    </w:p>
    <w:p w14:paraId="28F8FC3D" w14:textId="71B65A52" w:rsidR="00E47B78" w:rsidRDefault="00E47B78" w:rsidP="00E47B78">
      <w:pPr>
        <w:pStyle w:val="ListParagraph"/>
        <w:numPr>
          <w:ilvl w:val="0"/>
          <w:numId w:val="11"/>
        </w:numPr>
        <w:spacing w:line="480" w:lineRule="auto"/>
      </w:pPr>
      <w:r>
        <w:t xml:space="preserve">Suitability: yes, it expands the practice services and increase the user’s base </w:t>
      </w:r>
    </w:p>
    <w:p w14:paraId="0DAF236C" w14:textId="0B0528DD" w:rsidR="00E47B78" w:rsidRDefault="00E47B78" w:rsidP="00E47B78">
      <w:pPr>
        <w:pStyle w:val="ListParagraph"/>
        <w:numPr>
          <w:ilvl w:val="0"/>
          <w:numId w:val="11"/>
        </w:numPr>
        <w:spacing w:line="480" w:lineRule="auto"/>
      </w:pPr>
      <w:r>
        <w:t xml:space="preserve">Acceptable: yes, every shareholder will find a positive side for the service. </w:t>
      </w:r>
    </w:p>
    <w:p w14:paraId="62B6465F" w14:textId="31DD1A99" w:rsidR="00E47B78" w:rsidRDefault="00E47B78" w:rsidP="00E47B78">
      <w:pPr>
        <w:pStyle w:val="ListParagraph"/>
        <w:numPr>
          <w:ilvl w:val="0"/>
          <w:numId w:val="11"/>
        </w:numPr>
        <w:spacing w:line="480" w:lineRule="auto"/>
      </w:pPr>
      <w:r>
        <w:t xml:space="preserve">Feasibility: it will require training that could be expensive, but the new service will benefit from the practice reputation and current resources. </w:t>
      </w:r>
    </w:p>
    <w:p w14:paraId="7399285E" w14:textId="34DE1798" w:rsidR="00E47B78" w:rsidRDefault="00E47B78" w:rsidP="00E47B78">
      <w:pPr>
        <w:spacing w:line="480" w:lineRule="auto"/>
      </w:pPr>
    </w:p>
    <w:p w14:paraId="4EB45A08" w14:textId="41EEEF61" w:rsidR="00E47B78" w:rsidRDefault="00E47B78" w:rsidP="00E47B78">
      <w:pPr>
        <w:pStyle w:val="Heading1"/>
        <w:rPr>
          <w:b/>
          <w:bCs/>
          <w:u w:val="single"/>
        </w:rPr>
      </w:pPr>
      <w:bookmarkStart w:id="17" w:name="_Hlk90673912"/>
      <w:r w:rsidRPr="00E47B78">
        <w:rPr>
          <w:b/>
          <w:bCs/>
          <w:u w:val="single"/>
        </w:rPr>
        <w:t xml:space="preserve">Recommendations: </w:t>
      </w:r>
    </w:p>
    <w:bookmarkEnd w:id="17"/>
    <w:p w14:paraId="0662381B" w14:textId="77777777" w:rsidR="00E47B78" w:rsidRPr="00E47B78" w:rsidRDefault="00E47B78" w:rsidP="00E47B78"/>
    <w:p w14:paraId="1C6DA42C" w14:textId="77777777" w:rsidR="00E47B78" w:rsidRDefault="00E47B78" w:rsidP="00E47B78">
      <w:pPr>
        <w:pStyle w:val="ListParagraph"/>
        <w:numPr>
          <w:ilvl w:val="0"/>
          <w:numId w:val="12"/>
        </w:numPr>
        <w:spacing w:line="480" w:lineRule="auto"/>
      </w:pPr>
      <w:r>
        <w:t xml:space="preserve">GP practices should not neglect the deliberate strategy planning. There </w:t>
      </w:r>
      <w:proofErr w:type="gramStart"/>
      <w:r>
        <w:t>is</w:t>
      </w:r>
      <w:proofErr w:type="gramEnd"/>
      <w:r>
        <w:t xml:space="preserve"> many strategic choices that they can take. The GP partners need to have regular and protected time for strategy planning as the strategic leaders. </w:t>
      </w:r>
    </w:p>
    <w:p w14:paraId="737EA5E8" w14:textId="630FB270" w:rsidR="00E47B78" w:rsidRDefault="00E47B78" w:rsidP="00E47B78">
      <w:pPr>
        <w:pStyle w:val="ListParagraph"/>
        <w:numPr>
          <w:ilvl w:val="0"/>
          <w:numId w:val="12"/>
        </w:numPr>
        <w:spacing w:line="480" w:lineRule="auto"/>
      </w:pPr>
      <w:r>
        <w:t xml:space="preserve">The strategic planning for each practice will depend on their internal and external analysis, understanding of their resources and capabilities. The use </w:t>
      </w:r>
      <w:r>
        <w:lastRenderedPageBreak/>
        <w:t xml:space="preserve">of SWOT can simplify the process for GP partners who don’t have business background. </w:t>
      </w:r>
    </w:p>
    <w:p w14:paraId="6C3D5B6F" w14:textId="0B6EAAA1" w:rsidR="00E47B78" w:rsidRDefault="00E47B78" w:rsidP="00E47B78">
      <w:pPr>
        <w:pStyle w:val="ListParagraph"/>
        <w:numPr>
          <w:ilvl w:val="0"/>
          <w:numId w:val="12"/>
        </w:numPr>
        <w:spacing w:line="480" w:lineRule="auto"/>
      </w:pPr>
      <w:r>
        <w:t xml:space="preserve">For my practice: I see these </w:t>
      </w:r>
      <w:proofErr w:type="gramStart"/>
      <w:r>
        <w:t>three short</w:t>
      </w:r>
      <w:proofErr w:type="gramEnd"/>
      <w:r>
        <w:t xml:space="preserve"> term, medium and long term plans are achievable and addresses our key opportunities and threats: templates for standard GP consultations, online booking and new video consultation application, and aesthetic service. </w:t>
      </w:r>
    </w:p>
    <w:p w14:paraId="2F949CC9" w14:textId="08E1AB80" w:rsidR="00E47B78" w:rsidRDefault="00E47B78" w:rsidP="00E47B78">
      <w:pPr>
        <w:spacing w:line="480" w:lineRule="auto"/>
      </w:pPr>
    </w:p>
    <w:p w14:paraId="547D0B8A" w14:textId="3AFB197E" w:rsidR="00E47B78" w:rsidRPr="00E47B78" w:rsidRDefault="00E47B78" w:rsidP="00E47B78">
      <w:pPr>
        <w:pStyle w:val="Heading1"/>
        <w:rPr>
          <w:u w:val="single"/>
        </w:rPr>
      </w:pPr>
      <w:r w:rsidRPr="00E47B78">
        <w:rPr>
          <w:u w:val="single"/>
        </w:rPr>
        <w:t xml:space="preserve">Bibliography </w:t>
      </w:r>
    </w:p>
    <w:p w14:paraId="418ACBE1" w14:textId="6A53FB54" w:rsidR="00E47B78" w:rsidRDefault="00E47B78" w:rsidP="00E47B78">
      <w:pPr>
        <w:spacing w:line="480" w:lineRule="auto"/>
      </w:pPr>
      <w:r>
        <w:t xml:space="preserve"> </w:t>
      </w:r>
    </w:p>
    <w:p w14:paraId="200000B2" w14:textId="77777777" w:rsidR="00E47B78" w:rsidRDefault="00E47B78" w:rsidP="00E47B78">
      <w:pPr>
        <w:spacing w:line="480" w:lineRule="auto"/>
        <w:rPr>
          <w:rFonts w:asciiTheme="minorHAnsi" w:hAnsiTheme="minorHAnsi" w:cstheme="minorHAnsi"/>
        </w:rPr>
      </w:pPr>
      <w:r>
        <w:rPr>
          <w:rFonts w:asciiTheme="minorHAnsi" w:hAnsiTheme="minorHAnsi" w:cstheme="minorHAnsi"/>
        </w:rPr>
        <w:t>British Medical Association</w:t>
      </w:r>
      <w:r w:rsidRPr="00430904">
        <w:rPr>
          <w:rFonts w:asciiTheme="minorHAnsi" w:hAnsiTheme="minorHAnsi" w:cstheme="minorHAnsi"/>
        </w:rPr>
        <w:t xml:space="preserve"> (2021) </w:t>
      </w:r>
      <w:r w:rsidRPr="00430904">
        <w:rPr>
          <w:rFonts w:asciiTheme="minorHAnsi" w:hAnsiTheme="minorHAnsi" w:cstheme="minorHAnsi"/>
          <w:i/>
          <w:iCs/>
        </w:rPr>
        <w:t>Pressures in general practice</w:t>
      </w:r>
      <w:r w:rsidRPr="00430904">
        <w:rPr>
          <w:rFonts w:asciiTheme="minorHAnsi" w:hAnsiTheme="minorHAnsi" w:cstheme="minorHAnsi"/>
        </w:rPr>
        <w:t xml:space="preserve">. Available at </w:t>
      </w:r>
      <w:hyperlink r:id="rId8" w:history="1">
        <w:r w:rsidRPr="00430904">
          <w:t>https://www.bma.org.uk/advice-and-support/nhs-delivery-and-workforce/pressures/pressures-in-general-practice</w:t>
        </w:r>
      </w:hyperlink>
      <w:r w:rsidRPr="00430904">
        <w:rPr>
          <w:rFonts w:asciiTheme="minorHAnsi" w:hAnsiTheme="minorHAnsi" w:cstheme="minorHAnsi"/>
        </w:rPr>
        <w:t xml:space="preserve"> (accessed on 9th of Dec 2021)</w:t>
      </w:r>
    </w:p>
    <w:p w14:paraId="3B2771F9" w14:textId="77777777" w:rsidR="00E47B78" w:rsidRPr="00430904" w:rsidRDefault="00E47B78" w:rsidP="00E47B78">
      <w:pPr>
        <w:spacing w:line="480" w:lineRule="auto"/>
        <w:rPr>
          <w:rFonts w:asciiTheme="minorHAnsi" w:hAnsiTheme="minorHAnsi" w:cstheme="minorHAnsi"/>
        </w:rPr>
      </w:pPr>
    </w:p>
    <w:p w14:paraId="734C37F8" w14:textId="77777777" w:rsidR="00E47B78" w:rsidRDefault="00E47B78" w:rsidP="00E47B78">
      <w:pPr>
        <w:spacing w:line="480" w:lineRule="auto"/>
        <w:rPr>
          <w:rFonts w:asciiTheme="minorHAnsi" w:hAnsiTheme="minorHAnsi" w:cstheme="minorHAnsi"/>
        </w:rPr>
      </w:pPr>
      <w:bookmarkStart w:id="18" w:name="_Hlk90124710"/>
      <w:r w:rsidRPr="00430904">
        <w:rPr>
          <w:rFonts w:asciiTheme="minorHAnsi" w:hAnsiTheme="minorHAnsi" w:cstheme="minorHAnsi"/>
        </w:rPr>
        <w:t>Buck</w:t>
      </w:r>
      <w:bookmarkEnd w:id="18"/>
      <w:r w:rsidRPr="00430904">
        <w:rPr>
          <w:rFonts w:asciiTheme="minorHAnsi" w:hAnsiTheme="minorHAnsi" w:cstheme="minorHAnsi"/>
        </w:rPr>
        <w:t xml:space="preserve">, </w:t>
      </w:r>
      <w:proofErr w:type="gramStart"/>
      <w:r w:rsidRPr="00430904">
        <w:rPr>
          <w:rFonts w:asciiTheme="minorHAnsi" w:hAnsiTheme="minorHAnsi" w:cstheme="minorHAnsi"/>
        </w:rPr>
        <w:t>J.C.</w:t>
      </w:r>
      <w:proofErr w:type="gramEnd"/>
      <w:r w:rsidRPr="00430904">
        <w:rPr>
          <w:rFonts w:asciiTheme="minorHAnsi" w:hAnsiTheme="minorHAnsi" w:cstheme="minorHAnsi"/>
        </w:rPr>
        <w:t xml:space="preserve"> and Weinstein, S.B.</w:t>
      </w:r>
      <w:r>
        <w:rPr>
          <w:rFonts w:asciiTheme="minorHAnsi" w:hAnsiTheme="minorHAnsi" w:cstheme="minorHAnsi"/>
        </w:rPr>
        <w:t xml:space="preserve"> (</w:t>
      </w:r>
      <w:r w:rsidRPr="00430904">
        <w:rPr>
          <w:rFonts w:asciiTheme="minorHAnsi" w:hAnsiTheme="minorHAnsi" w:cstheme="minorHAnsi"/>
        </w:rPr>
        <w:t>2020</w:t>
      </w:r>
      <w:r>
        <w:rPr>
          <w:rFonts w:asciiTheme="minorHAnsi" w:hAnsiTheme="minorHAnsi" w:cstheme="minorHAnsi"/>
        </w:rPr>
        <w:t>)</w:t>
      </w:r>
      <w:r w:rsidRPr="00430904">
        <w:rPr>
          <w:rFonts w:asciiTheme="minorHAnsi" w:hAnsiTheme="minorHAnsi" w:cstheme="minorHAnsi"/>
        </w:rPr>
        <w:t xml:space="preserve"> </w:t>
      </w:r>
      <w:r>
        <w:rPr>
          <w:rFonts w:asciiTheme="minorHAnsi" w:hAnsiTheme="minorHAnsi" w:cstheme="minorHAnsi"/>
        </w:rPr>
        <w:t>‘</w:t>
      </w:r>
      <w:r w:rsidRPr="00430904">
        <w:rPr>
          <w:rFonts w:asciiTheme="minorHAnsi" w:hAnsiTheme="minorHAnsi" w:cstheme="minorHAnsi"/>
        </w:rPr>
        <w:t>The ecological consequences of a pandemic</w:t>
      </w:r>
      <w:r>
        <w:rPr>
          <w:rFonts w:asciiTheme="minorHAnsi" w:hAnsiTheme="minorHAnsi" w:cstheme="minorHAnsi"/>
        </w:rPr>
        <w:t>’</w:t>
      </w:r>
      <w:r w:rsidRPr="00430904">
        <w:rPr>
          <w:rFonts w:asciiTheme="minorHAnsi" w:hAnsiTheme="minorHAnsi" w:cstheme="minorHAnsi"/>
        </w:rPr>
        <w:t>. </w:t>
      </w:r>
      <w:r w:rsidRPr="00430904">
        <w:rPr>
          <w:rFonts w:asciiTheme="minorHAnsi" w:hAnsiTheme="minorHAnsi" w:cstheme="minorHAnsi"/>
          <w:i/>
          <w:iCs/>
        </w:rPr>
        <w:t>Biology Letters</w:t>
      </w:r>
      <w:r w:rsidRPr="00430904">
        <w:rPr>
          <w:rFonts w:asciiTheme="minorHAnsi" w:hAnsiTheme="minorHAnsi" w:cstheme="minorHAnsi"/>
        </w:rPr>
        <w:t xml:space="preserve">, 16(11), p.20200641. </w:t>
      </w:r>
      <w:hyperlink r:id="rId9" w:history="1">
        <w:r w:rsidRPr="00E43553">
          <w:rPr>
            <w:rStyle w:val="Hyperlink"/>
            <w:rFonts w:asciiTheme="minorHAnsi" w:hAnsiTheme="minorHAnsi" w:cstheme="minorHAnsi"/>
          </w:rPr>
          <w:t>https://doi.org/10.1098/rsbl.2020.0641</w:t>
        </w:r>
      </w:hyperlink>
    </w:p>
    <w:p w14:paraId="4E0C0F1E" w14:textId="77777777" w:rsidR="00E47B78" w:rsidRPr="00430904" w:rsidRDefault="00E47B78" w:rsidP="00E47B78">
      <w:pPr>
        <w:spacing w:line="480" w:lineRule="auto"/>
        <w:rPr>
          <w:rFonts w:asciiTheme="minorHAnsi" w:hAnsiTheme="minorHAnsi" w:cstheme="minorHAnsi"/>
        </w:rPr>
      </w:pPr>
    </w:p>
    <w:p w14:paraId="3FACCCA3" w14:textId="77777777" w:rsidR="00E47B78" w:rsidRDefault="00E47B78" w:rsidP="00E47B78">
      <w:pPr>
        <w:spacing w:line="480" w:lineRule="auto"/>
        <w:rPr>
          <w:rFonts w:asciiTheme="minorHAnsi" w:hAnsiTheme="minorHAnsi" w:cstheme="minorHAnsi"/>
        </w:rPr>
      </w:pPr>
      <w:r w:rsidRPr="00430904">
        <w:rPr>
          <w:rFonts w:asciiTheme="minorHAnsi" w:hAnsiTheme="minorHAnsi" w:cstheme="minorHAnsi"/>
        </w:rPr>
        <w:t xml:space="preserve">Campbell, D. (2021) </w:t>
      </w:r>
      <w:r>
        <w:rPr>
          <w:rFonts w:asciiTheme="minorHAnsi" w:hAnsiTheme="minorHAnsi" w:cstheme="minorHAnsi"/>
        </w:rPr>
        <w:t>‘</w:t>
      </w:r>
      <w:r w:rsidRPr="00430904">
        <w:rPr>
          <w:rFonts w:asciiTheme="minorHAnsi" w:hAnsiTheme="minorHAnsi" w:cstheme="minorHAnsi"/>
        </w:rPr>
        <w:t xml:space="preserve">GPs’ leader condemns ‘malicious criticism’ by </w:t>
      </w:r>
      <w:proofErr w:type="gramStart"/>
      <w:r w:rsidRPr="00430904">
        <w:rPr>
          <w:rFonts w:asciiTheme="minorHAnsi" w:hAnsiTheme="minorHAnsi" w:cstheme="minorHAnsi"/>
        </w:rPr>
        <w:t>politicians</w:t>
      </w:r>
      <w:r>
        <w:rPr>
          <w:rFonts w:asciiTheme="minorHAnsi" w:hAnsiTheme="minorHAnsi" w:cstheme="minorHAnsi"/>
        </w:rPr>
        <w:t>’</w:t>
      </w:r>
      <w:proofErr w:type="gramEnd"/>
      <w:r w:rsidRPr="00430904">
        <w:rPr>
          <w:rFonts w:asciiTheme="minorHAnsi" w:hAnsiTheme="minorHAnsi" w:cstheme="minorHAnsi"/>
        </w:rPr>
        <w:t xml:space="preserve">. </w:t>
      </w:r>
      <w:r w:rsidRPr="00430904">
        <w:rPr>
          <w:rFonts w:asciiTheme="minorHAnsi" w:hAnsiTheme="minorHAnsi" w:cstheme="minorHAnsi"/>
          <w:i/>
          <w:iCs/>
        </w:rPr>
        <w:t>The guardian</w:t>
      </w:r>
      <w:r>
        <w:rPr>
          <w:rFonts w:asciiTheme="minorHAnsi" w:hAnsiTheme="minorHAnsi" w:cstheme="minorHAnsi"/>
        </w:rPr>
        <w:t>, 4</w:t>
      </w:r>
      <w:r w:rsidRPr="00430904">
        <w:rPr>
          <w:rFonts w:asciiTheme="minorHAnsi" w:hAnsiTheme="minorHAnsi" w:cstheme="minorHAnsi"/>
          <w:vertAlign w:val="superscript"/>
        </w:rPr>
        <w:t>th</w:t>
      </w:r>
      <w:r>
        <w:rPr>
          <w:rFonts w:asciiTheme="minorHAnsi" w:hAnsiTheme="minorHAnsi" w:cstheme="minorHAnsi"/>
        </w:rPr>
        <w:t xml:space="preserve"> October</w:t>
      </w:r>
      <w:r w:rsidRPr="00430904">
        <w:rPr>
          <w:rFonts w:asciiTheme="minorHAnsi" w:hAnsiTheme="minorHAnsi" w:cstheme="minorHAnsi"/>
        </w:rPr>
        <w:t xml:space="preserve">. Available at </w:t>
      </w:r>
      <w:hyperlink r:id="rId10" w:history="1">
        <w:r w:rsidRPr="00430904">
          <w:t>https://www.theguardian.com/society/2021/oct/14/gps-leader-condemns-malicious-criticism-by-politicians</w:t>
        </w:r>
      </w:hyperlink>
      <w:r w:rsidRPr="00430904">
        <w:rPr>
          <w:rFonts w:asciiTheme="minorHAnsi" w:hAnsiTheme="minorHAnsi" w:cstheme="minorHAnsi"/>
        </w:rPr>
        <w:t xml:space="preserve"> (accessed on 9th of Dec 2021)</w:t>
      </w:r>
    </w:p>
    <w:p w14:paraId="633361C7" w14:textId="77777777" w:rsidR="00E47B78" w:rsidRPr="00430904" w:rsidRDefault="00E47B78" w:rsidP="00E47B78">
      <w:pPr>
        <w:spacing w:line="480" w:lineRule="auto"/>
        <w:rPr>
          <w:rFonts w:asciiTheme="minorHAnsi" w:hAnsiTheme="minorHAnsi" w:cstheme="minorHAnsi"/>
        </w:rPr>
      </w:pPr>
    </w:p>
    <w:p w14:paraId="453B03F5" w14:textId="77777777" w:rsidR="00E47B78" w:rsidRDefault="00E47B78" w:rsidP="00E47B78">
      <w:pPr>
        <w:spacing w:line="480" w:lineRule="auto"/>
        <w:rPr>
          <w:rFonts w:asciiTheme="minorHAnsi" w:hAnsiTheme="minorHAnsi" w:cstheme="minorHAnsi"/>
        </w:rPr>
      </w:pPr>
      <w:r w:rsidRPr="00430904">
        <w:rPr>
          <w:rFonts w:asciiTheme="minorHAnsi" w:hAnsiTheme="minorHAnsi" w:cstheme="minorHAnsi"/>
        </w:rPr>
        <w:t xml:space="preserve">Chandler, A.D. (1962) </w:t>
      </w:r>
      <w:r w:rsidRPr="00430904">
        <w:rPr>
          <w:rFonts w:asciiTheme="minorHAnsi" w:hAnsiTheme="minorHAnsi" w:cstheme="minorHAnsi"/>
          <w:i/>
          <w:iCs/>
        </w:rPr>
        <w:t>Strategy and structure</w:t>
      </w:r>
      <w:r w:rsidRPr="00430904">
        <w:rPr>
          <w:rFonts w:asciiTheme="minorHAnsi" w:hAnsiTheme="minorHAnsi" w:cstheme="minorHAnsi"/>
        </w:rPr>
        <w:t>: Chapters in the history of the industrial empire, p.13</w:t>
      </w:r>
      <w:r>
        <w:rPr>
          <w:rFonts w:asciiTheme="minorHAnsi" w:hAnsiTheme="minorHAnsi" w:cstheme="minorHAnsi"/>
        </w:rPr>
        <w:t xml:space="preserve">. </w:t>
      </w:r>
    </w:p>
    <w:p w14:paraId="0413A0BB" w14:textId="77777777" w:rsidR="00E47B78" w:rsidRDefault="00E47B78" w:rsidP="00E47B78">
      <w:pPr>
        <w:spacing w:line="480" w:lineRule="auto"/>
        <w:rPr>
          <w:rFonts w:asciiTheme="minorHAnsi" w:hAnsiTheme="minorHAnsi" w:cstheme="minorHAnsi"/>
        </w:rPr>
      </w:pPr>
    </w:p>
    <w:p w14:paraId="0009C76E" w14:textId="77777777" w:rsidR="00E47B78" w:rsidRDefault="00E47B78" w:rsidP="00E47B78">
      <w:pPr>
        <w:spacing w:line="480" w:lineRule="auto"/>
        <w:rPr>
          <w:rFonts w:asciiTheme="minorHAnsi" w:hAnsiTheme="minorHAnsi" w:cstheme="minorHAnsi"/>
        </w:rPr>
      </w:pPr>
      <w:r w:rsidRPr="00430904">
        <w:rPr>
          <w:rFonts w:asciiTheme="minorHAnsi" w:hAnsiTheme="minorHAnsi" w:cstheme="minorHAnsi"/>
        </w:rPr>
        <w:lastRenderedPageBreak/>
        <w:t xml:space="preserve">Dixon, M. (2017) </w:t>
      </w:r>
      <w:r>
        <w:rPr>
          <w:rFonts w:asciiTheme="minorHAnsi" w:hAnsiTheme="minorHAnsi" w:cstheme="minorHAnsi"/>
        </w:rPr>
        <w:t>‘</w:t>
      </w:r>
      <w:r w:rsidRPr="00430904">
        <w:rPr>
          <w:rFonts w:asciiTheme="minorHAnsi" w:hAnsiTheme="minorHAnsi" w:cstheme="minorHAnsi"/>
        </w:rPr>
        <w:t>All GPs will go salaried to the detriment of patients, predicts senior GP leader</w:t>
      </w:r>
      <w:r>
        <w:rPr>
          <w:rFonts w:asciiTheme="minorHAnsi" w:hAnsiTheme="minorHAnsi" w:cstheme="minorHAnsi"/>
        </w:rPr>
        <w:t>’</w:t>
      </w:r>
      <w:r w:rsidRPr="00430904">
        <w:rPr>
          <w:rFonts w:asciiTheme="minorHAnsi" w:hAnsiTheme="minorHAnsi" w:cstheme="minorHAnsi"/>
        </w:rPr>
        <w:t xml:space="preserve">. </w:t>
      </w:r>
      <w:r w:rsidRPr="00430904">
        <w:rPr>
          <w:rFonts w:asciiTheme="minorHAnsi" w:hAnsiTheme="minorHAnsi" w:cstheme="minorHAnsi"/>
          <w:i/>
          <w:iCs/>
        </w:rPr>
        <w:t>Pulse today</w:t>
      </w:r>
      <w:r>
        <w:rPr>
          <w:rFonts w:asciiTheme="minorHAnsi" w:hAnsiTheme="minorHAnsi" w:cstheme="minorHAnsi"/>
        </w:rPr>
        <w:t>, 17</w:t>
      </w:r>
      <w:r w:rsidRPr="00430904">
        <w:rPr>
          <w:rFonts w:asciiTheme="minorHAnsi" w:hAnsiTheme="minorHAnsi" w:cstheme="minorHAnsi"/>
          <w:vertAlign w:val="superscript"/>
        </w:rPr>
        <w:t>th</w:t>
      </w:r>
      <w:r>
        <w:rPr>
          <w:rFonts w:asciiTheme="minorHAnsi" w:hAnsiTheme="minorHAnsi" w:cstheme="minorHAnsi"/>
        </w:rPr>
        <w:t xml:space="preserve"> May.</w:t>
      </w:r>
      <w:r w:rsidRPr="00430904">
        <w:rPr>
          <w:rFonts w:asciiTheme="minorHAnsi" w:hAnsiTheme="minorHAnsi" w:cstheme="minorHAnsi"/>
        </w:rPr>
        <w:t xml:space="preserve"> Available at </w:t>
      </w:r>
      <w:hyperlink r:id="rId11" w:history="1">
        <w:r w:rsidRPr="00430904">
          <w:t>https://www.pulsetoday.co.uk/news/contract/all-gps-will-go-salaried-to-the-detriment-of-patients-predicts-senior-gp-leader/</w:t>
        </w:r>
      </w:hyperlink>
      <w:r w:rsidRPr="00430904">
        <w:rPr>
          <w:rFonts w:asciiTheme="minorHAnsi" w:hAnsiTheme="minorHAnsi" w:cstheme="minorHAnsi"/>
        </w:rPr>
        <w:t xml:space="preserve"> (accessed on 11th of Dec 2021)</w:t>
      </w:r>
    </w:p>
    <w:p w14:paraId="123481DC" w14:textId="77777777" w:rsidR="00E47B78" w:rsidRPr="00430904" w:rsidRDefault="00E47B78" w:rsidP="00E47B78">
      <w:pPr>
        <w:spacing w:line="480" w:lineRule="auto"/>
        <w:rPr>
          <w:rFonts w:asciiTheme="minorHAnsi" w:hAnsiTheme="minorHAnsi" w:cstheme="minorHAnsi"/>
        </w:rPr>
      </w:pPr>
    </w:p>
    <w:p w14:paraId="03667F90" w14:textId="77777777" w:rsidR="00E47B78" w:rsidRDefault="00E47B78" w:rsidP="00E47B78">
      <w:pPr>
        <w:spacing w:line="480" w:lineRule="auto"/>
        <w:rPr>
          <w:rFonts w:asciiTheme="minorHAnsi" w:hAnsiTheme="minorHAnsi" w:cstheme="minorHAnsi"/>
        </w:rPr>
      </w:pPr>
      <w:bookmarkStart w:id="19" w:name="_Hlk89962903"/>
      <w:proofErr w:type="spellStart"/>
      <w:r w:rsidRPr="00430904">
        <w:rPr>
          <w:rFonts w:asciiTheme="minorHAnsi" w:hAnsiTheme="minorHAnsi" w:cstheme="minorHAnsi"/>
        </w:rPr>
        <w:t>Dorobantu</w:t>
      </w:r>
      <w:bookmarkEnd w:id="19"/>
      <w:proofErr w:type="spellEnd"/>
      <w:r w:rsidRPr="00430904">
        <w:rPr>
          <w:rFonts w:asciiTheme="minorHAnsi" w:hAnsiTheme="minorHAnsi" w:cstheme="minorHAnsi"/>
        </w:rPr>
        <w:t xml:space="preserve">, S., Kaul, A. and </w:t>
      </w:r>
      <w:proofErr w:type="spellStart"/>
      <w:r w:rsidRPr="00430904">
        <w:rPr>
          <w:rFonts w:asciiTheme="minorHAnsi" w:hAnsiTheme="minorHAnsi" w:cstheme="minorHAnsi"/>
        </w:rPr>
        <w:t>Zelner</w:t>
      </w:r>
      <w:proofErr w:type="spellEnd"/>
      <w:r w:rsidRPr="00430904">
        <w:rPr>
          <w:rFonts w:asciiTheme="minorHAnsi" w:hAnsiTheme="minorHAnsi" w:cstheme="minorHAnsi"/>
        </w:rPr>
        <w:t xml:space="preserve">, B., </w:t>
      </w:r>
      <w:r>
        <w:rPr>
          <w:rFonts w:asciiTheme="minorHAnsi" w:hAnsiTheme="minorHAnsi" w:cstheme="minorHAnsi"/>
        </w:rPr>
        <w:t>(</w:t>
      </w:r>
      <w:r w:rsidRPr="00430904">
        <w:rPr>
          <w:rFonts w:asciiTheme="minorHAnsi" w:hAnsiTheme="minorHAnsi" w:cstheme="minorHAnsi"/>
        </w:rPr>
        <w:t>2017</w:t>
      </w:r>
      <w:r>
        <w:rPr>
          <w:rFonts w:asciiTheme="minorHAnsi" w:hAnsiTheme="minorHAnsi" w:cstheme="minorHAnsi"/>
        </w:rPr>
        <w:t>)</w:t>
      </w:r>
      <w:r w:rsidRPr="00430904">
        <w:rPr>
          <w:rFonts w:asciiTheme="minorHAnsi" w:hAnsiTheme="minorHAnsi" w:cstheme="minorHAnsi"/>
        </w:rPr>
        <w:t xml:space="preserve"> </w:t>
      </w:r>
      <w:r>
        <w:rPr>
          <w:rFonts w:asciiTheme="minorHAnsi" w:hAnsiTheme="minorHAnsi" w:cstheme="minorHAnsi"/>
        </w:rPr>
        <w:t>‘</w:t>
      </w:r>
      <w:r w:rsidRPr="00430904">
        <w:rPr>
          <w:rFonts w:asciiTheme="minorHAnsi" w:hAnsiTheme="minorHAnsi" w:cstheme="minorHAnsi"/>
        </w:rPr>
        <w:t xml:space="preserve">Nonmarket strategy research through the lens of new institutional economics: An integrative review and future </w:t>
      </w:r>
      <w:proofErr w:type="gramStart"/>
      <w:r w:rsidRPr="00430904">
        <w:rPr>
          <w:rFonts w:asciiTheme="minorHAnsi" w:hAnsiTheme="minorHAnsi" w:cstheme="minorHAnsi"/>
        </w:rPr>
        <w:t>directions</w:t>
      </w:r>
      <w:r>
        <w:rPr>
          <w:rFonts w:asciiTheme="minorHAnsi" w:hAnsiTheme="minorHAnsi" w:cstheme="minorHAnsi"/>
        </w:rPr>
        <w:t>’</w:t>
      </w:r>
      <w:proofErr w:type="gramEnd"/>
      <w:r w:rsidRPr="00430904">
        <w:rPr>
          <w:rFonts w:asciiTheme="minorHAnsi" w:hAnsiTheme="minorHAnsi" w:cstheme="minorHAnsi"/>
        </w:rPr>
        <w:t>. </w:t>
      </w:r>
      <w:r w:rsidRPr="00430904">
        <w:rPr>
          <w:rFonts w:asciiTheme="minorHAnsi" w:hAnsiTheme="minorHAnsi" w:cstheme="minorHAnsi"/>
          <w:i/>
          <w:iCs/>
        </w:rPr>
        <w:t>Strategic Management Journal</w:t>
      </w:r>
      <w:r w:rsidRPr="00430904">
        <w:rPr>
          <w:rFonts w:asciiTheme="minorHAnsi" w:hAnsiTheme="minorHAnsi" w:cstheme="minorHAnsi"/>
        </w:rPr>
        <w:t>, 38(1), pp.114-140.</w:t>
      </w:r>
    </w:p>
    <w:p w14:paraId="0E385FA5" w14:textId="77777777" w:rsidR="00E47B78" w:rsidRPr="00430904" w:rsidRDefault="00E47B78" w:rsidP="00E47B78">
      <w:pPr>
        <w:spacing w:line="480" w:lineRule="auto"/>
        <w:rPr>
          <w:rFonts w:asciiTheme="minorHAnsi" w:hAnsiTheme="minorHAnsi" w:cstheme="minorHAnsi"/>
        </w:rPr>
      </w:pPr>
    </w:p>
    <w:p w14:paraId="23BA044B" w14:textId="77777777" w:rsidR="00E47B78" w:rsidRDefault="00E47B78" w:rsidP="00E47B78">
      <w:pPr>
        <w:spacing w:line="480" w:lineRule="auto"/>
        <w:rPr>
          <w:rFonts w:asciiTheme="minorHAnsi" w:hAnsiTheme="minorHAnsi" w:cstheme="minorHAnsi"/>
        </w:rPr>
      </w:pPr>
      <w:bookmarkStart w:id="20" w:name="_Hlk90623582"/>
      <w:proofErr w:type="spellStart"/>
      <w:r w:rsidRPr="00430904">
        <w:rPr>
          <w:rFonts w:asciiTheme="minorHAnsi" w:hAnsiTheme="minorHAnsi" w:cstheme="minorHAnsi"/>
        </w:rPr>
        <w:t>Haleblian</w:t>
      </w:r>
      <w:bookmarkEnd w:id="20"/>
      <w:proofErr w:type="spellEnd"/>
      <w:r w:rsidRPr="00430904">
        <w:rPr>
          <w:rFonts w:asciiTheme="minorHAnsi" w:hAnsiTheme="minorHAnsi" w:cstheme="minorHAnsi"/>
        </w:rPr>
        <w:t>,</w:t>
      </w:r>
      <w:r>
        <w:rPr>
          <w:rFonts w:asciiTheme="minorHAnsi" w:hAnsiTheme="minorHAnsi" w:cstheme="minorHAnsi"/>
        </w:rPr>
        <w:t xml:space="preserve"> J., </w:t>
      </w:r>
      <w:r w:rsidRPr="00430904">
        <w:rPr>
          <w:rFonts w:asciiTheme="minorHAnsi" w:hAnsiTheme="minorHAnsi" w:cstheme="minorHAnsi"/>
        </w:rPr>
        <w:t>Devers,</w:t>
      </w:r>
      <w:r>
        <w:rPr>
          <w:rFonts w:asciiTheme="minorHAnsi" w:hAnsiTheme="minorHAnsi" w:cstheme="minorHAnsi"/>
        </w:rPr>
        <w:t xml:space="preserve"> </w:t>
      </w:r>
      <w:r w:rsidRPr="00430904">
        <w:rPr>
          <w:rFonts w:asciiTheme="minorHAnsi" w:hAnsiTheme="minorHAnsi" w:cstheme="minorHAnsi"/>
        </w:rPr>
        <w:t>C.E.</w:t>
      </w:r>
      <w:proofErr w:type="gramStart"/>
      <w:r>
        <w:rPr>
          <w:rFonts w:asciiTheme="minorHAnsi" w:hAnsiTheme="minorHAnsi" w:cstheme="minorHAnsi"/>
        </w:rPr>
        <w:t xml:space="preserve">, </w:t>
      </w:r>
      <w:r w:rsidRPr="00430904">
        <w:rPr>
          <w:rFonts w:asciiTheme="minorHAnsi" w:hAnsiTheme="minorHAnsi" w:cstheme="minorHAnsi"/>
        </w:rPr>
        <w:t xml:space="preserve"> McNamara</w:t>
      </w:r>
      <w:proofErr w:type="gramEnd"/>
      <w:r w:rsidRPr="00430904">
        <w:rPr>
          <w:rFonts w:asciiTheme="minorHAnsi" w:hAnsiTheme="minorHAnsi" w:cstheme="minorHAnsi"/>
        </w:rPr>
        <w:t>, G.</w:t>
      </w:r>
      <w:r>
        <w:rPr>
          <w:rFonts w:asciiTheme="minorHAnsi" w:hAnsiTheme="minorHAnsi" w:cstheme="minorHAnsi"/>
        </w:rPr>
        <w:t xml:space="preserve">, </w:t>
      </w:r>
      <w:r w:rsidRPr="00430904">
        <w:rPr>
          <w:rFonts w:asciiTheme="minorHAnsi" w:hAnsiTheme="minorHAnsi" w:cstheme="minorHAnsi"/>
        </w:rPr>
        <w:t xml:space="preserve"> Carpenter M.A. and Davison, R.B. (2009) ‘Taking stock of what we know about mergers and acquisitions: a review and research agenda’, </w:t>
      </w:r>
      <w:r w:rsidRPr="00430904">
        <w:rPr>
          <w:rFonts w:asciiTheme="minorHAnsi" w:hAnsiTheme="minorHAnsi" w:cstheme="minorHAnsi"/>
          <w:i/>
          <w:iCs/>
        </w:rPr>
        <w:t>Journal of Management</w:t>
      </w:r>
      <w:r w:rsidRPr="00430904">
        <w:rPr>
          <w:rFonts w:asciiTheme="minorHAnsi" w:hAnsiTheme="minorHAnsi" w:cstheme="minorHAnsi"/>
        </w:rPr>
        <w:t>, vol. 35, pp. 469– 502.</w:t>
      </w:r>
    </w:p>
    <w:p w14:paraId="3243803E" w14:textId="77777777" w:rsidR="00E47B78" w:rsidRPr="00430904" w:rsidRDefault="00E47B78" w:rsidP="00E47B78">
      <w:pPr>
        <w:spacing w:line="480" w:lineRule="auto"/>
        <w:rPr>
          <w:rFonts w:asciiTheme="minorHAnsi" w:hAnsiTheme="minorHAnsi" w:cstheme="minorHAnsi"/>
        </w:rPr>
      </w:pPr>
    </w:p>
    <w:p w14:paraId="629B875D" w14:textId="77777777" w:rsidR="00E47B78" w:rsidRDefault="00E47B78" w:rsidP="00E47B78">
      <w:pPr>
        <w:spacing w:line="480" w:lineRule="auto"/>
        <w:rPr>
          <w:rFonts w:asciiTheme="minorHAnsi" w:hAnsiTheme="minorHAnsi" w:cstheme="minorHAnsi"/>
        </w:rPr>
      </w:pPr>
      <w:bookmarkStart w:id="21" w:name="_Hlk90241481"/>
      <w:proofErr w:type="spellStart"/>
      <w:r w:rsidRPr="00430904">
        <w:rPr>
          <w:rFonts w:asciiTheme="minorHAnsi" w:hAnsiTheme="minorHAnsi" w:cstheme="minorHAnsi"/>
        </w:rPr>
        <w:t>Iacobucci</w:t>
      </w:r>
      <w:bookmarkEnd w:id="21"/>
      <w:proofErr w:type="spellEnd"/>
      <w:r w:rsidRPr="00430904">
        <w:rPr>
          <w:rFonts w:asciiTheme="minorHAnsi" w:hAnsiTheme="minorHAnsi" w:cstheme="minorHAnsi"/>
        </w:rPr>
        <w:t xml:space="preserve">, G. (2021) </w:t>
      </w:r>
      <w:r>
        <w:rPr>
          <w:rFonts w:asciiTheme="minorHAnsi" w:hAnsiTheme="minorHAnsi" w:cstheme="minorHAnsi"/>
        </w:rPr>
        <w:t>‘</w:t>
      </w:r>
      <w:r w:rsidRPr="00430904">
        <w:rPr>
          <w:rFonts w:asciiTheme="minorHAnsi" w:hAnsiTheme="minorHAnsi" w:cstheme="minorHAnsi"/>
        </w:rPr>
        <w:t>Subsidiary of US healthcare firm will run more than 50 GP practices after takeover deal</w:t>
      </w:r>
      <w:r>
        <w:rPr>
          <w:rFonts w:asciiTheme="minorHAnsi" w:hAnsiTheme="minorHAnsi" w:cstheme="minorHAnsi"/>
        </w:rPr>
        <w:t>’</w:t>
      </w:r>
      <w:r w:rsidRPr="00430904">
        <w:rPr>
          <w:rFonts w:asciiTheme="minorHAnsi" w:hAnsiTheme="minorHAnsi" w:cstheme="minorHAnsi"/>
        </w:rPr>
        <w:t xml:space="preserve">, </w:t>
      </w:r>
      <w:r w:rsidRPr="00430904">
        <w:rPr>
          <w:rFonts w:asciiTheme="minorHAnsi" w:hAnsiTheme="minorHAnsi" w:cstheme="minorHAnsi"/>
          <w:i/>
          <w:iCs/>
        </w:rPr>
        <w:t>the BMJ.</w:t>
      </w:r>
      <w:r w:rsidRPr="00430904">
        <w:rPr>
          <w:rFonts w:asciiTheme="minorHAnsi" w:hAnsiTheme="minorHAnsi" w:cstheme="minorHAnsi"/>
        </w:rPr>
        <w:t xml:space="preserve"> DOI: 10.1136/</w:t>
      </w:r>
      <w:proofErr w:type="gramStart"/>
      <w:r w:rsidRPr="00430904">
        <w:rPr>
          <w:rFonts w:asciiTheme="minorHAnsi" w:hAnsiTheme="minorHAnsi" w:cstheme="minorHAnsi"/>
        </w:rPr>
        <w:t>bmj.n</w:t>
      </w:r>
      <w:proofErr w:type="gramEnd"/>
      <w:r w:rsidRPr="00430904">
        <w:rPr>
          <w:rFonts w:asciiTheme="minorHAnsi" w:hAnsiTheme="minorHAnsi" w:cstheme="minorHAnsi"/>
        </w:rPr>
        <w:t xml:space="preserve">519 </w:t>
      </w:r>
    </w:p>
    <w:p w14:paraId="03A4E783" w14:textId="77777777" w:rsidR="00E47B78" w:rsidRPr="00430904" w:rsidRDefault="00E47B78" w:rsidP="00E47B78">
      <w:pPr>
        <w:spacing w:line="480" w:lineRule="auto"/>
        <w:rPr>
          <w:rFonts w:asciiTheme="minorHAnsi" w:hAnsiTheme="minorHAnsi" w:cstheme="minorHAnsi"/>
        </w:rPr>
      </w:pPr>
    </w:p>
    <w:p w14:paraId="68522F34" w14:textId="77777777" w:rsidR="00E47B78" w:rsidRDefault="00E47B78" w:rsidP="00E47B78">
      <w:pPr>
        <w:spacing w:line="480" w:lineRule="auto"/>
        <w:rPr>
          <w:rFonts w:asciiTheme="minorHAnsi" w:hAnsiTheme="minorHAnsi" w:cstheme="minorHAnsi"/>
        </w:rPr>
      </w:pPr>
      <w:bookmarkStart w:id="22" w:name="_Hlk90236478"/>
      <w:proofErr w:type="spellStart"/>
      <w:r w:rsidRPr="00430904">
        <w:rPr>
          <w:rFonts w:asciiTheme="minorHAnsi" w:hAnsiTheme="minorHAnsi" w:cstheme="minorHAnsi"/>
        </w:rPr>
        <w:t>Magretta</w:t>
      </w:r>
      <w:bookmarkEnd w:id="22"/>
      <w:proofErr w:type="spellEnd"/>
      <w:r w:rsidRPr="00430904">
        <w:rPr>
          <w:rFonts w:asciiTheme="minorHAnsi" w:hAnsiTheme="minorHAnsi" w:cstheme="minorHAnsi"/>
        </w:rPr>
        <w:t xml:space="preserve">, J. (2012) </w:t>
      </w:r>
      <w:r w:rsidRPr="00430904">
        <w:rPr>
          <w:rFonts w:asciiTheme="minorHAnsi" w:hAnsiTheme="minorHAnsi" w:cstheme="minorHAnsi"/>
          <w:i/>
          <w:iCs/>
        </w:rPr>
        <w:t>Understanding Michael Porter – The essential guide to competition and strategy</w:t>
      </w:r>
      <w:r w:rsidRPr="00430904">
        <w:rPr>
          <w:rFonts w:asciiTheme="minorHAnsi" w:hAnsiTheme="minorHAnsi" w:cstheme="minorHAnsi"/>
        </w:rPr>
        <w:t xml:space="preserve">, Harvard Business Review Press online book, pp. 35-49. Available at </w:t>
      </w:r>
      <w:hyperlink r:id="rId12" w:anchor="v=onepage&amp;q&amp;f=false" w:history="1">
        <w:r w:rsidRPr="00430904">
          <w:t xml:space="preserve">Understanding Michael Porter: The Essential Guide to Competition and Strategy - Joan </w:t>
        </w:r>
        <w:proofErr w:type="spellStart"/>
        <w:r w:rsidRPr="00430904">
          <w:t>Magretta</w:t>
        </w:r>
        <w:proofErr w:type="spellEnd"/>
        <w:r w:rsidRPr="00430904">
          <w:t xml:space="preserve"> - Google Books</w:t>
        </w:r>
      </w:hyperlink>
      <w:r w:rsidRPr="00430904">
        <w:rPr>
          <w:rFonts w:asciiTheme="minorHAnsi" w:hAnsiTheme="minorHAnsi" w:cstheme="minorHAnsi"/>
        </w:rPr>
        <w:t>. (accessed on 12th of Dec 2021)</w:t>
      </w:r>
    </w:p>
    <w:p w14:paraId="33E9DAF2" w14:textId="77777777" w:rsidR="00E47B78" w:rsidRPr="00430904" w:rsidRDefault="00E47B78" w:rsidP="00E47B78">
      <w:pPr>
        <w:spacing w:line="480" w:lineRule="auto"/>
        <w:rPr>
          <w:rFonts w:asciiTheme="minorHAnsi" w:hAnsiTheme="minorHAnsi" w:cstheme="minorHAnsi"/>
        </w:rPr>
      </w:pPr>
    </w:p>
    <w:p w14:paraId="2D8155D3" w14:textId="77777777" w:rsidR="00E47B78" w:rsidRDefault="00E47B78" w:rsidP="00E47B78">
      <w:pPr>
        <w:spacing w:line="480" w:lineRule="auto"/>
        <w:rPr>
          <w:rFonts w:asciiTheme="minorHAnsi" w:hAnsiTheme="minorHAnsi" w:cstheme="minorHAnsi"/>
        </w:rPr>
      </w:pPr>
      <w:r w:rsidRPr="00430904">
        <w:rPr>
          <w:rFonts w:asciiTheme="minorHAnsi" w:hAnsiTheme="minorHAnsi" w:cstheme="minorHAnsi"/>
        </w:rPr>
        <w:t>M</w:t>
      </w:r>
      <w:r>
        <w:rPr>
          <w:rFonts w:asciiTheme="minorHAnsi" w:hAnsiTheme="minorHAnsi" w:cstheme="minorHAnsi"/>
        </w:rPr>
        <w:t>ontgomery</w:t>
      </w:r>
      <w:r w:rsidRPr="00430904">
        <w:rPr>
          <w:rFonts w:asciiTheme="minorHAnsi" w:hAnsiTheme="minorHAnsi" w:cstheme="minorHAnsi"/>
        </w:rPr>
        <w:t xml:space="preserve">, C.A., (2008) </w:t>
      </w:r>
      <w:r>
        <w:rPr>
          <w:rFonts w:asciiTheme="minorHAnsi" w:hAnsiTheme="minorHAnsi" w:cstheme="minorHAnsi"/>
        </w:rPr>
        <w:t>‘</w:t>
      </w:r>
      <w:r w:rsidRPr="00430904">
        <w:rPr>
          <w:rFonts w:asciiTheme="minorHAnsi" w:hAnsiTheme="minorHAnsi" w:cstheme="minorHAnsi"/>
        </w:rPr>
        <w:t>Putting leadership back into strategy</w:t>
      </w:r>
      <w:r>
        <w:rPr>
          <w:rFonts w:asciiTheme="minorHAnsi" w:hAnsiTheme="minorHAnsi" w:cstheme="minorHAnsi"/>
        </w:rPr>
        <w:t>’</w:t>
      </w:r>
      <w:r w:rsidRPr="00430904">
        <w:rPr>
          <w:rFonts w:asciiTheme="minorHAnsi" w:hAnsiTheme="minorHAnsi" w:cstheme="minorHAnsi"/>
        </w:rPr>
        <w:t>. </w:t>
      </w:r>
      <w:r w:rsidRPr="00430904">
        <w:rPr>
          <w:rFonts w:asciiTheme="minorHAnsi" w:hAnsiTheme="minorHAnsi" w:cstheme="minorHAnsi"/>
          <w:i/>
          <w:iCs/>
        </w:rPr>
        <w:t>Harvard business review</w:t>
      </w:r>
      <w:r w:rsidRPr="00430904">
        <w:rPr>
          <w:rFonts w:asciiTheme="minorHAnsi" w:hAnsiTheme="minorHAnsi" w:cstheme="minorHAnsi"/>
        </w:rPr>
        <w:t>, 86(1), pp. 54.</w:t>
      </w:r>
    </w:p>
    <w:p w14:paraId="55C6464F" w14:textId="77777777" w:rsidR="00E47B78" w:rsidRPr="00430904" w:rsidRDefault="00E47B78" w:rsidP="00E47B78">
      <w:pPr>
        <w:spacing w:line="480" w:lineRule="auto"/>
        <w:rPr>
          <w:rFonts w:asciiTheme="minorHAnsi" w:hAnsiTheme="minorHAnsi" w:cstheme="minorHAnsi"/>
        </w:rPr>
      </w:pPr>
    </w:p>
    <w:p w14:paraId="3284298E" w14:textId="77777777" w:rsidR="00E47B78" w:rsidRDefault="00E47B78" w:rsidP="00E47B78">
      <w:pPr>
        <w:spacing w:line="480" w:lineRule="auto"/>
        <w:rPr>
          <w:rFonts w:asciiTheme="minorHAnsi" w:hAnsiTheme="minorHAnsi" w:cstheme="minorHAnsi"/>
        </w:rPr>
      </w:pPr>
      <w:r>
        <w:rPr>
          <w:rFonts w:asciiTheme="minorHAnsi" w:hAnsiTheme="minorHAnsi" w:cstheme="minorHAnsi"/>
        </w:rPr>
        <w:lastRenderedPageBreak/>
        <w:t>National Health Service</w:t>
      </w:r>
      <w:r w:rsidRPr="00430904">
        <w:rPr>
          <w:rFonts w:asciiTheme="minorHAnsi" w:hAnsiTheme="minorHAnsi" w:cstheme="minorHAnsi"/>
        </w:rPr>
        <w:t xml:space="preserve"> (2021) </w:t>
      </w:r>
      <w:r w:rsidRPr="00430904">
        <w:rPr>
          <w:rFonts w:asciiTheme="minorHAnsi" w:hAnsiTheme="minorHAnsi" w:cstheme="minorHAnsi"/>
          <w:i/>
          <w:iCs/>
        </w:rPr>
        <w:t>Social prescribing: reducing non-medical GP appointments and delivering a better service for patients – Brownlow Health @ Princes Park Health Centre, North West.</w:t>
      </w:r>
      <w:r w:rsidRPr="00430904">
        <w:rPr>
          <w:rFonts w:asciiTheme="minorHAnsi" w:hAnsiTheme="minorHAnsi" w:cstheme="minorHAnsi"/>
        </w:rPr>
        <w:t xml:space="preserve"> Available at https://www.england.nhs.uk/gp/case-studies/managing-high-demands-for-gp-appointments-walnut-tree-health-centre-east-of-england/ (accessed on 9th of Dec 2021)</w:t>
      </w:r>
    </w:p>
    <w:p w14:paraId="133AF2CC" w14:textId="77777777" w:rsidR="00E47B78" w:rsidRPr="00430904" w:rsidRDefault="00E47B78" w:rsidP="00E47B78">
      <w:pPr>
        <w:spacing w:line="480" w:lineRule="auto"/>
        <w:rPr>
          <w:rFonts w:asciiTheme="minorHAnsi" w:hAnsiTheme="minorHAnsi" w:cstheme="minorHAnsi"/>
        </w:rPr>
      </w:pPr>
    </w:p>
    <w:p w14:paraId="57813727" w14:textId="77777777" w:rsidR="00E47B78" w:rsidRDefault="00E47B78" w:rsidP="00E47B78">
      <w:pPr>
        <w:spacing w:line="480" w:lineRule="auto"/>
        <w:rPr>
          <w:rFonts w:asciiTheme="minorHAnsi" w:hAnsiTheme="minorHAnsi" w:cstheme="minorHAnsi"/>
        </w:rPr>
      </w:pPr>
      <w:bookmarkStart w:id="23" w:name="_Hlk90675837"/>
      <w:r>
        <w:rPr>
          <w:rFonts w:asciiTheme="minorHAnsi" w:hAnsiTheme="minorHAnsi" w:cstheme="minorHAnsi"/>
        </w:rPr>
        <w:t>National Health Service Business Association</w:t>
      </w:r>
      <w:r w:rsidRPr="00430904">
        <w:rPr>
          <w:rFonts w:asciiTheme="minorHAnsi" w:hAnsiTheme="minorHAnsi" w:cstheme="minorHAnsi"/>
        </w:rPr>
        <w:t xml:space="preserve"> </w:t>
      </w:r>
      <w:bookmarkEnd w:id="23"/>
      <w:r w:rsidRPr="00430904">
        <w:rPr>
          <w:rFonts w:asciiTheme="minorHAnsi" w:hAnsiTheme="minorHAnsi" w:cstheme="minorHAnsi"/>
        </w:rPr>
        <w:t xml:space="preserve">(2021) </w:t>
      </w:r>
      <w:r w:rsidRPr="00430904">
        <w:rPr>
          <w:rFonts w:asciiTheme="minorHAnsi" w:hAnsiTheme="minorHAnsi" w:cstheme="minorHAnsi"/>
          <w:i/>
          <w:iCs/>
        </w:rPr>
        <w:t>NHSBSA Strategy 2021-24.</w:t>
      </w:r>
      <w:r w:rsidRPr="00430904">
        <w:rPr>
          <w:rFonts w:asciiTheme="minorHAnsi" w:hAnsiTheme="minorHAnsi" w:cstheme="minorHAnsi"/>
        </w:rPr>
        <w:t xml:space="preserve"> Available at </w:t>
      </w:r>
      <w:hyperlink r:id="rId13" w:history="1">
        <w:r w:rsidRPr="00430904">
          <w:t>https://www.nhsbsa.nhs.uk/sites/default/files/2021-04/Strategy%202021-24%20%28V1%29%2004.2021_0.pdf</w:t>
        </w:r>
      </w:hyperlink>
      <w:r w:rsidRPr="00430904">
        <w:rPr>
          <w:rFonts w:asciiTheme="minorHAnsi" w:hAnsiTheme="minorHAnsi" w:cstheme="minorHAnsi"/>
        </w:rPr>
        <w:t xml:space="preserve"> (accessed on 11th of Dec 2021)</w:t>
      </w:r>
    </w:p>
    <w:p w14:paraId="132DB21B" w14:textId="77777777" w:rsidR="00E47B78" w:rsidRPr="00430904" w:rsidRDefault="00E47B78" w:rsidP="00E47B78">
      <w:pPr>
        <w:spacing w:line="480" w:lineRule="auto"/>
        <w:rPr>
          <w:rFonts w:asciiTheme="minorHAnsi" w:hAnsiTheme="minorHAnsi" w:cstheme="minorHAnsi"/>
        </w:rPr>
      </w:pPr>
    </w:p>
    <w:p w14:paraId="5B166E9A" w14:textId="77777777" w:rsidR="00E47B78" w:rsidRDefault="00E47B78" w:rsidP="00E47B78">
      <w:pPr>
        <w:spacing w:line="480" w:lineRule="auto"/>
        <w:rPr>
          <w:rFonts w:asciiTheme="minorHAnsi" w:hAnsiTheme="minorHAnsi" w:cstheme="minorHAnsi"/>
        </w:rPr>
      </w:pPr>
      <w:r w:rsidRPr="00430904">
        <w:rPr>
          <w:rFonts w:asciiTheme="minorHAnsi" w:hAnsiTheme="minorHAnsi" w:cstheme="minorHAnsi"/>
        </w:rPr>
        <w:t xml:space="preserve">NHS England and NHS improvement (2021) </w:t>
      </w:r>
      <w:r w:rsidRPr="00430904">
        <w:rPr>
          <w:rFonts w:asciiTheme="minorHAnsi" w:hAnsiTheme="minorHAnsi" w:cstheme="minorHAnsi"/>
          <w:i/>
          <w:iCs/>
        </w:rPr>
        <w:t>Our plan for improving access for patients and supporting general practice</w:t>
      </w:r>
      <w:r w:rsidRPr="00430904">
        <w:rPr>
          <w:rFonts w:asciiTheme="minorHAnsi" w:hAnsiTheme="minorHAnsi" w:cstheme="minorHAnsi"/>
        </w:rPr>
        <w:t xml:space="preserve"> </w:t>
      </w:r>
      <w:hyperlink r:id="rId14" w:history="1">
        <w:r w:rsidRPr="00430904">
          <w:t>https://www.england.nhs.uk/coronavirus/wp-content/uploads/sites/52/2021/10/BW999-our-plan-for-improving-access-and-supporting-general-practice-oct-21.pdf</w:t>
        </w:r>
      </w:hyperlink>
      <w:r w:rsidRPr="00430904">
        <w:rPr>
          <w:rFonts w:asciiTheme="minorHAnsi" w:hAnsiTheme="minorHAnsi" w:cstheme="minorHAnsi"/>
        </w:rPr>
        <w:t xml:space="preserve"> (accessed on 9th of Dec 2021)</w:t>
      </w:r>
    </w:p>
    <w:p w14:paraId="069DFE03" w14:textId="77777777" w:rsidR="00E47B78" w:rsidRPr="00430904" w:rsidRDefault="00E47B78" w:rsidP="00E47B78">
      <w:pPr>
        <w:spacing w:line="480" w:lineRule="auto"/>
        <w:rPr>
          <w:rFonts w:asciiTheme="minorHAnsi" w:hAnsiTheme="minorHAnsi" w:cstheme="minorHAnsi"/>
        </w:rPr>
      </w:pPr>
    </w:p>
    <w:p w14:paraId="76267A6D" w14:textId="77777777" w:rsidR="00E47B78" w:rsidRDefault="00E47B78" w:rsidP="00E47B78">
      <w:pPr>
        <w:spacing w:line="480" w:lineRule="auto"/>
        <w:rPr>
          <w:rFonts w:asciiTheme="minorHAnsi" w:hAnsiTheme="minorHAnsi" w:cstheme="minorHAnsi"/>
        </w:rPr>
      </w:pPr>
      <w:r w:rsidRPr="00430904">
        <w:rPr>
          <w:rFonts w:asciiTheme="minorHAnsi" w:hAnsiTheme="minorHAnsi" w:cstheme="minorHAnsi"/>
        </w:rPr>
        <w:t xml:space="preserve">Porter, M. (2008) ‘The ﬁve competitive forces that shape strategy’, </w:t>
      </w:r>
      <w:r w:rsidRPr="00430904">
        <w:rPr>
          <w:rFonts w:asciiTheme="minorHAnsi" w:hAnsiTheme="minorHAnsi" w:cstheme="minorHAnsi"/>
          <w:i/>
          <w:iCs/>
        </w:rPr>
        <w:t>Harvard Business Review</w:t>
      </w:r>
      <w:r w:rsidRPr="00430904">
        <w:rPr>
          <w:rFonts w:asciiTheme="minorHAnsi" w:hAnsiTheme="minorHAnsi" w:cstheme="minorHAnsi"/>
        </w:rPr>
        <w:t>, vol. 86(1), pp. 58– 77</w:t>
      </w:r>
    </w:p>
    <w:p w14:paraId="3D33906C" w14:textId="77777777" w:rsidR="00E47B78" w:rsidRPr="00430904" w:rsidRDefault="00E47B78" w:rsidP="00E47B78">
      <w:pPr>
        <w:spacing w:line="480" w:lineRule="auto"/>
        <w:rPr>
          <w:rFonts w:asciiTheme="minorHAnsi" w:hAnsiTheme="minorHAnsi" w:cstheme="minorHAnsi"/>
        </w:rPr>
      </w:pPr>
    </w:p>
    <w:p w14:paraId="7E385D91" w14:textId="77777777" w:rsidR="00E47B78" w:rsidRDefault="00E47B78" w:rsidP="00E47B78">
      <w:pPr>
        <w:spacing w:line="480" w:lineRule="auto"/>
        <w:rPr>
          <w:rFonts w:asciiTheme="minorHAnsi" w:hAnsiTheme="minorHAnsi" w:cstheme="minorHAnsi"/>
        </w:rPr>
      </w:pPr>
      <w:bookmarkStart w:id="24" w:name="_Hlk90122957"/>
      <w:r w:rsidRPr="00430904">
        <w:rPr>
          <w:rFonts w:asciiTheme="minorHAnsi" w:hAnsiTheme="minorHAnsi" w:cstheme="minorHAnsi"/>
        </w:rPr>
        <w:t>Randhawa</w:t>
      </w:r>
      <w:bookmarkEnd w:id="24"/>
      <w:r w:rsidRPr="00430904">
        <w:rPr>
          <w:rFonts w:asciiTheme="minorHAnsi" w:hAnsiTheme="minorHAnsi" w:cstheme="minorHAnsi"/>
        </w:rPr>
        <w:t>, R. S., Chandan, J. S., Thomas, T., &amp; Singh, S. (2019)</w:t>
      </w:r>
      <w:r>
        <w:rPr>
          <w:rFonts w:asciiTheme="minorHAnsi" w:hAnsiTheme="minorHAnsi" w:cstheme="minorHAnsi"/>
        </w:rPr>
        <w:t xml:space="preserve"> ‘</w:t>
      </w:r>
      <w:r w:rsidRPr="00430904">
        <w:rPr>
          <w:rFonts w:asciiTheme="minorHAnsi" w:hAnsiTheme="minorHAnsi" w:cstheme="minorHAnsi"/>
        </w:rPr>
        <w:t>An exploration of the attitudes and views of general practitioners on the use of video consultations in a primary healthcare setting: a qualitative pilot study</w:t>
      </w:r>
      <w:r>
        <w:rPr>
          <w:rFonts w:asciiTheme="minorHAnsi" w:hAnsiTheme="minorHAnsi" w:cstheme="minorHAnsi"/>
        </w:rPr>
        <w:t>’</w:t>
      </w:r>
      <w:r w:rsidRPr="00430904">
        <w:rPr>
          <w:rFonts w:asciiTheme="minorHAnsi" w:hAnsiTheme="minorHAnsi" w:cstheme="minorHAnsi"/>
        </w:rPr>
        <w:t>. </w:t>
      </w:r>
      <w:r w:rsidRPr="00430904">
        <w:rPr>
          <w:rFonts w:asciiTheme="minorHAnsi" w:hAnsiTheme="minorHAnsi" w:cstheme="minorHAnsi"/>
          <w:i/>
          <w:iCs/>
        </w:rPr>
        <w:t>Primary health care research &amp; development</w:t>
      </w:r>
      <w:r w:rsidRPr="00430904">
        <w:rPr>
          <w:rFonts w:asciiTheme="minorHAnsi" w:hAnsiTheme="minorHAnsi" w:cstheme="minorHAnsi"/>
        </w:rPr>
        <w:t xml:space="preserve">, 20, e5. </w:t>
      </w:r>
      <w:hyperlink r:id="rId15" w:history="1">
        <w:r w:rsidRPr="00E43553">
          <w:rPr>
            <w:rStyle w:val="Hyperlink"/>
            <w:rFonts w:asciiTheme="minorHAnsi" w:hAnsiTheme="minorHAnsi" w:cstheme="minorHAnsi"/>
          </w:rPr>
          <w:t>https://doi.org/10.1017/S1463423618000361</w:t>
        </w:r>
      </w:hyperlink>
    </w:p>
    <w:p w14:paraId="536A77D0" w14:textId="77777777" w:rsidR="00E47B78" w:rsidRPr="00430904" w:rsidRDefault="00E47B78" w:rsidP="00E47B78">
      <w:pPr>
        <w:spacing w:line="480" w:lineRule="auto"/>
        <w:rPr>
          <w:rFonts w:asciiTheme="minorHAnsi" w:hAnsiTheme="minorHAnsi" w:cstheme="minorHAnsi"/>
        </w:rPr>
      </w:pPr>
    </w:p>
    <w:p w14:paraId="36835562" w14:textId="77777777" w:rsidR="00E47B78" w:rsidRDefault="00E47B78" w:rsidP="00E47B78">
      <w:pPr>
        <w:spacing w:line="480" w:lineRule="auto"/>
        <w:rPr>
          <w:rFonts w:asciiTheme="minorHAnsi" w:hAnsiTheme="minorHAnsi" w:cstheme="minorHAnsi"/>
        </w:rPr>
      </w:pPr>
      <w:proofErr w:type="spellStart"/>
      <w:r>
        <w:rPr>
          <w:rFonts w:asciiTheme="minorHAnsi" w:hAnsiTheme="minorHAnsi" w:cstheme="minorHAnsi"/>
        </w:rPr>
        <w:lastRenderedPageBreak/>
        <w:t>Rimmer</w:t>
      </w:r>
      <w:proofErr w:type="spellEnd"/>
      <w:r>
        <w:rPr>
          <w:rFonts w:asciiTheme="minorHAnsi" w:hAnsiTheme="minorHAnsi" w:cstheme="minorHAnsi"/>
        </w:rPr>
        <w:t xml:space="preserve">, A. </w:t>
      </w:r>
      <w:r w:rsidRPr="00430904">
        <w:rPr>
          <w:rFonts w:asciiTheme="minorHAnsi" w:hAnsiTheme="minorHAnsi" w:cstheme="minorHAnsi"/>
        </w:rPr>
        <w:t xml:space="preserve">(2021) </w:t>
      </w:r>
      <w:r>
        <w:rPr>
          <w:rFonts w:asciiTheme="minorHAnsi" w:hAnsiTheme="minorHAnsi" w:cstheme="minorHAnsi"/>
        </w:rPr>
        <w:t>‘</w:t>
      </w:r>
      <w:r w:rsidRPr="00430904">
        <w:rPr>
          <w:rFonts w:asciiTheme="minorHAnsi" w:hAnsiTheme="minorHAnsi" w:cstheme="minorHAnsi"/>
        </w:rPr>
        <w:t>GPs move towards industrial action after rejecting “rescue plan” for general practice</w:t>
      </w:r>
      <w:r>
        <w:rPr>
          <w:rFonts w:asciiTheme="minorHAnsi" w:hAnsiTheme="minorHAnsi" w:cstheme="minorHAnsi"/>
        </w:rPr>
        <w:t>’</w:t>
      </w:r>
      <w:r w:rsidRPr="00430904">
        <w:rPr>
          <w:rFonts w:asciiTheme="minorHAnsi" w:hAnsiTheme="minorHAnsi" w:cstheme="minorHAnsi"/>
        </w:rPr>
        <w:t>,</w:t>
      </w:r>
      <w:r>
        <w:rPr>
          <w:rFonts w:asciiTheme="minorHAnsi" w:hAnsiTheme="minorHAnsi" w:cstheme="minorHAnsi"/>
          <w:i/>
          <w:iCs/>
        </w:rPr>
        <w:t xml:space="preserve"> the BMJ</w:t>
      </w:r>
      <w:r w:rsidRPr="00430904">
        <w:rPr>
          <w:rFonts w:asciiTheme="minorHAnsi" w:hAnsiTheme="minorHAnsi" w:cstheme="minorHAnsi"/>
        </w:rPr>
        <w:t xml:space="preserve">. </w:t>
      </w:r>
      <w:proofErr w:type="spellStart"/>
      <w:r w:rsidRPr="00430904">
        <w:t>doi</w:t>
      </w:r>
      <w:proofErr w:type="spellEnd"/>
      <w:r w:rsidRPr="00430904">
        <w:t>: </w:t>
      </w:r>
      <w:hyperlink r:id="rId16" w:history="1">
        <w:r w:rsidRPr="00430904">
          <w:t>https://doi.org/10.1136/bmj.n2594</w:t>
        </w:r>
      </w:hyperlink>
      <w:r w:rsidRPr="00430904">
        <w:rPr>
          <w:rFonts w:asciiTheme="minorHAnsi" w:hAnsiTheme="minorHAnsi" w:cstheme="minorHAnsi"/>
        </w:rPr>
        <w:t xml:space="preserve"> Available at </w:t>
      </w:r>
      <w:hyperlink r:id="rId17" w:history="1">
        <w:r w:rsidRPr="00430904">
          <w:t>https://www.bmj.com/content/375/bmj.n2594</w:t>
        </w:r>
      </w:hyperlink>
      <w:r w:rsidRPr="00430904">
        <w:rPr>
          <w:rFonts w:asciiTheme="minorHAnsi" w:hAnsiTheme="minorHAnsi" w:cstheme="minorHAnsi"/>
        </w:rPr>
        <w:t xml:space="preserve">  (accessed on 9th of Dec 2021)</w:t>
      </w:r>
    </w:p>
    <w:p w14:paraId="676F5CE0" w14:textId="77777777" w:rsidR="00E47B78" w:rsidRPr="00430904" w:rsidRDefault="00E47B78" w:rsidP="00E47B78">
      <w:pPr>
        <w:spacing w:line="480" w:lineRule="auto"/>
        <w:rPr>
          <w:rFonts w:asciiTheme="minorHAnsi" w:hAnsiTheme="minorHAnsi" w:cstheme="minorHAnsi"/>
        </w:rPr>
      </w:pPr>
    </w:p>
    <w:p w14:paraId="364AFA22" w14:textId="77777777" w:rsidR="00E47B78" w:rsidRDefault="00E47B78" w:rsidP="00E47B78">
      <w:pPr>
        <w:spacing w:line="480" w:lineRule="auto"/>
        <w:rPr>
          <w:rFonts w:asciiTheme="minorHAnsi" w:hAnsiTheme="minorHAnsi" w:cstheme="minorHAnsi"/>
        </w:rPr>
      </w:pPr>
      <w:bookmarkStart w:id="25" w:name="_Hlk89981065"/>
      <w:proofErr w:type="spellStart"/>
      <w:r w:rsidRPr="00430904">
        <w:rPr>
          <w:rFonts w:asciiTheme="minorHAnsi" w:hAnsiTheme="minorHAnsi" w:cstheme="minorHAnsi"/>
        </w:rPr>
        <w:t>Rosén</w:t>
      </w:r>
      <w:bookmarkEnd w:id="25"/>
      <w:proofErr w:type="spellEnd"/>
      <w:r w:rsidRPr="00430904">
        <w:rPr>
          <w:rFonts w:asciiTheme="minorHAnsi" w:hAnsiTheme="minorHAnsi" w:cstheme="minorHAnsi"/>
        </w:rPr>
        <w:t xml:space="preserve">, M. and </w:t>
      </w:r>
      <w:proofErr w:type="spellStart"/>
      <w:r w:rsidRPr="00430904">
        <w:rPr>
          <w:rFonts w:asciiTheme="minorHAnsi" w:hAnsiTheme="minorHAnsi" w:cstheme="minorHAnsi"/>
        </w:rPr>
        <w:t>Stenbeck</w:t>
      </w:r>
      <w:proofErr w:type="spellEnd"/>
      <w:r w:rsidRPr="00430904">
        <w:rPr>
          <w:rFonts w:asciiTheme="minorHAnsi" w:hAnsiTheme="minorHAnsi" w:cstheme="minorHAnsi"/>
        </w:rPr>
        <w:t xml:space="preserve">, M. (2021) </w:t>
      </w:r>
      <w:r>
        <w:rPr>
          <w:rFonts w:asciiTheme="minorHAnsi" w:hAnsiTheme="minorHAnsi" w:cstheme="minorHAnsi"/>
        </w:rPr>
        <w:t>‘</w:t>
      </w:r>
      <w:r w:rsidRPr="00430904">
        <w:rPr>
          <w:rFonts w:asciiTheme="minorHAnsi" w:hAnsiTheme="minorHAnsi" w:cstheme="minorHAnsi"/>
        </w:rPr>
        <w:t xml:space="preserve">Interventions to suppress the coronavirus pandemic will increase unemployment and lead to many premature </w:t>
      </w:r>
      <w:proofErr w:type="gramStart"/>
      <w:r w:rsidRPr="00430904">
        <w:rPr>
          <w:rFonts w:asciiTheme="minorHAnsi" w:hAnsiTheme="minorHAnsi" w:cstheme="minorHAnsi"/>
        </w:rPr>
        <w:t>deaths</w:t>
      </w:r>
      <w:r>
        <w:rPr>
          <w:rFonts w:asciiTheme="minorHAnsi" w:hAnsiTheme="minorHAnsi" w:cstheme="minorHAnsi"/>
        </w:rPr>
        <w:t>’</w:t>
      </w:r>
      <w:proofErr w:type="gramEnd"/>
      <w:r w:rsidRPr="00430904">
        <w:rPr>
          <w:rFonts w:asciiTheme="minorHAnsi" w:hAnsiTheme="minorHAnsi" w:cstheme="minorHAnsi"/>
        </w:rPr>
        <w:t>. </w:t>
      </w:r>
      <w:r w:rsidRPr="00430904">
        <w:rPr>
          <w:rFonts w:asciiTheme="minorHAnsi" w:hAnsiTheme="minorHAnsi" w:cstheme="minorHAnsi"/>
          <w:i/>
          <w:iCs/>
        </w:rPr>
        <w:t>Scandinavian Journal of Public Health</w:t>
      </w:r>
      <w:r w:rsidRPr="00430904">
        <w:rPr>
          <w:rFonts w:asciiTheme="minorHAnsi" w:hAnsiTheme="minorHAnsi" w:cstheme="minorHAnsi"/>
        </w:rPr>
        <w:t>, 49(1), pp.64-68.</w:t>
      </w:r>
    </w:p>
    <w:p w14:paraId="756AAE62" w14:textId="77777777" w:rsidR="00E47B78" w:rsidRPr="00430904" w:rsidRDefault="00E47B78" w:rsidP="00E47B78">
      <w:pPr>
        <w:spacing w:line="480" w:lineRule="auto"/>
        <w:rPr>
          <w:rFonts w:asciiTheme="minorHAnsi" w:hAnsiTheme="minorHAnsi" w:cstheme="minorHAnsi"/>
        </w:rPr>
      </w:pPr>
    </w:p>
    <w:p w14:paraId="18B0E31C" w14:textId="77777777" w:rsidR="00E47B78" w:rsidRDefault="00E47B78" w:rsidP="00E47B78">
      <w:pPr>
        <w:spacing w:line="480" w:lineRule="auto"/>
        <w:rPr>
          <w:rFonts w:asciiTheme="minorHAnsi" w:hAnsiTheme="minorHAnsi" w:cstheme="minorHAnsi"/>
        </w:rPr>
      </w:pPr>
      <w:r w:rsidRPr="00430904">
        <w:rPr>
          <w:rFonts w:asciiTheme="minorHAnsi" w:hAnsiTheme="minorHAnsi" w:cstheme="minorHAnsi"/>
        </w:rPr>
        <w:t xml:space="preserve">The </w:t>
      </w:r>
      <w:proofErr w:type="spellStart"/>
      <w:r w:rsidRPr="00430904">
        <w:rPr>
          <w:rFonts w:asciiTheme="minorHAnsi" w:hAnsiTheme="minorHAnsi" w:cstheme="minorHAnsi"/>
        </w:rPr>
        <w:t>Topol</w:t>
      </w:r>
      <w:proofErr w:type="spellEnd"/>
      <w:r w:rsidRPr="00430904">
        <w:rPr>
          <w:rFonts w:asciiTheme="minorHAnsi" w:hAnsiTheme="minorHAnsi" w:cstheme="minorHAnsi"/>
        </w:rPr>
        <w:t xml:space="preserve"> review (2019) </w:t>
      </w:r>
      <w:r w:rsidRPr="00430904">
        <w:rPr>
          <w:rFonts w:asciiTheme="minorHAnsi" w:hAnsiTheme="minorHAnsi" w:cstheme="minorHAnsi"/>
          <w:i/>
          <w:iCs/>
        </w:rPr>
        <w:t>Preparing the healthcare workforce to deliver the digital future</w:t>
      </w:r>
      <w:r w:rsidRPr="00430904">
        <w:rPr>
          <w:rFonts w:asciiTheme="minorHAnsi" w:hAnsiTheme="minorHAnsi" w:cstheme="minorHAnsi"/>
        </w:rPr>
        <w:t xml:space="preserve">. Available at </w:t>
      </w:r>
      <w:hyperlink r:id="rId18" w:history="1">
        <w:r w:rsidRPr="00430904">
          <w:t>https://topol.hee.nhs.uk/wp-content/uploads/HEE-Topol-Review-2019.pdf</w:t>
        </w:r>
      </w:hyperlink>
      <w:r w:rsidRPr="00430904">
        <w:rPr>
          <w:rFonts w:asciiTheme="minorHAnsi" w:hAnsiTheme="minorHAnsi" w:cstheme="minorHAnsi"/>
        </w:rPr>
        <w:t xml:space="preserve"> (accessed on 11th of Dec 2021)</w:t>
      </w:r>
    </w:p>
    <w:p w14:paraId="5505663D" w14:textId="77777777" w:rsidR="00E47B78" w:rsidRPr="00430904" w:rsidRDefault="00E47B78" w:rsidP="00E47B78">
      <w:pPr>
        <w:spacing w:line="480" w:lineRule="auto"/>
        <w:rPr>
          <w:rFonts w:asciiTheme="minorHAnsi" w:hAnsiTheme="minorHAnsi" w:cstheme="minorHAnsi"/>
        </w:rPr>
      </w:pPr>
    </w:p>
    <w:p w14:paraId="4B300D6C" w14:textId="77777777" w:rsidR="00E47B78" w:rsidRDefault="00E47B78" w:rsidP="00E47B78">
      <w:pPr>
        <w:spacing w:line="480" w:lineRule="auto"/>
      </w:pPr>
      <w:r w:rsidRPr="00430904">
        <w:rPr>
          <w:rFonts w:asciiTheme="minorHAnsi" w:hAnsiTheme="minorHAnsi" w:cstheme="minorHAnsi"/>
        </w:rPr>
        <w:t xml:space="preserve">Thomas, H., </w:t>
      </w:r>
      <w:r>
        <w:rPr>
          <w:rFonts w:asciiTheme="minorHAnsi" w:hAnsiTheme="minorHAnsi" w:cstheme="minorHAnsi"/>
        </w:rPr>
        <w:t>(</w:t>
      </w:r>
      <w:r w:rsidRPr="00430904">
        <w:rPr>
          <w:rFonts w:asciiTheme="minorHAnsi" w:hAnsiTheme="minorHAnsi" w:cstheme="minorHAnsi"/>
        </w:rPr>
        <w:t>2007</w:t>
      </w:r>
      <w:r>
        <w:rPr>
          <w:rFonts w:asciiTheme="minorHAnsi" w:hAnsiTheme="minorHAnsi" w:cstheme="minorHAnsi"/>
        </w:rPr>
        <w:t>) ‘</w:t>
      </w:r>
      <w:r w:rsidRPr="00430904">
        <w:rPr>
          <w:rFonts w:asciiTheme="minorHAnsi" w:hAnsiTheme="minorHAnsi" w:cstheme="minorHAnsi"/>
        </w:rPr>
        <w:t>An analysis of the environment and competitive dynamics of management education</w:t>
      </w:r>
      <w:r>
        <w:rPr>
          <w:rFonts w:asciiTheme="minorHAnsi" w:hAnsiTheme="minorHAnsi" w:cstheme="minorHAnsi"/>
        </w:rPr>
        <w:t>’</w:t>
      </w:r>
      <w:r w:rsidRPr="00430904">
        <w:rPr>
          <w:rFonts w:asciiTheme="minorHAnsi" w:hAnsiTheme="minorHAnsi" w:cstheme="minorHAnsi"/>
        </w:rPr>
        <w:t>. </w:t>
      </w:r>
      <w:r w:rsidRPr="00430904">
        <w:rPr>
          <w:rFonts w:asciiTheme="minorHAnsi" w:hAnsiTheme="minorHAnsi" w:cstheme="minorHAnsi"/>
          <w:i/>
          <w:iCs/>
        </w:rPr>
        <w:t>Journal of Management Development</w:t>
      </w:r>
      <w:r w:rsidRPr="00430904">
        <w:rPr>
          <w:rFonts w:asciiTheme="minorHAnsi" w:hAnsiTheme="minorHAnsi" w:cstheme="minorHAnsi"/>
        </w:rPr>
        <w:t>.  Vol. 26 No. 1, pp. 9-21. </w:t>
      </w:r>
      <w:hyperlink r:id="rId19" w:tooltip="DOI: https://doi.org/10.1108/02621710710720040" w:history="1">
        <w:r w:rsidRPr="00430904">
          <w:t>https://doi.org/10.1108/02621710710720040</w:t>
        </w:r>
      </w:hyperlink>
    </w:p>
    <w:p w14:paraId="0D7FCB38" w14:textId="77777777" w:rsidR="00E47B78" w:rsidRPr="00430904" w:rsidRDefault="00E47B78" w:rsidP="00E47B78">
      <w:pPr>
        <w:spacing w:line="480" w:lineRule="auto"/>
        <w:rPr>
          <w:rFonts w:asciiTheme="minorHAnsi" w:hAnsiTheme="minorHAnsi" w:cstheme="minorHAnsi"/>
        </w:rPr>
      </w:pPr>
    </w:p>
    <w:p w14:paraId="7AA3D4CB" w14:textId="77777777" w:rsidR="00E47B78" w:rsidRDefault="00E47B78" w:rsidP="00E47B78">
      <w:pPr>
        <w:spacing w:line="480" w:lineRule="auto"/>
        <w:rPr>
          <w:rFonts w:asciiTheme="minorHAnsi" w:hAnsiTheme="minorHAnsi" w:cstheme="minorHAnsi"/>
        </w:rPr>
      </w:pPr>
      <w:bookmarkStart w:id="26" w:name="_Hlk90132648"/>
      <w:proofErr w:type="spellStart"/>
      <w:r w:rsidRPr="00430904">
        <w:rPr>
          <w:rFonts w:asciiTheme="minorHAnsi" w:hAnsiTheme="minorHAnsi" w:cstheme="minorHAnsi"/>
        </w:rPr>
        <w:t>Thorlby</w:t>
      </w:r>
      <w:bookmarkEnd w:id="26"/>
      <w:proofErr w:type="spellEnd"/>
      <w:r w:rsidRPr="00430904">
        <w:rPr>
          <w:rFonts w:asciiTheme="minorHAnsi" w:hAnsiTheme="minorHAnsi" w:cstheme="minorHAnsi"/>
        </w:rPr>
        <w:t xml:space="preserve">, R., Gardner, T., Everest, G., Allen, L., </w:t>
      </w:r>
      <w:proofErr w:type="spellStart"/>
      <w:r w:rsidRPr="00430904">
        <w:rPr>
          <w:rFonts w:asciiTheme="minorHAnsi" w:hAnsiTheme="minorHAnsi" w:cstheme="minorHAnsi"/>
        </w:rPr>
        <w:t>Shembavnekar</w:t>
      </w:r>
      <w:proofErr w:type="spellEnd"/>
      <w:r w:rsidRPr="00430904">
        <w:rPr>
          <w:rFonts w:asciiTheme="minorHAnsi" w:hAnsiTheme="minorHAnsi" w:cstheme="minorHAnsi"/>
        </w:rPr>
        <w:t xml:space="preserve">, N., Fisher, R., Dunn, P., Turner-Berry, F., Fraser, C., Briggs, A. and </w:t>
      </w:r>
      <w:proofErr w:type="spellStart"/>
      <w:r w:rsidRPr="00430904">
        <w:rPr>
          <w:rFonts w:asciiTheme="minorHAnsi" w:hAnsiTheme="minorHAnsi" w:cstheme="minorHAnsi"/>
        </w:rPr>
        <w:t>Alderwick</w:t>
      </w:r>
      <w:proofErr w:type="spellEnd"/>
      <w:r w:rsidRPr="00430904">
        <w:rPr>
          <w:rFonts w:asciiTheme="minorHAnsi" w:hAnsiTheme="minorHAnsi" w:cstheme="minorHAnsi"/>
        </w:rPr>
        <w:t xml:space="preserve">, H. (2021) </w:t>
      </w:r>
      <w:r w:rsidRPr="00430904">
        <w:rPr>
          <w:rFonts w:asciiTheme="minorHAnsi" w:hAnsiTheme="minorHAnsi" w:cstheme="minorHAnsi"/>
          <w:i/>
          <w:iCs/>
        </w:rPr>
        <w:t>The NHS Long Term Plan and COVID-19</w:t>
      </w:r>
      <w:r w:rsidRPr="00430904">
        <w:rPr>
          <w:rFonts w:asciiTheme="minorHAnsi" w:hAnsiTheme="minorHAnsi" w:cstheme="minorHAnsi"/>
        </w:rPr>
        <w:t>. DOI: 10.37829/HF-2021-P08</w:t>
      </w:r>
    </w:p>
    <w:p w14:paraId="7A276B73" w14:textId="77777777" w:rsidR="00E47B78" w:rsidRPr="00430904" w:rsidRDefault="00E47B78" w:rsidP="00E47B78">
      <w:pPr>
        <w:spacing w:line="480" w:lineRule="auto"/>
        <w:rPr>
          <w:rFonts w:asciiTheme="minorHAnsi" w:hAnsiTheme="minorHAnsi" w:cstheme="minorHAnsi"/>
        </w:rPr>
      </w:pPr>
    </w:p>
    <w:p w14:paraId="555216C8" w14:textId="77777777" w:rsidR="00E47B78" w:rsidRDefault="00E47B78" w:rsidP="00E47B78">
      <w:pPr>
        <w:spacing w:line="480" w:lineRule="auto"/>
        <w:rPr>
          <w:rFonts w:asciiTheme="minorHAnsi" w:hAnsiTheme="minorHAnsi" w:cstheme="minorHAnsi"/>
        </w:rPr>
      </w:pPr>
      <w:r w:rsidRPr="00430904">
        <w:rPr>
          <w:rFonts w:asciiTheme="minorHAnsi" w:hAnsiTheme="minorHAnsi" w:cstheme="minorHAnsi"/>
        </w:rPr>
        <w:t xml:space="preserve">Venables, Z.C., Ahmed, S., </w:t>
      </w:r>
      <w:proofErr w:type="spellStart"/>
      <w:r w:rsidRPr="00430904">
        <w:rPr>
          <w:rFonts w:asciiTheme="minorHAnsi" w:hAnsiTheme="minorHAnsi" w:cstheme="minorHAnsi"/>
        </w:rPr>
        <w:t>Bleiker</w:t>
      </w:r>
      <w:proofErr w:type="spellEnd"/>
      <w:r w:rsidRPr="00430904">
        <w:rPr>
          <w:rFonts w:asciiTheme="minorHAnsi" w:hAnsiTheme="minorHAnsi" w:cstheme="minorHAnsi"/>
        </w:rPr>
        <w:t xml:space="preserve">, T.O., </w:t>
      </w:r>
      <w:proofErr w:type="spellStart"/>
      <w:r w:rsidRPr="00430904">
        <w:rPr>
          <w:rFonts w:asciiTheme="minorHAnsi" w:hAnsiTheme="minorHAnsi" w:cstheme="minorHAnsi"/>
        </w:rPr>
        <w:t>Broggio</w:t>
      </w:r>
      <w:proofErr w:type="spellEnd"/>
      <w:r w:rsidRPr="00430904">
        <w:rPr>
          <w:rFonts w:asciiTheme="minorHAnsi" w:hAnsiTheme="minorHAnsi" w:cstheme="minorHAnsi"/>
        </w:rPr>
        <w:t xml:space="preserve">, J., </w:t>
      </w:r>
      <w:proofErr w:type="spellStart"/>
      <w:r w:rsidRPr="00430904">
        <w:rPr>
          <w:rFonts w:asciiTheme="minorHAnsi" w:hAnsiTheme="minorHAnsi" w:cstheme="minorHAnsi"/>
        </w:rPr>
        <w:t>Kwiatkowska</w:t>
      </w:r>
      <w:proofErr w:type="spellEnd"/>
      <w:r w:rsidRPr="00430904">
        <w:rPr>
          <w:rFonts w:asciiTheme="minorHAnsi" w:hAnsiTheme="minorHAnsi" w:cstheme="minorHAnsi"/>
        </w:rPr>
        <w:t xml:space="preserve">, M., Levell, N.J., Millington, G.W.M., Paley, L., Payne, E., </w:t>
      </w:r>
      <w:proofErr w:type="spellStart"/>
      <w:r w:rsidRPr="00430904">
        <w:rPr>
          <w:rFonts w:asciiTheme="minorHAnsi" w:hAnsiTheme="minorHAnsi" w:cstheme="minorHAnsi"/>
        </w:rPr>
        <w:t>Proby</w:t>
      </w:r>
      <w:proofErr w:type="spellEnd"/>
      <w:r w:rsidRPr="00430904">
        <w:rPr>
          <w:rFonts w:asciiTheme="minorHAnsi" w:hAnsiTheme="minorHAnsi" w:cstheme="minorHAnsi"/>
        </w:rPr>
        <w:t xml:space="preserve">, C.M. and Vernon, S., </w:t>
      </w:r>
      <w:r>
        <w:rPr>
          <w:rFonts w:asciiTheme="minorHAnsi" w:hAnsiTheme="minorHAnsi" w:cstheme="minorHAnsi"/>
        </w:rPr>
        <w:t>(</w:t>
      </w:r>
      <w:r w:rsidRPr="00430904">
        <w:rPr>
          <w:rFonts w:asciiTheme="minorHAnsi" w:hAnsiTheme="minorHAnsi" w:cstheme="minorHAnsi"/>
        </w:rPr>
        <w:t>2021</w:t>
      </w:r>
      <w:r>
        <w:rPr>
          <w:rFonts w:asciiTheme="minorHAnsi" w:hAnsiTheme="minorHAnsi" w:cstheme="minorHAnsi"/>
        </w:rPr>
        <w:t>)</w:t>
      </w:r>
      <w:r w:rsidRPr="00430904">
        <w:rPr>
          <w:rFonts w:asciiTheme="minorHAnsi" w:hAnsiTheme="minorHAnsi" w:cstheme="minorHAnsi"/>
        </w:rPr>
        <w:t xml:space="preserve"> </w:t>
      </w:r>
      <w:r>
        <w:rPr>
          <w:rFonts w:asciiTheme="minorHAnsi" w:hAnsiTheme="minorHAnsi" w:cstheme="minorHAnsi"/>
        </w:rPr>
        <w:t>‘</w:t>
      </w:r>
      <w:r w:rsidRPr="00430904">
        <w:rPr>
          <w:rFonts w:asciiTheme="minorHAnsi" w:hAnsiTheme="minorHAnsi" w:cstheme="minorHAnsi"/>
        </w:rPr>
        <w:t>The impact of the COVID</w:t>
      </w:r>
      <w:r w:rsidRPr="00430904">
        <w:rPr>
          <w:rFonts w:ascii="Cambria Math" w:hAnsi="Cambria Math" w:cs="Cambria Math"/>
        </w:rPr>
        <w:t>‐</w:t>
      </w:r>
      <w:r w:rsidRPr="00430904">
        <w:rPr>
          <w:rFonts w:asciiTheme="minorHAnsi" w:hAnsiTheme="minorHAnsi" w:cstheme="minorHAnsi"/>
        </w:rPr>
        <w:t>19 pandemic on skin cancer incidence and treatment in England</w:t>
      </w:r>
      <w:r>
        <w:rPr>
          <w:rFonts w:asciiTheme="minorHAnsi" w:hAnsiTheme="minorHAnsi" w:cstheme="minorHAnsi"/>
        </w:rPr>
        <w:t>’</w:t>
      </w:r>
      <w:r w:rsidRPr="00430904">
        <w:rPr>
          <w:rFonts w:asciiTheme="minorHAnsi" w:hAnsiTheme="minorHAnsi" w:cstheme="minorHAnsi"/>
        </w:rPr>
        <w:t xml:space="preserve">. </w:t>
      </w:r>
      <w:r w:rsidRPr="00430904">
        <w:rPr>
          <w:rFonts w:asciiTheme="minorHAnsi" w:hAnsiTheme="minorHAnsi" w:cstheme="minorHAnsi"/>
          <w:i/>
          <w:iCs/>
        </w:rPr>
        <w:t>The British Journal of Dermatology</w:t>
      </w:r>
      <w:r w:rsidRPr="00430904">
        <w:rPr>
          <w:rFonts w:asciiTheme="minorHAnsi" w:hAnsiTheme="minorHAnsi" w:cstheme="minorHAnsi"/>
        </w:rPr>
        <w:t>.</w:t>
      </w:r>
    </w:p>
    <w:p w14:paraId="4940E82C" w14:textId="77777777" w:rsidR="00E47B78" w:rsidRPr="00430904" w:rsidRDefault="00E47B78" w:rsidP="00E47B78">
      <w:pPr>
        <w:spacing w:line="480" w:lineRule="auto"/>
        <w:rPr>
          <w:rFonts w:asciiTheme="minorHAnsi" w:hAnsiTheme="minorHAnsi" w:cstheme="minorHAnsi"/>
        </w:rPr>
      </w:pPr>
    </w:p>
    <w:p w14:paraId="5A17C0F1" w14:textId="77777777" w:rsidR="00E47B78" w:rsidRDefault="00E47B78" w:rsidP="00E47B78">
      <w:pPr>
        <w:spacing w:line="480" w:lineRule="auto"/>
        <w:rPr>
          <w:rFonts w:asciiTheme="minorHAnsi" w:hAnsiTheme="minorHAnsi" w:cstheme="minorHAnsi"/>
        </w:rPr>
      </w:pPr>
      <w:r w:rsidRPr="00430904">
        <w:rPr>
          <w:rFonts w:asciiTheme="minorHAnsi" w:hAnsiTheme="minorHAnsi" w:cstheme="minorHAnsi"/>
        </w:rPr>
        <w:lastRenderedPageBreak/>
        <w:t xml:space="preserve">Whittington, R., </w:t>
      </w:r>
      <w:proofErr w:type="spellStart"/>
      <w:r w:rsidRPr="00430904">
        <w:rPr>
          <w:rFonts w:asciiTheme="minorHAnsi" w:hAnsiTheme="minorHAnsi" w:cstheme="minorHAnsi"/>
        </w:rPr>
        <w:t>Regner</w:t>
      </w:r>
      <w:proofErr w:type="spellEnd"/>
      <w:r w:rsidRPr="00430904">
        <w:rPr>
          <w:rFonts w:asciiTheme="minorHAnsi" w:hAnsiTheme="minorHAnsi" w:cstheme="minorHAnsi"/>
        </w:rPr>
        <w:t xml:space="preserve">, P., Angwin, D., Johnson, G. and Scholes, K. (2019) </w:t>
      </w:r>
      <w:r w:rsidRPr="00430904">
        <w:rPr>
          <w:rFonts w:asciiTheme="minorHAnsi" w:hAnsiTheme="minorHAnsi" w:cstheme="minorHAnsi"/>
          <w:i/>
          <w:iCs/>
        </w:rPr>
        <w:t xml:space="preserve">Exploring Strategy Text and Cases PDF </w:t>
      </w:r>
      <w:proofErr w:type="spellStart"/>
      <w:r w:rsidRPr="00430904">
        <w:rPr>
          <w:rFonts w:asciiTheme="minorHAnsi" w:hAnsiTheme="minorHAnsi" w:cstheme="minorHAnsi"/>
          <w:i/>
          <w:iCs/>
        </w:rPr>
        <w:t>EBook</w:t>
      </w:r>
      <w:proofErr w:type="spellEnd"/>
      <w:r w:rsidRPr="00430904">
        <w:rPr>
          <w:rFonts w:asciiTheme="minorHAnsi" w:hAnsiTheme="minorHAnsi" w:cstheme="minorHAnsi"/>
          <w:i/>
          <w:iCs/>
        </w:rPr>
        <w:t>,</w:t>
      </w:r>
      <w:r w:rsidRPr="00430904">
        <w:rPr>
          <w:rFonts w:asciiTheme="minorHAnsi" w:hAnsiTheme="minorHAnsi" w:cstheme="minorHAnsi"/>
        </w:rPr>
        <w:t xml:space="preserve"> Pearson Higher Education &amp; Professional Group. ProQuest </w:t>
      </w:r>
      <w:proofErr w:type="spellStart"/>
      <w:r w:rsidRPr="00430904">
        <w:rPr>
          <w:rFonts w:asciiTheme="minorHAnsi" w:hAnsiTheme="minorHAnsi" w:cstheme="minorHAnsi"/>
        </w:rPr>
        <w:t>Ebook</w:t>
      </w:r>
      <w:proofErr w:type="spellEnd"/>
      <w:r w:rsidRPr="00430904">
        <w:rPr>
          <w:rFonts w:asciiTheme="minorHAnsi" w:hAnsiTheme="minorHAnsi" w:cstheme="minorHAnsi"/>
        </w:rPr>
        <w:t xml:space="preserve"> Central,</w:t>
      </w:r>
      <w:r>
        <w:rPr>
          <w:rFonts w:asciiTheme="minorHAnsi" w:hAnsiTheme="minorHAnsi" w:cstheme="minorHAnsi"/>
        </w:rPr>
        <w:t xml:space="preserve"> </w:t>
      </w:r>
      <w:hyperlink r:id="rId20" w:history="1">
        <w:r w:rsidRPr="00E43553">
          <w:rPr>
            <w:rStyle w:val="Hyperlink"/>
            <w:rFonts w:asciiTheme="minorHAnsi" w:hAnsiTheme="minorHAnsi" w:cstheme="minorHAnsi"/>
          </w:rPr>
          <w:t>http://ebookcentral.proquest.com/lib/trinity/detail.action?docID=5987036</w:t>
        </w:r>
      </w:hyperlink>
      <w:r w:rsidRPr="00430904">
        <w:rPr>
          <w:rFonts w:asciiTheme="minorHAnsi" w:hAnsiTheme="minorHAnsi" w:cstheme="minorHAnsi"/>
        </w:rPr>
        <w:t>.</w:t>
      </w:r>
      <w:r>
        <w:rPr>
          <w:rFonts w:asciiTheme="minorHAnsi" w:hAnsiTheme="minorHAnsi" w:cstheme="minorHAnsi"/>
        </w:rPr>
        <w:t xml:space="preserve"> </w:t>
      </w:r>
      <w:r w:rsidRPr="00430904">
        <w:rPr>
          <w:rFonts w:asciiTheme="minorHAnsi" w:hAnsiTheme="minorHAnsi" w:cstheme="minorHAnsi"/>
        </w:rPr>
        <w:t>Created from trinity on 2021-12-05 12:33:32.</w:t>
      </w:r>
    </w:p>
    <w:p w14:paraId="5C51B909" w14:textId="77777777" w:rsidR="00E47B78" w:rsidRPr="00430904" w:rsidRDefault="00E47B78" w:rsidP="00E47B78">
      <w:pPr>
        <w:spacing w:line="480" w:lineRule="auto"/>
        <w:rPr>
          <w:rFonts w:asciiTheme="minorHAnsi" w:hAnsiTheme="minorHAnsi" w:cstheme="minorHAnsi"/>
        </w:rPr>
      </w:pPr>
    </w:p>
    <w:p w14:paraId="46348628" w14:textId="77777777" w:rsidR="00E47B78" w:rsidRDefault="00E47B78" w:rsidP="00E47B78">
      <w:pPr>
        <w:spacing w:line="480" w:lineRule="auto"/>
        <w:rPr>
          <w:rFonts w:asciiTheme="minorHAnsi" w:hAnsiTheme="minorHAnsi" w:cstheme="minorHAnsi"/>
        </w:rPr>
      </w:pPr>
      <w:r w:rsidRPr="00430904">
        <w:rPr>
          <w:rFonts w:asciiTheme="minorHAnsi" w:hAnsiTheme="minorHAnsi" w:cstheme="minorHAnsi"/>
        </w:rPr>
        <w:t xml:space="preserve">Wood, V (2021) </w:t>
      </w:r>
      <w:r>
        <w:rPr>
          <w:rFonts w:asciiTheme="minorHAnsi" w:hAnsiTheme="minorHAnsi" w:cstheme="minorHAnsi"/>
        </w:rPr>
        <w:t>‘</w:t>
      </w:r>
      <w:r w:rsidRPr="00430904">
        <w:rPr>
          <w:rFonts w:asciiTheme="minorHAnsi" w:hAnsiTheme="minorHAnsi" w:cstheme="minorHAnsi"/>
        </w:rPr>
        <w:t>Clap for carers: UK unites to cheer and applaud NHS workers</w:t>
      </w:r>
      <w:r>
        <w:rPr>
          <w:rFonts w:asciiTheme="minorHAnsi" w:hAnsiTheme="minorHAnsi" w:cstheme="minorHAnsi"/>
        </w:rPr>
        <w:t>’</w:t>
      </w:r>
      <w:r w:rsidRPr="00430904">
        <w:rPr>
          <w:rFonts w:asciiTheme="minorHAnsi" w:hAnsiTheme="minorHAnsi" w:cstheme="minorHAnsi"/>
        </w:rPr>
        <w:t xml:space="preserve">, </w:t>
      </w:r>
      <w:r w:rsidRPr="00430904">
        <w:rPr>
          <w:rFonts w:asciiTheme="minorHAnsi" w:hAnsiTheme="minorHAnsi" w:cstheme="minorHAnsi"/>
          <w:i/>
          <w:iCs/>
        </w:rPr>
        <w:t xml:space="preserve">independent </w:t>
      </w:r>
      <w:r>
        <w:rPr>
          <w:rFonts w:asciiTheme="minorHAnsi" w:hAnsiTheme="minorHAnsi" w:cstheme="minorHAnsi"/>
          <w:i/>
          <w:iCs/>
        </w:rPr>
        <w:t xml:space="preserve">Website, </w:t>
      </w:r>
      <w:r>
        <w:rPr>
          <w:rFonts w:asciiTheme="minorHAnsi" w:hAnsiTheme="minorHAnsi" w:cstheme="minorHAnsi"/>
        </w:rPr>
        <w:t>3</w:t>
      </w:r>
      <w:r w:rsidRPr="00430904">
        <w:rPr>
          <w:rFonts w:asciiTheme="minorHAnsi" w:hAnsiTheme="minorHAnsi" w:cstheme="minorHAnsi"/>
          <w:vertAlign w:val="superscript"/>
        </w:rPr>
        <w:t>rd</w:t>
      </w:r>
      <w:r>
        <w:rPr>
          <w:rFonts w:asciiTheme="minorHAnsi" w:hAnsiTheme="minorHAnsi" w:cstheme="minorHAnsi"/>
        </w:rPr>
        <w:t xml:space="preserve"> April</w:t>
      </w:r>
      <w:r w:rsidRPr="00430904">
        <w:rPr>
          <w:rFonts w:asciiTheme="minorHAnsi" w:hAnsiTheme="minorHAnsi" w:cstheme="minorHAnsi"/>
          <w:i/>
          <w:iCs/>
        </w:rPr>
        <w:t>.</w:t>
      </w:r>
      <w:r w:rsidRPr="00430904">
        <w:rPr>
          <w:rFonts w:asciiTheme="minorHAnsi" w:hAnsiTheme="minorHAnsi" w:cstheme="minorHAnsi"/>
        </w:rPr>
        <w:t xml:space="preserve"> Available at </w:t>
      </w:r>
      <w:hyperlink r:id="rId21" w:history="1">
        <w:r w:rsidRPr="00430904">
          <w:t>https://www.independent.co.uk/news/uk/home-news/clap-for-carers-tonight-coronavirus-lockdown-time-nhs-video-a9444321.html</w:t>
        </w:r>
      </w:hyperlink>
      <w:r w:rsidRPr="00430904">
        <w:rPr>
          <w:rFonts w:asciiTheme="minorHAnsi" w:hAnsiTheme="minorHAnsi" w:cstheme="minorHAnsi"/>
        </w:rPr>
        <w:t xml:space="preserve"> (accessed on the 9th of 12 2021)</w:t>
      </w:r>
    </w:p>
    <w:p w14:paraId="680B77FB" w14:textId="77777777" w:rsidR="00E47B78" w:rsidRPr="00430904" w:rsidRDefault="00E47B78" w:rsidP="00E47B78">
      <w:pPr>
        <w:spacing w:line="480" w:lineRule="auto"/>
        <w:rPr>
          <w:rFonts w:asciiTheme="minorHAnsi" w:hAnsiTheme="minorHAnsi" w:cstheme="minorHAnsi"/>
        </w:rPr>
      </w:pPr>
    </w:p>
    <w:p w14:paraId="1B06D504" w14:textId="77777777" w:rsidR="00E47B78" w:rsidRPr="00430904" w:rsidRDefault="00E47B78" w:rsidP="00E47B78">
      <w:pPr>
        <w:spacing w:line="480" w:lineRule="auto"/>
        <w:rPr>
          <w:rFonts w:asciiTheme="minorHAnsi" w:hAnsiTheme="minorHAnsi" w:cstheme="minorHAnsi"/>
        </w:rPr>
      </w:pPr>
      <w:bookmarkStart w:id="27" w:name="_Hlk90121926"/>
      <w:proofErr w:type="spellStart"/>
      <w:r w:rsidRPr="00430904">
        <w:rPr>
          <w:rFonts w:asciiTheme="minorHAnsi" w:hAnsiTheme="minorHAnsi" w:cstheme="minorHAnsi"/>
        </w:rPr>
        <w:t>Zorron</w:t>
      </w:r>
      <w:proofErr w:type="spellEnd"/>
      <w:r w:rsidRPr="00430904">
        <w:rPr>
          <w:rFonts w:asciiTheme="minorHAnsi" w:hAnsiTheme="minorHAnsi" w:cstheme="minorHAnsi"/>
        </w:rPr>
        <w:t xml:space="preserve"> </w:t>
      </w:r>
      <w:bookmarkEnd w:id="27"/>
      <w:r w:rsidRPr="00430904">
        <w:rPr>
          <w:rFonts w:asciiTheme="minorHAnsi" w:hAnsiTheme="minorHAnsi" w:cstheme="minorHAnsi"/>
        </w:rPr>
        <w:t xml:space="preserve">Cheng Tao Pu, L., </w:t>
      </w:r>
      <w:proofErr w:type="spellStart"/>
      <w:r w:rsidRPr="00430904">
        <w:rPr>
          <w:rFonts w:asciiTheme="minorHAnsi" w:hAnsiTheme="minorHAnsi" w:cstheme="minorHAnsi"/>
        </w:rPr>
        <w:t>Raval</w:t>
      </w:r>
      <w:proofErr w:type="spellEnd"/>
      <w:r w:rsidRPr="00430904">
        <w:rPr>
          <w:rFonts w:asciiTheme="minorHAnsi" w:hAnsiTheme="minorHAnsi" w:cstheme="minorHAnsi"/>
        </w:rPr>
        <w:t xml:space="preserve">, M., </w:t>
      </w:r>
      <w:proofErr w:type="spellStart"/>
      <w:r w:rsidRPr="00430904">
        <w:rPr>
          <w:rFonts w:asciiTheme="minorHAnsi" w:hAnsiTheme="minorHAnsi" w:cstheme="minorHAnsi"/>
        </w:rPr>
        <w:t>Terbah</w:t>
      </w:r>
      <w:proofErr w:type="spellEnd"/>
      <w:r w:rsidRPr="00430904">
        <w:rPr>
          <w:rFonts w:asciiTheme="minorHAnsi" w:hAnsiTheme="minorHAnsi" w:cstheme="minorHAnsi"/>
        </w:rPr>
        <w:t xml:space="preserve">, R., Singh, G., </w:t>
      </w:r>
      <w:proofErr w:type="spellStart"/>
      <w:r w:rsidRPr="00430904">
        <w:rPr>
          <w:rFonts w:asciiTheme="minorHAnsi" w:hAnsiTheme="minorHAnsi" w:cstheme="minorHAnsi"/>
        </w:rPr>
        <w:t>Rajadurai</w:t>
      </w:r>
      <w:proofErr w:type="spellEnd"/>
      <w:r w:rsidRPr="00430904">
        <w:rPr>
          <w:rFonts w:asciiTheme="minorHAnsi" w:hAnsiTheme="minorHAnsi" w:cstheme="minorHAnsi"/>
        </w:rPr>
        <w:t xml:space="preserve">, A., Vaughan, R., </w:t>
      </w:r>
      <w:proofErr w:type="spellStart"/>
      <w:r w:rsidRPr="00430904">
        <w:rPr>
          <w:rFonts w:asciiTheme="minorHAnsi" w:hAnsiTheme="minorHAnsi" w:cstheme="minorHAnsi"/>
        </w:rPr>
        <w:t>Efthymiou</w:t>
      </w:r>
      <w:proofErr w:type="spellEnd"/>
      <w:r w:rsidRPr="00430904">
        <w:rPr>
          <w:rFonts w:asciiTheme="minorHAnsi" w:hAnsiTheme="minorHAnsi" w:cstheme="minorHAnsi"/>
        </w:rPr>
        <w:t xml:space="preserve">, M. and Chandran, S. (2021) </w:t>
      </w:r>
      <w:r>
        <w:rPr>
          <w:rFonts w:asciiTheme="minorHAnsi" w:hAnsiTheme="minorHAnsi" w:cstheme="minorHAnsi"/>
        </w:rPr>
        <w:t>‘</w:t>
      </w:r>
      <w:r w:rsidRPr="00430904">
        <w:rPr>
          <w:rFonts w:asciiTheme="minorHAnsi" w:hAnsiTheme="minorHAnsi" w:cstheme="minorHAnsi"/>
        </w:rPr>
        <w:t xml:space="preserve">Video consultations during the coronavirus disease 2019 pandemic are associated with high satisfaction for both doctors and </w:t>
      </w:r>
      <w:proofErr w:type="gramStart"/>
      <w:r w:rsidRPr="00430904">
        <w:rPr>
          <w:rFonts w:asciiTheme="minorHAnsi" w:hAnsiTheme="minorHAnsi" w:cstheme="minorHAnsi"/>
        </w:rPr>
        <w:t>patients</w:t>
      </w:r>
      <w:r>
        <w:rPr>
          <w:rFonts w:asciiTheme="minorHAnsi" w:hAnsiTheme="minorHAnsi" w:cstheme="minorHAnsi"/>
        </w:rPr>
        <w:t>’</w:t>
      </w:r>
      <w:proofErr w:type="gramEnd"/>
      <w:r w:rsidRPr="00430904">
        <w:rPr>
          <w:rFonts w:asciiTheme="minorHAnsi" w:hAnsiTheme="minorHAnsi" w:cstheme="minorHAnsi"/>
        </w:rPr>
        <w:t>. </w:t>
      </w:r>
      <w:r w:rsidRPr="00430904">
        <w:rPr>
          <w:rFonts w:asciiTheme="minorHAnsi" w:hAnsiTheme="minorHAnsi" w:cstheme="minorHAnsi"/>
          <w:i/>
          <w:iCs/>
        </w:rPr>
        <w:t>JGH Open</w:t>
      </w:r>
      <w:r w:rsidRPr="00430904">
        <w:rPr>
          <w:rFonts w:asciiTheme="minorHAnsi" w:hAnsiTheme="minorHAnsi" w:cstheme="minorHAnsi"/>
        </w:rPr>
        <w:t>, pp. 542-548. DOI: 10.1002/jgh3.12547</w:t>
      </w:r>
    </w:p>
    <w:p w14:paraId="32DDB29D" w14:textId="77777777" w:rsidR="00E47B78" w:rsidRPr="00354411" w:rsidRDefault="00E47B78" w:rsidP="00E47B78">
      <w:pPr>
        <w:spacing w:line="480" w:lineRule="auto"/>
      </w:pPr>
    </w:p>
    <w:sectPr w:rsidR="00E47B78" w:rsidRPr="0035441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65B2E8" w14:textId="77777777" w:rsidR="00392262" w:rsidRDefault="00392262" w:rsidP="00FA2356">
      <w:r>
        <w:separator/>
      </w:r>
    </w:p>
  </w:endnote>
  <w:endnote w:type="continuationSeparator" w:id="0">
    <w:p w14:paraId="57BEE558" w14:textId="77777777" w:rsidR="00392262" w:rsidRDefault="00392262" w:rsidP="00FA23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9129417"/>
      <w:docPartObj>
        <w:docPartGallery w:val="Page Numbers (Bottom of Page)"/>
        <w:docPartUnique/>
      </w:docPartObj>
    </w:sdtPr>
    <w:sdtEndPr>
      <w:rPr>
        <w:noProof/>
      </w:rPr>
    </w:sdtEndPr>
    <w:sdtContent>
      <w:p w14:paraId="33DA624E" w14:textId="21E0F6D9" w:rsidR="00C540DF" w:rsidRDefault="00C540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B66E58" w14:textId="77777777" w:rsidR="00C540DF" w:rsidRDefault="00C540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6F3962" w14:textId="77777777" w:rsidR="00392262" w:rsidRDefault="00392262" w:rsidP="00FA2356">
      <w:r>
        <w:separator/>
      </w:r>
    </w:p>
  </w:footnote>
  <w:footnote w:type="continuationSeparator" w:id="0">
    <w:p w14:paraId="5741E232" w14:textId="77777777" w:rsidR="00392262" w:rsidRDefault="00392262" w:rsidP="00FA23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36835"/>
    <w:multiLevelType w:val="hybridMultilevel"/>
    <w:tmpl w:val="DBF007B2"/>
    <w:lvl w:ilvl="0" w:tplc="E18C55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46912"/>
    <w:multiLevelType w:val="hybridMultilevel"/>
    <w:tmpl w:val="9D78B140"/>
    <w:lvl w:ilvl="0" w:tplc="315C02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C47034"/>
    <w:multiLevelType w:val="hybridMultilevel"/>
    <w:tmpl w:val="B4B2A98C"/>
    <w:lvl w:ilvl="0" w:tplc="9E662C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20A5D"/>
    <w:multiLevelType w:val="hybridMultilevel"/>
    <w:tmpl w:val="3000F39C"/>
    <w:lvl w:ilvl="0" w:tplc="22FA47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CA1F08"/>
    <w:multiLevelType w:val="hybridMultilevel"/>
    <w:tmpl w:val="10003E86"/>
    <w:lvl w:ilvl="0" w:tplc="FE86E0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0F569A"/>
    <w:multiLevelType w:val="hybridMultilevel"/>
    <w:tmpl w:val="CA6665CC"/>
    <w:lvl w:ilvl="0" w:tplc="D19E3F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3B3750"/>
    <w:multiLevelType w:val="hybridMultilevel"/>
    <w:tmpl w:val="07F48BF4"/>
    <w:lvl w:ilvl="0" w:tplc="CC207F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F96D49"/>
    <w:multiLevelType w:val="hybridMultilevel"/>
    <w:tmpl w:val="7A1E3DB2"/>
    <w:lvl w:ilvl="0" w:tplc="6742BD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A04FE8"/>
    <w:multiLevelType w:val="hybridMultilevel"/>
    <w:tmpl w:val="56C0548C"/>
    <w:lvl w:ilvl="0" w:tplc="E8A242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7C669F"/>
    <w:multiLevelType w:val="hybridMultilevel"/>
    <w:tmpl w:val="6492A378"/>
    <w:lvl w:ilvl="0" w:tplc="5816A5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1E6136"/>
    <w:multiLevelType w:val="hybridMultilevel"/>
    <w:tmpl w:val="782E1D56"/>
    <w:lvl w:ilvl="0" w:tplc="CE8C78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354FCB"/>
    <w:multiLevelType w:val="hybridMultilevel"/>
    <w:tmpl w:val="4BF8CD44"/>
    <w:lvl w:ilvl="0" w:tplc="F26825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10"/>
  </w:num>
  <w:num w:numId="4">
    <w:abstractNumId w:val="1"/>
  </w:num>
  <w:num w:numId="5">
    <w:abstractNumId w:val="11"/>
  </w:num>
  <w:num w:numId="6">
    <w:abstractNumId w:val="9"/>
  </w:num>
  <w:num w:numId="7">
    <w:abstractNumId w:val="5"/>
  </w:num>
  <w:num w:numId="8">
    <w:abstractNumId w:val="4"/>
  </w:num>
  <w:num w:numId="9">
    <w:abstractNumId w:val="3"/>
  </w:num>
  <w:num w:numId="10">
    <w:abstractNumId w:val="0"/>
  </w:num>
  <w:num w:numId="11">
    <w:abstractNumId w:val="2"/>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0tzAxNjE2MzE0NDBU0lEKTi0uzszPAykwrgUAGG3WOiwAAAA="/>
  </w:docVars>
  <w:rsids>
    <w:rsidRoot w:val="00DD37E7"/>
    <w:rsid w:val="000132AA"/>
    <w:rsid w:val="00135F7A"/>
    <w:rsid w:val="001D0115"/>
    <w:rsid w:val="00354411"/>
    <w:rsid w:val="00374657"/>
    <w:rsid w:val="00392262"/>
    <w:rsid w:val="00475D6F"/>
    <w:rsid w:val="004F2CB6"/>
    <w:rsid w:val="00586ED1"/>
    <w:rsid w:val="005B5749"/>
    <w:rsid w:val="00611201"/>
    <w:rsid w:val="006B2981"/>
    <w:rsid w:val="006C5A7F"/>
    <w:rsid w:val="00754734"/>
    <w:rsid w:val="00962CA4"/>
    <w:rsid w:val="00AA3FC7"/>
    <w:rsid w:val="00AE6687"/>
    <w:rsid w:val="00B108F9"/>
    <w:rsid w:val="00BD52FD"/>
    <w:rsid w:val="00C540DF"/>
    <w:rsid w:val="00C94925"/>
    <w:rsid w:val="00CE1130"/>
    <w:rsid w:val="00CE6D20"/>
    <w:rsid w:val="00D34C29"/>
    <w:rsid w:val="00D55616"/>
    <w:rsid w:val="00D60F30"/>
    <w:rsid w:val="00D67FC6"/>
    <w:rsid w:val="00DD37E7"/>
    <w:rsid w:val="00DE7A5A"/>
    <w:rsid w:val="00E119A6"/>
    <w:rsid w:val="00E248DD"/>
    <w:rsid w:val="00E47B78"/>
    <w:rsid w:val="00E82D0F"/>
    <w:rsid w:val="00F17DCA"/>
    <w:rsid w:val="00FA2356"/>
    <w:rsid w:val="00FC5A6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3B1F2"/>
  <w15:chartTrackingRefBased/>
  <w15:docId w15:val="{2FA51B2E-7DA2-4DB5-8CA2-F7A60F5B6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B7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47B78"/>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356"/>
    <w:pPr>
      <w:tabs>
        <w:tab w:val="center" w:pos="4513"/>
        <w:tab w:val="right" w:pos="9026"/>
      </w:tabs>
    </w:pPr>
  </w:style>
  <w:style w:type="character" w:customStyle="1" w:styleId="HeaderChar">
    <w:name w:val="Header Char"/>
    <w:basedOn w:val="DefaultParagraphFont"/>
    <w:link w:val="Header"/>
    <w:uiPriority w:val="99"/>
    <w:rsid w:val="00FA2356"/>
  </w:style>
  <w:style w:type="paragraph" w:styleId="Footer">
    <w:name w:val="footer"/>
    <w:basedOn w:val="Normal"/>
    <w:link w:val="FooterChar"/>
    <w:uiPriority w:val="99"/>
    <w:unhideWhenUsed/>
    <w:rsid w:val="00FA2356"/>
    <w:pPr>
      <w:tabs>
        <w:tab w:val="center" w:pos="4513"/>
        <w:tab w:val="right" w:pos="9026"/>
      </w:tabs>
    </w:pPr>
  </w:style>
  <w:style w:type="character" w:customStyle="1" w:styleId="FooterChar">
    <w:name w:val="Footer Char"/>
    <w:basedOn w:val="DefaultParagraphFont"/>
    <w:link w:val="Footer"/>
    <w:uiPriority w:val="99"/>
    <w:rsid w:val="00FA2356"/>
  </w:style>
  <w:style w:type="paragraph" w:styleId="ListParagraph">
    <w:name w:val="List Paragraph"/>
    <w:basedOn w:val="Normal"/>
    <w:uiPriority w:val="34"/>
    <w:qFormat/>
    <w:rsid w:val="00D67FC6"/>
    <w:pPr>
      <w:ind w:left="720"/>
      <w:contextualSpacing/>
    </w:pPr>
  </w:style>
  <w:style w:type="paragraph" w:styleId="NoSpacing">
    <w:name w:val="No Spacing"/>
    <w:uiPriority w:val="1"/>
    <w:qFormat/>
    <w:rsid w:val="00E47B78"/>
  </w:style>
  <w:style w:type="character" w:customStyle="1" w:styleId="Heading1Char">
    <w:name w:val="Heading 1 Char"/>
    <w:basedOn w:val="DefaultParagraphFont"/>
    <w:link w:val="Heading1"/>
    <w:uiPriority w:val="9"/>
    <w:rsid w:val="00E47B7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E47B78"/>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E47B7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a.org.uk/advice-and-support/nhs-delivery-and-workforce/pressures/pressures-in-general-practice" TargetMode="External"/><Relationship Id="rId13" Type="http://schemas.openxmlformats.org/officeDocument/2006/relationships/hyperlink" Target="https://www.nhsbsa.nhs.uk/sites/default/files/2021-04/Strategy%202021-24%20%28V1%29%2004.2021_0.pdf" TargetMode="External"/><Relationship Id="rId18" Type="http://schemas.openxmlformats.org/officeDocument/2006/relationships/hyperlink" Target="https://topol.hee.nhs.uk/wp-content/uploads/HEE-Topol-Review-2019.pdf" TargetMode="External"/><Relationship Id="rId3" Type="http://schemas.openxmlformats.org/officeDocument/2006/relationships/styles" Target="styles.xml"/><Relationship Id="rId21" Type="http://schemas.openxmlformats.org/officeDocument/2006/relationships/hyperlink" Target="https://www.independent.co.uk/news/uk/home-news/clap-for-carers-tonight-coronavirus-lockdown-time-nhs-video-a9444321.html" TargetMode="External"/><Relationship Id="rId7" Type="http://schemas.openxmlformats.org/officeDocument/2006/relationships/endnotes" Target="endnotes.xml"/><Relationship Id="rId12" Type="http://schemas.openxmlformats.org/officeDocument/2006/relationships/hyperlink" Target="https://books.google.co.uk/books?id=kjBQVUcM5asC&amp;pg=PA1&amp;source=gbs_toc_r&amp;cad=4" TargetMode="External"/><Relationship Id="rId17" Type="http://schemas.openxmlformats.org/officeDocument/2006/relationships/hyperlink" Target="https://www.bmj.com/content/375/bmj.n2594" TargetMode="External"/><Relationship Id="rId2" Type="http://schemas.openxmlformats.org/officeDocument/2006/relationships/numbering" Target="numbering.xml"/><Relationship Id="rId16" Type="http://schemas.openxmlformats.org/officeDocument/2006/relationships/hyperlink" Target="https://doi.org/10.1136/bmj.n2594" TargetMode="External"/><Relationship Id="rId20" Type="http://schemas.openxmlformats.org/officeDocument/2006/relationships/hyperlink" Target="http://ebookcentral.proquest.com/lib/trinity/detail.action?docID=59870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ulsetoday.co.uk/news/contract/all-gps-will-go-salaried-to-the-detriment-of-patients-predicts-senior-gp-leader/"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7/S1463423618000361" TargetMode="External"/><Relationship Id="rId23" Type="http://schemas.openxmlformats.org/officeDocument/2006/relationships/fontTable" Target="fontTable.xml"/><Relationship Id="rId10" Type="http://schemas.openxmlformats.org/officeDocument/2006/relationships/hyperlink" Target="https://www.theguardian.com/society/2021/oct/14/gps-leader-condemns-malicious-criticism-by-politicians" TargetMode="External"/><Relationship Id="rId19" Type="http://schemas.openxmlformats.org/officeDocument/2006/relationships/hyperlink" Target="https://doi.org/10.1108/02621710710720040" TargetMode="External"/><Relationship Id="rId4" Type="http://schemas.openxmlformats.org/officeDocument/2006/relationships/settings" Target="settings.xml"/><Relationship Id="rId9" Type="http://schemas.openxmlformats.org/officeDocument/2006/relationships/hyperlink" Target="https://doi.org/10.1098/rsbl.2020.0641" TargetMode="External"/><Relationship Id="rId14" Type="http://schemas.openxmlformats.org/officeDocument/2006/relationships/hyperlink" Target="https://www.england.nhs.uk/coronavirus/wp-content/uploads/sites/52/2021/10/BW999-our-plan-for-improving-access-and-supporting-general-practice-oct-21.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993CFE-E294-4A71-B5D6-168CEA27FB03}">
  <we:reference id="52577d3f-beee-474c-869f-191d6934a8e3" version="1.0.0.0" store="EXCatalog" storeType="EXCatalog"/>
  <we:alternateReferences>
    <we:reference id="WA104381385" version="1.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621154-2B6C-460C-B14B-5A1C90236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1671</TotalTime>
  <Pages>27</Pages>
  <Words>5812</Words>
  <Characters>33135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Coventry and Warwickshire Partnership Trust</Company>
  <LinksUpToDate>false</LinksUpToDate>
  <CharactersWithSpaces>38870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METWALY, Ahmed (MARKET QUARTER MEDICAL PRACTICE)</dc:creator>
  <cp:keywords/>
  <dc:description/>
  <cp:lastModifiedBy>METWALY, Ahmed (MARKET QUARTER MEDICAL PRACTICE)</cp:lastModifiedBy>
  <cp:revision>22</cp:revision>
  <dcterms:created xsi:type="dcterms:W3CDTF">2021-12-05T19:44:00Z</dcterms:created>
  <dcterms:modified xsi:type="dcterms:W3CDTF">2021-12-17T23:37:00Z</dcterms:modified>
</cp:coreProperties>
</file>