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1A85" w:rsidRPr="00A2645F" w:rsidRDefault="00E01A85" w:rsidP="00A2645F">
      <w:pPr>
        <w:pStyle w:val="Heading1"/>
        <w:spacing w:line="360" w:lineRule="auto"/>
        <w:jc w:val="center"/>
        <w:rPr>
          <w:rFonts w:ascii="Arial" w:hAnsi="Arial" w:cs="Arial"/>
          <w:sz w:val="40"/>
          <w:szCs w:val="40"/>
        </w:rPr>
      </w:pPr>
      <w:r w:rsidRPr="00A2645F">
        <w:rPr>
          <w:rFonts w:ascii="Arial" w:hAnsi="Arial" w:cs="Arial"/>
          <w:sz w:val="40"/>
          <w:szCs w:val="40"/>
        </w:rPr>
        <w:t>Understanding the Importance of Stakeholder Engagement in Successful Commencement and Completion of Project</w:t>
      </w:r>
    </w:p>
    <w:p w:rsidR="00051301" w:rsidRPr="00A2645F" w:rsidRDefault="00051301" w:rsidP="00A2645F">
      <w:pPr>
        <w:pStyle w:val="Heading1"/>
        <w:spacing w:line="360" w:lineRule="auto"/>
        <w:rPr>
          <w:rFonts w:ascii="Arial" w:hAnsi="Arial" w:cs="Arial"/>
          <w:sz w:val="22"/>
          <w:szCs w:val="22"/>
        </w:rPr>
      </w:pPr>
    </w:p>
    <w:p w:rsidR="00051301" w:rsidRPr="00A2645F" w:rsidRDefault="00051301" w:rsidP="00A2645F">
      <w:pPr>
        <w:pStyle w:val="Heading1"/>
        <w:spacing w:line="360" w:lineRule="auto"/>
        <w:rPr>
          <w:rFonts w:ascii="Arial" w:hAnsi="Arial" w:cs="Arial"/>
          <w:sz w:val="22"/>
          <w:szCs w:val="22"/>
        </w:rPr>
      </w:pPr>
      <w:bookmarkStart w:id="0" w:name="_GoBack"/>
      <w:bookmarkEnd w:id="0"/>
    </w:p>
    <w:p w:rsidR="00F16085" w:rsidRPr="00A2645F" w:rsidRDefault="00F16085" w:rsidP="00A2645F">
      <w:pPr>
        <w:pStyle w:val="Heading1"/>
        <w:spacing w:line="360" w:lineRule="auto"/>
        <w:rPr>
          <w:rFonts w:ascii="Arial" w:hAnsi="Arial" w:cs="Arial"/>
          <w:sz w:val="22"/>
          <w:szCs w:val="22"/>
        </w:rPr>
      </w:pPr>
    </w:p>
    <w:p w:rsidR="00051301" w:rsidRPr="00A2645F" w:rsidRDefault="00051301" w:rsidP="00A2645F">
      <w:pPr>
        <w:pStyle w:val="Heading1"/>
        <w:spacing w:line="360" w:lineRule="auto"/>
        <w:rPr>
          <w:rFonts w:ascii="Arial" w:hAnsi="Arial" w:cs="Arial"/>
          <w:sz w:val="22"/>
          <w:szCs w:val="22"/>
        </w:rPr>
      </w:pPr>
      <w:r w:rsidRPr="00A2645F">
        <w:rPr>
          <w:rFonts w:ascii="Arial" w:hAnsi="Arial" w:cs="Arial"/>
          <w:sz w:val="22"/>
          <w:szCs w:val="22"/>
        </w:rPr>
        <w:t xml:space="preserve">Name: </w:t>
      </w:r>
      <w:r w:rsidRPr="006C6C14">
        <w:rPr>
          <w:rFonts w:ascii="Arial" w:hAnsi="Arial" w:cs="Arial"/>
          <w:b w:val="0"/>
          <w:sz w:val="22"/>
          <w:szCs w:val="22"/>
        </w:rPr>
        <w:t xml:space="preserve">Andrei </w:t>
      </w:r>
      <w:proofErr w:type="spellStart"/>
      <w:r w:rsidRPr="006C6C14">
        <w:rPr>
          <w:rFonts w:ascii="Arial" w:hAnsi="Arial" w:cs="Arial"/>
          <w:b w:val="0"/>
          <w:sz w:val="22"/>
          <w:szCs w:val="22"/>
        </w:rPr>
        <w:t>Vasile</w:t>
      </w:r>
      <w:proofErr w:type="spellEnd"/>
      <w:r w:rsidRPr="006C6C14">
        <w:rPr>
          <w:rFonts w:ascii="Arial" w:hAnsi="Arial" w:cs="Arial"/>
          <w:b w:val="0"/>
          <w:sz w:val="22"/>
          <w:szCs w:val="22"/>
        </w:rPr>
        <w:t xml:space="preserve"> </w:t>
      </w:r>
      <w:proofErr w:type="spellStart"/>
      <w:r w:rsidRPr="006C6C14">
        <w:rPr>
          <w:rFonts w:ascii="Arial" w:hAnsi="Arial" w:cs="Arial"/>
          <w:b w:val="0"/>
          <w:sz w:val="22"/>
          <w:szCs w:val="22"/>
        </w:rPr>
        <w:t>Chiriac</w:t>
      </w:r>
      <w:proofErr w:type="spellEnd"/>
    </w:p>
    <w:p w:rsidR="00E01A85" w:rsidRPr="006C6C14" w:rsidRDefault="00051301" w:rsidP="00A2645F">
      <w:pPr>
        <w:pStyle w:val="NormalWeb"/>
        <w:spacing w:line="360" w:lineRule="auto"/>
        <w:rPr>
          <w:rFonts w:ascii="Arial" w:hAnsi="Arial" w:cs="Arial"/>
          <w:b/>
          <w:sz w:val="22"/>
          <w:szCs w:val="22"/>
        </w:rPr>
      </w:pPr>
      <w:r w:rsidRPr="00A2645F">
        <w:rPr>
          <w:rStyle w:val="Strong"/>
          <w:rFonts w:ascii="Arial" w:hAnsi="Arial" w:cs="Arial"/>
          <w:sz w:val="22"/>
          <w:szCs w:val="22"/>
        </w:rPr>
        <w:t xml:space="preserve">Student Number: </w:t>
      </w:r>
      <w:r w:rsidRPr="006C6C14">
        <w:rPr>
          <w:rStyle w:val="Strong"/>
          <w:rFonts w:ascii="Arial" w:hAnsi="Arial" w:cs="Arial"/>
          <w:b w:val="0"/>
          <w:sz w:val="22"/>
          <w:szCs w:val="22"/>
        </w:rPr>
        <w:t>2417295</w:t>
      </w:r>
    </w:p>
    <w:p w:rsidR="00051301" w:rsidRPr="00A2645F" w:rsidRDefault="00E01A85" w:rsidP="00A2645F">
      <w:pPr>
        <w:pStyle w:val="NormalWeb"/>
        <w:spacing w:line="360" w:lineRule="auto"/>
        <w:rPr>
          <w:rFonts w:ascii="Arial" w:hAnsi="Arial" w:cs="Arial"/>
          <w:sz w:val="22"/>
          <w:szCs w:val="22"/>
        </w:rPr>
      </w:pPr>
      <w:r w:rsidRPr="00A2645F">
        <w:rPr>
          <w:rStyle w:val="Strong"/>
          <w:rFonts w:ascii="Arial" w:hAnsi="Arial" w:cs="Arial"/>
          <w:sz w:val="22"/>
          <w:szCs w:val="22"/>
        </w:rPr>
        <w:t>Module:</w:t>
      </w:r>
      <w:r w:rsidRPr="00A2645F">
        <w:rPr>
          <w:rFonts w:ascii="Arial" w:hAnsi="Arial" w:cs="Arial"/>
          <w:sz w:val="22"/>
          <w:szCs w:val="22"/>
        </w:rPr>
        <w:t xml:space="preserve"> </w:t>
      </w:r>
      <w:r w:rsidR="00051301" w:rsidRPr="00A2645F">
        <w:rPr>
          <w:rFonts w:ascii="Arial" w:hAnsi="Arial" w:cs="Arial"/>
          <w:sz w:val="22"/>
          <w:szCs w:val="22"/>
        </w:rPr>
        <w:t>LCLM5001- Understanding and Engaging Stakeholders</w:t>
      </w:r>
    </w:p>
    <w:p w:rsidR="00E01A85" w:rsidRPr="00A2645F" w:rsidRDefault="00051301" w:rsidP="00A2645F">
      <w:pPr>
        <w:pStyle w:val="NormalWeb"/>
        <w:spacing w:line="360" w:lineRule="auto"/>
        <w:rPr>
          <w:rFonts w:ascii="Arial" w:hAnsi="Arial" w:cs="Arial"/>
          <w:sz w:val="22"/>
          <w:szCs w:val="22"/>
        </w:rPr>
      </w:pPr>
      <w:r w:rsidRPr="00A2645F">
        <w:rPr>
          <w:rStyle w:val="Strong"/>
          <w:rFonts w:ascii="Arial" w:hAnsi="Arial" w:cs="Arial"/>
          <w:sz w:val="22"/>
          <w:szCs w:val="22"/>
        </w:rPr>
        <w:t xml:space="preserve">Lecturers: </w:t>
      </w:r>
      <w:r w:rsidR="006C6C14">
        <w:rPr>
          <w:rFonts w:ascii="Arial" w:hAnsi="Arial" w:cs="Arial"/>
          <w:sz w:val="22"/>
          <w:szCs w:val="22"/>
        </w:rPr>
        <w:t xml:space="preserve">Alastair </w:t>
      </w:r>
      <w:proofErr w:type="spellStart"/>
      <w:r w:rsidR="006C6C14">
        <w:rPr>
          <w:rFonts w:ascii="Arial" w:hAnsi="Arial" w:cs="Arial"/>
          <w:sz w:val="22"/>
          <w:szCs w:val="22"/>
        </w:rPr>
        <w:t>Moyes</w:t>
      </w:r>
      <w:proofErr w:type="spellEnd"/>
      <w:r w:rsidR="006C6C14">
        <w:rPr>
          <w:rFonts w:ascii="Arial" w:hAnsi="Arial" w:cs="Arial"/>
          <w:sz w:val="22"/>
          <w:szCs w:val="22"/>
        </w:rPr>
        <w:t xml:space="preserve"> and</w:t>
      </w:r>
      <w:r w:rsidRPr="00A2645F">
        <w:rPr>
          <w:rFonts w:ascii="Arial" w:hAnsi="Arial" w:cs="Arial"/>
          <w:sz w:val="22"/>
          <w:szCs w:val="22"/>
        </w:rPr>
        <w:t xml:space="preserve"> Nishi </w:t>
      </w:r>
      <w:proofErr w:type="spellStart"/>
      <w:r w:rsidRPr="00A2645F">
        <w:rPr>
          <w:rFonts w:ascii="Arial" w:hAnsi="Arial" w:cs="Arial"/>
          <w:sz w:val="22"/>
          <w:szCs w:val="22"/>
        </w:rPr>
        <w:t>Ramsurrun</w:t>
      </w:r>
      <w:proofErr w:type="spellEnd"/>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b/>
          <w:bCs/>
          <w:kern w:val="36"/>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b/>
          <w:bCs/>
          <w:kern w:val="36"/>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b/>
          <w:bCs/>
          <w:kern w:val="36"/>
          <w:lang w:eastAsia="en-GB"/>
        </w:rPr>
      </w:pPr>
    </w:p>
    <w:p w:rsidR="00E01A85" w:rsidRPr="00A2645F" w:rsidRDefault="00E01A85" w:rsidP="00A2645F">
      <w:pPr>
        <w:spacing w:before="100" w:beforeAutospacing="1" w:after="100" w:afterAutospacing="1" w:line="360" w:lineRule="auto"/>
        <w:outlineLvl w:val="0"/>
        <w:rPr>
          <w:rFonts w:ascii="Arial" w:eastAsia="Times New Roman" w:hAnsi="Arial" w:cs="Arial"/>
          <w:b/>
          <w:bCs/>
          <w:kern w:val="36"/>
          <w:lang w:eastAsia="en-GB"/>
        </w:rPr>
      </w:pPr>
    </w:p>
    <w:p w:rsidR="00E57AAA" w:rsidRPr="00A2645F" w:rsidRDefault="00E57AAA" w:rsidP="00A2645F">
      <w:pPr>
        <w:pStyle w:val="Heading2"/>
        <w:spacing w:line="360" w:lineRule="auto"/>
        <w:rPr>
          <w:rStyle w:val="Strong"/>
          <w:rFonts w:ascii="Arial" w:hAnsi="Arial" w:cs="Arial"/>
          <w:b w:val="0"/>
          <w:bCs w:val="0"/>
          <w:sz w:val="22"/>
          <w:szCs w:val="22"/>
        </w:rPr>
      </w:pPr>
      <w:r w:rsidRPr="00A2645F">
        <w:rPr>
          <w:rStyle w:val="Strong"/>
          <w:rFonts w:ascii="Arial" w:hAnsi="Arial" w:cs="Arial"/>
          <w:b w:val="0"/>
          <w:bCs w:val="0"/>
          <w:sz w:val="22"/>
          <w:szCs w:val="22"/>
        </w:rPr>
        <w:t>Table of Contents</w:t>
      </w:r>
    </w:p>
    <w:p w:rsidR="00E57AAA" w:rsidRPr="00A2645F" w:rsidRDefault="00E57AAA" w:rsidP="00A2645F">
      <w:pPr>
        <w:spacing w:line="360" w:lineRule="auto"/>
        <w:rPr>
          <w:rFonts w:ascii="Arial" w:hAnsi="Arial" w:cs="Arial"/>
        </w:rPr>
      </w:pPr>
    </w:p>
    <w:p w:rsidR="00E57AAA" w:rsidRPr="00A2645F" w:rsidRDefault="00E57AAA" w:rsidP="00A2645F">
      <w:pPr>
        <w:spacing w:line="360" w:lineRule="auto"/>
        <w:rPr>
          <w:rFonts w:ascii="Arial" w:hAnsi="Arial" w:cs="Arial"/>
        </w:rPr>
      </w:pPr>
      <w:r w:rsidRPr="00A2645F">
        <w:rPr>
          <w:rFonts w:ascii="Arial" w:hAnsi="Arial" w:cs="Arial"/>
        </w:rPr>
        <w:tab/>
        <w:t>Executive sum</w:t>
      </w:r>
      <w:r w:rsidR="00A2645F">
        <w:rPr>
          <w:rFonts w:ascii="Arial" w:hAnsi="Arial" w:cs="Arial"/>
        </w:rPr>
        <w:t>mary…………………………………………………….</w:t>
      </w:r>
      <w:r w:rsidR="00173E63" w:rsidRPr="00A2645F">
        <w:rPr>
          <w:rFonts w:ascii="Arial" w:hAnsi="Arial" w:cs="Arial"/>
        </w:rPr>
        <w:t>…</w:t>
      </w:r>
      <w:r w:rsidRPr="00A2645F">
        <w:rPr>
          <w:rFonts w:ascii="Arial" w:hAnsi="Arial" w:cs="Arial"/>
        </w:rPr>
        <w:t>…3</w:t>
      </w:r>
    </w:p>
    <w:p w:rsidR="00E57AAA" w:rsidRPr="00A2645F" w:rsidRDefault="00E57AAA" w:rsidP="00A2645F">
      <w:pPr>
        <w:pStyle w:val="NormalWeb"/>
        <w:spacing w:line="360" w:lineRule="auto"/>
        <w:ind w:left="720"/>
        <w:rPr>
          <w:rFonts w:ascii="Arial" w:hAnsi="Arial" w:cs="Arial"/>
          <w:sz w:val="22"/>
          <w:szCs w:val="22"/>
        </w:rPr>
      </w:pPr>
      <w:r w:rsidRPr="00A2645F">
        <w:rPr>
          <w:rFonts w:ascii="Arial" w:hAnsi="Arial" w:cs="Arial"/>
          <w:sz w:val="22"/>
          <w:szCs w:val="22"/>
        </w:rPr>
        <w:t>Introduction</w:t>
      </w:r>
      <w:proofErr w:type="gramStart"/>
      <w:r w:rsidRPr="00A2645F">
        <w:rPr>
          <w:rFonts w:ascii="Arial" w:hAnsi="Arial" w:cs="Arial"/>
          <w:sz w:val="22"/>
          <w:szCs w:val="22"/>
        </w:rPr>
        <w:t>…………………………………………………………</w:t>
      </w:r>
      <w:r w:rsidR="00173E63" w:rsidRPr="00A2645F">
        <w:rPr>
          <w:rFonts w:ascii="Arial" w:hAnsi="Arial" w:cs="Arial"/>
          <w:sz w:val="22"/>
          <w:szCs w:val="22"/>
        </w:rPr>
        <w:t>…</w:t>
      </w:r>
      <w:r w:rsidR="00A2645F">
        <w:rPr>
          <w:rFonts w:ascii="Arial" w:hAnsi="Arial" w:cs="Arial"/>
          <w:sz w:val="22"/>
          <w:szCs w:val="22"/>
        </w:rPr>
        <w:t>…..</w:t>
      </w:r>
      <w:r w:rsidRPr="00A2645F">
        <w:rPr>
          <w:rFonts w:ascii="Arial" w:hAnsi="Arial" w:cs="Arial"/>
          <w:sz w:val="22"/>
          <w:szCs w:val="22"/>
        </w:rPr>
        <w:t>…</w:t>
      </w:r>
      <w:proofErr w:type="gramEnd"/>
      <w:r w:rsidRPr="00A2645F">
        <w:rPr>
          <w:rFonts w:ascii="Arial" w:hAnsi="Arial" w:cs="Arial"/>
          <w:sz w:val="22"/>
          <w:szCs w:val="22"/>
        </w:rPr>
        <w:t>..4</w:t>
      </w:r>
    </w:p>
    <w:p w:rsidR="00E57AAA" w:rsidRPr="00A2645F" w:rsidRDefault="00166EBF" w:rsidP="00A2645F">
      <w:pPr>
        <w:pStyle w:val="NormalWeb"/>
        <w:spacing w:line="360" w:lineRule="auto"/>
        <w:ind w:left="720"/>
        <w:rPr>
          <w:rFonts w:ascii="Arial" w:hAnsi="Arial" w:cs="Arial"/>
          <w:sz w:val="22"/>
          <w:szCs w:val="22"/>
        </w:rPr>
      </w:pPr>
      <w:r w:rsidRPr="00A2645F">
        <w:rPr>
          <w:rFonts w:ascii="Arial" w:hAnsi="Arial" w:cs="Arial"/>
          <w:bCs/>
          <w:kern w:val="36"/>
          <w:sz w:val="22"/>
          <w:szCs w:val="22"/>
        </w:rPr>
        <w:t>Situational Analysis – SWOT, PESTLE</w:t>
      </w:r>
      <w:r w:rsidRPr="00A2645F">
        <w:rPr>
          <w:rFonts w:ascii="Arial" w:hAnsi="Arial" w:cs="Arial"/>
          <w:sz w:val="22"/>
          <w:szCs w:val="22"/>
        </w:rPr>
        <w:t xml:space="preserve"> </w:t>
      </w:r>
      <w:r w:rsidR="00A2645F">
        <w:rPr>
          <w:rFonts w:ascii="Arial" w:hAnsi="Arial" w:cs="Arial"/>
          <w:sz w:val="22"/>
          <w:szCs w:val="22"/>
        </w:rPr>
        <w:t>………………..</w:t>
      </w:r>
      <w:r w:rsidR="00E57AAA" w:rsidRPr="00A2645F">
        <w:rPr>
          <w:rFonts w:ascii="Arial" w:hAnsi="Arial" w:cs="Arial"/>
          <w:sz w:val="22"/>
          <w:szCs w:val="22"/>
        </w:rPr>
        <w:t>………………</w:t>
      </w:r>
      <w:r w:rsidR="00173E63" w:rsidRPr="00A2645F">
        <w:rPr>
          <w:rFonts w:ascii="Arial" w:hAnsi="Arial" w:cs="Arial"/>
          <w:sz w:val="22"/>
          <w:szCs w:val="22"/>
        </w:rPr>
        <w:t>.</w:t>
      </w:r>
      <w:r w:rsidR="00E57AAA" w:rsidRPr="00A2645F">
        <w:rPr>
          <w:rFonts w:ascii="Arial" w:hAnsi="Arial" w:cs="Arial"/>
          <w:sz w:val="22"/>
          <w:szCs w:val="22"/>
        </w:rPr>
        <w:t>…5</w:t>
      </w:r>
    </w:p>
    <w:p w:rsidR="00E57AAA" w:rsidRPr="00A2645F" w:rsidRDefault="00C96928" w:rsidP="00A2645F">
      <w:pPr>
        <w:spacing w:before="100" w:beforeAutospacing="1" w:after="100" w:afterAutospacing="1" w:line="360" w:lineRule="auto"/>
        <w:outlineLvl w:val="2"/>
        <w:rPr>
          <w:rFonts w:ascii="Arial" w:eastAsia="Times New Roman" w:hAnsi="Arial" w:cs="Arial"/>
          <w:bCs/>
          <w:color w:val="5B9BD5" w:themeColor="accent1"/>
          <w:lang w:eastAsia="en-GB"/>
        </w:rPr>
      </w:pPr>
      <w:r w:rsidRPr="00A2645F">
        <w:rPr>
          <w:rFonts w:ascii="Arial" w:eastAsia="Times New Roman" w:hAnsi="Arial" w:cs="Arial"/>
          <w:b/>
          <w:bCs/>
          <w:color w:val="5B9BD5" w:themeColor="accent1"/>
          <w:lang w:eastAsia="en-GB"/>
        </w:rPr>
        <w:t xml:space="preserve">           </w:t>
      </w:r>
      <w:r w:rsidRPr="00A2645F">
        <w:rPr>
          <w:rFonts w:ascii="Arial" w:eastAsia="Times New Roman" w:hAnsi="Arial" w:cs="Arial"/>
          <w:bCs/>
          <w:lang w:eastAsia="en-GB"/>
        </w:rPr>
        <w:t xml:space="preserve">SMART Objectives for the </w:t>
      </w:r>
      <w:proofErr w:type="gramStart"/>
      <w:r w:rsidRPr="00A2645F">
        <w:rPr>
          <w:rFonts w:ascii="Arial" w:eastAsia="Times New Roman" w:hAnsi="Arial" w:cs="Arial"/>
          <w:bCs/>
          <w:lang w:eastAsia="en-GB"/>
        </w:rPr>
        <w:t>Project</w:t>
      </w:r>
      <w:r w:rsidR="00A2645F">
        <w:rPr>
          <w:rFonts w:ascii="Arial" w:eastAsia="Times New Roman" w:hAnsi="Arial" w:cs="Arial"/>
          <w:bCs/>
          <w:lang w:eastAsia="en-GB"/>
        </w:rPr>
        <w:t xml:space="preserve"> </w:t>
      </w:r>
      <w:r w:rsidRPr="00A2645F">
        <w:rPr>
          <w:rFonts w:ascii="Arial" w:eastAsia="Times New Roman" w:hAnsi="Arial" w:cs="Arial"/>
          <w:bCs/>
          <w:lang w:eastAsia="en-GB"/>
        </w:rPr>
        <w:t>.</w:t>
      </w:r>
      <w:proofErr w:type="gramEnd"/>
      <w:r w:rsidR="00E57AAA" w:rsidRPr="00A2645F">
        <w:rPr>
          <w:rFonts w:ascii="Arial" w:hAnsi="Arial" w:cs="Arial"/>
        </w:rPr>
        <w:t>…………………</w:t>
      </w:r>
      <w:r w:rsidR="00A2645F">
        <w:rPr>
          <w:rFonts w:ascii="Arial" w:hAnsi="Arial" w:cs="Arial"/>
        </w:rPr>
        <w:t>…………………..</w:t>
      </w:r>
      <w:r w:rsidR="00173E63" w:rsidRPr="00A2645F">
        <w:rPr>
          <w:rFonts w:ascii="Arial" w:hAnsi="Arial" w:cs="Arial"/>
        </w:rPr>
        <w:t>…</w:t>
      </w:r>
      <w:r w:rsidR="00E57AAA" w:rsidRPr="00A2645F">
        <w:rPr>
          <w:rFonts w:ascii="Arial" w:hAnsi="Arial" w:cs="Arial"/>
        </w:rPr>
        <w:t>..</w:t>
      </w:r>
      <w:r w:rsidRPr="00A2645F">
        <w:rPr>
          <w:rFonts w:ascii="Arial" w:hAnsi="Arial" w:cs="Arial"/>
        </w:rPr>
        <w:t>6</w:t>
      </w:r>
    </w:p>
    <w:p w:rsidR="00E57AAA" w:rsidRPr="00A2645F" w:rsidRDefault="00C96928" w:rsidP="00A2645F">
      <w:pPr>
        <w:pStyle w:val="Heading1"/>
        <w:spacing w:line="360" w:lineRule="auto"/>
        <w:rPr>
          <w:rFonts w:ascii="Arial" w:hAnsi="Arial" w:cs="Arial"/>
          <w:b w:val="0"/>
          <w:bCs w:val="0"/>
          <w:kern w:val="0"/>
          <w:sz w:val="22"/>
          <w:szCs w:val="22"/>
        </w:rPr>
      </w:pPr>
      <w:r w:rsidRPr="00A2645F">
        <w:rPr>
          <w:rStyle w:val="Strong"/>
          <w:rFonts w:ascii="Arial" w:hAnsi="Arial" w:cs="Arial"/>
          <w:bCs/>
          <w:sz w:val="22"/>
          <w:szCs w:val="22"/>
        </w:rPr>
        <w:t xml:space="preserve">          Stakeholder Identification</w:t>
      </w:r>
      <w:r w:rsidRPr="00A2645F">
        <w:rPr>
          <w:rFonts w:ascii="Arial" w:hAnsi="Arial" w:cs="Arial"/>
          <w:bCs w:val="0"/>
          <w:kern w:val="0"/>
          <w:sz w:val="22"/>
          <w:szCs w:val="22"/>
        </w:rPr>
        <w:t xml:space="preserve"> </w:t>
      </w:r>
      <w:r w:rsidRPr="00A2645F">
        <w:rPr>
          <w:rFonts w:ascii="Arial" w:hAnsi="Arial" w:cs="Arial"/>
          <w:b w:val="0"/>
          <w:sz w:val="22"/>
          <w:szCs w:val="22"/>
        </w:rPr>
        <w:t>…</w:t>
      </w:r>
      <w:r w:rsidR="00E57AAA" w:rsidRPr="00A2645F">
        <w:rPr>
          <w:rFonts w:ascii="Arial" w:hAnsi="Arial" w:cs="Arial"/>
          <w:b w:val="0"/>
          <w:sz w:val="22"/>
          <w:szCs w:val="22"/>
        </w:rPr>
        <w:t>…………</w:t>
      </w:r>
      <w:r w:rsidRPr="00A2645F">
        <w:rPr>
          <w:rFonts w:ascii="Arial" w:hAnsi="Arial" w:cs="Arial"/>
          <w:b w:val="0"/>
          <w:sz w:val="22"/>
          <w:szCs w:val="22"/>
        </w:rPr>
        <w:t>…………………</w:t>
      </w:r>
      <w:r w:rsidR="00E57AAA" w:rsidRPr="00A2645F">
        <w:rPr>
          <w:rFonts w:ascii="Arial" w:hAnsi="Arial" w:cs="Arial"/>
          <w:b w:val="0"/>
          <w:sz w:val="22"/>
          <w:szCs w:val="22"/>
        </w:rPr>
        <w:t>…………</w:t>
      </w:r>
      <w:r w:rsidR="00173E63" w:rsidRPr="00A2645F">
        <w:rPr>
          <w:rFonts w:ascii="Arial" w:hAnsi="Arial" w:cs="Arial"/>
          <w:b w:val="0"/>
          <w:sz w:val="22"/>
          <w:szCs w:val="22"/>
        </w:rPr>
        <w:t>………</w:t>
      </w:r>
      <w:r w:rsidR="00E57AAA" w:rsidRPr="00A2645F">
        <w:rPr>
          <w:rFonts w:ascii="Arial" w:hAnsi="Arial" w:cs="Arial"/>
          <w:b w:val="0"/>
          <w:sz w:val="22"/>
          <w:szCs w:val="22"/>
        </w:rPr>
        <w:t>.…</w:t>
      </w:r>
      <w:r w:rsidRPr="00A2645F">
        <w:rPr>
          <w:rFonts w:ascii="Arial" w:hAnsi="Arial" w:cs="Arial"/>
          <w:b w:val="0"/>
          <w:sz w:val="22"/>
          <w:szCs w:val="22"/>
        </w:rPr>
        <w:t>7</w:t>
      </w:r>
    </w:p>
    <w:p w:rsidR="00E57AAA" w:rsidRPr="00A2645F" w:rsidRDefault="009115AE" w:rsidP="00A2645F">
      <w:pPr>
        <w:pStyle w:val="Heading3"/>
        <w:spacing w:line="360" w:lineRule="auto"/>
        <w:rPr>
          <w:rFonts w:ascii="Arial" w:hAnsi="Arial" w:cs="Arial"/>
          <w:sz w:val="22"/>
          <w:szCs w:val="22"/>
        </w:rPr>
      </w:pPr>
      <w:r w:rsidRPr="00A2645F">
        <w:rPr>
          <w:rStyle w:val="Strong"/>
          <w:rFonts w:ascii="Arial" w:hAnsi="Arial" w:cs="Arial"/>
          <w:bCs/>
          <w:sz w:val="22"/>
          <w:szCs w:val="22"/>
        </w:rPr>
        <w:t xml:space="preserve">          Stakeholder Priority Assessment</w:t>
      </w:r>
      <w:r w:rsidR="00E57AAA" w:rsidRPr="00A2645F">
        <w:rPr>
          <w:rFonts w:ascii="Arial" w:hAnsi="Arial" w:cs="Arial"/>
          <w:b w:val="0"/>
          <w:sz w:val="22"/>
          <w:szCs w:val="22"/>
        </w:rPr>
        <w:t>……………………</w:t>
      </w:r>
      <w:r w:rsidRPr="00A2645F">
        <w:rPr>
          <w:rFonts w:ascii="Arial" w:hAnsi="Arial" w:cs="Arial"/>
          <w:b w:val="0"/>
          <w:sz w:val="22"/>
          <w:szCs w:val="22"/>
        </w:rPr>
        <w:t>………….……</w:t>
      </w:r>
      <w:r w:rsidR="00173E63" w:rsidRPr="00A2645F">
        <w:rPr>
          <w:rFonts w:ascii="Arial" w:hAnsi="Arial" w:cs="Arial"/>
          <w:b w:val="0"/>
          <w:sz w:val="22"/>
          <w:szCs w:val="22"/>
        </w:rPr>
        <w:t>……..</w:t>
      </w:r>
      <w:r w:rsidRPr="00A2645F">
        <w:rPr>
          <w:rFonts w:ascii="Arial" w:hAnsi="Arial" w:cs="Arial"/>
          <w:b w:val="0"/>
          <w:sz w:val="22"/>
          <w:szCs w:val="22"/>
        </w:rPr>
        <w:t>.</w:t>
      </w:r>
      <w:r w:rsidR="00E57AAA" w:rsidRPr="00A2645F">
        <w:rPr>
          <w:rFonts w:ascii="Arial" w:hAnsi="Arial" w:cs="Arial"/>
          <w:b w:val="0"/>
          <w:sz w:val="22"/>
          <w:szCs w:val="22"/>
        </w:rPr>
        <w:t>.</w:t>
      </w:r>
      <w:r w:rsidRPr="00A2645F">
        <w:rPr>
          <w:rFonts w:ascii="Arial" w:hAnsi="Arial" w:cs="Arial"/>
          <w:b w:val="0"/>
          <w:sz w:val="22"/>
          <w:szCs w:val="22"/>
        </w:rPr>
        <w:t>8</w:t>
      </w:r>
    </w:p>
    <w:p w:rsidR="00E57AAA" w:rsidRPr="00A2645F" w:rsidRDefault="00A2645F" w:rsidP="00A2645F">
      <w:pPr>
        <w:pStyle w:val="NormalWeb"/>
        <w:spacing w:line="360" w:lineRule="auto"/>
        <w:rPr>
          <w:rFonts w:ascii="Arial" w:hAnsi="Arial" w:cs="Arial"/>
          <w:sz w:val="22"/>
          <w:szCs w:val="22"/>
        </w:rPr>
      </w:pPr>
      <w:r>
        <w:rPr>
          <w:rFonts w:ascii="Arial" w:hAnsi="Arial" w:cs="Arial"/>
          <w:sz w:val="22"/>
          <w:szCs w:val="22"/>
        </w:rPr>
        <w:t xml:space="preserve">          </w:t>
      </w:r>
      <w:r w:rsidR="009115AE" w:rsidRPr="00A2645F">
        <w:rPr>
          <w:rFonts w:ascii="Arial" w:hAnsi="Arial" w:cs="Arial"/>
          <w:sz w:val="22"/>
          <w:szCs w:val="22"/>
        </w:rPr>
        <w:t>External Shareholders</w:t>
      </w:r>
      <w:r w:rsidR="00E57AAA" w:rsidRPr="00A2645F">
        <w:rPr>
          <w:rFonts w:ascii="Arial" w:hAnsi="Arial" w:cs="Arial"/>
          <w:sz w:val="22"/>
          <w:szCs w:val="22"/>
        </w:rPr>
        <w:t>…</w:t>
      </w:r>
      <w:r w:rsidR="009115AE" w:rsidRPr="00A2645F">
        <w:rPr>
          <w:rFonts w:ascii="Arial" w:hAnsi="Arial" w:cs="Arial"/>
          <w:sz w:val="22"/>
          <w:szCs w:val="22"/>
        </w:rPr>
        <w:t>...</w:t>
      </w:r>
      <w:proofErr w:type="gramStart"/>
      <w:r w:rsidR="00E57AAA" w:rsidRPr="00A2645F">
        <w:rPr>
          <w:rFonts w:ascii="Arial" w:hAnsi="Arial" w:cs="Arial"/>
          <w:sz w:val="22"/>
          <w:szCs w:val="22"/>
        </w:rPr>
        <w:t>……………………..………</w:t>
      </w:r>
      <w:r>
        <w:rPr>
          <w:rFonts w:ascii="Arial" w:hAnsi="Arial" w:cs="Arial"/>
          <w:sz w:val="22"/>
          <w:szCs w:val="22"/>
        </w:rPr>
        <w:t>…</w:t>
      </w:r>
      <w:r w:rsidR="00E57AAA" w:rsidRPr="00A2645F">
        <w:rPr>
          <w:rFonts w:ascii="Arial" w:hAnsi="Arial" w:cs="Arial"/>
          <w:sz w:val="22"/>
          <w:szCs w:val="22"/>
        </w:rPr>
        <w:t>……</w:t>
      </w:r>
      <w:r w:rsidR="00173E63" w:rsidRPr="00A2645F">
        <w:rPr>
          <w:rFonts w:ascii="Arial" w:hAnsi="Arial" w:cs="Arial"/>
          <w:sz w:val="22"/>
          <w:szCs w:val="22"/>
        </w:rPr>
        <w:t>…………</w:t>
      </w:r>
      <w:r w:rsidR="00E57AAA" w:rsidRPr="00A2645F">
        <w:rPr>
          <w:rFonts w:ascii="Arial" w:hAnsi="Arial" w:cs="Arial"/>
          <w:sz w:val="22"/>
          <w:szCs w:val="22"/>
        </w:rPr>
        <w:t>…</w:t>
      </w:r>
      <w:r w:rsidR="009115AE" w:rsidRPr="00A2645F">
        <w:rPr>
          <w:rFonts w:ascii="Arial" w:hAnsi="Arial" w:cs="Arial"/>
          <w:sz w:val="22"/>
          <w:szCs w:val="22"/>
        </w:rPr>
        <w:t>..9</w:t>
      </w:r>
      <w:proofErr w:type="gramEnd"/>
    </w:p>
    <w:p w:rsidR="00E57AAA" w:rsidRPr="00A2645F" w:rsidRDefault="009115AE" w:rsidP="00A2645F">
      <w:pPr>
        <w:pStyle w:val="Heading1"/>
        <w:spacing w:line="360" w:lineRule="auto"/>
        <w:rPr>
          <w:rFonts w:ascii="Arial" w:hAnsi="Arial" w:cs="Arial"/>
          <w:sz w:val="22"/>
          <w:szCs w:val="22"/>
        </w:rPr>
      </w:pPr>
      <w:r w:rsidRPr="00A2645F">
        <w:rPr>
          <w:rStyle w:val="Strong"/>
          <w:rFonts w:ascii="Arial" w:hAnsi="Arial" w:cs="Arial"/>
          <w:bCs/>
          <w:sz w:val="22"/>
          <w:szCs w:val="22"/>
        </w:rPr>
        <w:t xml:space="preserve">          Engagement Models, Frameworks and Theories </w:t>
      </w:r>
      <w:r w:rsidRPr="00A2645F">
        <w:rPr>
          <w:rStyle w:val="Strong"/>
          <w:rFonts w:ascii="Arial" w:hAnsi="Arial" w:cs="Arial"/>
          <w:b/>
          <w:bCs/>
          <w:sz w:val="22"/>
          <w:szCs w:val="22"/>
        </w:rPr>
        <w:t>……………</w:t>
      </w:r>
      <w:r w:rsidR="00173E63" w:rsidRPr="00A2645F">
        <w:rPr>
          <w:rStyle w:val="Strong"/>
          <w:rFonts w:ascii="Arial" w:hAnsi="Arial" w:cs="Arial"/>
          <w:b/>
          <w:bCs/>
          <w:sz w:val="22"/>
          <w:szCs w:val="22"/>
        </w:rPr>
        <w:t>…….</w:t>
      </w:r>
      <w:r w:rsidRPr="00A2645F">
        <w:rPr>
          <w:rStyle w:val="Strong"/>
          <w:rFonts w:ascii="Arial" w:hAnsi="Arial" w:cs="Arial"/>
          <w:b/>
          <w:bCs/>
          <w:sz w:val="22"/>
          <w:szCs w:val="22"/>
        </w:rPr>
        <w:t>….....</w:t>
      </w:r>
      <w:r w:rsidRPr="00A2645F">
        <w:rPr>
          <w:rFonts w:ascii="Arial" w:hAnsi="Arial" w:cs="Arial"/>
          <w:b w:val="0"/>
          <w:sz w:val="22"/>
          <w:szCs w:val="22"/>
        </w:rPr>
        <w:t>10</w:t>
      </w:r>
    </w:p>
    <w:p w:rsidR="00E57AAA" w:rsidRPr="00A2645F" w:rsidRDefault="009115AE" w:rsidP="00A2645F">
      <w:pPr>
        <w:spacing w:after="0" w:line="360" w:lineRule="auto"/>
        <w:rPr>
          <w:rFonts w:ascii="Arial" w:eastAsia="Times New Roman" w:hAnsi="Arial" w:cs="Arial"/>
          <w:lang w:eastAsia="en-GB"/>
        </w:rPr>
      </w:pPr>
      <w:r w:rsidRPr="00A2645F">
        <w:rPr>
          <w:rStyle w:val="Strong"/>
          <w:rFonts w:ascii="Arial" w:hAnsi="Arial" w:cs="Arial"/>
          <w:b w:val="0"/>
          <w:bCs w:val="0"/>
        </w:rPr>
        <w:t xml:space="preserve">         Stakeholder Engagement Plan</w:t>
      </w:r>
      <w:r w:rsidRPr="00A2645F">
        <w:rPr>
          <w:rFonts w:ascii="Arial" w:hAnsi="Arial" w:cs="Arial"/>
        </w:rPr>
        <w:t>…</w:t>
      </w:r>
      <w:r w:rsidR="00E57AAA" w:rsidRPr="00A2645F">
        <w:rPr>
          <w:rFonts w:ascii="Arial" w:hAnsi="Arial" w:cs="Arial"/>
        </w:rPr>
        <w:t>…</w:t>
      </w:r>
      <w:r w:rsidR="00A2645F">
        <w:rPr>
          <w:rFonts w:ascii="Arial" w:hAnsi="Arial" w:cs="Arial"/>
        </w:rPr>
        <w:t>.</w:t>
      </w:r>
      <w:r w:rsidR="00E57AAA" w:rsidRPr="00A2645F">
        <w:rPr>
          <w:rFonts w:ascii="Arial" w:hAnsi="Arial" w:cs="Arial"/>
        </w:rPr>
        <w:t>…………………………</w:t>
      </w:r>
      <w:r w:rsidR="00173E63" w:rsidRPr="00A2645F">
        <w:rPr>
          <w:rFonts w:ascii="Arial" w:hAnsi="Arial" w:cs="Arial"/>
        </w:rPr>
        <w:t>…….</w:t>
      </w:r>
      <w:r w:rsidR="00E57AAA" w:rsidRPr="00A2645F">
        <w:rPr>
          <w:rFonts w:ascii="Arial" w:hAnsi="Arial" w:cs="Arial"/>
        </w:rPr>
        <w:t>….....…</w:t>
      </w:r>
      <w:r w:rsidRPr="00A2645F">
        <w:rPr>
          <w:rFonts w:ascii="Arial" w:hAnsi="Arial" w:cs="Arial"/>
        </w:rPr>
        <w:t>11</w:t>
      </w:r>
    </w:p>
    <w:p w:rsidR="00E57AAA" w:rsidRPr="00A2645F" w:rsidRDefault="00A2645F" w:rsidP="00A2645F">
      <w:pPr>
        <w:pStyle w:val="NormalWeb"/>
        <w:spacing w:line="360" w:lineRule="auto"/>
        <w:rPr>
          <w:rFonts w:ascii="Arial" w:hAnsi="Arial" w:cs="Arial"/>
          <w:sz w:val="22"/>
          <w:szCs w:val="22"/>
        </w:rPr>
      </w:pPr>
      <w:r>
        <w:rPr>
          <w:rStyle w:val="Strong"/>
          <w:rFonts w:ascii="Arial" w:hAnsi="Arial" w:cs="Arial"/>
          <w:b w:val="0"/>
          <w:bCs w:val="0"/>
          <w:sz w:val="22"/>
          <w:szCs w:val="22"/>
        </w:rPr>
        <w:t xml:space="preserve">         </w:t>
      </w:r>
      <w:r w:rsidR="00003F37" w:rsidRPr="00A2645F">
        <w:rPr>
          <w:rStyle w:val="Strong"/>
          <w:rFonts w:ascii="Arial" w:hAnsi="Arial" w:cs="Arial"/>
          <w:b w:val="0"/>
          <w:bCs w:val="0"/>
          <w:sz w:val="22"/>
          <w:szCs w:val="22"/>
        </w:rPr>
        <w:t>Stakeholder Engagement Process and Conflict Management</w:t>
      </w:r>
      <w:proofErr w:type="gramStart"/>
      <w:r w:rsidR="00003F37" w:rsidRPr="00A2645F">
        <w:rPr>
          <w:rStyle w:val="Strong"/>
          <w:rFonts w:ascii="Arial" w:hAnsi="Arial" w:cs="Arial"/>
          <w:b w:val="0"/>
          <w:bCs w:val="0"/>
          <w:sz w:val="22"/>
          <w:szCs w:val="22"/>
        </w:rPr>
        <w:t>…</w:t>
      </w:r>
      <w:r w:rsidR="00173E63" w:rsidRPr="00A2645F">
        <w:rPr>
          <w:rStyle w:val="Strong"/>
          <w:rFonts w:ascii="Arial" w:hAnsi="Arial" w:cs="Arial"/>
          <w:b w:val="0"/>
          <w:bCs w:val="0"/>
          <w:sz w:val="22"/>
          <w:szCs w:val="22"/>
        </w:rPr>
        <w:t>…..</w:t>
      </w:r>
      <w:r w:rsidR="00003F37" w:rsidRPr="00A2645F">
        <w:rPr>
          <w:rStyle w:val="Strong"/>
          <w:rFonts w:ascii="Arial" w:hAnsi="Arial" w:cs="Arial"/>
          <w:b w:val="0"/>
          <w:bCs w:val="0"/>
          <w:sz w:val="22"/>
          <w:szCs w:val="22"/>
        </w:rPr>
        <w:t>…</w:t>
      </w:r>
      <w:r>
        <w:rPr>
          <w:rStyle w:val="Strong"/>
          <w:rFonts w:ascii="Arial" w:hAnsi="Arial" w:cs="Arial"/>
          <w:b w:val="0"/>
          <w:bCs w:val="0"/>
          <w:sz w:val="22"/>
          <w:szCs w:val="22"/>
        </w:rPr>
        <w:t>..</w:t>
      </w:r>
      <w:r w:rsidR="003178E2" w:rsidRPr="00A2645F">
        <w:rPr>
          <w:rStyle w:val="Strong"/>
          <w:rFonts w:ascii="Arial" w:hAnsi="Arial" w:cs="Arial"/>
          <w:b w:val="0"/>
          <w:bCs w:val="0"/>
          <w:sz w:val="22"/>
          <w:szCs w:val="22"/>
        </w:rPr>
        <w:t>.</w:t>
      </w:r>
      <w:r w:rsidR="00CC2AF2" w:rsidRPr="00A2645F">
        <w:rPr>
          <w:rFonts w:ascii="Arial" w:hAnsi="Arial" w:cs="Arial"/>
          <w:sz w:val="22"/>
          <w:szCs w:val="22"/>
        </w:rPr>
        <w:t>.</w:t>
      </w:r>
      <w:proofErr w:type="gramEnd"/>
      <w:r w:rsidR="00CC2AF2" w:rsidRPr="00A2645F">
        <w:rPr>
          <w:rFonts w:ascii="Arial" w:hAnsi="Arial" w:cs="Arial"/>
          <w:sz w:val="22"/>
          <w:szCs w:val="22"/>
        </w:rPr>
        <w:t>12</w:t>
      </w:r>
    </w:p>
    <w:p w:rsidR="003178E2" w:rsidRPr="00A2645F" w:rsidRDefault="00A2645F" w:rsidP="00A2645F">
      <w:pPr>
        <w:pStyle w:val="Heading2"/>
        <w:spacing w:line="360" w:lineRule="auto"/>
        <w:rPr>
          <w:rFonts w:ascii="Arial" w:hAnsi="Arial" w:cs="Arial"/>
          <w:color w:val="auto"/>
          <w:sz w:val="22"/>
          <w:szCs w:val="22"/>
        </w:rPr>
      </w:pPr>
      <w:r>
        <w:rPr>
          <w:rStyle w:val="Strong"/>
          <w:rFonts w:ascii="Arial" w:hAnsi="Arial" w:cs="Arial"/>
          <w:b w:val="0"/>
          <w:bCs w:val="0"/>
          <w:color w:val="auto"/>
          <w:sz w:val="22"/>
          <w:szCs w:val="22"/>
        </w:rPr>
        <w:t xml:space="preserve">        </w:t>
      </w:r>
      <w:r w:rsidR="00CC2AF2" w:rsidRPr="00A2645F">
        <w:rPr>
          <w:rStyle w:val="Strong"/>
          <w:rFonts w:ascii="Arial" w:hAnsi="Arial" w:cs="Arial"/>
          <w:b w:val="0"/>
          <w:bCs w:val="0"/>
          <w:color w:val="auto"/>
          <w:sz w:val="22"/>
          <w:szCs w:val="22"/>
        </w:rPr>
        <w:t xml:space="preserve"> Managing Conflict using the 4Cs Model</w:t>
      </w:r>
      <w:r w:rsidR="00E57AAA" w:rsidRPr="00A2645F">
        <w:rPr>
          <w:rFonts w:ascii="Arial" w:hAnsi="Arial" w:cs="Arial"/>
          <w:color w:val="auto"/>
          <w:sz w:val="22"/>
          <w:szCs w:val="22"/>
        </w:rPr>
        <w:t>………</w:t>
      </w:r>
      <w:r w:rsidR="00CC2AF2" w:rsidRPr="00A2645F">
        <w:rPr>
          <w:rFonts w:ascii="Arial" w:hAnsi="Arial" w:cs="Arial"/>
          <w:color w:val="auto"/>
          <w:sz w:val="22"/>
          <w:szCs w:val="22"/>
        </w:rPr>
        <w:t>.………………</w:t>
      </w:r>
      <w:r w:rsidR="00173E63" w:rsidRPr="00A2645F">
        <w:rPr>
          <w:rFonts w:ascii="Arial" w:hAnsi="Arial" w:cs="Arial"/>
          <w:color w:val="auto"/>
          <w:sz w:val="22"/>
          <w:szCs w:val="22"/>
        </w:rPr>
        <w:t>……</w:t>
      </w:r>
      <w:r>
        <w:rPr>
          <w:rFonts w:ascii="Arial" w:hAnsi="Arial" w:cs="Arial"/>
          <w:color w:val="auto"/>
          <w:sz w:val="22"/>
          <w:szCs w:val="22"/>
        </w:rPr>
        <w:t>.</w:t>
      </w:r>
      <w:r w:rsidR="00173E63" w:rsidRPr="00A2645F">
        <w:rPr>
          <w:rFonts w:ascii="Arial" w:hAnsi="Arial" w:cs="Arial"/>
          <w:color w:val="auto"/>
          <w:sz w:val="22"/>
          <w:szCs w:val="22"/>
        </w:rPr>
        <w:t>.</w:t>
      </w:r>
      <w:r w:rsidR="00CC2AF2" w:rsidRPr="00A2645F">
        <w:rPr>
          <w:rFonts w:ascii="Arial" w:hAnsi="Arial" w:cs="Arial"/>
          <w:color w:val="auto"/>
          <w:sz w:val="22"/>
          <w:szCs w:val="22"/>
        </w:rPr>
        <w:t>……</w:t>
      </w:r>
      <w:r w:rsidR="00E57AAA" w:rsidRPr="00A2645F">
        <w:rPr>
          <w:rFonts w:ascii="Arial" w:hAnsi="Arial" w:cs="Arial"/>
          <w:color w:val="auto"/>
          <w:sz w:val="22"/>
          <w:szCs w:val="22"/>
        </w:rPr>
        <w:t>.</w:t>
      </w:r>
      <w:r w:rsidR="00CC2AF2" w:rsidRPr="00A2645F">
        <w:rPr>
          <w:rFonts w:ascii="Arial" w:hAnsi="Arial" w:cs="Arial"/>
          <w:color w:val="auto"/>
          <w:sz w:val="22"/>
          <w:szCs w:val="22"/>
        </w:rPr>
        <w:t>13</w:t>
      </w:r>
    </w:p>
    <w:p w:rsidR="00CC2AF2" w:rsidRPr="00A2645F" w:rsidRDefault="00CC2AF2" w:rsidP="00A2645F">
      <w:pPr>
        <w:pStyle w:val="Heading2"/>
        <w:spacing w:line="360" w:lineRule="auto"/>
        <w:rPr>
          <w:rFonts w:ascii="Arial" w:hAnsi="Arial" w:cs="Arial"/>
          <w:b/>
          <w:sz w:val="22"/>
          <w:szCs w:val="22"/>
        </w:rPr>
      </w:pPr>
      <w:r w:rsidRPr="00A2645F">
        <w:rPr>
          <w:rFonts w:ascii="Arial" w:hAnsi="Arial" w:cs="Arial"/>
          <w:sz w:val="22"/>
          <w:szCs w:val="22"/>
        </w:rPr>
        <w:t xml:space="preserve">         </w:t>
      </w:r>
      <w:r w:rsidR="003178E2" w:rsidRPr="00A2645F">
        <w:rPr>
          <w:rStyle w:val="Strong"/>
          <w:rFonts w:ascii="Arial" w:hAnsi="Arial" w:cs="Arial"/>
          <w:b w:val="0"/>
          <w:bCs w:val="0"/>
          <w:color w:val="auto"/>
          <w:sz w:val="22"/>
          <w:szCs w:val="22"/>
        </w:rPr>
        <w:t>Role of the Project Manager in Conflict Management</w:t>
      </w:r>
      <w:r w:rsidR="003178E2" w:rsidRPr="00A2645F">
        <w:rPr>
          <w:rFonts w:ascii="Arial" w:hAnsi="Arial" w:cs="Arial"/>
          <w:color w:val="auto"/>
          <w:sz w:val="22"/>
          <w:szCs w:val="22"/>
        </w:rPr>
        <w:t>…………</w:t>
      </w:r>
      <w:r w:rsidR="00A2645F">
        <w:rPr>
          <w:rFonts w:ascii="Arial" w:hAnsi="Arial" w:cs="Arial"/>
          <w:color w:val="auto"/>
          <w:sz w:val="22"/>
          <w:szCs w:val="22"/>
        </w:rPr>
        <w:t>.</w:t>
      </w:r>
      <w:r w:rsidR="00173E63" w:rsidRPr="00A2645F">
        <w:rPr>
          <w:rFonts w:ascii="Arial" w:hAnsi="Arial" w:cs="Arial"/>
          <w:color w:val="auto"/>
          <w:sz w:val="22"/>
          <w:szCs w:val="22"/>
        </w:rPr>
        <w:t>……</w:t>
      </w:r>
      <w:r w:rsidR="003178E2" w:rsidRPr="00A2645F">
        <w:rPr>
          <w:rFonts w:ascii="Arial" w:hAnsi="Arial" w:cs="Arial"/>
          <w:color w:val="auto"/>
          <w:sz w:val="22"/>
          <w:szCs w:val="22"/>
        </w:rPr>
        <w:t>…</w:t>
      </w:r>
      <w:r w:rsidRPr="00A2645F">
        <w:rPr>
          <w:rFonts w:ascii="Arial" w:hAnsi="Arial" w:cs="Arial"/>
          <w:color w:val="auto"/>
          <w:sz w:val="22"/>
          <w:szCs w:val="22"/>
        </w:rPr>
        <w:t>…</w:t>
      </w:r>
      <w:r w:rsidR="003178E2" w:rsidRPr="00A2645F">
        <w:rPr>
          <w:rFonts w:ascii="Arial" w:hAnsi="Arial" w:cs="Arial"/>
          <w:color w:val="auto"/>
          <w:sz w:val="22"/>
          <w:szCs w:val="22"/>
        </w:rPr>
        <w:t>14</w:t>
      </w:r>
    </w:p>
    <w:p w:rsidR="00CC2AF2" w:rsidRPr="00A2645F" w:rsidRDefault="003178E2" w:rsidP="00A2645F">
      <w:pPr>
        <w:pStyle w:val="NormalWeb"/>
        <w:spacing w:line="360" w:lineRule="auto"/>
        <w:rPr>
          <w:rFonts w:ascii="Arial" w:hAnsi="Arial" w:cs="Arial"/>
          <w:sz w:val="22"/>
          <w:szCs w:val="22"/>
        </w:rPr>
      </w:pPr>
      <w:r w:rsidRPr="00A2645F">
        <w:rPr>
          <w:rStyle w:val="Strong"/>
          <w:rFonts w:ascii="Arial" w:hAnsi="Arial" w:cs="Arial"/>
          <w:b w:val="0"/>
          <w:bCs w:val="0"/>
          <w:sz w:val="22"/>
          <w:szCs w:val="22"/>
        </w:rPr>
        <w:t xml:space="preserve">         Evaluation of the Impact of Stakeholder Engagement</w:t>
      </w:r>
      <w:proofErr w:type="gramStart"/>
      <w:r w:rsidR="00CC2AF2" w:rsidRPr="00A2645F">
        <w:rPr>
          <w:rFonts w:ascii="Arial" w:hAnsi="Arial" w:cs="Arial"/>
          <w:sz w:val="22"/>
          <w:szCs w:val="22"/>
        </w:rPr>
        <w:t>…………</w:t>
      </w:r>
      <w:r w:rsidR="00A2645F">
        <w:rPr>
          <w:rFonts w:ascii="Arial" w:hAnsi="Arial" w:cs="Arial"/>
          <w:sz w:val="22"/>
          <w:szCs w:val="22"/>
        </w:rPr>
        <w:t>..</w:t>
      </w:r>
      <w:r w:rsidR="00CC2AF2" w:rsidRPr="00A2645F">
        <w:rPr>
          <w:rFonts w:ascii="Arial" w:hAnsi="Arial" w:cs="Arial"/>
          <w:sz w:val="22"/>
          <w:szCs w:val="22"/>
        </w:rPr>
        <w:t>……</w:t>
      </w:r>
      <w:r w:rsidRPr="00A2645F">
        <w:rPr>
          <w:rFonts w:ascii="Arial" w:hAnsi="Arial" w:cs="Arial"/>
          <w:sz w:val="22"/>
          <w:szCs w:val="22"/>
        </w:rPr>
        <w:t>…</w:t>
      </w:r>
      <w:proofErr w:type="gramEnd"/>
      <w:r w:rsidRPr="00A2645F">
        <w:rPr>
          <w:rFonts w:ascii="Arial" w:hAnsi="Arial" w:cs="Arial"/>
          <w:sz w:val="22"/>
          <w:szCs w:val="22"/>
        </w:rPr>
        <w:t>..15</w:t>
      </w:r>
    </w:p>
    <w:p w:rsidR="00173E63" w:rsidRPr="00A2645F" w:rsidRDefault="009B1F99" w:rsidP="00A2645F">
      <w:pPr>
        <w:pStyle w:val="Heading2"/>
        <w:spacing w:line="360" w:lineRule="auto"/>
        <w:rPr>
          <w:rFonts w:ascii="Arial" w:hAnsi="Arial" w:cs="Arial"/>
          <w:color w:val="auto"/>
          <w:sz w:val="22"/>
          <w:szCs w:val="22"/>
        </w:rPr>
      </w:pPr>
      <w:r w:rsidRPr="00A2645F">
        <w:rPr>
          <w:rStyle w:val="Strong"/>
          <w:rFonts w:ascii="Arial" w:hAnsi="Arial" w:cs="Arial"/>
          <w:b w:val="0"/>
          <w:bCs w:val="0"/>
          <w:sz w:val="22"/>
          <w:szCs w:val="22"/>
        </w:rPr>
        <w:t xml:space="preserve">         </w:t>
      </w:r>
      <w:r w:rsidRPr="00A2645F">
        <w:rPr>
          <w:rStyle w:val="Strong"/>
          <w:rFonts w:ascii="Arial" w:hAnsi="Arial" w:cs="Arial"/>
          <w:b w:val="0"/>
          <w:bCs w:val="0"/>
          <w:color w:val="auto"/>
          <w:sz w:val="22"/>
          <w:szCs w:val="22"/>
        </w:rPr>
        <w:t>Customer Satisfaction and Market Positioning</w:t>
      </w:r>
      <w:r w:rsidR="00CC2AF2" w:rsidRPr="00A2645F">
        <w:rPr>
          <w:rFonts w:ascii="Arial" w:hAnsi="Arial" w:cs="Arial"/>
          <w:color w:val="auto"/>
          <w:sz w:val="22"/>
          <w:szCs w:val="22"/>
        </w:rPr>
        <w:t>….…</w:t>
      </w:r>
      <w:r w:rsidRPr="00A2645F">
        <w:rPr>
          <w:rFonts w:ascii="Arial" w:hAnsi="Arial" w:cs="Arial"/>
          <w:color w:val="auto"/>
          <w:sz w:val="22"/>
          <w:szCs w:val="22"/>
        </w:rPr>
        <w:t>……………</w:t>
      </w:r>
      <w:r w:rsidR="00173E63" w:rsidRPr="00A2645F">
        <w:rPr>
          <w:rFonts w:ascii="Arial" w:hAnsi="Arial" w:cs="Arial"/>
          <w:color w:val="auto"/>
          <w:sz w:val="22"/>
          <w:szCs w:val="22"/>
        </w:rPr>
        <w:t>……</w:t>
      </w:r>
      <w:r w:rsidR="00A2645F">
        <w:rPr>
          <w:rFonts w:ascii="Arial" w:hAnsi="Arial" w:cs="Arial"/>
          <w:color w:val="auto"/>
          <w:sz w:val="22"/>
          <w:szCs w:val="22"/>
        </w:rPr>
        <w:t>.</w:t>
      </w:r>
      <w:r w:rsidRPr="00A2645F">
        <w:rPr>
          <w:rFonts w:ascii="Arial" w:hAnsi="Arial" w:cs="Arial"/>
          <w:color w:val="auto"/>
          <w:sz w:val="22"/>
          <w:szCs w:val="22"/>
        </w:rPr>
        <w:t>…...16</w:t>
      </w:r>
    </w:p>
    <w:p w:rsidR="00173E63" w:rsidRPr="00A2645F" w:rsidRDefault="00173E63" w:rsidP="00A2645F">
      <w:pPr>
        <w:pStyle w:val="Heading2"/>
        <w:spacing w:line="360" w:lineRule="auto"/>
        <w:rPr>
          <w:rFonts w:ascii="Arial" w:hAnsi="Arial" w:cs="Arial"/>
          <w:b/>
          <w:sz w:val="22"/>
          <w:szCs w:val="22"/>
        </w:rPr>
      </w:pPr>
      <w:r w:rsidRPr="00A2645F">
        <w:rPr>
          <w:rStyle w:val="Strong"/>
          <w:rFonts w:ascii="Arial" w:hAnsi="Arial" w:cs="Arial"/>
          <w:b w:val="0"/>
          <w:bCs w:val="0"/>
          <w:color w:val="auto"/>
          <w:sz w:val="22"/>
          <w:szCs w:val="22"/>
        </w:rPr>
        <w:t xml:space="preserve">         Challenges and Limitations</w:t>
      </w:r>
      <w:r w:rsidRPr="00A2645F">
        <w:rPr>
          <w:rFonts w:ascii="Arial" w:hAnsi="Arial" w:cs="Arial"/>
          <w:color w:val="auto"/>
          <w:sz w:val="22"/>
          <w:szCs w:val="22"/>
        </w:rPr>
        <w:t xml:space="preserve"> ………………………………………….…</w:t>
      </w:r>
      <w:r w:rsidR="00A2645F">
        <w:rPr>
          <w:rFonts w:ascii="Arial" w:hAnsi="Arial" w:cs="Arial"/>
          <w:color w:val="auto"/>
          <w:sz w:val="22"/>
          <w:szCs w:val="22"/>
        </w:rPr>
        <w:t>.</w:t>
      </w:r>
      <w:r w:rsidRPr="00A2645F">
        <w:rPr>
          <w:rFonts w:ascii="Arial" w:hAnsi="Arial" w:cs="Arial"/>
          <w:color w:val="auto"/>
          <w:sz w:val="22"/>
          <w:szCs w:val="22"/>
        </w:rPr>
        <w:t>…...17</w:t>
      </w:r>
    </w:p>
    <w:p w:rsidR="00173E63" w:rsidRPr="00A2645F" w:rsidRDefault="00173E63" w:rsidP="00A2645F">
      <w:pPr>
        <w:pStyle w:val="NormalWeb"/>
        <w:spacing w:line="360" w:lineRule="auto"/>
        <w:rPr>
          <w:rFonts w:ascii="Arial" w:hAnsi="Arial" w:cs="Arial"/>
          <w:sz w:val="22"/>
          <w:szCs w:val="22"/>
        </w:rPr>
      </w:pPr>
      <w:r w:rsidRPr="00A2645F">
        <w:rPr>
          <w:rStyle w:val="Strong"/>
          <w:rFonts w:ascii="Arial" w:hAnsi="Arial" w:cs="Arial"/>
          <w:b w:val="0"/>
          <w:bCs w:val="0"/>
          <w:sz w:val="22"/>
          <w:szCs w:val="22"/>
        </w:rPr>
        <w:t xml:space="preserve">         Recommendations to Further Engage Stakeholders </w:t>
      </w:r>
      <w:r w:rsidRPr="00A2645F">
        <w:rPr>
          <w:rFonts w:ascii="Arial" w:hAnsi="Arial" w:cs="Arial"/>
          <w:sz w:val="22"/>
          <w:szCs w:val="22"/>
        </w:rPr>
        <w:t>……………………</w:t>
      </w:r>
      <w:r w:rsidR="00A2645F">
        <w:rPr>
          <w:rFonts w:ascii="Arial" w:hAnsi="Arial" w:cs="Arial"/>
          <w:sz w:val="22"/>
          <w:szCs w:val="22"/>
        </w:rPr>
        <w:t>..</w:t>
      </w:r>
      <w:r w:rsidRPr="00A2645F">
        <w:rPr>
          <w:rFonts w:ascii="Arial" w:hAnsi="Arial" w:cs="Arial"/>
          <w:sz w:val="22"/>
          <w:szCs w:val="22"/>
        </w:rPr>
        <w:t>18</w:t>
      </w:r>
    </w:p>
    <w:p w:rsidR="00173E63" w:rsidRPr="00A2645F" w:rsidRDefault="00173E63" w:rsidP="00A2645F">
      <w:pPr>
        <w:pStyle w:val="Heading2"/>
        <w:spacing w:line="360" w:lineRule="auto"/>
        <w:rPr>
          <w:rFonts w:ascii="Arial" w:hAnsi="Arial" w:cs="Arial"/>
          <w:color w:val="auto"/>
          <w:sz w:val="22"/>
          <w:szCs w:val="22"/>
        </w:rPr>
      </w:pPr>
      <w:r w:rsidRPr="00A2645F">
        <w:rPr>
          <w:rStyle w:val="Strong"/>
          <w:rFonts w:ascii="Arial" w:hAnsi="Arial" w:cs="Arial"/>
          <w:b w:val="0"/>
          <w:bCs w:val="0"/>
          <w:sz w:val="22"/>
          <w:szCs w:val="22"/>
        </w:rPr>
        <w:t xml:space="preserve">         </w:t>
      </w:r>
      <w:r w:rsidRPr="00A2645F">
        <w:rPr>
          <w:rStyle w:val="Strong"/>
          <w:rFonts w:ascii="Arial" w:hAnsi="Arial" w:cs="Arial"/>
          <w:b w:val="0"/>
          <w:bCs w:val="0"/>
          <w:color w:val="auto"/>
          <w:sz w:val="22"/>
          <w:szCs w:val="22"/>
        </w:rPr>
        <w:t>Conclusion……………………………………….</w:t>
      </w:r>
      <w:r w:rsidRPr="00A2645F">
        <w:rPr>
          <w:rFonts w:ascii="Arial" w:hAnsi="Arial" w:cs="Arial"/>
          <w:color w:val="auto"/>
          <w:sz w:val="22"/>
          <w:szCs w:val="22"/>
        </w:rPr>
        <w:t>….……………</w:t>
      </w:r>
      <w:r w:rsidR="00A2645F">
        <w:rPr>
          <w:rFonts w:ascii="Arial" w:hAnsi="Arial" w:cs="Arial"/>
          <w:color w:val="auto"/>
          <w:sz w:val="22"/>
          <w:szCs w:val="22"/>
        </w:rPr>
        <w:t>.</w:t>
      </w:r>
      <w:r w:rsidRPr="00A2645F">
        <w:rPr>
          <w:rFonts w:ascii="Arial" w:hAnsi="Arial" w:cs="Arial"/>
          <w:color w:val="auto"/>
          <w:sz w:val="22"/>
          <w:szCs w:val="22"/>
        </w:rPr>
        <w:t>…………...19</w:t>
      </w:r>
    </w:p>
    <w:p w:rsidR="00173E63" w:rsidRPr="00A2645F" w:rsidRDefault="00173E63" w:rsidP="00A2645F">
      <w:pPr>
        <w:spacing w:line="360" w:lineRule="auto"/>
        <w:rPr>
          <w:rFonts w:ascii="Arial" w:hAnsi="Arial" w:cs="Arial"/>
        </w:rPr>
      </w:pPr>
      <w:r w:rsidRPr="00A2645F">
        <w:rPr>
          <w:rStyle w:val="Strong"/>
          <w:rFonts w:ascii="Arial" w:hAnsi="Arial" w:cs="Arial"/>
          <w:b w:val="0"/>
          <w:bCs w:val="0"/>
        </w:rPr>
        <w:t xml:space="preserve">         Reference …..</w:t>
      </w:r>
      <w:proofErr w:type="gramStart"/>
      <w:r w:rsidRPr="00A2645F">
        <w:rPr>
          <w:rStyle w:val="Strong"/>
          <w:rFonts w:ascii="Arial" w:hAnsi="Arial" w:cs="Arial"/>
          <w:b w:val="0"/>
          <w:bCs w:val="0"/>
        </w:rPr>
        <w:t>………..………………………….</w:t>
      </w:r>
      <w:r w:rsidRPr="00A2645F">
        <w:rPr>
          <w:rFonts w:ascii="Arial" w:hAnsi="Arial" w:cs="Arial"/>
        </w:rPr>
        <w:t>….……………….………...</w:t>
      </w:r>
      <w:proofErr w:type="gramEnd"/>
      <w:r w:rsidRPr="00A2645F">
        <w:rPr>
          <w:rFonts w:ascii="Arial" w:hAnsi="Arial" w:cs="Arial"/>
        </w:rPr>
        <w:t>20</w:t>
      </w:r>
    </w:p>
    <w:p w:rsidR="00173E63" w:rsidRPr="00A2645F" w:rsidRDefault="00173E63" w:rsidP="00A2645F">
      <w:pPr>
        <w:spacing w:line="360" w:lineRule="auto"/>
        <w:rPr>
          <w:rFonts w:ascii="Arial" w:hAnsi="Arial" w:cs="Arial"/>
        </w:rPr>
      </w:pPr>
    </w:p>
    <w:p w:rsidR="00173E63" w:rsidRPr="00A2645F" w:rsidRDefault="00173E63" w:rsidP="00A2645F">
      <w:pPr>
        <w:spacing w:line="360" w:lineRule="auto"/>
        <w:rPr>
          <w:rFonts w:ascii="Arial" w:hAnsi="Arial" w:cs="Arial"/>
        </w:rPr>
      </w:pPr>
    </w:p>
    <w:p w:rsidR="009B1F99" w:rsidRPr="00A2645F" w:rsidRDefault="009B1F99" w:rsidP="00A2645F">
      <w:pPr>
        <w:pStyle w:val="Heading2"/>
        <w:spacing w:line="360" w:lineRule="auto"/>
        <w:rPr>
          <w:rStyle w:val="Strong"/>
          <w:rFonts w:ascii="Arial" w:hAnsi="Arial" w:cs="Arial"/>
          <w:b w:val="0"/>
          <w:bCs w:val="0"/>
          <w:sz w:val="22"/>
          <w:szCs w:val="22"/>
        </w:rPr>
      </w:pPr>
      <w:r w:rsidRPr="00A2645F">
        <w:rPr>
          <w:rFonts w:ascii="Arial" w:hAnsi="Arial" w:cs="Arial"/>
          <w:sz w:val="22"/>
          <w:szCs w:val="22"/>
        </w:rPr>
        <w:lastRenderedPageBreak/>
        <w:t xml:space="preserve">             </w:t>
      </w:r>
    </w:p>
    <w:p w:rsidR="009115AE" w:rsidRPr="00A2645F" w:rsidRDefault="009115AE" w:rsidP="00A2645F">
      <w:pPr>
        <w:spacing w:before="100" w:beforeAutospacing="1" w:after="100" w:afterAutospacing="1" w:line="360" w:lineRule="auto"/>
        <w:outlineLvl w:val="0"/>
        <w:rPr>
          <w:rFonts w:ascii="Arial" w:eastAsia="Times New Roman" w:hAnsi="Arial" w:cs="Arial"/>
          <w:b/>
          <w:bCs/>
          <w:kern w:val="36"/>
          <w:lang w:eastAsia="en-GB"/>
        </w:rPr>
      </w:pPr>
    </w:p>
    <w:p w:rsidR="00F254CA" w:rsidRPr="00A2645F" w:rsidRDefault="00F254CA" w:rsidP="00A2645F">
      <w:pPr>
        <w:spacing w:before="100" w:beforeAutospacing="1" w:after="100" w:afterAutospacing="1" w:line="360" w:lineRule="auto"/>
        <w:outlineLvl w:val="0"/>
        <w:rPr>
          <w:rFonts w:ascii="Arial" w:eastAsia="Times New Roman" w:hAnsi="Arial" w:cs="Arial"/>
          <w:b/>
          <w:bCs/>
          <w:kern w:val="36"/>
          <w:lang w:eastAsia="en-GB"/>
        </w:rPr>
      </w:pPr>
      <w:r w:rsidRPr="00A2645F">
        <w:rPr>
          <w:rFonts w:ascii="Arial" w:eastAsia="Times New Roman" w:hAnsi="Arial" w:cs="Arial"/>
          <w:b/>
          <w:bCs/>
          <w:kern w:val="36"/>
          <w:lang w:eastAsia="en-GB"/>
        </w:rPr>
        <w:t xml:space="preserve">Executive Summary </w:t>
      </w:r>
    </w:p>
    <w:p w:rsidR="001B6420" w:rsidRPr="001B6420" w:rsidRDefault="001B6420" w:rsidP="00F64984">
      <w:pPr>
        <w:spacing w:after="0" w:line="360" w:lineRule="auto"/>
        <w:ind w:firstLine="720"/>
        <w:jc w:val="both"/>
        <w:rPr>
          <w:rFonts w:ascii="Arial" w:eastAsia="Times New Roman" w:hAnsi="Arial" w:cs="Arial"/>
          <w:lang w:eastAsia="en-GB"/>
        </w:rPr>
      </w:pPr>
      <w:r w:rsidRPr="001B6420">
        <w:rPr>
          <w:rFonts w:ascii="Arial" w:eastAsia="Times New Roman" w:hAnsi="Arial" w:cs="Arial"/>
          <w:lang w:eastAsia="en-GB"/>
        </w:rPr>
        <w:t>This study critically examines the importance of stakeholder participation for a new product development project's successful planning, launch, and completion. For this report, Fitbit UK, a reputable provider of wearable digital health equipment with an emphasis on oxygen saturation tracking, heart rate monitoring, and sleep pattern analytics, was selected. The company plans to launch a state-of-the-art wearable medical device within six months. In order to maximise innovation, resource utilisation, compliance, and financial success, the designated project manager is responsible for involving key internal and external stakeholders.</w:t>
      </w:r>
    </w:p>
    <w:p w:rsidR="001B6420" w:rsidRPr="001B6420" w:rsidRDefault="001B6420" w:rsidP="00F64984">
      <w:pPr>
        <w:spacing w:after="0" w:line="360" w:lineRule="auto"/>
        <w:ind w:firstLine="720"/>
        <w:jc w:val="both"/>
        <w:rPr>
          <w:rFonts w:ascii="Arial" w:eastAsia="Times New Roman" w:hAnsi="Arial" w:cs="Arial"/>
          <w:lang w:eastAsia="en-GB"/>
        </w:rPr>
      </w:pPr>
      <w:r w:rsidRPr="001B6420">
        <w:rPr>
          <w:rFonts w:ascii="Arial" w:eastAsia="Times New Roman" w:hAnsi="Arial" w:cs="Arial"/>
          <w:lang w:eastAsia="en-GB"/>
        </w:rPr>
        <w:t xml:space="preserve">A strategic analysis using SWOT and PESTLE frameworks reveals opportunities in growing consumer health awareness, expanding artificial intelligence integration, and developing digital health markets. Regulatory requirements and fierce competition are threats. The paper identifies and analyses key stakeholders, such as senior leadership, development teams, NHS partners, suppliers, retailers, customers, and regulatory bodies such as the MHRA. Their roles and responsibilities are examined using the RACI Matrix, and stakeholder relevance is categorised using </w:t>
      </w:r>
      <w:proofErr w:type="spellStart"/>
      <w:r w:rsidRPr="001B6420">
        <w:rPr>
          <w:rFonts w:ascii="Arial" w:eastAsia="Times New Roman" w:hAnsi="Arial" w:cs="Arial"/>
          <w:lang w:eastAsia="en-GB"/>
        </w:rPr>
        <w:t>Mendelow's</w:t>
      </w:r>
      <w:proofErr w:type="spellEnd"/>
      <w:r w:rsidRPr="001B6420">
        <w:rPr>
          <w:rFonts w:ascii="Arial" w:eastAsia="Times New Roman" w:hAnsi="Arial" w:cs="Arial"/>
          <w:lang w:eastAsia="en-GB"/>
        </w:rPr>
        <w:t xml:space="preserve"> Power-Interest Matrix.</w:t>
      </w:r>
    </w:p>
    <w:p w:rsidR="001B6420" w:rsidRPr="00A2645F" w:rsidRDefault="000522DD" w:rsidP="00F64984">
      <w:pPr>
        <w:spacing w:line="360" w:lineRule="auto"/>
        <w:jc w:val="both"/>
        <w:rPr>
          <w:rFonts w:ascii="Arial" w:eastAsia="Times New Roman" w:hAnsi="Arial" w:cs="Arial"/>
          <w:lang w:eastAsia="en-GB"/>
        </w:rPr>
      </w:pPr>
      <w:r w:rsidRPr="00A2645F">
        <w:rPr>
          <w:rFonts w:ascii="Arial" w:eastAsia="Times New Roman" w:hAnsi="Arial" w:cs="Arial"/>
          <w:lang w:eastAsia="en-GB"/>
        </w:rPr>
        <w:t xml:space="preserve">            </w:t>
      </w:r>
      <w:r w:rsidR="001B6420" w:rsidRPr="00A2645F">
        <w:rPr>
          <w:rFonts w:ascii="Arial" w:eastAsia="Times New Roman" w:hAnsi="Arial" w:cs="Arial"/>
          <w:lang w:eastAsia="en-GB"/>
        </w:rPr>
        <w:t xml:space="preserve">Appropriate engagement models include stakeholder engagement plans, communication plans, and the 4Cs conflict resolution model (communication, coordination, cooperation, and collaboration). As the report shows, effective stakeholder participation enhances project delivery, reduces risk, speeds up regulatory approval, raises user satisfaction, and increases market competitiveness (Freeman, 1984; Ashcroft, 2017). </w:t>
      </w:r>
      <w:r w:rsidR="001B6420" w:rsidRPr="00A2645F">
        <w:rPr>
          <w:rFonts w:ascii="Arial" w:eastAsia="Times New Roman" w:hAnsi="Arial" w:cs="Arial"/>
          <w:lang w:eastAsia="en-GB"/>
        </w:rPr>
        <w:br/>
        <w:t>Finally, recommendations are offered to encourage ongoing performance enhancement and stakeholder relationship optimisation. These include structured feedback techniques, collaborative product co-design workshops, and engagement performance tracking indicators. The study concludes that successful stakeholder involvement is essential for timely product launch, regulatory readiness, and commercial growth.</w:t>
      </w:r>
    </w:p>
    <w:p w:rsidR="00F254CA" w:rsidRPr="00A2645F" w:rsidRDefault="00F254CA" w:rsidP="00A2645F">
      <w:pPr>
        <w:spacing w:after="0" w:line="360" w:lineRule="auto"/>
        <w:ind w:firstLine="720"/>
        <w:rPr>
          <w:rFonts w:ascii="Arial" w:eastAsia="Times New Roman" w:hAnsi="Arial" w:cs="Arial"/>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F254CA" w:rsidRPr="00A2645F" w:rsidRDefault="00F254CA" w:rsidP="00A2645F">
      <w:pPr>
        <w:spacing w:before="100" w:beforeAutospacing="1" w:after="100" w:afterAutospacing="1" w:line="360" w:lineRule="auto"/>
        <w:outlineLvl w:val="0"/>
        <w:rPr>
          <w:rFonts w:ascii="Arial" w:eastAsia="Times New Roman" w:hAnsi="Arial" w:cs="Arial"/>
          <w:b/>
          <w:bCs/>
          <w:kern w:val="36"/>
          <w:lang w:eastAsia="en-GB"/>
        </w:rPr>
      </w:pPr>
      <w:r w:rsidRPr="00A2645F">
        <w:rPr>
          <w:rFonts w:ascii="Arial" w:eastAsia="Times New Roman" w:hAnsi="Arial" w:cs="Arial"/>
          <w:b/>
          <w:bCs/>
          <w:kern w:val="36"/>
          <w:lang w:eastAsia="en-GB"/>
        </w:rPr>
        <w:t xml:space="preserve">Introduction </w:t>
      </w:r>
    </w:p>
    <w:p w:rsidR="001B6420" w:rsidRPr="001B6420" w:rsidRDefault="001B6420" w:rsidP="00F64984">
      <w:pPr>
        <w:spacing w:after="0" w:line="360" w:lineRule="auto"/>
        <w:ind w:firstLine="720"/>
        <w:jc w:val="both"/>
        <w:rPr>
          <w:rFonts w:ascii="Arial" w:eastAsia="Times New Roman" w:hAnsi="Arial" w:cs="Arial"/>
          <w:lang w:eastAsia="en-GB"/>
        </w:rPr>
      </w:pPr>
      <w:r w:rsidRPr="001B6420">
        <w:rPr>
          <w:rFonts w:ascii="Arial" w:eastAsia="Times New Roman" w:hAnsi="Arial" w:cs="Arial"/>
          <w:lang w:eastAsia="en-GB"/>
        </w:rPr>
        <w:t>Google's consumer health division includes Fitbit UK, a well-known manufacturer of wearable health monitoring devices. The London-based company specialises in personal health devices that allow real-time monitoring of oxygen saturation, cardiovascular function, and sleep analysis. It focusses on the field of digital health and wellness. Fitbit devices are widely used across the United Kingdom with an operational focus on customer-centric design, data-driven insights, and innovation-led product development.</w:t>
      </w:r>
    </w:p>
    <w:p w:rsidR="001B6420" w:rsidRPr="00A2645F" w:rsidRDefault="0088083E" w:rsidP="00F64984">
      <w:pPr>
        <w:spacing w:line="360" w:lineRule="auto"/>
        <w:jc w:val="both"/>
        <w:rPr>
          <w:rFonts w:ascii="Arial" w:eastAsia="Times New Roman" w:hAnsi="Arial" w:cs="Arial"/>
          <w:lang w:eastAsia="en-GB"/>
        </w:rPr>
      </w:pPr>
      <w:r w:rsidRPr="00A2645F">
        <w:rPr>
          <w:rFonts w:ascii="Arial" w:eastAsia="Times New Roman" w:hAnsi="Arial" w:cs="Arial"/>
          <w:lang w:eastAsia="en-GB"/>
        </w:rPr>
        <w:br/>
      </w:r>
      <w:r w:rsidR="00D4632F" w:rsidRPr="00A2645F">
        <w:rPr>
          <w:rFonts w:ascii="Arial" w:eastAsia="Times New Roman" w:hAnsi="Arial" w:cs="Arial"/>
          <w:lang w:eastAsia="en-GB"/>
        </w:rPr>
        <w:t xml:space="preserve">          </w:t>
      </w:r>
      <w:r w:rsidR="001B6420" w:rsidRPr="00A2645F">
        <w:rPr>
          <w:rFonts w:ascii="Arial" w:eastAsia="Times New Roman" w:hAnsi="Arial" w:cs="Arial"/>
          <w:lang w:eastAsia="en-GB"/>
        </w:rPr>
        <w:t xml:space="preserve">As part of the proposed project, a new wearable health device aimed at domestic consumers and health-conscious people will be created and released onto the market. The product will have cutting-edge biometric sensors and predictive analytics driven by AI. The launch is scheduled to occur six months after the project's inception. </w:t>
      </w:r>
      <w:r w:rsidR="001B6420" w:rsidRPr="00A2645F">
        <w:rPr>
          <w:rFonts w:ascii="Arial" w:eastAsia="Times New Roman" w:hAnsi="Arial" w:cs="Arial"/>
          <w:lang w:eastAsia="en-GB"/>
        </w:rPr>
        <w:br/>
        <w:t xml:space="preserve">The primary responsibilities of a project manager include coordinating the product's development lifecycle and effectively involving relevant internal and external parties to encourage value creation and ensure successful implementation. </w:t>
      </w:r>
      <w:r w:rsidR="001B6420" w:rsidRPr="00A2645F">
        <w:rPr>
          <w:rFonts w:ascii="Arial" w:eastAsia="Times New Roman" w:hAnsi="Arial" w:cs="Arial"/>
          <w:lang w:eastAsia="en-GB"/>
        </w:rPr>
        <w:br/>
        <w:t>Stakeholder participation is recognised as a critical success factor in project-based environments (Christopher, Payne, and Ballantyne, 2013). The study describes theoretical frameworks, looks at various stakeholder engagement strategies, and assesses their effectiveness in actual projects.</w:t>
      </w:r>
    </w:p>
    <w:p w:rsidR="00D90E17" w:rsidRPr="00A2645F" w:rsidRDefault="00D90E17" w:rsidP="00A2645F">
      <w:pPr>
        <w:spacing w:after="0" w:line="360" w:lineRule="auto"/>
        <w:ind w:firstLine="72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90E17" w:rsidRPr="00A2645F"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b/>
          <w:bCs/>
          <w:kern w:val="36"/>
          <w:lang w:eastAsia="en-GB"/>
        </w:rPr>
      </w:pPr>
    </w:p>
    <w:p w:rsidR="00F254CA" w:rsidRPr="00A2645F" w:rsidRDefault="00F254CA" w:rsidP="00A2645F">
      <w:pPr>
        <w:spacing w:before="100" w:beforeAutospacing="1" w:after="100" w:afterAutospacing="1" w:line="360" w:lineRule="auto"/>
        <w:outlineLvl w:val="0"/>
        <w:rPr>
          <w:rFonts w:ascii="Arial" w:eastAsia="Times New Roman" w:hAnsi="Arial" w:cs="Arial"/>
          <w:b/>
          <w:bCs/>
          <w:kern w:val="36"/>
          <w:lang w:eastAsia="en-GB"/>
        </w:rPr>
      </w:pPr>
      <w:r w:rsidRPr="00A2645F">
        <w:rPr>
          <w:rFonts w:ascii="Arial" w:eastAsia="Times New Roman" w:hAnsi="Arial" w:cs="Arial"/>
          <w:b/>
          <w:bCs/>
          <w:kern w:val="36"/>
          <w:lang w:eastAsia="en-GB"/>
        </w:rPr>
        <w:lastRenderedPageBreak/>
        <w:t xml:space="preserve">Situational Analysis – SWOT, PESTLE &amp; SMART Objectives </w:t>
      </w:r>
    </w:p>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SWOT Analysis</w:t>
      </w:r>
      <w:r w:rsidR="00166EBF" w:rsidRPr="00A2645F">
        <w:rPr>
          <w:rFonts w:ascii="Arial" w:eastAsia="Times New Roman" w:hAnsi="Arial" w:cs="Arial"/>
          <w:b/>
          <w:bCs/>
          <w:noProof/>
          <w:lang w:eastAsia="en-GB"/>
        </w:rPr>
        <w:drawing>
          <wp:inline distT="0" distB="0" distL="0" distR="0" wp14:anchorId="44241EFA" wp14:editId="38C543EC">
            <wp:extent cx="5521325" cy="2242318"/>
            <wp:effectExtent l="0" t="0" r="222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1B6420" w:rsidRPr="001B6420" w:rsidRDefault="001B6420" w:rsidP="00A2645F">
      <w:pPr>
        <w:spacing w:after="0" w:line="360" w:lineRule="auto"/>
        <w:rPr>
          <w:rFonts w:ascii="Arial" w:eastAsia="Times New Roman" w:hAnsi="Arial" w:cs="Arial"/>
          <w:lang w:eastAsia="en-GB"/>
        </w:rPr>
      </w:pPr>
      <w:r w:rsidRPr="001B6420">
        <w:rPr>
          <w:rFonts w:ascii="Arial" w:eastAsia="Times New Roman" w:hAnsi="Arial" w:cs="Arial"/>
          <w:lang w:eastAsia="en-GB"/>
        </w:rPr>
        <w:t>Despite having a strong brand presence, Fitbit still needs to get past regulatory barriers and market competition.</w:t>
      </w:r>
    </w:p>
    <w:p w:rsidR="00166EBF" w:rsidRPr="00A2645F" w:rsidRDefault="00166EBF" w:rsidP="00A2645F">
      <w:pPr>
        <w:spacing w:after="0" w:line="360" w:lineRule="auto"/>
        <w:rPr>
          <w:rFonts w:ascii="Arial" w:eastAsia="Times New Roman" w:hAnsi="Arial" w:cs="Arial"/>
          <w:lang w:eastAsia="en-GB"/>
        </w:rPr>
      </w:pPr>
    </w:p>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 xml:space="preserve">PESTLE Analysis </w:t>
      </w:r>
    </w:p>
    <w:p w:rsidR="00767E18" w:rsidRPr="00A2645F" w:rsidRDefault="00E658A8" w:rsidP="00A2645F">
      <w:pPr>
        <w:spacing w:before="100" w:beforeAutospacing="1" w:after="100" w:afterAutospacing="1" w:line="360" w:lineRule="auto"/>
        <w:outlineLvl w:val="2"/>
        <w:rPr>
          <w:rFonts w:ascii="Arial" w:eastAsia="Times New Roman" w:hAnsi="Arial" w:cs="Arial"/>
          <w:b/>
          <w:bCs/>
          <w:lang w:eastAsia="en-GB"/>
        </w:rPr>
      </w:pPr>
      <w:r w:rsidRPr="00A2645F">
        <w:rPr>
          <w:rFonts w:ascii="Arial" w:eastAsia="Times New Roman" w:hAnsi="Arial" w:cs="Arial"/>
          <w:b/>
          <w:bCs/>
          <w:noProof/>
          <w:lang w:eastAsia="en-GB"/>
        </w:rPr>
        <w:drawing>
          <wp:inline distT="0" distB="0" distL="0" distR="0">
            <wp:extent cx="6179481" cy="1927811"/>
            <wp:effectExtent l="38100" t="0" r="50165" b="1587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FF6846" w:rsidRPr="006C3107" w:rsidRDefault="00E658A8" w:rsidP="00A2645F">
      <w:pPr>
        <w:spacing w:before="100" w:beforeAutospacing="1" w:after="100" w:afterAutospacing="1" w:line="360" w:lineRule="auto"/>
        <w:outlineLvl w:val="2"/>
        <w:rPr>
          <w:rFonts w:ascii="Arial" w:eastAsia="Times New Roman" w:hAnsi="Arial" w:cs="Arial"/>
          <w:b/>
          <w:bCs/>
          <w:lang w:eastAsia="en-GB"/>
        </w:rPr>
      </w:pPr>
      <w:r w:rsidRPr="00A2645F">
        <w:rPr>
          <w:rFonts w:ascii="Arial" w:eastAsia="Times New Roman" w:hAnsi="Arial" w:cs="Arial"/>
          <w:b/>
          <w:bCs/>
          <w:noProof/>
          <w:lang w:eastAsia="en-GB"/>
        </w:rPr>
        <w:drawing>
          <wp:inline distT="0" distB="0" distL="0" distR="0">
            <wp:extent cx="6255195" cy="2061768"/>
            <wp:effectExtent l="38100" t="0" r="5080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lastRenderedPageBreak/>
        <w:t>SMART Objectives for the Project</w:t>
      </w:r>
    </w:p>
    <w:p w:rsidR="00767E18" w:rsidRPr="00A2645F" w:rsidRDefault="00767E18" w:rsidP="00A2645F">
      <w:pPr>
        <w:spacing w:before="100" w:beforeAutospacing="1" w:after="100" w:afterAutospacing="1" w:line="360" w:lineRule="auto"/>
        <w:outlineLvl w:val="2"/>
        <w:rPr>
          <w:rFonts w:ascii="Arial" w:eastAsia="Times New Roman" w:hAnsi="Arial" w:cs="Arial"/>
          <w:b/>
          <w:bCs/>
          <w:lang w:eastAsia="en-GB"/>
        </w:rPr>
      </w:pPr>
      <w:r w:rsidRPr="00A2645F">
        <w:rPr>
          <w:rFonts w:ascii="Arial" w:eastAsia="Times New Roman" w:hAnsi="Arial" w:cs="Arial"/>
          <w:b/>
          <w:bCs/>
          <w:noProof/>
          <w:lang w:eastAsia="en-GB"/>
        </w:rPr>
        <w:drawing>
          <wp:inline distT="0" distB="0" distL="0" distR="0">
            <wp:extent cx="5987281" cy="3555676"/>
            <wp:effectExtent l="38100" t="0" r="1397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2A194D" w:rsidRPr="00A2645F" w:rsidRDefault="002A194D" w:rsidP="00A2645F">
      <w:pPr>
        <w:spacing w:after="0" w:line="360" w:lineRule="auto"/>
        <w:rPr>
          <w:rFonts w:ascii="Arial" w:eastAsia="Times New Roman" w:hAnsi="Arial" w:cs="Arial"/>
          <w:lang w:eastAsia="en-GB"/>
        </w:rPr>
      </w:pPr>
    </w:p>
    <w:p w:rsidR="00FF6846" w:rsidRPr="006C3107" w:rsidRDefault="00CD1C5B" w:rsidP="00F64984">
      <w:pPr>
        <w:spacing w:after="0" w:line="360" w:lineRule="auto"/>
        <w:ind w:firstLine="720"/>
        <w:jc w:val="both"/>
        <w:rPr>
          <w:rStyle w:val="Strong"/>
          <w:rFonts w:ascii="Arial" w:eastAsia="Times New Roman" w:hAnsi="Arial" w:cs="Arial"/>
          <w:b w:val="0"/>
          <w:bCs w:val="0"/>
          <w:lang w:eastAsia="en-GB"/>
        </w:rPr>
      </w:pPr>
      <w:r w:rsidRPr="00CD1C5B">
        <w:rPr>
          <w:rFonts w:ascii="Arial" w:eastAsia="Times New Roman" w:hAnsi="Arial" w:cs="Arial"/>
          <w:lang w:eastAsia="en-GB"/>
        </w:rPr>
        <w:t>The situational analysis indicates that Fitbit is well-positioned to profit from the digital health trend, but it must ensure strong stakeholder participation in order to manage risk and accelerate product delivery.</w:t>
      </w: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 xml:space="preserve">Stakeholder Identification </w:t>
      </w:r>
    </w:p>
    <w:p w:rsidR="00861CC8" w:rsidRPr="00861CC8" w:rsidRDefault="00861CC8" w:rsidP="00F64984">
      <w:pPr>
        <w:spacing w:after="0" w:line="360" w:lineRule="auto"/>
        <w:ind w:firstLine="720"/>
        <w:jc w:val="both"/>
        <w:rPr>
          <w:rFonts w:ascii="Arial" w:eastAsia="Times New Roman" w:hAnsi="Arial" w:cs="Arial"/>
          <w:lang w:eastAsia="en-GB"/>
        </w:rPr>
      </w:pPr>
      <w:r w:rsidRPr="00861CC8">
        <w:rPr>
          <w:rFonts w:ascii="Arial" w:eastAsia="Times New Roman" w:hAnsi="Arial" w:cs="Arial"/>
          <w:lang w:eastAsia="en-GB"/>
        </w:rPr>
        <w:t>Stakeholders must be successfully identified for product developmen</w:t>
      </w:r>
      <w:r w:rsidR="00F64984">
        <w:rPr>
          <w:rFonts w:ascii="Arial" w:eastAsia="Times New Roman" w:hAnsi="Arial" w:cs="Arial"/>
          <w:lang w:eastAsia="en-GB"/>
        </w:rPr>
        <w:t xml:space="preserve">t and launch to be successful. </w:t>
      </w:r>
      <w:r w:rsidRPr="00861CC8">
        <w:rPr>
          <w:rFonts w:ascii="Arial" w:eastAsia="Times New Roman" w:hAnsi="Arial" w:cs="Arial"/>
          <w:lang w:eastAsia="en-GB"/>
        </w:rPr>
        <w:t>Stakeholders are individuals or groups that have the power to affect or are affected by organisational decision-making, according to Freeman (1984). In the context of Fitbit's new wearable health device project, stakeholders are crucial to knowledge sharing, regulatory compliance, innovation, and market positioning. Stakeholders are separated into internal and external groups according to their organisational affiliation and influence on the project.</w:t>
      </w:r>
    </w:p>
    <w:p w:rsidR="00F254CA" w:rsidRDefault="00F254CA" w:rsidP="00A2645F">
      <w:pPr>
        <w:spacing w:line="360" w:lineRule="auto"/>
        <w:rPr>
          <w:rFonts w:ascii="Arial" w:hAnsi="Arial" w:cs="Arial"/>
        </w:rPr>
      </w:pPr>
    </w:p>
    <w:p w:rsidR="006C3107" w:rsidRDefault="006C3107" w:rsidP="00A2645F">
      <w:pPr>
        <w:spacing w:line="360" w:lineRule="auto"/>
        <w:rPr>
          <w:rFonts w:ascii="Arial" w:hAnsi="Arial" w:cs="Arial"/>
        </w:rPr>
      </w:pPr>
    </w:p>
    <w:p w:rsidR="006C3107" w:rsidRDefault="006C3107" w:rsidP="00A2645F">
      <w:pPr>
        <w:spacing w:line="360" w:lineRule="auto"/>
        <w:rPr>
          <w:rFonts w:ascii="Arial" w:hAnsi="Arial" w:cs="Arial"/>
        </w:rPr>
      </w:pPr>
    </w:p>
    <w:p w:rsidR="006C3107" w:rsidRPr="00A2645F" w:rsidRDefault="006C3107" w:rsidP="00A2645F">
      <w:pPr>
        <w:spacing w:line="360" w:lineRule="auto"/>
        <w:rPr>
          <w:rFonts w:ascii="Arial" w:hAnsi="Arial" w:cs="Arial"/>
        </w:rPr>
      </w:pP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lastRenderedPageBreak/>
        <w:t>Internal Stakeholders</w:t>
      </w:r>
    </w:p>
    <w:p w:rsidR="00861CC8" w:rsidRPr="00861CC8" w:rsidRDefault="00861CC8" w:rsidP="00F64984">
      <w:pPr>
        <w:spacing w:after="0" w:line="360" w:lineRule="auto"/>
        <w:rPr>
          <w:rFonts w:ascii="Arial" w:eastAsia="Times New Roman" w:hAnsi="Arial" w:cs="Arial"/>
          <w:lang w:eastAsia="en-GB"/>
        </w:rPr>
      </w:pPr>
      <w:r w:rsidRPr="00861CC8">
        <w:rPr>
          <w:rFonts w:ascii="Arial" w:eastAsia="Times New Roman" w:hAnsi="Arial" w:cs="Arial"/>
          <w:lang w:eastAsia="en-GB"/>
        </w:rPr>
        <w:t xml:space="preserve">1. Project Manager: This individual is responsible for planning, executing, and supervising project activities. </w:t>
      </w:r>
      <w:proofErr w:type="gramStart"/>
      <w:r w:rsidRPr="00861CC8">
        <w:rPr>
          <w:rFonts w:ascii="Arial" w:eastAsia="Times New Roman" w:hAnsi="Arial" w:cs="Arial"/>
          <w:lang w:eastAsia="en-GB"/>
        </w:rPr>
        <w:t>accountable</w:t>
      </w:r>
      <w:proofErr w:type="gramEnd"/>
      <w:r w:rsidRPr="00861CC8">
        <w:rPr>
          <w:rFonts w:ascii="Arial" w:eastAsia="Times New Roman" w:hAnsi="Arial" w:cs="Arial"/>
          <w:lang w:eastAsia="en-GB"/>
        </w:rPr>
        <w:t xml:space="preserve"> for engaging stakeholders and preserving alignment with strategy goals (PMI, 2021). </w:t>
      </w:r>
      <w:r w:rsidRPr="00861CC8">
        <w:rPr>
          <w:rFonts w:ascii="Arial" w:eastAsia="Times New Roman" w:hAnsi="Arial" w:cs="Arial"/>
          <w:lang w:eastAsia="en-GB"/>
        </w:rPr>
        <w:br/>
        <w:t xml:space="preserve">2. Research &amp; Development (R&amp;D) Team: Responsible for creating sensor technologies, evaluating prototypes, and enhancing performance. </w:t>
      </w:r>
      <w:r w:rsidRPr="00861CC8">
        <w:rPr>
          <w:rFonts w:ascii="Arial" w:eastAsia="Times New Roman" w:hAnsi="Arial" w:cs="Arial"/>
          <w:lang w:eastAsia="en-GB"/>
        </w:rPr>
        <w:br/>
        <w:t xml:space="preserve">3. Quality Assurance and Regulatory Department: Confirms that the device complies with MHRA regulations and ISO standards for medical devices. </w:t>
      </w:r>
      <w:r w:rsidRPr="00861CC8">
        <w:rPr>
          <w:rFonts w:ascii="Arial" w:eastAsia="Times New Roman" w:hAnsi="Arial" w:cs="Arial"/>
          <w:lang w:eastAsia="en-GB"/>
        </w:rPr>
        <w:br/>
        <w:t xml:space="preserve">4. AI-based data analytics and mobile application integration are developed by the IT and software development team. </w:t>
      </w:r>
      <w:r w:rsidRPr="00861CC8">
        <w:rPr>
          <w:rFonts w:ascii="Arial" w:eastAsia="Times New Roman" w:hAnsi="Arial" w:cs="Arial"/>
          <w:lang w:eastAsia="en-GB"/>
        </w:rPr>
        <w:br/>
        <w:t>5. Go-to-market strategy, competition analysis, and market positioning fall under the purview of the marketing and sales team.</w:t>
      </w:r>
    </w:p>
    <w:p w:rsidR="002A194D" w:rsidRDefault="00861CC8" w:rsidP="00F64984">
      <w:pPr>
        <w:spacing w:after="0" w:line="360" w:lineRule="auto"/>
        <w:rPr>
          <w:rFonts w:ascii="Arial" w:eastAsia="Times New Roman" w:hAnsi="Arial" w:cs="Arial"/>
          <w:lang w:eastAsia="en-GB"/>
        </w:rPr>
      </w:pPr>
      <w:r w:rsidRPr="00861CC8">
        <w:rPr>
          <w:rFonts w:ascii="Arial" w:eastAsia="Times New Roman" w:hAnsi="Arial" w:cs="Arial"/>
          <w:lang w:eastAsia="en-GB"/>
        </w:rPr>
        <w:t xml:space="preserve">6. Senior Leadership (CEO, CTO): Make decisions regarding resource allocation, project approval, and strategic supervision (Christopher, Payne, and Ballantyne, 2013). </w:t>
      </w:r>
      <w:r w:rsidRPr="00861CC8">
        <w:rPr>
          <w:rFonts w:ascii="Arial" w:eastAsia="Times New Roman" w:hAnsi="Arial" w:cs="Arial"/>
          <w:lang w:eastAsia="en-GB"/>
        </w:rPr>
        <w:br/>
        <w:t xml:space="preserve">7. Finance Department: Manages budgeting, cost analysis, and the distribution of funds. </w:t>
      </w:r>
      <w:r w:rsidRPr="00861CC8">
        <w:rPr>
          <w:rFonts w:ascii="Arial" w:eastAsia="Times New Roman" w:hAnsi="Arial" w:cs="Arial"/>
          <w:lang w:eastAsia="en-GB"/>
        </w:rPr>
        <w:br/>
        <w:t>8. The procurement team negotiates with suppliers to find electronic parts.</w:t>
      </w:r>
    </w:p>
    <w:p w:rsidR="006C3107" w:rsidRPr="006C3107" w:rsidRDefault="006C3107" w:rsidP="006C3107">
      <w:pPr>
        <w:spacing w:after="0" w:line="360" w:lineRule="auto"/>
        <w:rPr>
          <w:rStyle w:val="Strong"/>
          <w:rFonts w:ascii="Arial" w:eastAsia="Times New Roman" w:hAnsi="Arial" w:cs="Arial"/>
          <w:b w:val="0"/>
          <w:bCs w:val="0"/>
          <w:lang w:eastAsia="en-GB"/>
        </w:rPr>
      </w:pP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External Stakeholders</w:t>
      </w:r>
    </w:p>
    <w:p w:rsidR="00861CC8" w:rsidRPr="00861CC8" w:rsidRDefault="00861CC8" w:rsidP="00A2645F">
      <w:pPr>
        <w:spacing w:after="0" w:line="360" w:lineRule="auto"/>
        <w:rPr>
          <w:rFonts w:ascii="Arial" w:eastAsia="Times New Roman" w:hAnsi="Arial" w:cs="Arial"/>
          <w:lang w:eastAsia="en-GB"/>
        </w:rPr>
      </w:pPr>
      <w:r w:rsidRPr="00861CC8">
        <w:rPr>
          <w:rFonts w:ascii="Arial" w:eastAsia="Times New Roman" w:hAnsi="Arial" w:cs="Arial"/>
          <w:lang w:eastAsia="en-GB"/>
        </w:rPr>
        <w:t xml:space="preserve">1. Technology partners and suppliers: supply the components, sensors, and manufacturing assistance required for product assembly. </w:t>
      </w:r>
      <w:r w:rsidRPr="00861CC8">
        <w:rPr>
          <w:rFonts w:ascii="Arial" w:eastAsia="Times New Roman" w:hAnsi="Arial" w:cs="Arial"/>
          <w:lang w:eastAsia="en-GB"/>
        </w:rPr>
        <w:br/>
        <w:t xml:space="preserve">2. Regulatory agencies that monitor compliance with clinical testing standards (MHRA, NHS Digital). </w:t>
      </w:r>
      <w:r w:rsidRPr="00861CC8">
        <w:rPr>
          <w:rFonts w:ascii="Arial" w:eastAsia="Times New Roman" w:hAnsi="Arial" w:cs="Arial"/>
          <w:lang w:eastAsia="en-GB"/>
        </w:rPr>
        <w:br/>
        <w:t xml:space="preserve">3. Retailers and Distribution Partners: Encourage market accessibility and product availability. </w:t>
      </w:r>
      <w:r w:rsidRPr="00861CC8">
        <w:rPr>
          <w:rFonts w:ascii="Arial" w:eastAsia="Times New Roman" w:hAnsi="Arial" w:cs="Arial"/>
          <w:lang w:eastAsia="en-GB"/>
        </w:rPr>
        <w:br/>
        <w:t xml:space="preserve">4. By providing feedback on a device's usability, comfort, and functionality, patient groups and consumers can affect its acceptance. </w:t>
      </w:r>
      <w:r w:rsidRPr="00861CC8">
        <w:rPr>
          <w:rFonts w:ascii="Arial" w:eastAsia="Times New Roman" w:hAnsi="Arial" w:cs="Arial"/>
          <w:lang w:eastAsia="en-GB"/>
        </w:rPr>
        <w:br/>
        <w:t xml:space="preserve">5. Healthcare facilities and insurance companies may collaborate to integrate wearable technology into preventive health programs. </w:t>
      </w:r>
      <w:r w:rsidRPr="00861CC8">
        <w:rPr>
          <w:rFonts w:ascii="Arial" w:eastAsia="Times New Roman" w:hAnsi="Arial" w:cs="Arial"/>
          <w:lang w:eastAsia="en-GB"/>
        </w:rPr>
        <w:br/>
        <w:t>6. Investors and shareholders: They have strategic control over long-term product initiatives and expect a return on investment.</w:t>
      </w:r>
    </w:p>
    <w:p w:rsidR="00F254CA" w:rsidRPr="00A2645F" w:rsidRDefault="00F254CA" w:rsidP="00A2645F">
      <w:pPr>
        <w:spacing w:line="360" w:lineRule="auto"/>
        <w:rPr>
          <w:rFonts w:ascii="Arial" w:hAnsi="Arial" w:cs="Arial"/>
        </w:rPr>
      </w:pPr>
    </w:p>
    <w:p w:rsidR="00C96928" w:rsidRPr="00A2645F" w:rsidRDefault="00C96928" w:rsidP="00A2645F">
      <w:pPr>
        <w:pStyle w:val="Heading3"/>
        <w:spacing w:line="360" w:lineRule="auto"/>
        <w:rPr>
          <w:rStyle w:val="Strong"/>
          <w:rFonts w:ascii="Arial" w:hAnsi="Arial" w:cs="Arial"/>
          <w:b/>
          <w:bCs/>
          <w:color w:val="5B9BD5" w:themeColor="accent1"/>
          <w:sz w:val="22"/>
          <w:szCs w:val="22"/>
        </w:rPr>
      </w:pPr>
    </w:p>
    <w:p w:rsidR="00F64984" w:rsidRDefault="00F64984" w:rsidP="00A2645F">
      <w:pPr>
        <w:pStyle w:val="Heading3"/>
        <w:spacing w:line="360" w:lineRule="auto"/>
        <w:rPr>
          <w:rStyle w:val="Strong"/>
          <w:rFonts w:ascii="Arial" w:hAnsi="Arial" w:cs="Arial"/>
          <w:b/>
          <w:bCs/>
          <w:color w:val="5B9BD5" w:themeColor="accent1"/>
          <w:sz w:val="22"/>
          <w:szCs w:val="22"/>
        </w:rPr>
      </w:pP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lastRenderedPageBreak/>
        <w:t>Stakeholder Priority Assessment</w:t>
      </w:r>
    </w:p>
    <w:p w:rsidR="00861CC8" w:rsidRPr="00861CC8" w:rsidRDefault="00861CC8" w:rsidP="00F64984">
      <w:pPr>
        <w:spacing w:after="0" w:line="360" w:lineRule="auto"/>
        <w:ind w:firstLine="720"/>
        <w:jc w:val="both"/>
        <w:rPr>
          <w:rFonts w:ascii="Arial" w:eastAsia="Times New Roman" w:hAnsi="Arial" w:cs="Arial"/>
          <w:lang w:eastAsia="en-GB"/>
        </w:rPr>
      </w:pPr>
      <w:r w:rsidRPr="00861CC8">
        <w:rPr>
          <w:rFonts w:ascii="Arial" w:eastAsia="Times New Roman" w:hAnsi="Arial" w:cs="Arial"/>
          <w:lang w:eastAsia="en-GB"/>
        </w:rPr>
        <w:t xml:space="preserve">Project managers can prioritise engagement strategies and categorise stakeholders using </w:t>
      </w:r>
      <w:proofErr w:type="spellStart"/>
      <w:r w:rsidRPr="00861CC8">
        <w:rPr>
          <w:rFonts w:ascii="Arial" w:eastAsia="Times New Roman" w:hAnsi="Arial" w:cs="Arial"/>
          <w:lang w:eastAsia="en-GB"/>
        </w:rPr>
        <w:t>Mendelow's</w:t>
      </w:r>
      <w:proofErr w:type="spellEnd"/>
      <w:r w:rsidRPr="00861CC8">
        <w:rPr>
          <w:rFonts w:ascii="Arial" w:eastAsia="Times New Roman" w:hAnsi="Arial" w:cs="Arial"/>
          <w:lang w:eastAsia="en-GB"/>
        </w:rPr>
        <w:t xml:space="preserve"> Power-Interest Matrix (1991). Senior leadership, development teams, and regulatory bodies all have a great deal of power and interest, which calls for careful oversight. Customers and retailers have little power and a lot of interest, so consultation is essential. Suppliers have low interest-high power and require close supervi</w:t>
      </w:r>
      <w:r w:rsidR="00F64984">
        <w:rPr>
          <w:rFonts w:ascii="Arial" w:eastAsia="Times New Roman" w:hAnsi="Arial" w:cs="Arial"/>
          <w:lang w:eastAsia="en-GB"/>
        </w:rPr>
        <w:t xml:space="preserve">sion because of their influence on production. </w:t>
      </w:r>
      <w:r w:rsidRPr="00861CC8">
        <w:rPr>
          <w:rFonts w:ascii="Arial" w:eastAsia="Times New Roman" w:hAnsi="Arial" w:cs="Arial"/>
          <w:lang w:eastAsia="en-GB"/>
        </w:rPr>
        <w:t>In summary, successful engagement with internal and external stakeholders is critical to project success, innovation acceleration, regulatory compliance, and meeting market expectations. Understanding stakeholder influence enables effective decision-making and risk reduction throughout the project lifetime.</w:t>
      </w:r>
    </w:p>
    <w:p w:rsidR="00F64984" w:rsidRDefault="00F254CA" w:rsidP="00F64984">
      <w:pPr>
        <w:spacing w:before="100" w:beforeAutospacing="1" w:after="100" w:afterAutospacing="1" w:line="360" w:lineRule="auto"/>
        <w:outlineLvl w:val="0"/>
        <w:rPr>
          <w:rFonts w:ascii="Arial" w:eastAsia="Times New Roman" w:hAnsi="Arial" w:cs="Arial"/>
          <w:b/>
          <w:bCs/>
          <w:color w:val="5B9BD5" w:themeColor="accent1"/>
          <w:kern w:val="36"/>
          <w:lang w:eastAsia="en-GB"/>
        </w:rPr>
      </w:pPr>
      <w:r w:rsidRPr="00A2645F">
        <w:rPr>
          <w:rFonts w:ascii="Arial" w:eastAsia="Times New Roman" w:hAnsi="Arial" w:cs="Arial"/>
          <w:b/>
          <w:bCs/>
          <w:color w:val="5B9BD5" w:themeColor="accent1"/>
          <w:kern w:val="36"/>
          <w:lang w:eastAsia="en-GB"/>
        </w:rPr>
        <w:t xml:space="preserve">Roles, Responsibilities, Benefits and Challenges of Key Stakeholders </w:t>
      </w:r>
    </w:p>
    <w:p w:rsidR="00861CC8" w:rsidRPr="00861CC8" w:rsidRDefault="00861CC8" w:rsidP="00F64984">
      <w:pPr>
        <w:spacing w:before="100" w:beforeAutospacing="1" w:after="100" w:afterAutospacing="1" w:line="360" w:lineRule="auto"/>
        <w:ind w:firstLine="720"/>
        <w:jc w:val="both"/>
        <w:outlineLvl w:val="0"/>
        <w:rPr>
          <w:rFonts w:ascii="Arial" w:eastAsia="Times New Roman" w:hAnsi="Arial" w:cs="Arial"/>
          <w:lang w:eastAsia="en-GB"/>
        </w:rPr>
      </w:pPr>
      <w:r w:rsidRPr="00861CC8">
        <w:rPr>
          <w:rFonts w:ascii="Arial" w:eastAsia="Times New Roman" w:hAnsi="Arial" w:cs="Arial"/>
          <w:lang w:eastAsia="en-GB"/>
        </w:rPr>
        <w:t>Stakeholder roles and responsibilities must be clearly defined in order to guarantee effective participation in the project and to align expectations. According to Ashcroft (2017), effective stakeholder engagement increases decision-making, reduces risk, and fosters creativity. However, conflicting priorities, a lack of communication, and compliance issues are common problems for stakeholders (Ellis, Gibbs, and Rein, 1991). This section delves deeply into the purposes, benefits, and challenges of stakeholder participation.</w:t>
      </w:r>
    </w:p>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Internal Stakeholders</w:t>
      </w:r>
    </w:p>
    <w:tbl>
      <w:tblPr>
        <w:tblStyle w:val="TableGrid"/>
        <w:tblW w:w="10490" w:type="dxa"/>
        <w:tblInd w:w="-572" w:type="dxa"/>
        <w:tblLook w:val="04A0" w:firstRow="1" w:lastRow="0" w:firstColumn="1" w:lastColumn="0" w:noHBand="0" w:noVBand="1"/>
      </w:tblPr>
      <w:tblGrid>
        <w:gridCol w:w="2268"/>
        <w:gridCol w:w="3261"/>
        <w:gridCol w:w="2409"/>
        <w:gridCol w:w="2552"/>
      </w:tblGrid>
      <w:tr w:rsidR="005D764F" w:rsidRPr="00A2645F" w:rsidTr="00F64984">
        <w:tc>
          <w:tcPr>
            <w:tcW w:w="2268"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Stakeholder</w:t>
            </w:r>
          </w:p>
        </w:tc>
        <w:tc>
          <w:tcPr>
            <w:tcW w:w="3261"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Key Responsibilities</w:t>
            </w:r>
          </w:p>
        </w:tc>
        <w:tc>
          <w:tcPr>
            <w:tcW w:w="2409"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Benefits</w:t>
            </w:r>
          </w:p>
        </w:tc>
        <w:tc>
          <w:tcPr>
            <w:tcW w:w="2552"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Potential Challenges</w:t>
            </w:r>
          </w:p>
        </w:tc>
      </w:tr>
      <w:tr w:rsidR="005D764F" w:rsidRPr="00A2645F" w:rsidTr="00F64984">
        <w:trPr>
          <w:trHeight w:val="912"/>
        </w:trPr>
        <w:tc>
          <w:tcPr>
            <w:tcW w:w="2268" w:type="dxa"/>
            <w:vAlign w:val="center"/>
          </w:tcPr>
          <w:p w:rsidR="005D764F" w:rsidRPr="00A2645F" w:rsidRDefault="005D764F" w:rsidP="00A2645F">
            <w:pPr>
              <w:spacing w:line="360" w:lineRule="auto"/>
              <w:rPr>
                <w:rFonts w:ascii="Arial" w:eastAsia="Times New Roman" w:hAnsi="Arial" w:cs="Arial"/>
                <w:lang w:eastAsia="en-GB"/>
              </w:rPr>
            </w:pPr>
            <w:r w:rsidRPr="00A2645F">
              <w:rPr>
                <w:rFonts w:ascii="Arial" w:eastAsia="Times New Roman" w:hAnsi="Arial" w:cs="Arial"/>
                <w:b/>
                <w:bCs/>
                <w:lang w:eastAsia="en-GB"/>
              </w:rPr>
              <w:t>Project Manager</w:t>
            </w:r>
          </w:p>
        </w:tc>
        <w:tc>
          <w:tcPr>
            <w:tcW w:w="3261" w:type="dxa"/>
            <w:vAlign w:val="center"/>
          </w:tcPr>
          <w:p w:rsidR="005D764F" w:rsidRPr="00A2645F" w:rsidRDefault="00861CC8" w:rsidP="00A2645F">
            <w:pPr>
              <w:spacing w:line="360" w:lineRule="auto"/>
              <w:rPr>
                <w:rFonts w:ascii="Arial" w:eastAsia="Times New Roman" w:hAnsi="Arial" w:cs="Arial"/>
                <w:lang w:eastAsia="en-GB"/>
              </w:rPr>
            </w:pPr>
            <w:proofErr w:type="gramStart"/>
            <w:r w:rsidRPr="00A2645F">
              <w:rPr>
                <w:rFonts w:ascii="Arial" w:eastAsia="Times New Roman" w:hAnsi="Arial" w:cs="Arial"/>
                <w:lang w:eastAsia="en-GB"/>
              </w:rPr>
              <w:t>oversee</w:t>
            </w:r>
            <w:proofErr w:type="gramEnd"/>
            <w:r w:rsidRPr="00861CC8">
              <w:rPr>
                <w:rFonts w:ascii="Arial" w:eastAsia="Times New Roman" w:hAnsi="Arial" w:cs="Arial"/>
                <w:lang w:eastAsia="en-GB"/>
              </w:rPr>
              <w:t xml:space="preserve"> risk management, stakeholder involvement, and the project schedule.</w:t>
            </w:r>
          </w:p>
        </w:tc>
        <w:tc>
          <w:tcPr>
            <w:tcW w:w="2409" w:type="dxa"/>
            <w:vAlign w:val="center"/>
          </w:tcPr>
          <w:p w:rsidR="005D764F" w:rsidRPr="00A2645F" w:rsidRDefault="000269B5" w:rsidP="00A2645F">
            <w:pPr>
              <w:spacing w:line="360" w:lineRule="auto"/>
              <w:rPr>
                <w:rFonts w:ascii="Arial" w:eastAsia="Times New Roman" w:hAnsi="Arial" w:cs="Arial"/>
                <w:lang w:eastAsia="en-GB"/>
              </w:rPr>
            </w:pPr>
            <w:r w:rsidRPr="000269B5">
              <w:rPr>
                <w:rFonts w:ascii="Arial" w:eastAsia="Times New Roman" w:hAnsi="Arial" w:cs="Arial"/>
                <w:lang w:eastAsia="en-GB"/>
              </w:rPr>
              <w:t>guarantees project success and coordination</w:t>
            </w:r>
          </w:p>
        </w:tc>
        <w:tc>
          <w:tcPr>
            <w:tcW w:w="2552" w:type="dxa"/>
            <w:vAlign w:val="center"/>
          </w:tcPr>
          <w:p w:rsidR="000269B5" w:rsidRPr="000269B5" w:rsidRDefault="000269B5" w:rsidP="00A2645F">
            <w:pPr>
              <w:spacing w:line="360" w:lineRule="auto"/>
              <w:rPr>
                <w:rFonts w:ascii="Arial" w:eastAsia="Times New Roman" w:hAnsi="Arial" w:cs="Arial"/>
                <w:lang w:eastAsia="en-GB"/>
              </w:rPr>
            </w:pPr>
            <w:r w:rsidRPr="000269B5">
              <w:rPr>
                <w:rFonts w:ascii="Arial" w:eastAsia="Times New Roman" w:hAnsi="Arial" w:cs="Arial"/>
                <w:lang w:eastAsia="en-GB"/>
              </w:rPr>
              <w:t>Managing competing stakeholder interests</w:t>
            </w:r>
          </w:p>
          <w:p w:rsidR="005D764F" w:rsidRPr="00A2645F" w:rsidRDefault="005D764F" w:rsidP="00A2645F">
            <w:pPr>
              <w:spacing w:line="360" w:lineRule="auto"/>
              <w:rPr>
                <w:rFonts w:ascii="Arial" w:eastAsia="Times New Roman" w:hAnsi="Arial" w:cs="Arial"/>
                <w:lang w:eastAsia="en-GB"/>
              </w:rPr>
            </w:pPr>
          </w:p>
        </w:tc>
      </w:tr>
      <w:tr w:rsidR="00E16084" w:rsidRPr="00A2645F" w:rsidTr="00F64984">
        <w:tc>
          <w:tcPr>
            <w:tcW w:w="2268"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R&amp;D Team</w:t>
            </w:r>
          </w:p>
        </w:tc>
        <w:tc>
          <w:tcPr>
            <w:tcW w:w="3261" w:type="dxa"/>
          </w:tcPr>
          <w:p w:rsidR="00E16084" w:rsidRPr="005C20B0" w:rsidRDefault="00E16084" w:rsidP="00E16084">
            <w:r w:rsidRPr="005C20B0">
              <w:t>Product design and prototype creation</w:t>
            </w:r>
          </w:p>
        </w:tc>
        <w:tc>
          <w:tcPr>
            <w:tcW w:w="2409"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Technical innovation</w:t>
            </w:r>
          </w:p>
        </w:tc>
        <w:tc>
          <w:tcPr>
            <w:tcW w:w="2552"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Time constraints and resource limitations</w:t>
            </w:r>
          </w:p>
        </w:tc>
      </w:tr>
      <w:tr w:rsidR="00E16084" w:rsidRPr="00A2645F" w:rsidTr="00F64984">
        <w:tc>
          <w:tcPr>
            <w:tcW w:w="2268"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Quality &amp; Compliance Team</w:t>
            </w:r>
          </w:p>
        </w:tc>
        <w:tc>
          <w:tcPr>
            <w:tcW w:w="3261" w:type="dxa"/>
          </w:tcPr>
          <w:p w:rsidR="00E16084" w:rsidRDefault="00E16084" w:rsidP="00E16084">
            <w:r w:rsidRPr="005C20B0">
              <w:t>Device-software integration with MDR/MHRA certification</w:t>
            </w:r>
          </w:p>
        </w:tc>
        <w:tc>
          <w:tcPr>
            <w:tcW w:w="2409"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Risk mitigation &amp; legal compliance</w:t>
            </w:r>
          </w:p>
        </w:tc>
        <w:tc>
          <w:tcPr>
            <w:tcW w:w="2552"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Delays in regulations</w:t>
            </w:r>
          </w:p>
        </w:tc>
      </w:tr>
      <w:tr w:rsidR="00E16084" w:rsidRPr="00A2645F" w:rsidTr="00F64984">
        <w:tc>
          <w:tcPr>
            <w:tcW w:w="2268"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IT &amp; Software Team</w:t>
            </w:r>
          </w:p>
        </w:tc>
        <w:tc>
          <w:tcPr>
            <w:tcW w:w="3261" w:type="dxa"/>
          </w:tcPr>
          <w:p w:rsidR="00E16084" w:rsidRPr="005C20B0" w:rsidRDefault="00E16084" w:rsidP="00E16084">
            <w:r w:rsidRPr="005C20B0">
              <w:t>Product design and prototype creation</w:t>
            </w:r>
          </w:p>
        </w:tc>
        <w:tc>
          <w:tcPr>
            <w:tcW w:w="2409"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Enhances product performance</w:t>
            </w:r>
          </w:p>
        </w:tc>
        <w:tc>
          <w:tcPr>
            <w:tcW w:w="2552"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lang w:eastAsia="en-GB"/>
              </w:rPr>
              <w:t>Compatibility and cybersecurity concerns</w:t>
            </w:r>
          </w:p>
        </w:tc>
      </w:tr>
      <w:tr w:rsidR="005D764F" w:rsidRPr="00A2645F" w:rsidTr="00F64984">
        <w:tc>
          <w:tcPr>
            <w:tcW w:w="2268" w:type="dxa"/>
            <w:vAlign w:val="center"/>
          </w:tcPr>
          <w:p w:rsidR="005D764F" w:rsidRPr="00A2645F" w:rsidRDefault="005D764F" w:rsidP="00A2645F">
            <w:pPr>
              <w:spacing w:line="360" w:lineRule="auto"/>
              <w:rPr>
                <w:rFonts w:ascii="Arial" w:eastAsia="Times New Roman" w:hAnsi="Arial" w:cs="Arial"/>
                <w:lang w:eastAsia="en-GB"/>
              </w:rPr>
            </w:pPr>
            <w:r w:rsidRPr="00A2645F">
              <w:rPr>
                <w:rFonts w:ascii="Arial" w:eastAsia="Times New Roman" w:hAnsi="Arial" w:cs="Arial"/>
                <w:b/>
                <w:bCs/>
                <w:lang w:eastAsia="en-GB"/>
              </w:rPr>
              <w:t>Marketing &amp; Sales</w:t>
            </w:r>
          </w:p>
        </w:tc>
        <w:tc>
          <w:tcPr>
            <w:tcW w:w="3261" w:type="dxa"/>
            <w:vAlign w:val="center"/>
          </w:tcPr>
          <w:p w:rsidR="005D764F" w:rsidRPr="00A2645F" w:rsidRDefault="005D764F" w:rsidP="00A2645F">
            <w:pPr>
              <w:spacing w:line="360" w:lineRule="auto"/>
              <w:rPr>
                <w:rFonts w:ascii="Arial" w:eastAsia="Times New Roman" w:hAnsi="Arial" w:cs="Arial"/>
                <w:lang w:eastAsia="en-GB"/>
              </w:rPr>
            </w:pPr>
            <w:r w:rsidRPr="00A2645F">
              <w:rPr>
                <w:rFonts w:ascii="Arial" w:eastAsia="Times New Roman" w:hAnsi="Arial" w:cs="Arial"/>
                <w:lang w:eastAsia="en-GB"/>
              </w:rPr>
              <w:t>Market research, launch strategy</w:t>
            </w:r>
          </w:p>
        </w:tc>
        <w:tc>
          <w:tcPr>
            <w:tcW w:w="2409" w:type="dxa"/>
            <w:vAlign w:val="center"/>
          </w:tcPr>
          <w:p w:rsidR="005D764F" w:rsidRPr="00A2645F" w:rsidRDefault="005D764F" w:rsidP="00A2645F">
            <w:pPr>
              <w:spacing w:line="360" w:lineRule="auto"/>
              <w:rPr>
                <w:rFonts w:ascii="Arial" w:eastAsia="Times New Roman" w:hAnsi="Arial" w:cs="Arial"/>
                <w:lang w:eastAsia="en-GB"/>
              </w:rPr>
            </w:pPr>
            <w:r w:rsidRPr="00A2645F">
              <w:rPr>
                <w:rFonts w:ascii="Arial" w:eastAsia="Times New Roman" w:hAnsi="Arial" w:cs="Arial"/>
                <w:lang w:eastAsia="en-GB"/>
              </w:rPr>
              <w:t>Revenue generation</w:t>
            </w:r>
          </w:p>
        </w:tc>
        <w:tc>
          <w:tcPr>
            <w:tcW w:w="2552" w:type="dxa"/>
            <w:vAlign w:val="center"/>
          </w:tcPr>
          <w:p w:rsidR="005D764F" w:rsidRPr="00A2645F" w:rsidRDefault="000269B5" w:rsidP="00A2645F">
            <w:pPr>
              <w:spacing w:line="360" w:lineRule="auto"/>
              <w:rPr>
                <w:rFonts w:ascii="Arial" w:eastAsia="Times New Roman" w:hAnsi="Arial" w:cs="Arial"/>
                <w:lang w:eastAsia="en-GB"/>
              </w:rPr>
            </w:pPr>
            <w:r w:rsidRPr="00A2645F">
              <w:rPr>
                <w:rFonts w:ascii="Arial" w:eastAsia="Times New Roman" w:hAnsi="Arial" w:cs="Arial"/>
                <w:lang w:eastAsia="en-GB"/>
              </w:rPr>
              <w:t>Accuracy of forecasts</w:t>
            </w:r>
          </w:p>
        </w:tc>
      </w:tr>
      <w:tr w:rsidR="00E16084" w:rsidRPr="00A2645F" w:rsidTr="00F64984">
        <w:tc>
          <w:tcPr>
            <w:tcW w:w="2268"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Senior Leadership</w:t>
            </w:r>
          </w:p>
        </w:tc>
        <w:tc>
          <w:tcPr>
            <w:tcW w:w="3261" w:type="dxa"/>
          </w:tcPr>
          <w:p w:rsidR="00E16084" w:rsidRPr="00E16084" w:rsidRDefault="00E16084" w:rsidP="00E16084">
            <w:pPr>
              <w:rPr>
                <w:rFonts w:ascii="Arial" w:hAnsi="Arial" w:cs="Arial"/>
              </w:rPr>
            </w:pPr>
            <w:r w:rsidRPr="00E16084">
              <w:rPr>
                <w:rFonts w:ascii="Arial" w:hAnsi="Arial" w:cs="Arial"/>
              </w:rPr>
              <w:t>Making strategic decisions and approving funding</w:t>
            </w:r>
          </w:p>
        </w:tc>
        <w:tc>
          <w:tcPr>
            <w:tcW w:w="2409" w:type="dxa"/>
          </w:tcPr>
          <w:p w:rsidR="00E16084" w:rsidRPr="00E16084" w:rsidRDefault="00E16084" w:rsidP="00E16084">
            <w:pPr>
              <w:rPr>
                <w:rFonts w:ascii="Arial" w:hAnsi="Arial" w:cs="Arial"/>
              </w:rPr>
            </w:pPr>
            <w:r w:rsidRPr="00E16084">
              <w:rPr>
                <w:rFonts w:ascii="Arial" w:hAnsi="Arial" w:cs="Arial"/>
              </w:rPr>
              <w:t>Alignment of vision</w:t>
            </w:r>
          </w:p>
        </w:tc>
        <w:tc>
          <w:tcPr>
            <w:tcW w:w="2552" w:type="dxa"/>
          </w:tcPr>
          <w:p w:rsidR="00E16084" w:rsidRPr="00E16084" w:rsidRDefault="00E16084" w:rsidP="00E16084">
            <w:pPr>
              <w:rPr>
                <w:rFonts w:ascii="Arial" w:hAnsi="Arial" w:cs="Arial"/>
              </w:rPr>
            </w:pPr>
            <w:r w:rsidRPr="00E16084">
              <w:rPr>
                <w:rFonts w:ascii="Arial" w:hAnsi="Arial" w:cs="Arial"/>
              </w:rPr>
              <w:t>Prioritising the use of resources</w:t>
            </w:r>
          </w:p>
        </w:tc>
      </w:tr>
      <w:tr w:rsidR="00E16084" w:rsidRPr="00A2645F" w:rsidTr="00F64984">
        <w:tc>
          <w:tcPr>
            <w:tcW w:w="2268"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Finance</w:t>
            </w:r>
          </w:p>
        </w:tc>
        <w:tc>
          <w:tcPr>
            <w:tcW w:w="3261" w:type="dxa"/>
          </w:tcPr>
          <w:p w:rsidR="00E16084" w:rsidRPr="00E16084" w:rsidRDefault="00E16084" w:rsidP="00E16084">
            <w:pPr>
              <w:rPr>
                <w:rFonts w:ascii="Arial" w:hAnsi="Arial" w:cs="Arial"/>
              </w:rPr>
            </w:pPr>
            <w:r w:rsidRPr="00E16084">
              <w:rPr>
                <w:rFonts w:ascii="Arial" w:hAnsi="Arial" w:cs="Arial"/>
              </w:rPr>
              <w:t>Making a budget and monitoring spending</w:t>
            </w:r>
          </w:p>
        </w:tc>
        <w:tc>
          <w:tcPr>
            <w:tcW w:w="2409" w:type="dxa"/>
          </w:tcPr>
          <w:p w:rsidR="00E16084" w:rsidRPr="00E16084" w:rsidRDefault="00E16084" w:rsidP="00E16084">
            <w:pPr>
              <w:rPr>
                <w:rFonts w:ascii="Arial" w:hAnsi="Arial" w:cs="Arial"/>
              </w:rPr>
            </w:pPr>
            <w:r w:rsidRPr="00E16084">
              <w:rPr>
                <w:rFonts w:ascii="Arial" w:hAnsi="Arial" w:cs="Arial"/>
              </w:rPr>
              <w:t>Sustainability of finances</w:t>
            </w:r>
          </w:p>
        </w:tc>
        <w:tc>
          <w:tcPr>
            <w:tcW w:w="2552" w:type="dxa"/>
          </w:tcPr>
          <w:p w:rsidR="00E16084" w:rsidRPr="00E16084" w:rsidRDefault="00E16084" w:rsidP="00E16084">
            <w:pPr>
              <w:rPr>
                <w:rFonts w:ascii="Arial" w:hAnsi="Arial" w:cs="Arial"/>
              </w:rPr>
            </w:pPr>
            <w:r w:rsidRPr="00E16084">
              <w:rPr>
                <w:rFonts w:ascii="Arial" w:hAnsi="Arial" w:cs="Arial"/>
              </w:rPr>
              <w:t>Managing unforeseen expenses</w:t>
            </w:r>
          </w:p>
        </w:tc>
      </w:tr>
    </w:tbl>
    <w:p w:rsidR="00F254CA" w:rsidRPr="00A2645F" w:rsidRDefault="00F254CA" w:rsidP="00A2645F">
      <w:pPr>
        <w:spacing w:after="0" w:line="360" w:lineRule="auto"/>
        <w:rPr>
          <w:rFonts w:ascii="Arial" w:eastAsia="Times New Roman" w:hAnsi="Arial" w:cs="Arial"/>
          <w:lang w:eastAsia="en-GB"/>
        </w:rPr>
      </w:pPr>
    </w:p>
    <w:p w:rsidR="009115AE" w:rsidRPr="00A2645F" w:rsidRDefault="009115AE" w:rsidP="00A2645F">
      <w:pPr>
        <w:spacing w:before="100" w:beforeAutospacing="1" w:after="100" w:afterAutospacing="1" w:line="360" w:lineRule="auto"/>
        <w:outlineLvl w:val="2"/>
        <w:rPr>
          <w:rFonts w:ascii="Arial" w:eastAsia="Times New Roman" w:hAnsi="Arial" w:cs="Arial"/>
          <w:b/>
          <w:bCs/>
          <w:color w:val="5B9BD5" w:themeColor="accent1"/>
          <w:lang w:eastAsia="en-GB"/>
        </w:rPr>
      </w:pPr>
    </w:p>
    <w:p w:rsidR="00FF6846" w:rsidRPr="00A2645F" w:rsidRDefault="00FF6846" w:rsidP="00A2645F">
      <w:pPr>
        <w:spacing w:before="100" w:beforeAutospacing="1" w:after="100" w:afterAutospacing="1" w:line="360" w:lineRule="auto"/>
        <w:outlineLvl w:val="2"/>
        <w:rPr>
          <w:rFonts w:ascii="Arial" w:eastAsia="Times New Roman" w:hAnsi="Arial" w:cs="Arial"/>
          <w:b/>
          <w:bCs/>
          <w:color w:val="5B9BD5" w:themeColor="accent1"/>
          <w:lang w:eastAsia="en-GB"/>
        </w:rPr>
      </w:pPr>
    </w:p>
    <w:p w:rsidR="005D764F"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External Stakeholders</w:t>
      </w:r>
    </w:p>
    <w:tbl>
      <w:tblPr>
        <w:tblStyle w:val="TableGrid"/>
        <w:tblW w:w="10349" w:type="dxa"/>
        <w:tblInd w:w="-431" w:type="dxa"/>
        <w:tblLook w:val="04A0" w:firstRow="1" w:lastRow="0" w:firstColumn="1" w:lastColumn="0" w:noHBand="0" w:noVBand="1"/>
      </w:tblPr>
      <w:tblGrid>
        <w:gridCol w:w="2685"/>
        <w:gridCol w:w="2254"/>
        <w:gridCol w:w="2254"/>
        <w:gridCol w:w="3156"/>
      </w:tblGrid>
      <w:tr w:rsidR="005D764F" w:rsidRPr="00A2645F" w:rsidTr="00A864B4">
        <w:tc>
          <w:tcPr>
            <w:tcW w:w="2685"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Stakeholder</w:t>
            </w:r>
          </w:p>
        </w:tc>
        <w:tc>
          <w:tcPr>
            <w:tcW w:w="2254"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Responsibilities</w:t>
            </w:r>
          </w:p>
        </w:tc>
        <w:tc>
          <w:tcPr>
            <w:tcW w:w="2254"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Benefits</w:t>
            </w:r>
          </w:p>
        </w:tc>
        <w:tc>
          <w:tcPr>
            <w:tcW w:w="3156" w:type="dxa"/>
          </w:tcPr>
          <w:p w:rsidR="005D764F" w:rsidRPr="00A2645F" w:rsidRDefault="005D764F" w:rsidP="00A2645F">
            <w:pPr>
              <w:spacing w:before="100" w:beforeAutospacing="1" w:after="100" w:afterAutospacing="1" w:line="360" w:lineRule="auto"/>
              <w:outlineLvl w:val="2"/>
              <w:rPr>
                <w:rFonts w:ascii="Arial" w:eastAsia="Times New Roman" w:hAnsi="Arial" w:cs="Arial"/>
                <w:b/>
                <w:bCs/>
                <w:color w:val="FF0000"/>
                <w:lang w:eastAsia="en-GB"/>
              </w:rPr>
            </w:pPr>
            <w:r w:rsidRPr="00A2645F">
              <w:rPr>
                <w:rFonts w:ascii="Arial" w:eastAsia="Times New Roman" w:hAnsi="Arial" w:cs="Arial"/>
                <w:b/>
                <w:bCs/>
                <w:color w:val="FF0000"/>
                <w:lang w:eastAsia="en-GB"/>
              </w:rPr>
              <w:t>Challenges</w:t>
            </w:r>
          </w:p>
        </w:tc>
      </w:tr>
      <w:tr w:rsidR="00E16084" w:rsidRPr="00A2645F" w:rsidTr="00EC37D5">
        <w:tc>
          <w:tcPr>
            <w:tcW w:w="2685"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Suppliers</w:t>
            </w:r>
          </w:p>
        </w:tc>
        <w:tc>
          <w:tcPr>
            <w:tcW w:w="2254" w:type="dxa"/>
          </w:tcPr>
          <w:p w:rsidR="00E16084" w:rsidRPr="00E16084" w:rsidRDefault="00E16084" w:rsidP="00E16084">
            <w:pPr>
              <w:rPr>
                <w:rFonts w:ascii="Arial" w:hAnsi="Arial" w:cs="Arial"/>
              </w:rPr>
            </w:pPr>
            <w:r w:rsidRPr="00E16084">
              <w:rPr>
                <w:rFonts w:ascii="Arial" w:hAnsi="Arial" w:cs="Arial"/>
              </w:rPr>
              <w:t>Provide components and sensors.</w:t>
            </w:r>
          </w:p>
        </w:tc>
        <w:tc>
          <w:tcPr>
            <w:tcW w:w="2254" w:type="dxa"/>
          </w:tcPr>
          <w:p w:rsidR="00E16084" w:rsidRPr="00E16084" w:rsidRDefault="00E16084" w:rsidP="00E16084">
            <w:pPr>
              <w:rPr>
                <w:rFonts w:ascii="Arial" w:hAnsi="Arial" w:cs="Arial"/>
              </w:rPr>
            </w:pPr>
            <w:r w:rsidRPr="00E16084">
              <w:rPr>
                <w:rFonts w:ascii="Arial" w:hAnsi="Arial" w:cs="Arial"/>
              </w:rPr>
              <w:t>Continuity of operations</w:t>
            </w:r>
          </w:p>
        </w:tc>
        <w:tc>
          <w:tcPr>
            <w:tcW w:w="3156" w:type="dxa"/>
          </w:tcPr>
          <w:p w:rsidR="00E16084" w:rsidRPr="00E16084" w:rsidRDefault="00E16084" w:rsidP="00E16084">
            <w:pPr>
              <w:rPr>
                <w:rFonts w:ascii="Arial" w:hAnsi="Arial" w:cs="Arial"/>
              </w:rPr>
            </w:pPr>
            <w:r w:rsidRPr="00E16084">
              <w:rPr>
                <w:rFonts w:ascii="Arial" w:hAnsi="Arial" w:cs="Arial"/>
              </w:rPr>
              <w:t>Risk in the supply chain</w:t>
            </w:r>
          </w:p>
        </w:tc>
      </w:tr>
      <w:tr w:rsidR="00E16084" w:rsidRPr="00A2645F" w:rsidTr="00EC37D5">
        <w:tc>
          <w:tcPr>
            <w:tcW w:w="2685"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Regulatory Bodies (MHRA, NHS Digital)</w:t>
            </w:r>
          </w:p>
        </w:tc>
        <w:tc>
          <w:tcPr>
            <w:tcW w:w="2254" w:type="dxa"/>
          </w:tcPr>
          <w:p w:rsidR="00E16084" w:rsidRPr="00E16084" w:rsidRDefault="00E16084" w:rsidP="00E16084">
            <w:pPr>
              <w:rPr>
                <w:rFonts w:ascii="Arial" w:hAnsi="Arial" w:cs="Arial"/>
              </w:rPr>
            </w:pPr>
            <w:r w:rsidRPr="00E16084">
              <w:rPr>
                <w:rFonts w:ascii="Arial" w:hAnsi="Arial" w:cs="Arial"/>
              </w:rPr>
              <w:t>Accept safety and compliance</w:t>
            </w:r>
          </w:p>
        </w:tc>
        <w:tc>
          <w:tcPr>
            <w:tcW w:w="2254" w:type="dxa"/>
          </w:tcPr>
          <w:p w:rsidR="00E16084" w:rsidRPr="00E16084" w:rsidRDefault="00E16084" w:rsidP="00E16084">
            <w:pPr>
              <w:rPr>
                <w:rFonts w:ascii="Arial" w:hAnsi="Arial" w:cs="Arial"/>
              </w:rPr>
            </w:pPr>
            <w:r w:rsidRPr="00E16084">
              <w:rPr>
                <w:rFonts w:ascii="Arial" w:hAnsi="Arial" w:cs="Arial"/>
              </w:rPr>
              <w:t>Customer confidence</w:t>
            </w:r>
          </w:p>
        </w:tc>
        <w:tc>
          <w:tcPr>
            <w:tcW w:w="3156" w:type="dxa"/>
          </w:tcPr>
          <w:p w:rsidR="00E16084" w:rsidRPr="00E16084" w:rsidRDefault="00E16084" w:rsidP="00E16084">
            <w:pPr>
              <w:rPr>
                <w:rFonts w:ascii="Arial" w:hAnsi="Arial" w:cs="Arial"/>
              </w:rPr>
            </w:pPr>
            <w:r w:rsidRPr="00E16084">
              <w:rPr>
                <w:rFonts w:ascii="Arial" w:hAnsi="Arial" w:cs="Arial"/>
              </w:rPr>
              <w:t>Protracted review procedures</w:t>
            </w:r>
          </w:p>
        </w:tc>
      </w:tr>
      <w:tr w:rsidR="00E16084" w:rsidRPr="00A2645F" w:rsidTr="00EC37D5">
        <w:tc>
          <w:tcPr>
            <w:tcW w:w="2685"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Customers/Patients</w:t>
            </w:r>
          </w:p>
        </w:tc>
        <w:tc>
          <w:tcPr>
            <w:tcW w:w="2254" w:type="dxa"/>
          </w:tcPr>
          <w:p w:rsidR="00E16084" w:rsidRPr="00E16084" w:rsidRDefault="00E16084" w:rsidP="00E16084">
            <w:pPr>
              <w:rPr>
                <w:rFonts w:ascii="Arial" w:hAnsi="Arial" w:cs="Arial"/>
              </w:rPr>
            </w:pPr>
            <w:r w:rsidRPr="00E16084">
              <w:rPr>
                <w:rFonts w:ascii="Arial" w:hAnsi="Arial" w:cs="Arial"/>
              </w:rPr>
              <w:t>Product evaluations and sales distribution</w:t>
            </w:r>
          </w:p>
        </w:tc>
        <w:tc>
          <w:tcPr>
            <w:tcW w:w="2254" w:type="dxa"/>
          </w:tcPr>
          <w:p w:rsidR="00E16084" w:rsidRPr="00E16084" w:rsidRDefault="00E16084" w:rsidP="00E16084">
            <w:pPr>
              <w:rPr>
                <w:rFonts w:ascii="Arial" w:hAnsi="Arial" w:cs="Arial"/>
              </w:rPr>
            </w:pPr>
            <w:r w:rsidRPr="00E16084">
              <w:rPr>
                <w:rFonts w:ascii="Arial" w:hAnsi="Arial" w:cs="Arial"/>
              </w:rPr>
              <w:t>Innovation focused on the user</w:t>
            </w:r>
          </w:p>
        </w:tc>
        <w:tc>
          <w:tcPr>
            <w:tcW w:w="3156" w:type="dxa"/>
          </w:tcPr>
          <w:p w:rsidR="00E16084" w:rsidRPr="00E16084" w:rsidRDefault="00E16084" w:rsidP="00E16084">
            <w:pPr>
              <w:rPr>
                <w:rFonts w:ascii="Arial" w:hAnsi="Arial" w:cs="Arial"/>
              </w:rPr>
            </w:pPr>
            <w:r w:rsidRPr="00E16084">
              <w:rPr>
                <w:rFonts w:ascii="Arial" w:hAnsi="Arial" w:cs="Arial"/>
              </w:rPr>
              <w:t>Reluctance to adopt</w:t>
            </w:r>
          </w:p>
        </w:tc>
      </w:tr>
      <w:tr w:rsidR="00E16084" w:rsidRPr="00A2645F" w:rsidTr="00EC37D5">
        <w:tc>
          <w:tcPr>
            <w:tcW w:w="2685" w:type="dxa"/>
            <w:vAlign w:val="center"/>
          </w:tcPr>
          <w:p w:rsidR="00E16084" w:rsidRPr="00A2645F" w:rsidRDefault="00E16084" w:rsidP="00E16084">
            <w:pPr>
              <w:spacing w:line="360" w:lineRule="auto"/>
              <w:rPr>
                <w:rFonts w:ascii="Arial" w:eastAsia="Times New Roman" w:hAnsi="Arial" w:cs="Arial"/>
                <w:lang w:eastAsia="en-GB"/>
              </w:rPr>
            </w:pPr>
            <w:r w:rsidRPr="00A2645F">
              <w:rPr>
                <w:rFonts w:ascii="Arial" w:eastAsia="Times New Roman" w:hAnsi="Arial" w:cs="Arial"/>
                <w:b/>
                <w:bCs/>
                <w:lang w:eastAsia="en-GB"/>
              </w:rPr>
              <w:t>Retailers</w:t>
            </w:r>
          </w:p>
        </w:tc>
        <w:tc>
          <w:tcPr>
            <w:tcW w:w="2254" w:type="dxa"/>
          </w:tcPr>
          <w:p w:rsidR="00E16084" w:rsidRPr="00E16084" w:rsidRDefault="00E16084" w:rsidP="00E16084">
            <w:pPr>
              <w:rPr>
                <w:rFonts w:ascii="Arial" w:hAnsi="Arial" w:cs="Arial"/>
              </w:rPr>
            </w:pPr>
            <w:r w:rsidRPr="00E16084">
              <w:rPr>
                <w:rFonts w:ascii="Arial" w:hAnsi="Arial" w:cs="Arial"/>
              </w:rPr>
              <w:t>Provide components and sensors.</w:t>
            </w:r>
          </w:p>
        </w:tc>
        <w:tc>
          <w:tcPr>
            <w:tcW w:w="2254" w:type="dxa"/>
          </w:tcPr>
          <w:p w:rsidR="00E16084" w:rsidRPr="00E16084" w:rsidRDefault="00E16084" w:rsidP="00E16084">
            <w:pPr>
              <w:rPr>
                <w:rFonts w:ascii="Arial" w:hAnsi="Arial" w:cs="Arial"/>
              </w:rPr>
            </w:pPr>
            <w:r w:rsidRPr="00E16084">
              <w:rPr>
                <w:rFonts w:ascii="Arial" w:hAnsi="Arial" w:cs="Arial"/>
              </w:rPr>
              <w:t>Access to markets</w:t>
            </w:r>
          </w:p>
        </w:tc>
        <w:tc>
          <w:tcPr>
            <w:tcW w:w="3156" w:type="dxa"/>
          </w:tcPr>
          <w:p w:rsidR="00E16084" w:rsidRPr="00E16084" w:rsidRDefault="00E16084" w:rsidP="00E16084">
            <w:pPr>
              <w:rPr>
                <w:rFonts w:ascii="Arial" w:hAnsi="Arial" w:cs="Arial"/>
              </w:rPr>
            </w:pPr>
            <w:r w:rsidRPr="00E16084">
              <w:rPr>
                <w:rFonts w:ascii="Arial" w:hAnsi="Arial" w:cs="Arial"/>
              </w:rPr>
              <w:t>Competitive rates</w:t>
            </w:r>
          </w:p>
        </w:tc>
      </w:tr>
    </w:tbl>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RACI Matrix (Abbreviated)</w:t>
      </w:r>
    </w:p>
    <w:tbl>
      <w:tblPr>
        <w:tblStyle w:val="TableGrid"/>
        <w:tblW w:w="15489" w:type="dxa"/>
        <w:tblInd w:w="-431" w:type="dxa"/>
        <w:tblLayout w:type="fixed"/>
        <w:tblLook w:val="04A0" w:firstRow="1" w:lastRow="0" w:firstColumn="1" w:lastColumn="0" w:noHBand="0" w:noVBand="1"/>
      </w:tblPr>
      <w:tblGrid>
        <w:gridCol w:w="1844"/>
        <w:gridCol w:w="709"/>
        <w:gridCol w:w="992"/>
        <w:gridCol w:w="1559"/>
        <w:gridCol w:w="1559"/>
        <w:gridCol w:w="1418"/>
        <w:gridCol w:w="1276"/>
        <w:gridCol w:w="1417"/>
        <w:gridCol w:w="943"/>
        <w:gridCol w:w="943"/>
        <w:gridCol w:w="943"/>
        <w:gridCol w:w="943"/>
        <w:gridCol w:w="943"/>
      </w:tblGrid>
      <w:tr w:rsidR="00A864B4" w:rsidRPr="00A2645F" w:rsidTr="00A864B4">
        <w:tc>
          <w:tcPr>
            <w:tcW w:w="1844"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Task/Phase</w:t>
            </w:r>
          </w:p>
        </w:tc>
        <w:tc>
          <w:tcPr>
            <w:tcW w:w="709"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PM</w:t>
            </w:r>
          </w:p>
        </w:tc>
        <w:tc>
          <w:tcPr>
            <w:tcW w:w="992"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R&amp;D</w:t>
            </w:r>
          </w:p>
        </w:tc>
        <w:tc>
          <w:tcPr>
            <w:tcW w:w="1559"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Compliance</w:t>
            </w:r>
          </w:p>
        </w:tc>
        <w:tc>
          <w:tcPr>
            <w:tcW w:w="1559"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IT/Software</w:t>
            </w:r>
          </w:p>
        </w:tc>
        <w:tc>
          <w:tcPr>
            <w:tcW w:w="1418"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Marketing</w:t>
            </w:r>
          </w:p>
        </w:tc>
        <w:tc>
          <w:tcPr>
            <w:tcW w:w="1276"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Suppliers</w:t>
            </w:r>
          </w:p>
        </w:tc>
        <w:tc>
          <w:tcPr>
            <w:tcW w:w="1417" w:type="dxa"/>
            <w:vAlign w:val="center"/>
          </w:tcPr>
          <w:p w:rsidR="00A864B4" w:rsidRPr="00A2645F" w:rsidRDefault="00A864B4" w:rsidP="00A2645F">
            <w:pPr>
              <w:spacing w:line="360" w:lineRule="auto"/>
              <w:jc w:val="center"/>
              <w:rPr>
                <w:rFonts w:ascii="Arial" w:eastAsia="Times New Roman" w:hAnsi="Arial" w:cs="Arial"/>
                <w:b/>
                <w:bCs/>
                <w:color w:val="FF0000"/>
                <w:lang w:eastAsia="en-GB"/>
              </w:rPr>
            </w:pPr>
            <w:r w:rsidRPr="00A2645F">
              <w:rPr>
                <w:rFonts w:ascii="Arial" w:eastAsia="Times New Roman" w:hAnsi="Arial" w:cs="Arial"/>
                <w:b/>
                <w:bCs/>
                <w:color w:val="FF0000"/>
                <w:lang w:eastAsia="en-GB"/>
              </w:rPr>
              <w:t>Leadership</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Product Design</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Prototype Testing</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MHRA Approval</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Marketing Strategy</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Manufacturing</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r w:rsidR="00A864B4" w:rsidRPr="00A2645F" w:rsidTr="00A864B4">
        <w:tc>
          <w:tcPr>
            <w:tcW w:w="1844" w:type="dxa"/>
            <w:vAlign w:val="center"/>
          </w:tcPr>
          <w:p w:rsidR="00A864B4" w:rsidRPr="00A2645F" w:rsidRDefault="00A864B4" w:rsidP="00A2645F">
            <w:pPr>
              <w:spacing w:line="360" w:lineRule="auto"/>
              <w:rPr>
                <w:rFonts w:ascii="Arial" w:eastAsia="Times New Roman" w:hAnsi="Arial" w:cs="Arial"/>
                <w:b/>
                <w:lang w:eastAsia="en-GB"/>
              </w:rPr>
            </w:pPr>
            <w:r w:rsidRPr="00A2645F">
              <w:rPr>
                <w:rFonts w:ascii="Arial" w:eastAsia="Times New Roman" w:hAnsi="Arial" w:cs="Arial"/>
                <w:b/>
                <w:lang w:eastAsia="en-GB"/>
              </w:rPr>
              <w:t>Product Launch</w:t>
            </w:r>
          </w:p>
        </w:tc>
        <w:tc>
          <w:tcPr>
            <w:tcW w:w="70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92"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559"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C</w:t>
            </w:r>
          </w:p>
        </w:tc>
        <w:tc>
          <w:tcPr>
            <w:tcW w:w="1418"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R</w:t>
            </w:r>
          </w:p>
        </w:tc>
        <w:tc>
          <w:tcPr>
            <w:tcW w:w="1276"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I</w:t>
            </w:r>
          </w:p>
        </w:tc>
        <w:tc>
          <w:tcPr>
            <w:tcW w:w="1417" w:type="dxa"/>
            <w:vAlign w:val="center"/>
          </w:tcPr>
          <w:p w:rsidR="00A864B4" w:rsidRPr="00A2645F" w:rsidRDefault="00A864B4" w:rsidP="00A2645F">
            <w:pPr>
              <w:spacing w:line="360" w:lineRule="auto"/>
              <w:rPr>
                <w:rFonts w:ascii="Arial" w:eastAsia="Times New Roman" w:hAnsi="Arial" w:cs="Arial"/>
                <w:lang w:eastAsia="en-GB"/>
              </w:rPr>
            </w:pPr>
            <w:r w:rsidRPr="00A2645F">
              <w:rPr>
                <w:rFonts w:ascii="Arial" w:eastAsia="Times New Roman" w:hAnsi="Arial" w:cs="Arial"/>
                <w:lang w:eastAsia="en-GB"/>
              </w:rPr>
              <w:t>A</w:t>
            </w: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c>
          <w:tcPr>
            <w:tcW w:w="943" w:type="dxa"/>
          </w:tcPr>
          <w:p w:rsidR="00A864B4" w:rsidRPr="00A2645F" w:rsidRDefault="00A864B4" w:rsidP="00A2645F">
            <w:pPr>
              <w:spacing w:before="100" w:beforeAutospacing="1" w:after="100" w:afterAutospacing="1" w:line="360" w:lineRule="auto"/>
              <w:outlineLvl w:val="2"/>
              <w:rPr>
                <w:rFonts w:ascii="Arial" w:eastAsia="Times New Roman" w:hAnsi="Arial" w:cs="Arial"/>
                <w:b/>
                <w:bCs/>
                <w:lang w:eastAsia="en-GB"/>
              </w:rPr>
            </w:pPr>
          </w:p>
        </w:tc>
      </w:tr>
    </w:tbl>
    <w:p w:rsidR="00F254CA" w:rsidRPr="00A2645F" w:rsidRDefault="00F254CA" w:rsidP="00A2645F">
      <w:pPr>
        <w:spacing w:before="100" w:beforeAutospacing="1" w:after="100" w:afterAutospacing="1" w:line="360" w:lineRule="auto"/>
        <w:rPr>
          <w:rFonts w:ascii="Arial" w:eastAsia="Times New Roman" w:hAnsi="Arial" w:cs="Arial"/>
          <w:lang w:eastAsia="en-GB"/>
        </w:rPr>
      </w:pPr>
      <w:r w:rsidRPr="00A2645F">
        <w:rPr>
          <w:rFonts w:ascii="Arial" w:eastAsia="Times New Roman" w:hAnsi="Arial" w:cs="Arial"/>
          <w:i/>
          <w:iCs/>
          <w:lang w:eastAsia="en-GB"/>
        </w:rPr>
        <w:t>R = Responsible, A = Accountable, C = Consulted, I = Informed</w:t>
      </w:r>
    </w:p>
    <w:p w:rsidR="00F254CA" w:rsidRDefault="00F254CA" w:rsidP="00A2645F">
      <w:pPr>
        <w:spacing w:after="0" w:line="360" w:lineRule="auto"/>
        <w:rPr>
          <w:rFonts w:ascii="Arial" w:eastAsia="Times New Roman" w:hAnsi="Arial" w:cs="Arial"/>
          <w:lang w:eastAsia="en-GB"/>
        </w:rPr>
      </w:pPr>
    </w:p>
    <w:p w:rsidR="00926B3F" w:rsidRDefault="00926B3F" w:rsidP="00A2645F">
      <w:pPr>
        <w:spacing w:after="0" w:line="360" w:lineRule="auto"/>
        <w:rPr>
          <w:rFonts w:ascii="Arial" w:eastAsia="Times New Roman" w:hAnsi="Arial" w:cs="Arial"/>
          <w:lang w:eastAsia="en-GB"/>
        </w:rPr>
      </w:pPr>
    </w:p>
    <w:p w:rsidR="00F64984" w:rsidRDefault="00F64984" w:rsidP="00A2645F">
      <w:pPr>
        <w:spacing w:after="0" w:line="360" w:lineRule="auto"/>
        <w:rPr>
          <w:rFonts w:ascii="Arial" w:eastAsia="Times New Roman" w:hAnsi="Arial" w:cs="Arial"/>
          <w:lang w:eastAsia="en-GB"/>
        </w:rPr>
      </w:pPr>
    </w:p>
    <w:p w:rsidR="00F64984" w:rsidRPr="00A2645F" w:rsidRDefault="00F64984" w:rsidP="00A2645F">
      <w:pPr>
        <w:spacing w:after="0" w:line="360" w:lineRule="auto"/>
        <w:rPr>
          <w:rFonts w:ascii="Arial" w:eastAsia="Times New Roman" w:hAnsi="Arial" w:cs="Arial"/>
          <w:lang w:eastAsia="en-GB"/>
        </w:rPr>
      </w:pPr>
    </w:p>
    <w:p w:rsidR="00F254CA" w:rsidRPr="00A2645F" w:rsidRDefault="00F254CA" w:rsidP="00A2645F">
      <w:pPr>
        <w:spacing w:before="100" w:beforeAutospacing="1" w:after="100" w:afterAutospacing="1" w:line="360" w:lineRule="auto"/>
        <w:outlineLvl w:val="2"/>
        <w:rPr>
          <w:rFonts w:ascii="Arial" w:eastAsia="Times New Roman" w:hAnsi="Arial" w:cs="Arial"/>
          <w:b/>
          <w:bCs/>
          <w:color w:val="5B9BD5" w:themeColor="accent1"/>
          <w:lang w:eastAsia="en-GB"/>
        </w:rPr>
      </w:pPr>
      <w:r w:rsidRPr="00A2645F">
        <w:rPr>
          <w:rFonts w:ascii="Arial" w:eastAsia="Times New Roman" w:hAnsi="Arial" w:cs="Arial"/>
          <w:b/>
          <w:bCs/>
          <w:color w:val="5B9BD5" w:themeColor="accent1"/>
          <w:lang w:eastAsia="en-GB"/>
        </w:rPr>
        <w:t>Critical Analysis</w:t>
      </w: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lastRenderedPageBreak/>
        <w:t>RACI's effective role clarity promotes accountability (PMI, 2021). However, Ellis, Gibbs, and Rein (1991) warn about the challenges of coordination in digital collaborative environments, especially when stakeholders rely on asynchronous communication. Regular meetings, digital dashboards, and progress tracking are therefore crucial elements of a well-</w:t>
      </w:r>
      <w:r w:rsidR="00F64984">
        <w:rPr>
          <w:rFonts w:ascii="Arial" w:eastAsia="Times New Roman" w:hAnsi="Arial" w:cs="Arial"/>
          <w:lang w:eastAsia="en-GB"/>
        </w:rPr>
        <w:t xml:space="preserve">organised engagement strategy. </w:t>
      </w:r>
      <w:r w:rsidRPr="00147D79">
        <w:rPr>
          <w:rFonts w:ascii="Arial" w:eastAsia="Times New Roman" w:hAnsi="Arial" w:cs="Arial"/>
          <w:lang w:eastAsia="en-GB"/>
        </w:rPr>
        <w:t>Although stakeholders have knowledge and decision-making authority, their competing objectives may lead to conflict. For example, the R&amp;D team may aim for innovation, while the finance department may prioritise cost reduction. Regulatory bodies may recommend design changes that delay launch, so careful consideration is required (Christopher, Payne, and Ballantyne, 2013).</w:t>
      </w:r>
    </w:p>
    <w:p w:rsidR="00147D79" w:rsidRPr="00A2645F" w:rsidRDefault="007D59C8" w:rsidP="00F64984">
      <w:pPr>
        <w:spacing w:line="360" w:lineRule="auto"/>
        <w:jc w:val="both"/>
        <w:rPr>
          <w:rFonts w:ascii="Arial" w:eastAsia="Times New Roman" w:hAnsi="Arial" w:cs="Arial"/>
          <w:lang w:eastAsia="en-GB"/>
        </w:rPr>
      </w:pPr>
      <w:r w:rsidRPr="00A2645F">
        <w:rPr>
          <w:rFonts w:ascii="Arial" w:eastAsia="Times New Roman" w:hAnsi="Arial" w:cs="Arial"/>
          <w:lang w:eastAsia="en-GB"/>
        </w:rPr>
        <w:t xml:space="preserve">          </w:t>
      </w:r>
      <w:r w:rsidR="00147D79" w:rsidRPr="00A2645F">
        <w:rPr>
          <w:rFonts w:ascii="Arial" w:eastAsia="Times New Roman" w:hAnsi="Arial" w:cs="Arial"/>
          <w:lang w:eastAsia="en-GB"/>
        </w:rPr>
        <w:t>The project manager must act as a central coordinator to guarantee that all stakeholder roles are aligned, risks are identified early, and collaboration is maintained.</w:t>
      </w:r>
    </w:p>
    <w:p w:rsidR="00FF6846" w:rsidRPr="00A2645F" w:rsidRDefault="00FF6846" w:rsidP="00A2645F">
      <w:pPr>
        <w:pStyle w:val="Heading1"/>
        <w:spacing w:line="360" w:lineRule="auto"/>
        <w:rPr>
          <w:rFonts w:ascii="Arial" w:eastAsiaTheme="minorHAnsi" w:hAnsi="Arial" w:cs="Arial"/>
          <w:b w:val="0"/>
          <w:bCs w:val="0"/>
          <w:kern w:val="0"/>
          <w:sz w:val="22"/>
          <w:szCs w:val="22"/>
          <w:lang w:eastAsia="en-US"/>
        </w:rPr>
      </w:pP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 xml:space="preserve">Engagement Models, Frameworks and Theories </w:t>
      </w: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 xml:space="preserve">Stakeholder engagement is a systematic process that ensures stakeholders are precisely identified, involved, and informed throughout a project. Effective interaction enables better decision-making, conflict resolution, and strategy alignment (Freeman, 1984). This section critically examines a number of relevant frameworks and concepts, including </w:t>
      </w:r>
      <w:proofErr w:type="spellStart"/>
      <w:r w:rsidRPr="00147D79">
        <w:rPr>
          <w:rFonts w:ascii="Arial" w:eastAsia="Times New Roman" w:hAnsi="Arial" w:cs="Arial"/>
          <w:lang w:eastAsia="en-GB"/>
        </w:rPr>
        <w:t>Mendelow's</w:t>
      </w:r>
      <w:proofErr w:type="spellEnd"/>
      <w:r w:rsidRPr="00147D79">
        <w:rPr>
          <w:rFonts w:ascii="Arial" w:eastAsia="Times New Roman" w:hAnsi="Arial" w:cs="Arial"/>
          <w:lang w:eastAsia="en-GB"/>
        </w:rPr>
        <w:t xml:space="preserve"> Matrix, the Stakeholder Engagement Plan, the Communication Plan, and their application to Fitbit's wearable health device development project.</w:t>
      </w:r>
    </w:p>
    <w:p w:rsidR="00F254CA" w:rsidRPr="00A2645F" w:rsidRDefault="00F254CA" w:rsidP="00A2645F">
      <w:pPr>
        <w:spacing w:line="360" w:lineRule="auto"/>
        <w:rPr>
          <w:rFonts w:ascii="Arial" w:hAnsi="Arial" w:cs="Arial"/>
        </w:rPr>
      </w:pPr>
    </w:p>
    <w:p w:rsidR="00F254CA" w:rsidRPr="00A2645F" w:rsidRDefault="00F254CA" w:rsidP="00A2645F">
      <w:pPr>
        <w:pStyle w:val="Heading3"/>
        <w:spacing w:line="360" w:lineRule="auto"/>
        <w:rPr>
          <w:rFonts w:ascii="Arial" w:hAnsi="Arial" w:cs="Arial"/>
          <w:color w:val="5B9BD5" w:themeColor="accent1"/>
          <w:sz w:val="22"/>
          <w:szCs w:val="22"/>
        </w:rPr>
      </w:pPr>
      <w:proofErr w:type="spellStart"/>
      <w:r w:rsidRPr="00A2645F">
        <w:rPr>
          <w:rStyle w:val="Strong"/>
          <w:rFonts w:ascii="Arial" w:hAnsi="Arial" w:cs="Arial"/>
          <w:b/>
          <w:bCs/>
          <w:color w:val="5B9BD5" w:themeColor="accent1"/>
          <w:sz w:val="22"/>
          <w:szCs w:val="22"/>
        </w:rPr>
        <w:t>Mendelow’s</w:t>
      </w:r>
      <w:proofErr w:type="spellEnd"/>
      <w:r w:rsidRPr="00A2645F">
        <w:rPr>
          <w:rStyle w:val="Strong"/>
          <w:rFonts w:ascii="Arial" w:hAnsi="Arial" w:cs="Arial"/>
          <w:b/>
          <w:bCs/>
          <w:color w:val="5B9BD5" w:themeColor="accent1"/>
          <w:sz w:val="22"/>
          <w:szCs w:val="22"/>
        </w:rPr>
        <w:t xml:space="preserve"> Power–Interest Matrix</w:t>
      </w:r>
    </w:p>
    <w:p w:rsidR="00147D79" w:rsidRPr="00147D79" w:rsidRDefault="00147D79" w:rsidP="00A2645F">
      <w:pPr>
        <w:spacing w:after="0" w:line="360" w:lineRule="auto"/>
        <w:rPr>
          <w:rFonts w:ascii="Arial" w:eastAsia="Times New Roman" w:hAnsi="Arial" w:cs="Arial"/>
          <w:lang w:eastAsia="en-GB"/>
        </w:rPr>
      </w:pPr>
      <w:r w:rsidRPr="00147D79">
        <w:rPr>
          <w:rFonts w:ascii="Arial" w:eastAsia="Times New Roman" w:hAnsi="Arial" w:cs="Arial"/>
          <w:lang w:eastAsia="en-GB"/>
        </w:rPr>
        <w:t xml:space="preserve">Stakeholders should be ranked based on their level of influence and interest in the project, according to </w:t>
      </w:r>
      <w:proofErr w:type="spellStart"/>
      <w:r w:rsidRPr="00147D79">
        <w:rPr>
          <w:rFonts w:ascii="Arial" w:eastAsia="Times New Roman" w:hAnsi="Arial" w:cs="Arial"/>
          <w:lang w:eastAsia="en-GB"/>
        </w:rPr>
        <w:t>Mendelow</w:t>
      </w:r>
      <w:proofErr w:type="spellEnd"/>
      <w:r w:rsidRPr="00147D79">
        <w:rPr>
          <w:rFonts w:ascii="Arial" w:eastAsia="Times New Roman" w:hAnsi="Arial" w:cs="Arial"/>
          <w:lang w:eastAsia="en-GB"/>
        </w:rPr>
        <w:t xml:space="preserve"> (1991). </w:t>
      </w:r>
      <w:r w:rsidRPr="00147D79">
        <w:rPr>
          <w:rFonts w:ascii="Arial" w:eastAsia="Times New Roman" w:hAnsi="Arial" w:cs="Arial"/>
          <w:lang w:eastAsia="en-GB"/>
        </w:rPr>
        <w:br/>
        <w:t xml:space="preserve">Interpretation </w:t>
      </w:r>
      <w:r w:rsidRPr="00147D79">
        <w:rPr>
          <w:rFonts w:ascii="Arial" w:eastAsia="Times New Roman" w:hAnsi="Arial" w:cs="Arial"/>
          <w:lang w:eastAsia="en-GB"/>
        </w:rPr>
        <w:br/>
        <w:t xml:space="preserve">• High Power/High Interest: Communicate often and actively. </w:t>
      </w:r>
      <w:r w:rsidRPr="00147D79">
        <w:rPr>
          <w:rFonts w:ascii="Arial" w:eastAsia="Times New Roman" w:hAnsi="Arial" w:cs="Arial"/>
          <w:lang w:eastAsia="en-GB"/>
        </w:rPr>
        <w:br/>
        <w:t xml:space="preserve">• High Power/Low Interest: Provide regular, contented updates. </w:t>
      </w:r>
      <w:r w:rsidRPr="00147D79">
        <w:rPr>
          <w:rFonts w:ascii="Arial" w:eastAsia="Times New Roman" w:hAnsi="Arial" w:cs="Arial"/>
          <w:lang w:eastAsia="en-GB"/>
        </w:rPr>
        <w:br/>
        <w:t xml:space="preserve">• Low Power/High Interest: Stay informed and participate in pertinent activities. </w:t>
      </w:r>
      <w:r w:rsidRPr="00147D79">
        <w:rPr>
          <w:rFonts w:ascii="Arial" w:eastAsia="Times New Roman" w:hAnsi="Arial" w:cs="Arial"/>
          <w:lang w:eastAsia="en-GB"/>
        </w:rPr>
        <w:br/>
        <w:t>• Low Power/Low Interest: Periodically check.</w:t>
      </w:r>
    </w:p>
    <w:p w:rsidR="002C1EBF" w:rsidRPr="00A2645F" w:rsidRDefault="002C1EBF" w:rsidP="00A2645F">
      <w:pPr>
        <w:spacing w:after="0" w:line="360" w:lineRule="auto"/>
        <w:rPr>
          <w:rFonts w:ascii="Arial" w:eastAsia="Times New Roman" w:hAnsi="Arial" w:cs="Arial"/>
          <w:lang w:eastAsia="en-GB"/>
        </w:rPr>
      </w:pPr>
    </w:p>
    <w:p w:rsidR="007D59C8" w:rsidRPr="00A2645F" w:rsidRDefault="007D59C8" w:rsidP="00A2645F">
      <w:pPr>
        <w:spacing w:after="0" w:line="360" w:lineRule="auto"/>
        <w:rPr>
          <w:rFonts w:ascii="Arial" w:eastAsia="Times New Roman" w:hAnsi="Arial" w:cs="Arial"/>
          <w:lang w:eastAsia="en-GB"/>
        </w:rPr>
      </w:pPr>
      <w:r w:rsidRPr="00A2645F">
        <w:rPr>
          <w:rFonts w:ascii="Arial" w:eastAsia="Times New Roman" w:hAnsi="Arial" w:cs="Arial"/>
          <w:noProof/>
          <w:lang w:eastAsia="en-GB"/>
        </w:rPr>
        <w:lastRenderedPageBreak/>
        <w:drawing>
          <wp:inline distT="0" distB="0" distL="0" distR="0">
            <wp:extent cx="6301105" cy="3506171"/>
            <wp:effectExtent l="38100" t="0" r="444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F10157" w:rsidRPr="00A2645F" w:rsidRDefault="00F10157" w:rsidP="00A2645F">
      <w:pPr>
        <w:spacing w:after="0" w:line="360" w:lineRule="auto"/>
        <w:rPr>
          <w:rFonts w:ascii="Arial" w:eastAsia="Times New Roman" w:hAnsi="Arial" w:cs="Arial"/>
          <w:lang w:eastAsia="en-GB"/>
        </w:rPr>
      </w:pP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Stakeholders in the high power-high interest quadrant must actively participate in decision-making through frequent meetings. For example, MHRA must be closely consulted regarding comp</w:t>
      </w:r>
      <w:r w:rsidR="00F64984">
        <w:rPr>
          <w:rFonts w:ascii="Arial" w:eastAsia="Times New Roman" w:hAnsi="Arial" w:cs="Arial"/>
          <w:lang w:eastAsia="en-GB"/>
        </w:rPr>
        <w:t xml:space="preserve">liance and testing procedures. </w:t>
      </w:r>
      <w:r w:rsidRPr="00147D79">
        <w:rPr>
          <w:rFonts w:ascii="Arial" w:eastAsia="Times New Roman" w:hAnsi="Arial" w:cs="Arial"/>
          <w:lang w:eastAsia="en-GB"/>
        </w:rPr>
        <w:t xml:space="preserve">Plan for Engaging Stakeholders </w:t>
      </w:r>
      <w:r w:rsidRPr="00147D79">
        <w:rPr>
          <w:rFonts w:ascii="Arial" w:eastAsia="Times New Roman" w:hAnsi="Arial" w:cs="Arial"/>
          <w:lang w:eastAsia="en-GB"/>
        </w:rPr>
        <w:br/>
        <w:t>A stakeholder engagement strategy outlines the methods and frequency of interaction required to sustain stakeholder commitment (PMI, 2021). Here is an illustration of a structure:</w:t>
      </w:r>
    </w:p>
    <w:p w:rsidR="00F10157" w:rsidRPr="00A2645F" w:rsidRDefault="00F10157" w:rsidP="00A2645F">
      <w:pPr>
        <w:spacing w:after="0" w:line="360" w:lineRule="auto"/>
        <w:rPr>
          <w:rFonts w:ascii="Arial" w:eastAsia="Times New Roman" w:hAnsi="Arial" w:cs="Arial"/>
          <w:lang w:eastAsia="en-GB"/>
        </w:rPr>
      </w:pPr>
    </w:p>
    <w:tbl>
      <w:tblPr>
        <w:tblStyle w:val="TableGrid"/>
        <w:tblW w:w="0" w:type="auto"/>
        <w:tblLook w:val="04A0" w:firstRow="1" w:lastRow="0" w:firstColumn="1" w:lastColumn="0" w:noHBand="0" w:noVBand="1"/>
      </w:tblPr>
      <w:tblGrid>
        <w:gridCol w:w="2547"/>
        <w:gridCol w:w="2268"/>
        <w:gridCol w:w="1947"/>
        <w:gridCol w:w="2254"/>
      </w:tblGrid>
      <w:tr w:rsidR="00ED6107" w:rsidRPr="00A2645F" w:rsidTr="00ED6107">
        <w:tc>
          <w:tcPr>
            <w:tcW w:w="2547" w:type="dxa"/>
            <w:vAlign w:val="center"/>
          </w:tcPr>
          <w:p w:rsidR="00ED6107" w:rsidRPr="00A2645F" w:rsidRDefault="00ED6107" w:rsidP="00A2645F">
            <w:pPr>
              <w:spacing w:line="360" w:lineRule="auto"/>
              <w:jc w:val="center"/>
              <w:rPr>
                <w:rFonts w:ascii="Arial" w:hAnsi="Arial" w:cs="Arial"/>
                <w:b/>
                <w:bCs/>
              </w:rPr>
            </w:pPr>
            <w:r w:rsidRPr="00A2645F">
              <w:rPr>
                <w:rFonts w:ascii="Arial" w:hAnsi="Arial" w:cs="Arial"/>
                <w:b/>
                <w:bCs/>
              </w:rPr>
              <w:t>Engagement Activity</w:t>
            </w:r>
          </w:p>
        </w:tc>
        <w:tc>
          <w:tcPr>
            <w:tcW w:w="2268" w:type="dxa"/>
            <w:vAlign w:val="center"/>
          </w:tcPr>
          <w:p w:rsidR="00ED6107" w:rsidRPr="00A2645F" w:rsidRDefault="00ED6107" w:rsidP="00A2645F">
            <w:pPr>
              <w:spacing w:line="360" w:lineRule="auto"/>
              <w:jc w:val="center"/>
              <w:rPr>
                <w:rFonts w:ascii="Arial" w:hAnsi="Arial" w:cs="Arial"/>
                <w:b/>
                <w:bCs/>
              </w:rPr>
            </w:pPr>
            <w:r w:rsidRPr="00A2645F">
              <w:rPr>
                <w:rFonts w:ascii="Arial" w:hAnsi="Arial" w:cs="Arial"/>
                <w:b/>
                <w:bCs/>
              </w:rPr>
              <w:t>Stakeholder Group</w:t>
            </w:r>
          </w:p>
        </w:tc>
        <w:tc>
          <w:tcPr>
            <w:tcW w:w="1947" w:type="dxa"/>
            <w:vAlign w:val="center"/>
          </w:tcPr>
          <w:p w:rsidR="00ED6107" w:rsidRPr="00A2645F" w:rsidRDefault="00ED6107" w:rsidP="00A2645F">
            <w:pPr>
              <w:spacing w:line="360" w:lineRule="auto"/>
              <w:jc w:val="center"/>
              <w:rPr>
                <w:rFonts w:ascii="Arial" w:hAnsi="Arial" w:cs="Arial"/>
                <w:b/>
                <w:bCs/>
              </w:rPr>
            </w:pPr>
            <w:r w:rsidRPr="00A2645F">
              <w:rPr>
                <w:rFonts w:ascii="Arial" w:hAnsi="Arial" w:cs="Arial"/>
                <w:b/>
                <w:bCs/>
              </w:rPr>
              <w:t>Frequency</w:t>
            </w:r>
          </w:p>
        </w:tc>
        <w:tc>
          <w:tcPr>
            <w:tcW w:w="2254" w:type="dxa"/>
            <w:vAlign w:val="center"/>
          </w:tcPr>
          <w:p w:rsidR="00ED6107" w:rsidRPr="00A2645F" w:rsidRDefault="00ED6107" w:rsidP="00A2645F">
            <w:pPr>
              <w:spacing w:line="360" w:lineRule="auto"/>
              <w:jc w:val="center"/>
              <w:rPr>
                <w:rFonts w:ascii="Arial" w:hAnsi="Arial" w:cs="Arial"/>
                <w:b/>
                <w:bCs/>
              </w:rPr>
            </w:pPr>
            <w:r w:rsidRPr="00A2645F">
              <w:rPr>
                <w:rFonts w:ascii="Arial" w:hAnsi="Arial" w:cs="Arial"/>
                <w:b/>
                <w:bCs/>
              </w:rPr>
              <w:t>Purpose</w:t>
            </w:r>
          </w:p>
        </w:tc>
      </w:tr>
      <w:tr w:rsidR="00926B3F" w:rsidRPr="00A2645F" w:rsidTr="00654C22">
        <w:tc>
          <w:tcPr>
            <w:tcW w:w="2547" w:type="dxa"/>
          </w:tcPr>
          <w:p w:rsidR="00926B3F" w:rsidRPr="00DA4965" w:rsidRDefault="00926B3F" w:rsidP="00926B3F">
            <w:pPr>
              <w:rPr>
                <w:rFonts w:ascii="Arial" w:hAnsi="Arial" w:cs="Arial"/>
              </w:rPr>
            </w:pPr>
            <w:r w:rsidRPr="00DA4965">
              <w:rPr>
                <w:rFonts w:ascii="Arial" w:hAnsi="Arial" w:cs="Arial"/>
              </w:rPr>
              <w:t>First meeting</w:t>
            </w:r>
          </w:p>
        </w:tc>
        <w:tc>
          <w:tcPr>
            <w:tcW w:w="2268" w:type="dxa"/>
            <w:vAlign w:val="center"/>
          </w:tcPr>
          <w:p w:rsidR="00926B3F" w:rsidRPr="00A2645F" w:rsidRDefault="00926B3F" w:rsidP="00926B3F">
            <w:pPr>
              <w:spacing w:line="360" w:lineRule="auto"/>
              <w:rPr>
                <w:rFonts w:ascii="Arial" w:hAnsi="Arial" w:cs="Arial"/>
              </w:rPr>
            </w:pPr>
            <w:r w:rsidRPr="00A2645F">
              <w:rPr>
                <w:rFonts w:ascii="Arial" w:hAnsi="Arial" w:cs="Arial"/>
              </w:rPr>
              <w:t>All stakeholders</w:t>
            </w:r>
          </w:p>
        </w:tc>
        <w:tc>
          <w:tcPr>
            <w:tcW w:w="1947" w:type="dxa"/>
            <w:vAlign w:val="center"/>
          </w:tcPr>
          <w:p w:rsidR="00926B3F" w:rsidRPr="00A2645F" w:rsidRDefault="00926B3F" w:rsidP="00926B3F">
            <w:pPr>
              <w:spacing w:line="360" w:lineRule="auto"/>
              <w:rPr>
                <w:rFonts w:ascii="Arial" w:hAnsi="Arial" w:cs="Arial"/>
              </w:rPr>
            </w:pPr>
            <w:r w:rsidRPr="00A2645F">
              <w:rPr>
                <w:rFonts w:ascii="Arial" w:hAnsi="Arial" w:cs="Arial"/>
              </w:rPr>
              <w:t>Project start</w:t>
            </w:r>
          </w:p>
        </w:tc>
        <w:tc>
          <w:tcPr>
            <w:tcW w:w="2254" w:type="dxa"/>
            <w:vAlign w:val="center"/>
          </w:tcPr>
          <w:p w:rsidR="00926B3F" w:rsidRPr="00A2645F" w:rsidRDefault="00926B3F" w:rsidP="00926B3F">
            <w:pPr>
              <w:spacing w:line="360" w:lineRule="auto"/>
              <w:rPr>
                <w:rFonts w:ascii="Arial" w:hAnsi="Arial" w:cs="Arial"/>
              </w:rPr>
            </w:pPr>
            <w:r w:rsidRPr="00A2645F">
              <w:rPr>
                <w:rFonts w:ascii="Arial" w:hAnsi="Arial" w:cs="Arial"/>
              </w:rPr>
              <w:t>Introduce objectives</w:t>
            </w:r>
          </w:p>
        </w:tc>
      </w:tr>
      <w:tr w:rsidR="00926B3F" w:rsidRPr="00A2645F" w:rsidTr="00654C22">
        <w:tc>
          <w:tcPr>
            <w:tcW w:w="2547" w:type="dxa"/>
          </w:tcPr>
          <w:p w:rsidR="00926B3F" w:rsidRPr="00DA4965" w:rsidRDefault="00926B3F" w:rsidP="00926B3F">
            <w:pPr>
              <w:rPr>
                <w:rFonts w:ascii="Arial" w:hAnsi="Arial" w:cs="Arial"/>
              </w:rPr>
            </w:pPr>
            <w:r w:rsidRPr="00DA4965">
              <w:rPr>
                <w:rFonts w:ascii="Arial" w:hAnsi="Arial" w:cs="Arial"/>
              </w:rPr>
              <w:t>Reviews of progress every two weeks</w:t>
            </w:r>
          </w:p>
        </w:tc>
        <w:tc>
          <w:tcPr>
            <w:tcW w:w="2268" w:type="dxa"/>
            <w:vAlign w:val="center"/>
          </w:tcPr>
          <w:p w:rsidR="00926B3F" w:rsidRPr="00A2645F" w:rsidRDefault="00926B3F" w:rsidP="00926B3F">
            <w:pPr>
              <w:spacing w:line="360" w:lineRule="auto"/>
              <w:rPr>
                <w:rFonts w:ascii="Arial" w:hAnsi="Arial" w:cs="Arial"/>
              </w:rPr>
            </w:pPr>
            <w:r w:rsidRPr="00A2645F">
              <w:rPr>
                <w:rFonts w:ascii="Arial" w:hAnsi="Arial" w:cs="Arial"/>
              </w:rPr>
              <w:t>Internal teams &amp; leadership</w:t>
            </w:r>
          </w:p>
        </w:tc>
        <w:tc>
          <w:tcPr>
            <w:tcW w:w="1947" w:type="dxa"/>
            <w:vAlign w:val="center"/>
          </w:tcPr>
          <w:p w:rsidR="00926B3F" w:rsidRPr="00A2645F" w:rsidRDefault="00926B3F" w:rsidP="00926B3F">
            <w:pPr>
              <w:spacing w:line="360" w:lineRule="auto"/>
              <w:rPr>
                <w:rFonts w:ascii="Arial" w:hAnsi="Arial" w:cs="Arial"/>
              </w:rPr>
            </w:pPr>
            <w:r w:rsidRPr="00A2645F">
              <w:rPr>
                <w:rFonts w:ascii="Arial" w:hAnsi="Arial" w:cs="Arial"/>
              </w:rPr>
              <w:t>Fortnightly</w:t>
            </w:r>
          </w:p>
        </w:tc>
        <w:tc>
          <w:tcPr>
            <w:tcW w:w="2254" w:type="dxa"/>
            <w:vAlign w:val="center"/>
          </w:tcPr>
          <w:p w:rsidR="00926B3F" w:rsidRPr="00A2645F" w:rsidRDefault="00926B3F" w:rsidP="00926B3F">
            <w:pPr>
              <w:spacing w:line="360" w:lineRule="auto"/>
              <w:rPr>
                <w:rFonts w:ascii="Arial" w:hAnsi="Arial" w:cs="Arial"/>
              </w:rPr>
            </w:pPr>
            <w:r w:rsidRPr="00A2645F">
              <w:rPr>
                <w:rFonts w:ascii="Arial" w:hAnsi="Arial" w:cs="Arial"/>
              </w:rPr>
              <w:t>Status reporting</w:t>
            </w:r>
          </w:p>
        </w:tc>
      </w:tr>
      <w:tr w:rsidR="00926B3F" w:rsidRPr="00A2645F" w:rsidTr="00654C22">
        <w:tc>
          <w:tcPr>
            <w:tcW w:w="2547" w:type="dxa"/>
          </w:tcPr>
          <w:p w:rsidR="00926B3F" w:rsidRPr="00DA4965" w:rsidRDefault="00926B3F" w:rsidP="00926B3F">
            <w:pPr>
              <w:rPr>
                <w:rFonts w:ascii="Arial" w:hAnsi="Arial" w:cs="Arial"/>
              </w:rPr>
            </w:pPr>
            <w:r w:rsidRPr="00DA4965">
              <w:rPr>
                <w:rFonts w:ascii="Arial" w:hAnsi="Arial" w:cs="Arial"/>
              </w:rPr>
              <w:t>Workshops for clinical validation</w:t>
            </w:r>
          </w:p>
        </w:tc>
        <w:tc>
          <w:tcPr>
            <w:tcW w:w="2268" w:type="dxa"/>
            <w:vAlign w:val="center"/>
          </w:tcPr>
          <w:p w:rsidR="00926B3F" w:rsidRPr="00A2645F" w:rsidRDefault="00926B3F" w:rsidP="00926B3F">
            <w:pPr>
              <w:spacing w:line="360" w:lineRule="auto"/>
              <w:rPr>
                <w:rFonts w:ascii="Arial" w:hAnsi="Arial" w:cs="Arial"/>
              </w:rPr>
            </w:pPr>
            <w:r w:rsidRPr="00A2645F">
              <w:rPr>
                <w:rFonts w:ascii="Arial" w:hAnsi="Arial" w:cs="Arial"/>
              </w:rPr>
              <w:t>Regulatory &amp; R&amp;D</w:t>
            </w:r>
          </w:p>
        </w:tc>
        <w:tc>
          <w:tcPr>
            <w:tcW w:w="1947" w:type="dxa"/>
            <w:vAlign w:val="center"/>
          </w:tcPr>
          <w:p w:rsidR="00926B3F" w:rsidRPr="00A2645F" w:rsidRDefault="00926B3F" w:rsidP="00926B3F">
            <w:pPr>
              <w:spacing w:line="360" w:lineRule="auto"/>
              <w:rPr>
                <w:rFonts w:ascii="Arial" w:hAnsi="Arial" w:cs="Arial"/>
              </w:rPr>
            </w:pPr>
            <w:r w:rsidRPr="00A2645F">
              <w:rPr>
                <w:rFonts w:ascii="Arial" w:hAnsi="Arial" w:cs="Arial"/>
              </w:rPr>
              <w:t>Monthly</w:t>
            </w:r>
          </w:p>
        </w:tc>
        <w:tc>
          <w:tcPr>
            <w:tcW w:w="2254" w:type="dxa"/>
            <w:vAlign w:val="center"/>
          </w:tcPr>
          <w:p w:rsidR="00926B3F" w:rsidRPr="00A2645F" w:rsidRDefault="00926B3F" w:rsidP="00926B3F">
            <w:pPr>
              <w:spacing w:line="360" w:lineRule="auto"/>
              <w:rPr>
                <w:rFonts w:ascii="Arial" w:hAnsi="Arial" w:cs="Arial"/>
              </w:rPr>
            </w:pPr>
            <w:r w:rsidRPr="00A2645F">
              <w:rPr>
                <w:rFonts w:ascii="Arial" w:hAnsi="Arial" w:cs="Arial"/>
              </w:rPr>
              <w:t>Approval coordination</w:t>
            </w:r>
          </w:p>
        </w:tc>
      </w:tr>
      <w:tr w:rsidR="00926B3F" w:rsidRPr="00A2645F" w:rsidTr="00654C22">
        <w:tc>
          <w:tcPr>
            <w:tcW w:w="2547" w:type="dxa"/>
          </w:tcPr>
          <w:p w:rsidR="00926B3F" w:rsidRPr="00DA4965" w:rsidRDefault="00926B3F" w:rsidP="00926B3F">
            <w:pPr>
              <w:rPr>
                <w:rFonts w:ascii="Arial" w:hAnsi="Arial" w:cs="Arial"/>
              </w:rPr>
            </w:pPr>
            <w:r w:rsidRPr="00DA4965">
              <w:rPr>
                <w:rFonts w:ascii="Arial" w:hAnsi="Arial" w:cs="Arial"/>
              </w:rPr>
              <w:t>Trials of prototype feedback</w:t>
            </w:r>
          </w:p>
        </w:tc>
        <w:tc>
          <w:tcPr>
            <w:tcW w:w="2268" w:type="dxa"/>
            <w:vAlign w:val="center"/>
          </w:tcPr>
          <w:p w:rsidR="00926B3F" w:rsidRPr="00A2645F" w:rsidRDefault="00926B3F" w:rsidP="00926B3F">
            <w:pPr>
              <w:spacing w:line="360" w:lineRule="auto"/>
              <w:rPr>
                <w:rFonts w:ascii="Arial" w:hAnsi="Arial" w:cs="Arial"/>
              </w:rPr>
            </w:pPr>
            <w:r w:rsidRPr="00A2645F">
              <w:rPr>
                <w:rFonts w:ascii="Arial" w:hAnsi="Arial" w:cs="Arial"/>
              </w:rPr>
              <w:t>End users &amp; NHS</w:t>
            </w:r>
          </w:p>
        </w:tc>
        <w:tc>
          <w:tcPr>
            <w:tcW w:w="1947" w:type="dxa"/>
            <w:vAlign w:val="center"/>
          </w:tcPr>
          <w:p w:rsidR="00926B3F" w:rsidRPr="00A2645F" w:rsidRDefault="00926B3F" w:rsidP="00926B3F">
            <w:pPr>
              <w:spacing w:line="360" w:lineRule="auto"/>
              <w:rPr>
                <w:rFonts w:ascii="Arial" w:hAnsi="Arial" w:cs="Arial"/>
              </w:rPr>
            </w:pPr>
            <w:r w:rsidRPr="00A2645F">
              <w:rPr>
                <w:rFonts w:ascii="Arial" w:hAnsi="Arial" w:cs="Arial"/>
              </w:rPr>
              <w:t>During testing</w:t>
            </w:r>
          </w:p>
        </w:tc>
        <w:tc>
          <w:tcPr>
            <w:tcW w:w="2254" w:type="dxa"/>
            <w:vAlign w:val="center"/>
          </w:tcPr>
          <w:p w:rsidR="00926B3F" w:rsidRPr="00A2645F" w:rsidRDefault="00926B3F" w:rsidP="00926B3F">
            <w:pPr>
              <w:spacing w:line="360" w:lineRule="auto"/>
              <w:rPr>
                <w:rFonts w:ascii="Arial" w:hAnsi="Arial" w:cs="Arial"/>
              </w:rPr>
            </w:pPr>
            <w:r w:rsidRPr="00A2645F">
              <w:rPr>
                <w:rFonts w:ascii="Arial" w:hAnsi="Arial" w:cs="Arial"/>
              </w:rPr>
              <w:t>User input</w:t>
            </w:r>
          </w:p>
        </w:tc>
      </w:tr>
    </w:tbl>
    <w:p w:rsidR="00ED6107" w:rsidRPr="00A2645F" w:rsidRDefault="00ED6107" w:rsidP="00A2645F">
      <w:pPr>
        <w:spacing w:after="0" w:line="360" w:lineRule="auto"/>
        <w:rPr>
          <w:rFonts w:ascii="Arial" w:eastAsia="Times New Roman" w:hAnsi="Arial" w:cs="Arial"/>
          <w:lang w:eastAsia="en-GB"/>
        </w:rPr>
      </w:pPr>
    </w:p>
    <w:p w:rsidR="00147D79" w:rsidRPr="00147D79" w:rsidRDefault="00147D79" w:rsidP="00A2645F">
      <w:pPr>
        <w:spacing w:after="0" w:line="360" w:lineRule="auto"/>
        <w:rPr>
          <w:rFonts w:ascii="Arial" w:eastAsia="Times New Roman" w:hAnsi="Arial" w:cs="Arial"/>
          <w:lang w:eastAsia="en-GB"/>
        </w:rPr>
      </w:pPr>
      <w:r w:rsidRPr="00147D79">
        <w:rPr>
          <w:rFonts w:ascii="Arial" w:eastAsia="Times New Roman" w:hAnsi="Arial" w:cs="Arial"/>
          <w:lang w:eastAsia="en-GB"/>
        </w:rPr>
        <w:t>Feedback loops should be included in agile project sprint cycles to support continuous improvement and iterative engagement.</w:t>
      </w:r>
    </w:p>
    <w:p w:rsidR="00F254CA" w:rsidRPr="00A2645F" w:rsidRDefault="00F254CA" w:rsidP="00A2645F">
      <w:pPr>
        <w:spacing w:line="360" w:lineRule="auto"/>
        <w:rPr>
          <w:rFonts w:ascii="Arial" w:hAnsi="Arial" w:cs="Arial"/>
        </w:rPr>
      </w:pPr>
    </w:p>
    <w:p w:rsidR="00D81807" w:rsidRDefault="00D81807" w:rsidP="00A2645F">
      <w:pPr>
        <w:pStyle w:val="Heading3"/>
        <w:spacing w:line="360" w:lineRule="auto"/>
        <w:rPr>
          <w:rStyle w:val="Strong"/>
          <w:rFonts w:ascii="Arial" w:hAnsi="Arial" w:cs="Arial"/>
          <w:b/>
          <w:bCs/>
          <w:color w:val="5B9BD5" w:themeColor="accent1"/>
          <w:sz w:val="22"/>
          <w:szCs w:val="22"/>
        </w:rPr>
      </w:pP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Communication Plan</w:t>
      </w: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lastRenderedPageBreak/>
        <w:t xml:space="preserve">Clear communication is crucial to preventing misunderstandings, reducing risk, and building confidence (Ellis, Gibbs &amp; Rein, 1991). The communication system of Fitbit should include: </w:t>
      </w:r>
      <w:r w:rsidRPr="00147D79">
        <w:rPr>
          <w:rFonts w:ascii="Arial" w:eastAsia="Times New Roman" w:hAnsi="Arial" w:cs="Arial"/>
          <w:lang w:eastAsia="en-GB"/>
        </w:rPr>
        <w:br/>
        <w:t xml:space="preserve">Slack, Jira, and Microsoft Teams are internal platforms used for daily coordination. </w:t>
      </w:r>
      <w:r w:rsidRPr="00147D79">
        <w:rPr>
          <w:rFonts w:ascii="Arial" w:eastAsia="Times New Roman" w:hAnsi="Arial" w:cs="Arial"/>
          <w:lang w:eastAsia="en-GB"/>
        </w:rPr>
        <w:br/>
        <w:t xml:space="preserve">Formal meetings include steering group calls every two weeks and monthly review boards. </w:t>
      </w:r>
      <w:r w:rsidRPr="00147D79">
        <w:rPr>
          <w:rFonts w:ascii="Arial" w:eastAsia="Times New Roman" w:hAnsi="Arial" w:cs="Arial"/>
          <w:lang w:eastAsia="en-GB"/>
        </w:rPr>
        <w:br/>
        <w:t xml:space="preserve">Reporting Systems: KPI reporting and dashboards are given to the leadership. </w:t>
      </w:r>
      <w:r w:rsidRPr="00147D79">
        <w:rPr>
          <w:rFonts w:ascii="Arial" w:eastAsia="Times New Roman" w:hAnsi="Arial" w:cs="Arial"/>
          <w:lang w:eastAsia="en-GB"/>
        </w:rPr>
        <w:br/>
        <w:t>External communications include email updates, regulatory rep</w:t>
      </w:r>
      <w:r w:rsidR="00F64984">
        <w:rPr>
          <w:rFonts w:ascii="Arial" w:eastAsia="Times New Roman" w:hAnsi="Arial" w:cs="Arial"/>
          <w:lang w:eastAsia="en-GB"/>
        </w:rPr>
        <w:t xml:space="preserve">orting materials, and summaries of prototype tests. </w:t>
      </w:r>
      <w:r w:rsidRPr="00147D79">
        <w:rPr>
          <w:rFonts w:ascii="Arial" w:eastAsia="Times New Roman" w:hAnsi="Arial" w:cs="Arial"/>
          <w:lang w:eastAsia="en-GB"/>
        </w:rPr>
        <w:t>It is crucial to have bidirectional communication that is adapted to the needs of stakeholders. For example, senior leadership prefers executive summaries, but technical teams rely on detailed specification documents.</w:t>
      </w: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Integration with RACI and Agile Methodologies</w:t>
      </w: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Stakeholder responsibility alignment is made easier by the RACI grid, and agile sprints ensure dynamic collaboration (Christopher, Payne, and Ballantyne, 2013). Combining these enhances strategic planning and operational effectiveness.</w:t>
      </w:r>
    </w:p>
    <w:p w:rsidR="00F254CA" w:rsidRPr="00A2645F" w:rsidRDefault="00F254CA" w:rsidP="00A2645F">
      <w:pPr>
        <w:spacing w:line="360" w:lineRule="auto"/>
        <w:rPr>
          <w:rFonts w:ascii="Arial" w:hAnsi="Arial" w:cs="Arial"/>
        </w:rPr>
      </w:pP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Theoretical Underpinning</w:t>
      </w:r>
    </w:p>
    <w:p w:rsidR="00F64984"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 xml:space="preserve">Relational Lens (Ashcroft, 2017): Preserves long-term stakeholder relationships in </w:t>
      </w:r>
      <w:r w:rsidR="00F64984">
        <w:rPr>
          <w:rFonts w:ascii="Arial" w:eastAsia="Times New Roman" w:hAnsi="Arial" w:cs="Arial"/>
          <w:lang w:eastAsia="en-GB"/>
        </w:rPr>
        <w:t xml:space="preserve">order </w:t>
      </w:r>
      <w:r w:rsidRPr="00147D79">
        <w:rPr>
          <w:rFonts w:ascii="Arial" w:eastAsia="Times New Roman" w:hAnsi="Arial" w:cs="Arial"/>
          <w:lang w:eastAsia="en-GB"/>
        </w:rPr>
        <w:t xml:space="preserve">to </w:t>
      </w:r>
      <w:r w:rsidR="00F64984">
        <w:rPr>
          <w:rFonts w:ascii="Arial" w:eastAsia="Times New Roman" w:hAnsi="Arial" w:cs="Arial"/>
          <w:lang w:eastAsia="en-GB"/>
        </w:rPr>
        <w:t xml:space="preserve">increase value. </w:t>
      </w:r>
      <w:r w:rsidRPr="00147D79">
        <w:rPr>
          <w:rFonts w:ascii="Arial" w:eastAsia="Times New Roman" w:hAnsi="Arial" w:cs="Arial"/>
          <w:lang w:eastAsia="en-GB"/>
        </w:rPr>
        <w:t>To reduce the likelihood of failure, PMBOK Stakeholder Management (PMI, 2021)</w:t>
      </w:r>
      <w:r w:rsidR="00F64984">
        <w:rPr>
          <w:rFonts w:ascii="Arial" w:eastAsia="Times New Roman" w:hAnsi="Arial" w:cs="Arial"/>
          <w:lang w:eastAsia="en-GB"/>
        </w:rPr>
        <w:t xml:space="preserve"> encourages early involvement.</w:t>
      </w:r>
    </w:p>
    <w:p w:rsidR="00F64984"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Relationship marketing theory emphasises continuous</w:t>
      </w:r>
      <w:r w:rsidR="00F64984">
        <w:rPr>
          <w:rFonts w:ascii="Arial" w:eastAsia="Times New Roman" w:hAnsi="Arial" w:cs="Arial"/>
          <w:lang w:eastAsia="en-GB"/>
        </w:rPr>
        <w:t xml:space="preserve"> communication to build trust. </w:t>
      </w:r>
    </w:p>
    <w:p w:rsidR="00147D79" w:rsidRPr="00147D79" w:rsidRDefault="00147D79" w:rsidP="00F64984">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 xml:space="preserve">In conclusion, engagement planning must be dynamic, inclusive, and strategically coordinated in order to ensure stakeholder satisfaction and project success. </w:t>
      </w:r>
      <w:proofErr w:type="spellStart"/>
      <w:r w:rsidRPr="00147D79">
        <w:rPr>
          <w:rFonts w:ascii="Arial" w:eastAsia="Times New Roman" w:hAnsi="Arial" w:cs="Arial"/>
          <w:lang w:eastAsia="en-GB"/>
        </w:rPr>
        <w:t>Mendelow's</w:t>
      </w:r>
      <w:proofErr w:type="spellEnd"/>
      <w:r w:rsidRPr="00147D79">
        <w:rPr>
          <w:rFonts w:ascii="Arial" w:eastAsia="Times New Roman" w:hAnsi="Arial" w:cs="Arial"/>
          <w:lang w:eastAsia="en-GB"/>
        </w:rPr>
        <w:t xml:space="preserve"> Matrix, Stakeholder Engagement Plan, and Communication Plan are examples of customised frameworks that ensure effective collaboration, accelerating development and preparing the new wearable health equipment for the market.</w:t>
      </w:r>
    </w:p>
    <w:p w:rsidR="00D90E17" w:rsidRPr="00A2645F" w:rsidRDefault="00D90E17" w:rsidP="00A2645F">
      <w:pPr>
        <w:pStyle w:val="Heading1"/>
        <w:spacing w:line="360" w:lineRule="auto"/>
        <w:rPr>
          <w:rStyle w:val="Strong"/>
          <w:rFonts w:ascii="Arial" w:hAnsi="Arial" w:cs="Arial"/>
          <w:b/>
          <w:bCs/>
          <w:sz w:val="22"/>
          <w:szCs w:val="22"/>
        </w:rPr>
      </w:pPr>
    </w:p>
    <w:p w:rsidR="00FF6846" w:rsidRPr="00A2645F" w:rsidRDefault="00FF6846" w:rsidP="00A2645F">
      <w:pPr>
        <w:pStyle w:val="Heading1"/>
        <w:spacing w:line="360" w:lineRule="auto"/>
        <w:rPr>
          <w:rStyle w:val="Strong"/>
          <w:rFonts w:ascii="Arial" w:hAnsi="Arial" w:cs="Arial"/>
          <w:b/>
          <w:bCs/>
          <w:sz w:val="22"/>
          <w:szCs w:val="22"/>
        </w:rPr>
      </w:pPr>
    </w:p>
    <w:p w:rsidR="00FF6846" w:rsidRPr="00A2645F" w:rsidRDefault="00FF6846" w:rsidP="00A2645F">
      <w:pPr>
        <w:pStyle w:val="Heading1"/>
        <w:spacing w:line="360" w:lineRule="auto"/>
        <w:rPr>
          <w:rStyle w:val="Strong"/>
          <w:rFonts w:ascii="Arial" w:hAnsi="Arial" w:cs="Arial"/>
          <w:b/>
          <w:bCs/>
          <w:sz w:val="22"/>
          <w:szCs w:val="22"/>
        </w:rPr>
      </w:pPr>
    </w:p>
    <w:p w:rsidR="00F64984" w:rsidRDefault="00F64984" w:rsidP="00A2645F">
      <w:pPr>
        <w:pStyle w:val="Heading1"/>
        <w:spacing w:line="360" w:lineRule="auto"/>
        <w:rPr>
          <w:rStyle w:val="Strong"/>
          <w:rFonts w:ascii="Arial" w:hAnsi="Arial" w:cs="Arial"/>
          <w:b/>
          <w:bCs/>
          <w:sz w:val="22"/>
          <w:szCs w:val="22"/>
        </w:rPr>
      </w:pPr>
    </w:p>
    <w:p w:rsidR="00F64984" w:rsidRDefault="00F64984" w:rsidP="00A2645F">
      <w:pPr>
        <w:pStyle w:val="Heading1"/>
        <w:spacing w:line="360" w:lineRule="auto"/>
        <w:rPr>
          <w:rStyle w:val="Strong"/>
          <w:rFonts w:ascii="Arial" w:hAnsi="Arial" w:cs="Arial"/>
          <w:b/>
          <w:bCs/>
          <w:sz w:val="22"/>
          <w:szCs w:val="22"/>
        </w:rPr>
      </w:pPr>
    </w:p>
    <w:p w:rsidR="009115AE"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lastRenderedPageBreak/>
        <w:t xml:space="preserve">Stakeholder Engagement Process and Conflict Management using the 4Cs Model </w:t>
      </w:r>
    </w:p>
    <w:p w:rsidR="00147D79" w:rsidRPr="00147D79" w:rsidRDefault="00147D79" w:rsidP="000225B6">
      <w:pPr>
        <w:spacing w:after="0" w:line="360" w:lineRule="auto"/>
        <w:ind w:firstLine="720"/>
        <w:jc w:val="both"/>
        <w:rPr>
          <w:rFonts w:ascii="Arial" w:eastAsia="Times New Roman" w:hAnsi="Arial" w:cs="Arial"/>
          <w:lang w:eastAsia="en-GB"/>
        </w:rPr>
      </w:pPr>
      <w:r w:rsidRPr="00147D79">
        <w:rPr>
          <w:rFonts w:ascii="Arial" w:eastAsia="Times New Roman" w:hAnsi="Arial" w:cs="Arial"/>
          <w:lang w:eastAsia="en-GB"/>
        </w:rPr>
        <w:t xml:space="preserve">Effective stakeholder interaction is crucial to the successful launch and completion of Fitbit's new wearable health technology project. Involving stakeholders is an ongoing process that requires strategic planning, interpersonal management, and conflict resolution. As the project manager, it is my responsibility to initiate engagement, maintain open channels of communication, manage expectations, and promote teamwork (PMI, 2021). </w:t>
      </w:r>
      <w:r w:rsidRPr="00147D79">
        <w:rPr>
          <w:rFonts w:ascii="Arial" w:eastAsia="Times New Roman" w:hAnsi="Arial" w:cs="Arial"/>
          <w:lang w:eastAsia="en-GB"/>
        </w:rPr>
        <w:br/>
        <w:t>This section gives a basic overview of the engagement process and shows how conflict will be handled using the 4Cs model (communication, coordination, cooperation, and collaboration).</w:t>
      </w:r>
    </w:p>
    <w:p w:rsidR="00F254CA" w:rsidRPr="00A2645F" w:rsidRDefault="00F254CA" w:rsidP="00A2645F">
      <w:pPr>
        <w:spacing w:line="360" w:lineRule="auto"/>
        <w:rPr>
          <w:rFonts w:ascii="Arial" w:hAnsi="Arial" w:cs="Arial"/>
        </w:rPr>
      </w:pPr>
    </w:p>
    <w:p w:rsidR="00F254CA" w:rsidRPr="00A2645F" w:rsidRDefault="00F254CA" w:rsidP="00A2645F">
      <w:pPr>
        <w:pStyle w:val="Heading2"/>
        <w:spacing w:line="360" w:lineRule="auto"/>
        <w:rPr>
          <w:rFonts w:ascii="Arial" w:hAnsi="Arial" w:cs="Arial"/>
          <w:color w:val="5B9BD5" w:themeColor="accent1"/>
          <w:sz w:val="22"/>
          <w:szCs w:val="22"/>
        </w:rPr>
      </w:pPr>
      <w:r w:rsidRPr="00A2645F">
        <w:rPr>
          <w:rStyle w:val="Strong"/>
          <w:rFonts w:ascii="Arial" w:hAnsi="Arial" w:cs="Arial"/>
          <w:bCs w:val="0"/>
          <w:color w:val="5B9BD5" w:themeColor="accent1"/>
          <w:sz w:val="22"/>
          <w:szCs w:val="22"/>
        </w:rPr>
        <w:t>Stakeholder Engagement Process</w:t>
      </w:r>
    </w:p>
    <w:p w:rsidR="00147D79" w:rsidRPr="00147D79" w:rsidRDefault="00147D79" w:rsidP="00A2645F">
      <w:pPr>
        <w:spacing w:after="0" w:line="360" w:lineRule="auto"/>
        <w:rPr>
          <w:rFonts w:ascii="Arial" w:eastAsia="Times New Roman" w:hAnsi="Arial" w:cs="Arial"/>
          <w:lang w:eastAsia="en-GB"/>
        </w:rPr>
      </w:pPr>
      <w:r w:rsidRPr="00147D79">
        <w:rPr>
          <w:rFonts w:ascii="Arial" w:eastAsia="Times New Roman" w:hAnsi="Arial" w:cs="Arial"/>
          <w:lang w:eastAsia="en-GB"/>
        </w:rPr>
        <w:t xml:space="preserve">Five steps make up the project's stakeholder engagement process: (1) Identification; (2) Analysis; (3) </w:t>
      </w:r>
      <w:proofErr w:type="gramStart"/>
      <w:r w:rsidRPr="00147D79">
        <w:rPr>
          <w:rFonts w:ascii="Arial" w:eastAsia="Times New Roman" w:hAnsi="Arial" w:cs="Arial"/>
          <w:lang w:eastAsia="en-GB"/>
        </w:rPr>
        <w:t>Planning</w:t>
      </w:r>
      <w:proofErr w:type="gramEnd"/>
      <w:r w:rsidRPr="00147D79">
        <w:rPr>
          <w:rFonts w:ascii="Arial" w:eastAsia="Times New Roman" w:hAnsi="Arial" w:cs="Arial"/>
          <w:lang w:eastAsia="en-GB"/>
        </w:rPr>
        <w:t>; (4) Engagement; and (5) Monitoring and Control.</w:t>
      </w:r>
    </w:p>
    <w:p w:rsidR="00DB0F2D" w:rsidRPr="00A2645F" w:rsidRDefault="00DB0F2D" w:rsidP="00A2645F">
      <w:pPr>
        <w:pStyle w:val="NormalWeb"/>
        <w:spacing w:line="360" w:lineRule="auto"/>
        <w:rPr>
          <w:rFonts w:ascii="Arial" w:hAnsi="Arial" w:cs="Arial"/>
          <w:sz w:val="22"/>
          <w:szCs w:val="22"/>
        </w:rPr>
      </w:pPr>
    </w:p>
    <w:p w:rsidR="00DB0F2D" w:rsidRPr="00A2645F" w:rsidRDefault="00DB0F2D" w:rsidP="00A2645F">
      <w:pPr>
        <w:pStyle w:val="Heading3"/>
        <w:spacing w:line="360" w:lineRule="auto"/>
        <w:rPr>
          <w:rStyle w:val="Strong"/>
          <w:rFonts w:ascii="Arial" w:hAnsi="Arial" w:cs="Arial"/>
          <w:b/>
          <w:bCs/>
          <w:sz w:val="22"/>
          <w:szCs w:val="22"/>
        </w:rPr>
      </w:pPr>
      <w:r w:rsidRPr="00A2645F">
        <w:rPr>
          <w:rFonts w:ascii="Arial" w:hAnsi="Arial" w:cs="Arial"/>
          <w:noProof/>
          <w:sz w:val="22"/>
          <w:szCs w:val="22"/>
        </w:rPr>
        <w:drawing>
          <wp:inline distT="0" distB="0" distL="0" distR="0">
            <wp:extent cx="6266358" cy="3762375"/>
            <wp:effectExtent l="0" t="38100" r="0" b="952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Cs w:val="0"/>
          <w:sz w:val="22"/>
          <w:szCs w:val="22"/>
        </w:rPr>
        <w:lastRenderedPageBreak/>
        <w:t>Managing Conflict using the 4Cs Model</w:t>
      </w:r>
    </w:p>
    <w:p w:rsidR="00FF6846" w:rsidRPr="00D81807" w:rsidRDefault="00FC37B1" w:rsidP="000225B6">
      <w:pPr>
        <w:spacing w:after="0" w:line="360" w:lineRule="auto"/>
        <w:ind w:firstLine="720"/>
        <w:jc w:val="both"/>
        <w:rPr>
          <w:rStyle w:val="Strong"/>
          <w:rFonts w:ascii="Arial" w:eastAsia="Times New Roman" w:hAnsi="Arial" w:cs="Arial"/>
          <w:b w:val="0"/>
          <w:bCs w:val="0"/>
          <w:lang w:eastAsia="en-GB"/>
        </w:rPr>
      </w:pPr>
      <w:r w:rsidRPr="00FC37B1">
        <w:rPr>
          <w:rFonts w:ascii="Arial" w:eastAsia="Times New Roman" w:hAnsi="Arial" w:cs="Arial"/>
          <w:lang w:eastAsia="en-GB"/>
        </w:rPr>
        <w:t>The 4Cs model—communication, coordination, cooperation, and collaboration—offers a framework for resolving conflicts, according to Ellis, Gibbs, and Rein (1991). Every component contributes differently to the involvement of stakeholders.</w:t>
      </w: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Communication</w:t>
      </w:r>
    </w:p>
    <w:p w:rsidR="000225B6" w:rsidRDefault="00FC37B1" w:rsidP="000225B6">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Stakeholder alignment necessitates clear and efficient communication. Regular two-way communication helps prevent misunderstandings and ensures transparency. </w:t>
      </w:r>
      <w:r w:rsidRPr="00FC37B1">
        <w:rPr>
          <w:rFonts w:ascii="Arial" w:eastAsia="Times New Roman" w:hAnsi="Arial" w:cs="Arial"/>
          <w:lang w:eastAsia="en-GB"/>
        </w:rPr>
        <w:br/>
        <w:t xml:space="preserve">Techniques: </w:t>
      </w:r>
    </w:p>
    <w:p w:rsidR="000225B6" w:rsidRDefault="00FC37B1" w:rsidP="000225B6">
      <w:pPr>
        <w:pStyle w:val="ListParagraph"/>
        <w:numPr>
          <w:ilvl w:val="0"/>
          <w:numId w:val="21"/>
        </w:numPr>
        <w:spacing w:after="0" w:line="360" w:lineRule="auto"/>
        <w:jc w:val="both"/>
        <w:rPr>
          <w:rFonts w:ascii="Arial" w:eastAsia="Times New Roman" w:hAnsi="Arial" w:cs="Arial"/>
          <w:lang w:eastAsia="en-GB"/>
        </w:rPr>
      </w:pPr>
      <w:r w:rsidRPr="000225B6">
        <w:rPr>
          <w:rFonts w:ascii="Arial" w:eastAsia="Times New Roman" w:hAnsi="Arial" w:cs="Arial"/>
          <w:lang w:eastAsia="en-GB"/>
        </w:rPr>
        <w:t xml:space="preserve">Senior leadership and internal teams </w:t>
      </w:r>
      <w:r w:rsidR="000225B6">
        <w:rPr>
          <w:rFonts w:ascii="Arial" w:eastAsia="Times New Roman" w:hAnsi="Arial" w:cs="Arial"/>
          <w:lang w:eastAsia="en-GB"/>
        </w:rPr>
        <w:t xml:space="preserve">receive weekly status reports. </w:t>
      </w:r>
    </w:p>
    <w:p w:rsidR="000225B6" w:rsidRDefault="00FC37B1" w:rsidP="000225B6">
      <w:pPr>
        <w:pStyle w:val="ListParagraph"/>
        <w:numPr>
          <w:ilvl w:val="0"/>
          <w:numId w:val="21"/>
        </w:numPr>
        <w:spacing w:after="0" w:line="360" w:lineRule="auto"/>
        <w:jc w:val="both"/>
        <w:rPr>
          <w:rFonts w:ascii="Arial" w:eastAsia="Times New Roman" w:hAnsi="Arial" w:cs="Arial"/>
          <w:lang w:eastAsia="en-GB"/>
        </w:rPr>
      </w:pPr>
      <w:r w:rsidRPr="000225B6">
        <w:rPr>
          <w:rFonts w:ascii="Arial" w:eastAsia="Times New Roman" w:hAnsi="Arial" w:cs="Arial"/>
          <w:lang w:eastAsia="en-GB"/>
        </w:rPr>
        <w:t>Microsoft Teams channels for brief enquiries betw</w:t>
      </w:r>
      <w:r w:rsidR="000225B6">
        <w:rPr>
          <w:rFonts w:ascii="Arial" w:eastAsia="Times New Roman" w:hAnsi="Arial" w:cs="Arial"/>
          <w:lang w:eastAsia="en-GB"/>
        </w:rPr>
        <w:t xml:space="preserve">een the R&amp;D and IT divisions. </w:t>
      </w:r>
    </w:p>
    <w:p w:rsidR="000225B6" w:rsidRDefault="00FC37B1" w:rsidP="000225B6">
      <w:pPr>
        <w:pStyle w:val="ListParagraph"/>
        <w:numPr>
          <w:ilvl w:val="0"/>
          <w:numId w:val="21"/>
        </w:numPr>
        <w:spacing w:after="0" w:line="360" w:lineRule="auto"/>
        <w:jc w:val="both"/>
        <w:rPr>
          <w:rFonts w:ascii="Arial" w:eastAsia="Times New Roman" w:hAnsi="Arial" w:cs="Arial"/>
          <w:lang w:eastAsia="en-GB"/>
        </w:rPr>
      </w:pPr>
      <w:r w:rsidRPr="000225B6">
        <w:rPr>
          <w:rFonts w:ascii="Arial" w:eastAsia="Times New Roman" w:hAnsi="Arial" w:cs="Arial"/>
          <w:lang w:eastAsia="en-GB"/>
        </w:rPr>
        <w:t>Executive-level dashboards that summarise p</w:t>
      </w:r>
      <w:r w:rsidR="000225B6">
        <w:rPr>
          <w:rFonts w:ascii="Arial" w:eastAsia="Times New Roman" w:hAnsi="Arial" w:cs="Arial"/>
          <w:lang w:eastAsia="en-GB"/>
        </w:rPr>
        <w:t xml:space="preserve">roject risks and advancements. </w:t>
      </w:r>
    </w:p>
    <w:p w:rsidR="000225B6" w:rsidRPr="000225B6" w:rsidRDefault="00FC37B1" w:rsidP="000225B6">
      <w:pPr>
        <w:spacing w:after="0" w:line="360" w:lineRule="auto"/>
        <w:ind w:left="360"/>
        <w:jc w:val="both"/>
        <w:rPr>
          <w:rFonts w:ascii="Arial" w:eastAsia="Times New Roman" w:hAnsi="Arial" w:cs="Arial"/>
          <w:lang w:eastAsia="en-GB"/>
        </w:rPr>
      </w:pPr>
      <w:r w:rsidRPr="000225B6">
        <w:rPr>
          <w:rFonts w:ascii="Arial" w:eastAsia="Times New Roman" w:hAnsi="Arial" w:cs="Arial"/>
          <w:lang w:eastAsia="en-GB"/>
        </w:rPr>
        <w:t>An example of a conflict is when marketing is ready to launch adver</w:t>
      </w:r>
      <w:r w:rsidR="000225B6" w:rsidRPr="000225B6">
        <w:rPr>
          <w:rFonts w:ascii="Arial" w:eastAsia="Times New Roman" w:hAnsi="Arial" w:cs="Arial"/>
          <w:lang w:eastAsia="en-GB"/>
        </w:rPr>
        <w:t>tising campaigns, but R&amp;D needs more time for testing.</w:t>
      </w:r>
    </w:p>
    <w:p w:rsidR="00FC37B1" w:rsidRPr="000225B6" w:rsidRDefault="00FC37B1" w:rsidP="000225B6">
      <w:pPr>
        <w:spacing w:after="0" w:line="360" w:lineRule="auto"/>
        <w:ind w:left="360"/>
        <w:jc w:val="both"/>
        <w:rPr>
          <w:rFonts w:ascii="Arial" w:eastAsia="Times New Roman" w:hAnsi="Arial" w:cs="Arial"/>
          <w:lang w:eastAsia="en-GB"/>
        </w:rPr>
      </w:pPr>
      <w:r w:rsidRPr="000225B6">
        <w:rPr>
          <w:rFonts w:ascii="Arial" w:eastAsia="Times New Roman" w:hAnsi="Arial" w:cs="Arial"/>
          <w:lang w:eastAsia="en-GB"/>
        </w:rPr>
        <w:t>Resolution: To discuss revised testing schedules and alter the campaign launch, call an alignment meeting.</w:t>
      </w: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Coordination</w:t>
      </w:r>
    </w:p>
    <w:p w:rsidR="000225B6" w:rsidRDefault="00FC37B1" w:rsidP="000225B6">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Coordination helps to harmonise tasks across departments. According to PMI (2021), one of the main causes of project failure is inadequate coordination. </w:t>
      </w:r>
      <w:r w:rsidRPr="00FC37B1">
        <w:rPr>
          <w:rFonts w:ascii="Arial" w:eastAsia="Times New Roman" w:hAnsi="Arial" w:cs="Arial"/>
          <w:lang w:eastAsia="en-GB"/>
        </w:rPr>
        <w:br/>
        <w:t xml:space="preserve">Techniques: </w:t>
      </w:r>
    </w:p>
    <w:p w:rsidR="00FC37B1" w:rsidRPr="00FC37B1" w:rsidRDefault="000225B6" w:rsidP="000225B6">
      <w:pPr>
        <w:spacing w:after="0" w:line="360" w:lineRule="auto"/>
        <w:jc w:val="both"/>
        <w:rPr>
          <w:rFonts w:ascii="Arial" w:eastAsia="Times New Roman" w:hAnsi="Arial" w:cs="Arial"/>
          <w:lang w:eastAsia="en-GB"/>
        </w:rPr>
      </w:pPr>
      <w:r>
        <w:rPr>
          <w:rFonts w:ascii="Arial" w:eastAsia="Times New Roman" w:hAnsi="Arial" w:cs="Arial"/>
          <w:lang w:eastAsia="en-GB"/>
        </w:rPr>
        <w:t xml:space="preserve">1) </w:t>
      </w:r>
      <w:r w:rsidR="00FC37B1" w:rsidRPr="00FC37B1">
        <w:rPr>
          <w:rFonts w:ascii="Arial" w:eastAsia="Times New Roman" w:hAnsi="Arial" w:cs="Arial"/>
          <w:lang w:eastAsia="en-GB"/>
        </w:rPr>
        <w:t>Tracking project timelines with Ga</w:t>
      </w:r>
      <w:r>
        <w:rPr>
          <w:rFonts w:ascii="Arial" w:eastAsia="Times New Roman" w:hAnsi="Arial" w:cs="Arial"/>
          <w:lang w:eastAsia="en-GB"/>
        </w:rPr>
        <w:t xml:space="preserve">ntt charts and </w:t>
      </w:r>
      <w:proofErr w:type="gramStart"/>
      <w:r>
        <w:rPr>
          <w:rFonts w:ascii="Arial" w:eastAsia="Times New Roman" w:hAnsi="Arial" w:cs="Arial"/>
          <w:lang w:eastAsia="en-GB"/>
        </w:rPr>
        <w:t>Agile</w:t>
      </w:r>
      <w:proofErr w:type="gramEnd"/>
      <w:r>
        <w:rPr>
          <w:rFonts w:ascii="Arial" w:eastAsia="Times New Roman" w:hAnsi="Arial" w:cs="Arial"/>
          <w:lang w:eastAsia="en-GB"/>
        </w:rPr>
        <w:t xml:space="preserve"> boards. </w:t>
      </w:r>
      <w:r>
        <w:rPr>
          <w:rFonts w:ascii="Arial" w:eastAsia="Times New Roman" w:hAnsi="Arial" w:cs="Arial"/>
          <w:lang w:eastAsia="en-GB"/>
        </w:rPr>
        <w:br/>
        <w:t xml:space="preserve">2)     </w:t>
      </w:r>
      <w:r w:rsidR="00FC37B1" w:rsidRPr="00FC37B1">
        <w:rPr>
          <w:rFonts w:ascii="Arial" w:eastAsia="Times New Roman" w:hAnsi="Arial" w:cs="Arial"/>
          <w:lang w:eastAsia="en-GB"/>
        </w:rPr>
        <w:t xml:space="preserve">The RACI matrix makes roles clear to prevent duplication of effort; it also establishes channels for escalation in the event that deliverables are delayed. </w:t>
      </w:r>
      <w:r w:rsidR="00FC37B1" w:rsidRPr="00FC37B1">
        <w:rPr>
          <w:rFonts w:ascii="Arial" w:eastAsia="Times New Roman" w:hAnsi="Arial" w:cs="Arial"/>
          <w:lang w:eastAsia="en-GB"/>
        </w:rPr>
        <w:br/>
        <w:t xml:space="preserve">An illustration of a conflict is when supplier delivery delays affect prototype development. </w:t>
      </w:r>
      <w:r w:rsidR="00FC37B1" w:rsidRPr="00FC37B1">
        <w:rPr>
          <w:rFonts w:ascii="Arial" w:eastAsia="Times New Roman" w:hAnsi="Arial" w:cs="Arial"/>
          <w:lang w:eastAsia="en-GB"/>
        </w:rPr>
        <w:br/>
        <w:t>Resolution: Coordinate alternative supplier options with procurement while altering internal development cycles.</w:t>
      </w: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Cooperation</w:t>
      </w:r>
    </w:p>
    <w:p w:rsidR="000225B6" w:rsidRDefault="00FC37B1" w:rsidP="000225B6">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The basis of cooperation is a willingness to work together to achieve shared goals. Relationship Marketing Theory (Christopher, Payne &amp; Ballantyne, 2013) states that reciprocal bene</w:t>
      </w:r>
      <w:r w:rsidR="000225B6">
        <w:rPr>
          <w:rFonts w:ascii="Arial" w:eastAsia="Times New Roman" w:hAnsi="Arial" w:cs="Arial"/>
          <w:lang w:eastAsia="en-GB"/>
        </w:rPr>
        <w:t xml:space="preserve">fits are what motivate people. </w:t>
      </w:r>
    </w:p>
    <w:p w:rsidR="000225B6" w:rsidRDefault="00FC37B1" w:rsidP="000225B6">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Techniques: </w:t>
      </w:r>
    </w:p>
    <w:p w:rsidR="00F254CA" w:rsidRPr="000225B6" w:rsidRDefault="000225B6" w:rsidP="000225B6">
      <w:pPr>
        <w:spacing w:after="0" w:line="360" w:lineRule="auto"/>
        <w:ind w:firstLine="720"/>
        <w:jc w:val="both"/>
        <w:rPr>
          <w:rFonts w:ascii="Arial" w:eastAsia="Times New Roman" w:hAnsi="Arial" w:cs="Arial"/>
          <w:lang w:eastAsia="en-GB"/>
        </w:rPr>
      </w:pPr>
      <w:proofErr w:type="gramStart"/>
      <w:r>
        <w:rPr>
          <w:rFonts w:ascii="Arial" w:eastAsia="Times New Roman" w:hAnsi="Arial" w:cs="Arial"/>
          <w:lang w:eastAsia="en-GB"/>
        </w:rPr>
        <w:t>1)</w:t>
      </w:r>
      <w:r w:rsidR="00FC37B1" w:rsidRPr="000225B6">
        <w:rPr>
          <w:rFonts w:ascii="Arial" w:eastAsia="Times New Roman" w:hAnsi="Arial" w:cs="Arial"/>
          <w:lang w:eastAsia="en-GB"/>
        </w:rPr>
        <w:t>Provide</w:t>
      </w:r>
      <w:proofErr w:type="gramEnd"/>
      <w:r w:rsidR="00FC37B1" w:rsidRPr="000225B6">
        <w:rPr>
          <w:rFonts w:ascii="Arial" w:eastAsia="Times New Roman" w:hAnsi="Arial" w:cs="Arial"/>
          <w:lang w:eastAsia="en-GB"/>
        </w:rPr>
        <w:t xml:space="preserve"> open forums for stakeholder</w:t>
      </w:r>
      <w:r>
        <w:rPr>
          <w:rFonts w:ascii="Arial" w:eastAsia="Times New Roman" w:hAnsi="Arial" w:cs="Arial"/>
          <w:lang w:eastAsia="en-GB"/>
        </w:rPr>
        <w:t xml:space="preserve">s to express their concerns. </w:t>
      </w:r>
      <w:r>
        <w:rPr>
          <w:rFonts w:ascii="Arial" w:eastAsia="Times New Roman" w:hAnsi="Arial" w:cs="Arial"/>
          <w:lang w:eastAsia="en-GB"/>
        </w:rPr>
        <w:br/>
        <w:t xml:space="preserve">            </w:t>
      </w:r>
      <w:proofErr w:type="gramStart"/>
      <w:r>
        <w:rPr>
          <w:rFonts w:ascii="Arial" w:eastAsia="Times New Roman" w:hAnsi="Arial" w:cs="Arial"/>
          <w:lang w:eastAsia="en-GB"/>
        </w:rPr>
        <w:t>2)</w:t>
      </w:r>
      <w:r w:rsidR="00FC37B1" w:rsidRPr="000225B6">
        <w:rPr>
          <w:rFonts w:ascii="Arial" w:eastAsia="Times New Roman" w:hAnsi="Arial" w:cs="Arial"/>
          <w:lang w:eastAsia="en-GB"/>
        </w:rPr>
        <w:t>User</w:t>
      </w:r>
      <w:proofErr w:type="gramEnd"/>
      <w:r w:rsidR="00FC37B1" w:rsidRPr="000225B6">
        <w:rPr>
          <w:rFonts w:ascii="Arial" w:eastAsia="Times New Roman" w:hAnsi="Arial" w:cs="Arial"/>
          <w:lang w:eastAsia="en-GB"/>
        </w:rPr>
        <w:t xml:space="preserve"> input sessions to boost the design's acceptability. </w:t>
      </w:r>
      <w:r w:rsidR="00FC37B1" w:rsidRPr="000225B6">
        <w:rPr>
          <w:rFonts w:ascii="Arial" w:eastAsia="Times New Roman" w:hAnsi="Arial" w:cs="Arial"/>
          <w:lang w:eastAsia="en-GB"/>
        </w:rPr>
        <w:br/>
      </w:r>
      <w:r>
        <w:rPr>
          <w:rFonts w:ascii="Arial" w:eastAsia="Times New Roman" w:hAnsi="Arial" w:cs="Arial"/>
          <w:lang w:eastAsia="en-GB"/>
        </w:rPr>
        <w:lastRenderedPageBreak/>
        <w:t xml:space="preserve">         </w:t>
      </w:r>
      <w:proofErr w:type="gramStart"/>
      <w:r>
        <w:rPr>
          <w:rFonts w:ascii="Arial" w:eastAsia="Times New Roman" w:hAnsi="Arial" w:cs="Arial"/>
          <w:lang w:eastAsia="en-GB"/>
        </w:rPr>
        <w:t>3)</w:t>
      </w:r>
      <w:r w:rsidR="00FC37B1" w:rsidRPr="000225B6">
        <w:rPr>
          <w:rFonts w:ascii="Arial" w:eastAsia="Times New Roman" w:hAnsi="Arial" w:cs="Arial"/>
          <w:lang w:eastAsia="en-GB"/>
        </w:rPr>
        <w:t>Workshops</w:t>
      </w:r>
      <w:proofErr w:type="gramEnd"/>
      <w:r w:rsidR="00FC37B1" w:rsidRPr="000225B6">
        <w:rPr>
          <w:rFonts w:ascii="Arial" w:eastAsia="Times New Roman" w:hAnsi="Arial" w:cs="Arial"/>
          <w:lang w:eastAsia="en-GB"/>
        </w:rPr>
        <w:t xml:space="preserve"> where regulatory and technical teams work together to resolve issues. </w:t>
      </w:r>
      <w:r w:rsidR="00FC37B1" w:rsidRPr="000225B6">
        <w:rPr>
          <w:rFonts w:ascii="Arial" w:eastAsia="Times New Roman" w:hAnsi="Arial" w:cs="Arial"/>
          <w:lang w:eastAsia="en-GB"/>
        </w:rPr>
        <w:br/>
        <w:t xml:space="preserve">An illustration of a conflict is when MHRA makes recommendations that might increase costs. </w:t>
      </w:r>
      <w:r w:rsidR="00FC37B1" w:rsidRPr="000225B6">
        <w:rPr>
          <w:rFonts w:ascii="Arial" w:eastAsia="Times New Roman" w:hAnsi="Arial" w:cs="Arial"/>
          <w:lang w:eastAsia="en-GB"/>
        </w:rPr>
        <w:br/>
        <w:t>Resolution: Work with R&amp;D to evaluate the technical impact and finance to evaluate the financial implications in order to reach a just conclusion.</w:t>
      </w:r>
    </w:p>
    <w:p w:rsidR="00F254CA" w:rsidRPr="00A2645F" w:rsidRDefault="00F254CA" w:rsidP="00A2645F">
      <w:pPr>
        <w:pStyle w:val="Heading3"/>
        <w:spacing w:line="360" w:lineRule="auto"/>
        <w:rPr>
          <w:rFonts w:ascii="Arial" w:hAnsi="Arial" w:cs="Arial"/>
          <w:color w:val="5B9BD5" w:themeColor="accent1"/>
          <w:sz w:val="22"/>
          <w:szCs w:val="22"/>
        </w:rPr>
      </w:pPr>
      <w:r w:rsidRPr="00A2645F">
        <w:rPr>
          <w:rStyle w:val="Strong"/>
          <w:rFonts w:ascii="Arial" w:hAnsi="Arial" w:cs="Arial"/>
          <w:b/>
          <w:bCs/>
          <w:color w:val="5B9BD5" w:themeColor="accent1"/>
          <w:sz w:val="22"/>
          <w:szCs w:val="22"/>
        </w:rPr>
        <w:t>Collaboration</w:t>
      </w:r>
    </w:p>
    <w:p w:rsidR="000225B6" w:rsidRDefault="00FC37B1" w:rsidP="000225B6">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Strategic partnership is another facet of collaboration, in addition to cooperation. Cooperation is necessary for long-term relationship value, according to Ashcroft (2017). </w:t>
      </w:r>
      <w:r w:rsidRPr="00FC37B1">
        <w:rPr>
          <w:rFonts w:ascii="Arial" w:eastAsia="Times New Roman" w:hAnsi="Arial" w:cs="Arial"/>
          <w:lang w:eastAsia="en-GB"/>
        </w:rPr>
        <w:br/>
        <w:t xml:space="preserve">Techniques employed include co-designing workshops with healthcare professionals and end users. </w:t>
      </w:r>
      <w:r w:rsidRPr="00FC37B1">
        <w:rPr>
          <w:rFonts w:ascii="Arial" w:eastAsia="Times New Roman" w:hAnsi="Arial" w:cs="Arial"/>
          <w:lang w:eastAsia="en-GB"/>
        </w:rPr>
        <w:br/>
        <w:t xml:space="preserve">• Product validation studies conducted in conjunction with NHS partners. </w:t>
      </w:r>
      <w:r w:rsidRPr="00FC37B1">
        <w:rPr>
          <w:rFonts w:ascii="Arial" w:eastAsia="Times New Roman" w:hAnsi="Arial" w:cs="Arial"/>
          <w:lang w:eastAsia="en-GB"/>
        </w:rPr>
        <w:br/>
        <w:t xml:space="preserve">• Innovation hackathons to encourage improvements in sensor capabilities. </w:t>
      </w:r>
      <w:r w:rsidRPr="00FC37B1">
        <w:rPr>
          <w:rFonts w:ascii="Arial" w:eastAsia="Times New Roman" w:hAnsi="Arial" w:cs="Arial"/>
          <w:lang w:eastAsia="en-GB"/>
        </w:rPr>
        <w:br/>
        <w:t xml:space="preserve">When product engineers and marketers disagree on the aesthetics of </w:t>
      </w:r>
      <w:proofErr w:type="gramStart"/>
      <w:r w:rsidRPr="00FC37B1">
        <w:rPr>
          <w:rFonts w:ascii="Arial" w:eastAsia="Times New Roman" w:hAnsi="Arial" w:cs="Arial"/>
          <w:lang w:eastAsia="en-GB"/>
        </w:rPr>
        <w:t>desig</w:t>
      </w:r>
      <w:r w:rsidR="000225B6">
        <w:rPr>
          <w:rFonts w:ascii="Arial" w:eastAsia="Times New Roman" w:hAnsi="Arial" w:cs="Arial"/>
          <w:lang w:eastAsia="en-GB"/>
        </w:rPr>
        <w:t xml:space="preserve">n, </w:t>
      </w:r>
      <w:r w:rsidRPr="00FC37B1">
        <w:rPr>
          <w:rFonts w:ascii="Arial" w:eastAsia="Times New Roman" w:hAnsi="Arial" w:cs="Arial"/>
          <w:lang w:eastAsia="en-GB"/>
        </w:rPr>
        <w:t>t</w:t>
      </w:r>
      <w:r w:rsidR="000225B6">
        <w:rPr>
          <w:rFonts w:ascii="Arial" w:eastAsia="Times New Roman" w:hAnsi="Arial" w:cs="Arial"/>
          <w:lang w:eastAsia="en-GB"/>
        </w:rPr>
        <w:t>hat</w:t>
      </w:r>
      <w:proofErr w:type="gramEnd"/>
      <w:r w:rsidR="000225B6">
        <w:rPr>
          <w:rFonts w:ascii="Arial" w:eastAsia="Times New Roman" w:hAnsi="Arial" w:cs="Arial"/>
          <w:lang w:eastAsia="en-GB"/>
        </w:rPr>
        <w:t xml:space="preserve"> is an example of conflict. </w:t>
      </w:r>
    </w:p>
    <w:p w:rsidR="00F254CA" w:rsidRPr="00D81807" w:rsidRDefault="00FC37B1" w:rsidP="000225B6">
      <w:pPr>
        <w:spacing w:after="0" w:line="360" w:lineRule="auto"/>
        <w:jc w:val="both"/>
        <w:rPr>
          <w:rFonts w:ascii="Arial" w:eastAsia="Times New Roman" w:hAnsi="Arial" w:cs="Arial"/>
          <w:lang w:eastAsia="en-GB"/>
        </w:rPr>
      </w:pPr>
      <w:r w:rsidRPr="00FC37B1">
        <w:rPr>
          <w:rFonts w:ascii="Arial" w:eastAsia="Times New Roman" w:hAnsi="Arial" w:cs="Arial"/>
          <w:lang w:eastAsia="en-GB"/>
        </w:rPr>
        <w:t>Resolution: Collaborate with a cross-functional design review committee to reach an agreement on final specifications.</w:t>
      </w: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Cs w:val="0"/>
          <w:sz w:val="22"/>
          <w:szCs w:val="22"/>
        </w:rPr>
        <w:t>Role of the Project Manager in Conflict Management</w:t>
      </w:r>
    </w:p>
    <w:p w:rsidR="00F254CA" w:rsidRDefault="00A80FD3" w:rsidP="00A80FD3">
      <w:pPr>
        <w:spacing w:after="0" w:line="360" w:lineRule="auto"/>
        <w:ind w:firstLine="720"/>
        <w:jc w:val="both"/>
        <w:rPr>
          <w:rFonts w:ascii="Arial" w:eastAsia="Times New Roman" w:hAnsi="Arial" w:cs="Arial"/>
          <w:lang w:eastAsia="en-GB"/>
        </w:rPr>
      </w:pPr>
      <w:r>
        <w:rPr>
          <w:rFonts w:ascii="Arial" w:eastAsia="Times New Roman" w:hAnsi="Arial" w:cs="Arial"/>
          <w:lang w:eastAsia="en-GB"/>
        </w:rPr>
        <w:t xml:space="preserve">As a project manager, </w:t>
      </w:r>
      <w:r w:rsidR="00FC37B1" w:rsidRPr="00FC37B1">
        <w:rPr>
          <w:rFonts w:ascii="Arial" w:eastAsia="Times New Roman" w:hAnsi="Arial" w:cs="Arial"/>
          <w:lang w:eastAsia="en-GB"/>
        </w:rPr>
        <w:t>I contribute significantly t</w:t>
      </w:r>
      <w:r w:rsidR="000225B6">
        <w:rPr>
          <w:rFonts w:ascii="Arial" w:eastAsia="Times New Roman" w:hAnsi="Arial" w:cs="Arial"/>
          <w:lang w:eastAsia="en-GB"/>
        </w:rPr>
        <w:t>o conflict resolution by</w:t>
      </w:r>
      <w:r>
        <w:rPr>
          <w:rFonts w:ascii="Arial" w:eastAsia="Times New Roman" w:hAnsi="Arial" w:cs="Arial"/>
          <w:lang w:eastAsia="en-GB"/>
        </w:rPr>
        <w:t xml:space="preserve"> </w:t>
      </w:r>
      <w:r w:rsidR="000225B6">
        <w:rPr>
          <w:rFonts w:ascii="Arial" w:eastAsia="Times New Roman" w:hAnsi="Arial" w:cs="Arial"/>
          <w:lang w:eastAsia="en-GB"/>
        </w:rPr>
        <w:t>p</w:t>
      </w:r>
      <w:r>
        <w:rPr>
          <w:rFonts w:ascii="Arial" w:eastAsia="Times New Roman" w:hAnsi="Arial" w:cs="Arial"/>
          <w:lang w:eastAsia="en-GB"/>
        </w:rPr>
        <w:t xml:space="preserve">romoting unbiased communication among </w:t>
      </w:r>
      <w:proofErr w:type="spellStart"/>
      <w:r w:rsidR="000225B6">
        <w:rPr>
          <w:rFonts w:ascii="Arial" w:eastAsia="Times New Roman" w:hAnsi="Arial" w:cs="Arial"/>
          <w:lang w:eastAsia="en-GB"/>
        </w:rPr>
        <w:t>stakeholders</w:t>
      </w:r>
      <w:proofErr w:type="gramStart"/>
      <w:r w:rsidR="000225B6">
        <w:rPr>
          <w:rFonts w:ascii="Arial" w:eastAsia="Times New Roman" w:hAnsi="Arial" w:cs="Arial"/>
          <w:lang w:eastAsia="en-GB"/>
        </w:rPr>
        <w:t>,u</w:t>
      </w:r>
      <w:r w:rsidR="00FC37B1" w:rsidRPr="00FC37B1">
        <w:rPr>
          <w:rFonts w:ascii="Arial" w:eastAsia="Times New Roman" w:hAnsi="Arial" w:cs="Arial"/>
          <w:lang w:eastAsia="en-GB"/>
        </w:rPr>
        <w:t>sing</w:t>
      </w:r>
      <w:proofErr w:type="spellEnd"/>
      <w:proofErr w:type="gramEnd"/>
      <w:r w:rsidR="00FC37B1" w:rsidRPr="00FC37B1">
        <w:rPr>
          <w:rFonts w:ascii="Arial" w:eastAsia="Times New Roman" w:hAnsi="Arial" w:cs="Arial"/>
          <w:lang w:eastAsia="en-GB"/>
        </w:rPr>
        <w:t xml:space="preserve"> negotiation </w:t>
      </w:r>
      <w:r w:rsidR="000225B6">
        <w:rPr>
          <w:rFonts w:ascii="Arial" w:eastAsia="Times New Roman" w:hAnsi="Arial" w:cs="Arial"/>
          <w:lang w:eastAsia="en-GB"/>
        </w:rPr>
        <w:t>strategies to resolve disputes and n</w:t>
      </w:r>
      <w:r w:rsidR="00FC37B1" w:rsidRPr="00FC37B1">
        <w:rPr>
          <w:rFonts w:ascii="Arial" w:eastAsia="Times New Roman" w:hAnsi="Arial" w:cs="Arial"/>
          <w:lang w:eastAsia="en-GB"/>
        </w:rPr>
        <w:t>otifying higher mana</w:t>
      </w:r>
      <w:r w:rsidR="000225B6">
        <w:rPr>
          <w:rFonts w:ascii="Arial" w:eastAsia="Times New Roman" w:hAnsi="Arial" w:cs="Arial"/>
          <w:lang w:eastAsia="en-GB"/>
        </w:rPr>
        <w:t xml:space="preserve">gement of unresolved issues. </w:t>
      </w:r>
      <w:r w:rsidR="00FC37B1" w:rsidRPr="00FC37B1">
        <w:rPr>
          <w:rFonts w:ascii="Arial" w:eastAsia="Times New Roman" w:hAnsi="Arial" w:cs="Arial"/>
          <w:lang w:eastAsia="en-GB"/>
        </w:rPr>
        <w:t>Using conflict resolution models, such as Thomas-</w:t>
      </w:r>
      <w:proofErr w:type="spellStart"/>
      <w:r w:rsidR="00FC37B1" w:rsidRPr="00FC37B1">
        <w:rPr>
          <w:rFonts w:ascii="Arial" w:eastAsia="Times New Roman" w:hAnsi="Arial" w:cs="Arial"/>
          <w:lang w:eastAsia="en-GB"/>
        </w:rPr>
        <w:t>Kilmann's</w:t>
      </w:r>
      <w:proofErr w:type="spellEnd"/>
      <w:r w:rsidR="00FC37B1" w:rsidRPr="00FC37B1">
        <w:rPr>
          <w:rFonts w:ascii="Arial" w:eastAsia="Times New Roman" w:hAnsi="Arial" w:cs="Arial"/>
          <w:lang w:eastAsia="en-GB"/>
        </w:rPr>
        <w:t xml:space="preserve"> framework (avoiding, accommodating, competing, compromising, </w:t>
      </w:r>
      <w:proofErr w:type="gramStart"/>
      <w:r w:rsidR="00FC37B1" w:rsidRPr="00FC37B1">
        <w:rPr>
          <w:rFonts w:ascii="Arial" w:eastAsia="Times New Roman" w:hAnsi="Arial" w:cs="Arial"/>
          <w:lang w:eastAsia="en-GB"/>
        </w:rPr>
        <w:t>collaborating</w:t>
      </w:r>
      <w:proofErr w:type="gramEnd"/>
      <w:r w:rsidR="00FC37B1" w:rsidRPr="00FC37B1">
        <w:rPr>
          <w:rFonts w:ascii="Arial" w:eastAsia="Times New Roman" w:hAnsi="Arial" w:cs="Arial"/>
          <w:lang w:eastAsia="en-GB"/>
        </w:rPr>
        <w:t xml:space="preserve">). </w:t>
      </w:r>
      <w:r w:rsidR="00FC37B1" w:rsidRPr="00FC37B1">
        <w:rPr>
          <w:rFonts w:ascii="Arial" w:eastAsia="Times New Roman" w:hAnsi="Arial" w:cs="Arial"/>
          <w:lang w:eastAsia="en-GB"/>
        </w:rPr>
        <w:br/>
        <w:t>For example, if IT and R&amp;D cannot agree on the significance of software integration, I would use a compromise strategy to agree on phased integration, balancing workload and urgency.</w:t>
      </w:r>
    </w:p>
    <w:p w:rsidR="00D81807" w:rsidRPr="00D81807" w:rsidRDefault="00D81807" w:rsidP="00D81807">
      <w:pPr>
        <w:spacing w:after="0" w:line="360" w:lineRule="auto"/>
        <w:rPr>
          <w:rFonts w:ascii="Arial" w:eastAsia="Times New Roman" w:hAnsi="Arial" w:cs="Arial"/>
          <w:lang w:eastAsia="en-GB"/>
        </w:rPr>
      </w:pP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Critical Reflection</w:t>
      </w:r>
    </w:p>
    <w:p w:rsidR="00A80FD3"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Although challenges like resistance to change, unequal power dynamics, and compliance-driven delays may still exist, the 4Cs paradigm successfully ensures stakeholder alignment. I recommend using stakeholder </w:t>
      </w:r>
      <w:proofErr w:type="spellStart"/>
      <w:r w:rsidRPr="00FC37B1">
        <w:rPr>
          <w:rFonts w:ascii="Arial" w:eastAsia="Times New Roman" w:hAnsi="Arial" w:cs="Arial"/>
          <w:lang w:eastAsia="en-GB"/>
        </w:rPr>
        <w:t>heatmaps</w:t>
      </w:r>
      <w:proofErr w:type="spellEnd"/>
      <w:r w:rsidRPr="00FC37B1">
        <w:rPr>
          <w:rFonts w:ascii="Arial" w:eastAsia="Times New Roman" w:hAnsi="Arial" w:cs="Arial"/>
          <w:lang w:eastAsia="en-GB"/>
        </w:rPr>
        <w:t xml:space="preserve"> for ongoing engagement analysis, putting in place a shared digital platform for collaboration, and bringing significant disagreements before a steering committee to resolve problems. </w:t>
      </w:r>
    </w:p>
    <w:p w:rsidR="00FC37B1" w:rsidRPr="00FC37B1"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br/>
        <w:t xml:space="preserve">In conclusion, involving stakeholders through an organised and proactive process supported by the 4Cs conflict management model enables quicker decision-making, greater stakeholder satisfaction, and improved product readiness. The project manager's leadership in organising </w:t>
      </w:r>
      <w:r w:rsidRPr="00FC37B1">
        <w:rPr>
          <w:rFonts w:ascii="Arial" w:eastAsia="Times New Roman" w:hAnsi="Arial" w:cs="Arial"/>
          <w:lang w:eastAsia="en-GB"/>
        </w:rPr>
        <w:lastRenderedPageBreak/>
        <w:t>communication, coordination, cooperation, and collaboration has a direct impact on Fitbit's new wearable health monitoring device's successful launch.</w:t>
      </w:r>
    </w:p>
    <w:p w:rsidR="00F254CA" w:rsidRPr="00A2645F" w:rsidRDefault="00F254CA" w:rsidP="00A2645F">
      <w:pPr>
        <w:spacing w:line="360" w:lineRule="auto"/>
        <w:rPr>
          <w:rFonts w:ascii="Arial" w:hAnsi="Arial" w:cs="Arial"/>
        </w:rPr>
      </w:pP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 xml:space="preserve">Evaluation of the Impact of Stakeholder Engagement on Business Performance </w:t>
      </w:r>
    </w:p>
    <w:p w:rsidR="00FC37B1" w:rsidRPr="00FC37B1"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Stakeholder involvement directly supports project success and long-term business performance by promoting innovation, increasing compliance, reducing risk, and improving customer satisfaction. According to Freeman (1984), organisations that actively involve stakeholders in decision-making are more likely to acquire a long-term competitive advantage. For Fitbit's wearable health device project, effective stakeholder participation increases operational effectiveness, accelerates product development, enhances market positioning, and i</w:t>
      </w:r>
      <w:r w:rsidR="00A80FD3">
        <w:rPr>
          <w:rFonts w:ascii="Arial" w:eastAsia="Times New Roman" w:hAnsi="Arial" w:cs="Arial"/>
          <w:lang w:eastAsia="en-GB"/>
        </w:rPr>
        <w:t xml:space="preserve">mproves financial performance. </w:t>
      </w:r>
      <w:r w:rsidRPr="00FC37B1">
        <w:rPr>
          <w:rFonts w:ascii="Arial" w:eastAsia="Times New Roman" w:hAnsi="Arial" w:cs="Arial"/>
          <w:lang w:eastAsia="en-GB"/>
        </w:rPr>
        <w:t>The impact of stakeholder engagement across numerous performance metrics is objectively evaluated in this section using the Triple Bottom Line framework (Elkington, 1997) and the Balanced Scorecard (Kaplan and Norton, 1992).</w:t>
      </w:r>
    </w:p>
    <w:p w:rsidR="007D2D93" w:rsidRPr="00A2645F" w:rsidRDefault="007D2D93" w:rsidP="00A2645F">
      <w:pPr>
        <w:spacing w:after="0" w:line="360" w:lineRule="auto"/>
        <w:rPr>
          <w:rFonts w:ascii="Arial" w:eastAsia="Times New Roman" w:hAnsi="Arial" w:cs="Arial"/>
          <w:lang w:eastAsia="en-GB"/>
        </w:rPr>
      </w:pP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Operational Performance</w:t>
      </w:r>
    </w:p>
    <w:p w:rsidR="00F254CA" w:rsidRPr="00D81807"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Involving stakeholders promotes improved coordination and timely completion of tasks. When R&amp;D, IT, and supply chain stakeholders are actively involved through Agile sprint reviews and structured communication channels, the project benefits from shorter development times, more effective use of resources, and improved interdepartm</w:t>
      </w:r>
      <w:r w:rsidR="00A80FD3">
        <w:rPr>
          <w:rFonts w:ascii="Arial" w:eastAsia="Times New Roman" w:hAnsi="Arial" w:cs="Arial"/>
          <w:lang w:eastAsia="en-GB"/>
        </w:rPr>
        <w:t xml:space="preserve">ental cooperation (PMI, 2021). </w:t>
      </w:r>
      <w:r w:rsidRPr="00FC37B1">
        <w:rPr>
          <w:rFonts w:ascii="Arial" w:eastAsia="Times New Roman" w:hAnsi="Arial" w:cs="Arial"/>
          <w:lang w:eastAsia="en-GB"/>
        </w:rPr>
        <w:t xml:space="preserve">Early involvement of MHRA and regulatory experts, for example, makes it possible to identify compliance problems early on, which speeds up approvals and reduces the likelihood of costly redesigns. Active supplier participation ensures agreement on material requirements and manufacturing schedules to minimise supply chain disruptions. </w:t>
      </w:r>
      <w:r w:rsidRPr="00FC37B1">
        <w:rPr>
          <w:rFonts w:ascii="Arial" w:eastAsia="Times New Roman" w:hAnsi="Arial" w:cs="Arial"/>
          <w:lang w:eastAsia="en-GB"/>
        </w:rPr>
        <w:br/>
        <w:t>The results include quicker project cycles, fewer rework and quality errors, and efficient risk mitigation.</w:t>
      </w: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Financial Performance</w:t>
      </w:r>
    </w:p>
    <w:p w:rsidR="00A80FD3"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Involving stakeholders, such as investors and finance departments, maximises budget control, market forecasts, and ROI expectations. The project benefits from early agreement on cost criter</w:t>
      </w:r>
      <w:r w:rsidR="00A80FD3">
        <w:rPr>
          <w:rFonts w:ascii="Arial" w:eastAsia="Times New Roman" w:hAnsi="Arial" w:cs="Arial"/>
          <w:lang w:eastAsia="en-GB"/>
        </w:rPr>
        <w:t xml:space="preserve">ia and financial backup plans. </w:t>
      </w:r>
      <w:r w:rsidRPr="00FC37B1">
        <w:rPr>
          <w:rFonts w:ascii="Arial" w:eastAsia="Times New Roman" w:hAnsi="Arial" w:cs="Arial"/>
          <w:lang w:eastAsia="en-GB"/>
        </w:rPr>
        <w:t>Information about desired features is provided by marketing and customer testing stakeholders, which enables the project team to prioritise profitable innovations and cut down on unnecessary spending. According to Christopher, Payne, and Ballantyne (2013), customer-driven development increases revenue s</w:t>
      </w:r>
      <w:r w:rsidR="00A80FD3">
        <w:rPr>
          <w:rFonts w:ascii="Arial" w:eastAsia="Times New Roman" w:hAnsi="Arial" w:cs="Arial"/>
          <w:lang w:eastAsia="en-GB"/>
        </w:rPr>
        <w:t>treams and product acceptance.</w:t>
      </w:r>
    </w:p>
    <w:p w:rsidR="00FC37B1" w:rsidRPr="00FC37B1" w:rsidRDefault="00FC37B1" w:rsidP="00A80FD3">
      <w:pPr>
        <w:spacing w:after="0" w:line="360" w:lineRule="auto"/>
        <w:rPr>
          <w:rFonts w:ascii="Arial" w:eastAsia="Times New Roman" w:hAnsi="Arial" w:cs="Arial"/>
          <w:lang w:eastAsia="en-GB"/>
        </w:rPr>
      </w:pPr>
      <w:r w:rsidRPr="00FC37B1">
        <w:rPr>
          <w:rFonts w:ascii="Arial" w:eastAsia="Times New Roman" w:hAnsi="Arial" w:cs="Arial"/>
          <w:lang w:eastAsia="en-GB"/>
        </w:rPr>
        <w:t>Effect:</w:t>
      </w:r>
      <w:r w:rsidR="00A80FD3">
        <w:rPr>
          <w:rFonts w:ascii="Arial" w:eastAsia="Times New Roman" w:hAnsi="Arial" w:cs="Arial"/>
          <w:lang w:eastAsia="en-GB"/>
        </w:rPr>
        <w:t xml:space="preserve"> </w:t>
      </w:r>
      <w:r w:rsidRPr="00FC37B1">
        <w:rPr>
          <w:rFonts w:ascii="Arial" w:eastAsia="Times New Roman" w:hAnsi="Arial" w:cs="Arial"/>
          <w:lang w:eastAsia="en-GB"/>
        </w:rPr>
        <w:t xml:space="preserve">Improved resource utilisation </w:t>
      </w:r>
      <w:r w:rsidRPr="00FC37B1">
        <w:rPr>
          <w:rFonts w:ascii="Arial" w:eastAsia="Times New Roman" w:hAnsi="Arial" w:cs="Arial"/>
          <w:lang w:eastAsia="en-GB"/>
        </w:rPr>
        <w:br/>
      </w:r>
      <w:proofErr w:type="gramStart"/>
      <w:r w:rsidRPr="00FC37B1">
        <w:rPr>
          <w:rFonts w:ascii="Arial" w:eastAsia="Times New Roman" w:hAnsi="Arial" w:cs="Arial"/>
          <w:lang w:eastAsia="en-GB"/>
        </w:rPr>
        <w:t>Precise</w:t>
      </w:r>
      <w:proofErr w:type="gramEnd"/>
      <w:r w:rsidRPr="00FC37B1">
        <w:rPr>
          <w:rFonts w:ascii="Arial" w:eastAsia="Times New Roman" w:hAnsi="Arial" w:cs="Arial"/>
          <w:lang w:eastAsia="en-GB"/>
        </w:rPr>
        <w:t xml:space="preserve"> forecasting results in higher expected sales success and lower financial risk.</w:t>
      </w:r>
    </w:p>
    <w:p w:rsidR="00F254CA" w:rsidRPr="00A2645F" w:rsidRDefault="00F254CA" w:rsidP="00A2645F">
      <w:pPr>
        <w:spacing w:line="360" w:lineRule="auto"/>
        <w:rPr>
          <w:rFonts w:ascii="Arial" w:hAnsi="Arial" w:cs="Arial"/>
        </w:rPr>
      </w:pP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Innovation &amp; Competitive Advantage</w:t>
      </w:r>
    </w:p>
    <w:p w:rsidR="00FC37B1" w:rsidRPr="00FC37B1"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Innovative features like AI-assisted wellness analytics and predictive heart monitoring are the outcome of co-design, which is made possible by cooperative engagement with R&amp;D teams and healthcare partners (including the NHS). The Relational Lens paradigm states that strong relationships enhance long-term value creation and creative ability (Ashcroft, 2017). </w:t>
      </w:r>
      <w:r w:rsidRPr="00FC37B1">
        <w:rPr>
          <w:rFonts w:ascii="Arial" w:eastAsia="Times New Roman" w:hAnsi="Arial" w:cs="Arial"/>
          <w:lang w:eastAsia="en-GB"/>
        </w:rPr>
        <w:br/>
        <w:t xml:space="preserve">Additionally, user participation in prototype testing provides real-world usability input that helps the company improve product design and differentiate itself from competitors like Apple and Garmin. </w:t>
      </w:r>
      <w:r w:rsidRPr="00FC37B1">
        <w:rPr>
          <w:rFonts w:ascii="Arial" w:eastAsia="Times New Roman" w:hAnsi="Arial" w:cs="Arial"/>
          <w:lang w:eastAsia="en-GB"/>
        </w:rPr>
        <w:br/>
        <w:t>Increased inventiveness, quicker response to market trends, and competitive market differentiation are the results.</w:t>
      </w:r>
    </w:p>
    <w:p w:rsidR="00F254CA" w:rsidRPr="00A2645F" w:rsidRDefault="00F254CA" w:rsidP="00A2645F">
      <w:pPr>
        <w:spacing w:line="360" w:lineRule="auto"/>
        <w:rPr>
          <w:rFonts w:ascii="Arial" w:hAnsi="Arial" w:cs="Arial"/>
        </w:rPr>
      </w:pP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Customer Satisfaction and Market Positioning</w:t>
      </w:r>
    </w:p>
    <w:p w:rsidR="00FC37B1" w:rsidRPr="00FC37B1" w:rsidRDefault="00FC37B1" w:rsidP="00A80FD3">
      <w:pPr>
        <w:spacing w:after="0" w:line="360" w:lineRule="auto"/>
        <w:ind w:firstLine="720"/>
        <w:jc w:val="both"/>
        <w:rPr>
          <w:rFonts w:ascii="Arial" w:eastAsia="Times New Roman" w:hAnsi="Arial" w:cs="Arial"/>
          <w:lang w:eastAsia="en-GB"/>
        </w:rPr>
      </w:pPr>
      <w:r w:rsidRPr="00FC37B1">
        <w:rPr>
          <w:rFonts w:ascii="Arial" w:eastAsia="Times New Roman" w:hAnsi="Arial" w:cs="Arial"/>
          <w:lang w:eastAsia="en-GB"/>
        </w:rPr>
        <w:t xml:space="preserve">Involving end users in product trials ensures that customer needs are taken into account early in the development process. As a result, usability, performance, and customer satisfaction all rise. Relationship Marketing Theory states that customer engagement boosts brand loyalty and encourages positive word-of-mouth and repeat business (Christopher et al., 2013). </w:t>
      </w:r>
      <w:r w:rsidRPr="00FC37B1">
        <w:rPr>
          <w:rFonts w:ascii="Arial" w:eastAsia="Times New Roman" w:hAnsi="Arial" w:cs="Arial"/>
          <w:lang w:eastAsia="en-GB"/>
        </w:rPr>
        <w:br/>
        <w:t>Retail and distribution stakeholders also promote market penetration, ensure accessibility, and enhance pricing strategies.</w:t>
      </w:r>
    </w:p>
    <w:p w:rsidR="001C2EC0" w:rsidRPr="00A2645F" w:rsidRDefault="008F02DB" w:rsidP="00A2645F">
      <w:pPr>
        <w:spacing w:after="0" w:line="360" w:lineRule="auto"/>
        <w:rPr>
          <w:rFonts w:ascii="Arial" w:eastAsia="Times New Roman" w:hAnsi="Arial" w:cs="Arial"/>
          <w:lang w:eastAsia="en-GB"/>
        </w:rPr>
      </w:pPr>
      <w:r w:rsidRPr="00A2645F">
        <w:rPr>
          <w:rFonts w:ascii="Arial" w:eastAsia="Times New Roman" w:hAnsi="Arial" w:cs="Arial"/>
          <w:noProof/>
          <w:lang w:eastAsia="en-GB"/>
        </w:rPr>
        <w:drawing>
          <wp:inline distT="0" distB="0" distL="0" distR="0">
            <wp:extent cx="6127062" cy="1455420"/>
            <wp:effectExtent l="0" t="0" r="8382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rsidR="00F254CA" w:rsidRPr="00A2645F" w:rsidRDefault="00F254CA" w:rsidP="00A2645F">
      <w:pPr>
        <w:spacing w:line="360" w:lineRule="auto"/>
        <w:rPr>
          <w:rFonts w:ascii="Arial" w:hAnsi="Arial" w:cs="Arial"/>
        </w:rPr>
      </w:pPr>
    </w:p>
    <w:p w:rsidR="00F254CA" w:rsidRPr="00A2645F" w:rsidRDefault="00F254CA" w:rsidP="00A2645F">
      <w:pPr>
        <w:pStyle w:val="Heading2"/>
        <w:spacing w:line="360" w:lineRule="auto"/>
        <w:rPr>
          <w:rFonts w:ascii="Arial" w:hAnsi="Arial" w:cs="Arial"/>
          <w:sz w:val="22"/>
          <w:szCs w:val="22"/>
        </w:rPr>
      </w:pPr>
      <w:r w:rsidRPr="00A2645F">
        <w:rPr>
          <w:rStyle w:val="Strong"/>
          <w:rFonts w:ascii="Arial" w:hAnsi="Arial" w:cs="Arial"/>
          <w:b w:val="0"/>
          <w:bCs w:val="0"/>
          <w:sz w:val="22"/>
          <w:szCs w:val="22"/>
        </w:rPr>
        <w:t>Regulatory and Risk Management</w:t>
      </w:r>
    </w:p>
    <w:p w:rsidR="00036F9A" w:rsidRPr="00036F9A" w:rsidRDefault="00036F9A" w:rsidP="00A80FD3">
      <w:pPr>
        <w:spacing w:after="0" w:line="360" w:lineRule="auto"/>
        <w:ind w:firstLine="720"/>
        <w:jc w:val="both"/>
        <w:rPr>
          <w:rFonts w:ascii="Arial" w:eastAsia="Times New Roman" w:hAnsi="Arial" w:cs="Arial"/>
          <w:lang w:eastAsia="en-GB"/>
        </w:rPr>
      </w:pPr>
      <w:r w:rsidRPr="00036F9A">
        <w:rPr>
          <w:rFonts w:ascii="Arial" w:eastAsia="Times New Roman" w:hAnsi="Arial" w:cs="Arial"/>
          <w:lang w:eastAsia="en-GB"/>
        </w:rPr>
        <w:t xml:space="preserve">Early communication with regulatory bodies reduces compliance-related delays and ensures compliance with UK Medical Device Regulations. Data security is ensured by hiring cybersecurity experts, which is crucial for GDPR compliance. </w:t>
      </w:r>
      <w:r w:rsidRPr="00036F9A">
        <w:rPr>
          <w:rFonts w:ascii="Arial" w:eastAsia="Times New Roman" w:hAnsi="Arial" w:cs="Arial"/>
          <w:lang w:eastAsia="en-GB"/>
        </w:rPr>
        <w:br/>
        <w:t>Plans for involving stakeholders make it possible to identify potential conflicts early on and resolve them before they worsen. The proactive implementation of the 4Cs approach further supports conflict mitigation (Ellis et al., 1991).</w:t>
      </w:r>
    </w:p>
    <w:p w:rsidR="008F02DB" w:rsidRPr="00A2645F" w:rsidRDefault="008F02DB" w:rsidP="00A2645F">
      <w:pPr>
        <w:spacing w:after="0" w:line="360" w:lineRule="auto"/>
        <w:rPr>
          <w:rFonts w:ascii="Arial" w:eastAsia="Times New Roman" w:hAnsi="Arial" w:cs="Arial"/>
          <w:lang w:eastAsia="en-GB"/>
        </w:rPr>
      </w:pPr>
    </w:p>
    <w:p w:rsidR="008F02DB" w:rsidRPr="00A2645F" w:rsidRDefault="008F02DB" w:rsidP="00A2645F">
      <w:pPr>
        <w:spacing w:after="0" w:line="360" w:lineRule="auto"/>
        <w:rPr>
          <w:rFonts w:ascii="Arial" w:eastAsia="Times New Roman" w:hAnsi="Arial" w:cs="Arial"/>
          <w:lang w:eastAsia="en-GB"/>
        </w:rPr>
      </w:pPr>
      <w:r w:rsidRPr="00A2645F">
        <w:rPr>
          <w:rFonts w:ascii="Arial" w:eastAsia="Times New Roman" w:hAnsi="Arial" w:cs="Arial"/>
          <w:noProof/>
          <w:lang w:eastAsia="en-GB"/>
        </w:rPr>
        <w:lastRenderedPageBreak/>
        <w:drawing>
          <wp:inline distT="0" distB="0" distL="0" distR="0">
            <wp:extent cx="6761431" cy="2318033"/>
            <wp:effectExtent l="0" t="0" r="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rsidR="00F254CA" w:rsidRPr="00A2645F" w:rsidRDefault="00F254CA" w:rsidP="00A2645F">
      <w:pPr>
        <w:spacing w:line="360" w:lineRule="auto"/>
        <w:rPr>
          <w:rFonts w:ascii="Arial" w:hAnsi="Arial" w:cs="Arial"/>
        </w:rPr>
      </w:pPr>
    </w:p>
    <w:p w:rsidR="00F254CA" w:rsidRPr="00A2645F" w:rsidRDefault="00F254CA" w:rsidP="00A2645F">
      <w:pPr>
        <w:pStyle w:val="Heading2"/>
        <w:spacing w:line="360" w:lineRule="auto"/>
        <w:rPr>
          <w:rStyle w:val="Strong"/>
          <w:rFonts w:ascii="Arial" w:hAnsi="Arial" w:cs="Arial"/>
          <w:b w:val="0"/>
          <w:bCs w:val="0"/>
          <w:sz w:val="22"/>
          <w:szCs w:val="22"/>
        </w:rPr>
      </w:pPr>
      <w:r w:rsidRPr="00A2645F">
        <w:rPr>
          <w:rStyle w:val="Strong"/>
          <w:rFonts w:ascii="Arial" w:hAnsi="Arial" w:cs="Arial"/>
          <w:b w:val="0"/>
          <w:bCs w:val="0"/>
          <w:sz w:val="22"/>
          <w:szCs w:val="22"/>
        </w:rPr>
        <w:t xml:space="preserve">Strategic Performance </w:t>
      </w:r>
      <w:r w:rsidR="00237410" w:rsidRPr="00A2645F">
        <w:rPr>
          <w:rStyle w:val="Strong"/>
          <w:rFonts w:ascii="Arial" w:hAnsi="Arial" w:cs="Arial"/>
          <w:b w:val="0"/>
          <w:bCs w:val="0"/>
          <w:sz w:val="22"/>
          <w:szCs w:val="22"/>
        </w:rPr>
        <w:t>(Balanced Scorecard Integration</w:t>
      </w:r>
    </w:p>
    <w:tbl>
      <w:tblPr>
        <w:tblStyle w:val="TableGrid"/>
        <w:tblW w:w="0" w:type="auto"/>
        <w:tblLook w:val="04A0" w:firstRow="1" w:lastRow="0" w:firstColumn="1" w:lastColumn="0" w:noHBand="0" w:noVBand="1"/>
      </w:tblPr>
      <w:tblGrid>
        <w:gridCol w:w="4508"/>
        <w:gridCol w:w="4508"/>
      </w:tblGrid>
      <w:tr w:rsidR="00237410" w:rsidRPr="00A2645F" w:rsidTr="00237410">
        <w:tc>
          <w:tcPr>
            <w:tcW w:w="4508" w:type="dxa"/>
          </w:tcPr>
          <w:p w:rsidR="00237410" w:rsidRPr="00A2645F" w:rsidRDefault="00237410" w:rsidP="00A2645F">
            <w:pPr>
              <w:spacing w:line="360" w:lineRule="auto"/>
              <w:rPr>
                <w:rFonts w:ascii="Arial" w:hAnsi="Arial" w:cs="Arial"/>
                <w:color w:val="FF0000"/>
              </w:rPr>
            </w:pPr>
            <w:r w:rsidRPr="00A2645F">
              <w:rPr>
                <w:rFonts w:ascii="Arial" w:hAnsi="Arial" w:cs="Arial"/>
                <w:b/>
                <w:bCs/>
                <w:color w:val="FF0000"/>
              </w:rPr>
              <w:t>Balanced Scorecard Area</w:t>
            </w:r>
          </w:p>
        </w:tc>
        <w:tc>
          <w:tcPr>
            <w:tcW w:w="4508" w:type="dxa"/>
          </w:tcPr>
          <w:p w:rsidR="00237410" w:rsidRPr="00A2645F" w:rsidRDefault="00237410" w:rsidP="00A2645F">
            <w:pPr>
              <w:spacing w:line="360" w:lineRule="auto"/>
              <w:rPr>
                <w:rFonts w:ascii="Arial" w:hAnsi="Arial" w:cs="Arial"/>
                <w:color w:val="FF0000"/>
              </w:rPr>
            </w:pPr>
            <w:r w:rsidRPr="00A2645F">
              <w:rPr>
                <w:rFonts w:ascii="Arial" w:hAnsi="Arial" w:cs="Arial"/>
                <w:b/>
                <w:bCs/>
                <w:color w:val="FF0000"/>
              </w:rPr>
              <w:t>Impact of Stakeholder Engagement</w:t>
            </w:r>
          </w:p>
        </w:tc>
      </w:tr>
      <w:tr w:rsidR="00036F9A" w:rsidRPr="00A2645F" w:rsidTr="00237410">
        <w:tc>
          <w:tcPr>
            <w:tcW w:w="4508" w:type="dxa"/>
          </w:tcPr>
          <w:p w:rsidR="00036F9A" w:rsidRPr="00A2645F" w:rsidRDefault="00036F9A" w:rsidP="00A2645F">
            <w:pPr>
              <w:spacing w:line="360" w:lineRule="auto"/>
              <w:rPr>
                <w:rFonts w:ascii="Arial" w:hAnsi="Arial" w:cs="Arial"/>
              </w:rPr>
            </w:pPr>
            <w:r w:rsidRPr="00A2645F">
              <w:rPr>
                <w:rStyle w:val="Strong"/>
                <w:rFonts w:ascii="Arial" w:hAnsi="Arial" w:cs="Arial"/>
              </w:rPr>
              <w:t>Financial</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Improved ROI and cost control</w:t>
            </w:r>
          </w:p>
        </w:tc>
      </w:tr>
      <w:tr w:rsidR="00036F9A" w:rsidRPr="00A2645F" w:rsidTr="00237410">
        <w:tc>
          <w:tcPr>
            <w:tcW w:w="4508" w:type="dxa"/>
          </w:tcPr>
          <w:p w:rsidR="00036F9A" w:rsidRPr="00A2645F" w:rsidRDefault="00036F9A" w:rsidP="00A2645F">
            <w:pPr>
              <w:spacing w:line="360" w:lineRule="auto"/>
              <w:rPr>
                <w:rFonts w:ascii="Arial" w:hAnsi="Arial" w:cs="Arial"/>
              </w:rPr>
            </w:pPr>
            <w:r w:rsidRPr="00A2645F">
              <w:rPr>
                <w:rStyle w:val="Strong"/>
                <w:rFonts w:ascii="Arial" w:hAnsi="Arial" w:cs="Arial"/>
              </w:rPr>
              <w:t>Customer</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Increased adoption and satisfaction</w:t>
            </w:r>
          </w:p>
        </w:tc>
      </w:tr>
      <w:tr w:rsidR="00036F9A" w:rsidRPr="00A2645F" w:rsidTr="00237410">
        <w:tc>
          <w:tcPr>
            <w:tcW w:w="4508" w:type="dxa"/>
          </w:tcPr>
          <w:p w:rsidR="00036F9A" w:rsidRPr="00A2645F" w:rsidRDefault="00036F9A" w:rsidP="00A2645F">
            <w:pPr>
              <w:spacing w:line="360" w:lineRule="auto"/>
              <w:rPr>
                <w:rFonts w:ascii="Arial" w:hAnsi="Arial" w:cs="Arial"/>
              </w:rPr>
            </w:pPr>
            <w:r w:rsidRPr="00A2645F">
              <w:rPr>
                <w:rStyle w:val="Strong"/>
                <w:rFonts w:ascii="Arial" w:hAnsi="Arial" w:cs="Arial"/>
              </w:rPr>
              <w:t>Internal Processes</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Faster development and increased efficiency</w:t>
            </w:r>
          </w:p>
        </w:tc>
      </w:tr>
      <w:tr w:rsidR="00036F9A" w:rsidRPr="00A2645F" w:rsidTr="00237410">
        <w:tc>
          <w:tcPr>
            <w:tcW w:w="4508" w:type="dxa"/>
          </w:tcPr>
          <w:p w:rsidR="00036F9A" w:rsidRPr="00A2645F" w:rsidRDefault="00036F9A" w:rsidP="00A2645F">
            <w:pPr>
              <w:spacing w:line="360" w:lineRule="auto"/>
              <w:rPr>
                <w:rStyle w:val="Strong"/>
                <w:rFonts w:ascii="Arial" w:hAnsi="Arial" w:cs="Arial"/>
              </w:rPr>
            </w:pPr>
            <w:r w:rsidRPr="00A2645F">
              <w:rPr>
                <w:rStyle w:val="Strong"/>
                <w:rFonts w:ascii="Arial" w:hAnsi="Arial" w:cs="Arial"/>
              </w:rPr>
              <w:t>Learning &amp; Growth</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Increased creativity via cooperation</w:t>
            </w:r>
          </w:p>
        </w:tc>
      </w:tr>
    </w:tbl>
    <w:p w:rsidR="00237410" w:rsidRPr="00A2645F" w:rsidRDefault="00237410" w:rsidP="00A2645F">
      <w:pPr>
        <w:spacing w:line="360" w:lineRule="auto"/>
        <w:rPr>
          <w:rFonts w:ascii="Arial" w:hAnsi="Arial" w:cs="Arial"/>
        </w:rPr>
      </w:pPr>
    </w:p>
    <w:p w:rsidR="00036F9A" w:rsidRPr="00036F9A" w:rsidRDefault="00036F9A" w:rsidP="00A2645F">
      <w:pPr>
        <w:spacing w:after="0" w:line="360" w:lineRule="auto"/>
        <w:rPr>
          <w:rFonts w:ascii="Arial" w:eastAsia="Times New Roman" w:hAnsi="Arial" w:cs="Arial"/>
          <w:lang w:eastAsia="en-GB"/>
        </w:rPr>
      </w:pPr>
      <w:r w:rsidRPr="00036F9A">
        <w:rPr>
          <w:rFonts w:ascii="Arial" w:eastAsia="Times New Roman" w:hAnsi="Arial" w:cs="Arial"/>
          <w:lang w:eastAsia="en-GB"/>
        </w:rPr>
        <w:t>When considered from the standpoint of the Balanced Scorecard, stakeholder engagement has a positive effect on all strategic areas and promotes long-term business sustainability.</w:t>
      </w:r>
    </w:p>
    <w:p w:rsidR="00FF6846" w:rsidRPr="00A2645F" w:rsidRDefault="00FF6846" w:rsidP="00A2645F">
      <w:pPr>
        <w:spacing w:after="0" w:line="360" w:lineRule="auto"/>
        <w:rPr>
          <w:rFonts w:ascii="Arial" w:eastAsia="Times New Roman" w:hAnsi="Arial" w:cs="Arial"/>
          <w:lang w:eastAsia="en-GB"/>
        </w:rPr>
      </w:pPr>
    </w:p>
    <w:p w:rsidR="00F254CA" w:rsidRPr="00A2645F" w:rsidRDefault="00F254CA" w:rsidP="00A2645F">
      <w:pPr>
        <w:pStyle w:val="Heading2"/>
        <w:spacing w:line="360" w:lineRule="auto"/>
        <w:rPr>
          <w:rStyle w:val="Strong"/>
          <w:rFonts w:ascii="Arial" w:hAnsi="Arial" w:cs="Arial"/>
          <w:b w:val="0"/>
          <w:bCs w:val="0"/>
          <w:sz w:val="22"/>
          <w:szCs w:val="22"/>
        </w:rPr>
      </w:pPr>
      <w:r w:rsidRPr="00A2645F">
        <w:rPr>
          <w:rStyle w:val="Strong"/>
          <w:rFonts w:ascii="Arial" w:hAnsi="Arial" w:cs="Arial"/>
          <w:b w:val="0"/>
          <w:bCs w:val="0"/>
          <w:sz w:val="22"/>
          <w:szCs w:val="22"/>
        </w:rPr>
        <w:t>Triple Bottom Line Impact</w:t>
      </w:r>
    </w:p>
    <w:tbl>
      <w:tblPr>
        <w:tblStyle w:val="TableGrid"/>
        <w:tblW w:w="0" w:type="auto"/>
        <w:tblLook w:val="04A0" w:firstRow="1" w:lastRow="0" w:firstColumn="1" w:lastColumn="0" w:noHBand="0" w:noVBand="1"/>
      </w:tblPr>
      <w:tblGrid>
        <w:gridCol w:w="4508"/>
        <w:gridCol w:w="4508"/>
      </w:tblGrid>
      <w:tr w:rsidR="00237410" w:rsidRPr="00A2645F" w:rsidTr="000B20CE">
        <w:tc>
          <w:tcPr>
            <w:tcW w:w="4508" w:type="dxa"/>
            <w:vAlign w:val="center"/>
          </w:tcPr>
          <w:p w:rsidR="00237410" w:rsidRPr="00A2645F" w:rsidRDefault="00237410" w:rsidP="00A2645F">
            <w:pPr>
              <w:spacing w:line="360" w:lineRule="auto"/>
              <w:rPr>
                <w:rFonts w:ascii="Arial" w:hAnsi="Arial" w:cs="Arial"/>
                <w:b/>
                <w:bCs/>
                <w:color w:val="FF0000"/>
              </w:rPr>
            </w:pPr>
            <w:r w:rsidRPr="00A2645F">
              <w:rPr>
                <w:rFonts w:ascii="Arial" w:hAnsi="Arial" w:cs="Arial"/>
                <w:b/>
                <w:bCs/>
                <w:color w:val="FF0000"/>
              </w:rPr>
              <w:t>Dimension</w:t>
            </w:r>
          </w:p>
        </w:tc>
        <w:tc>
          <w:tcPr>
            <w:tcW w:w="4508" w:type="dxa"/>
            <w:vAlign w:val="center"/>
          </w:tcPr>
          <w:p w:rsidR="00237410" w:rsidRPr="00A2645F" w:rsidRDefault="00237410" w:rsidP="00A2645F">
            <w:pPr>
              <w:spacing w:line="360" w:lineRule="auto"/>
              <w:jc w:val="center"/>
              <w:rPr>
                <w:rFonts w:ascii="Arial" w:hAnsi="Arial" w:cs="Arial"/>
                <w:b/>
                <w:bCs/>
                <w:color w:val="FF0000"/>
              </w:rPr>
            </w:pPr>
            <w:r w:rsidRPr="00A2645F">
              <w:rPr>
                <w:rFonts w:ascii="Arial" w:hAnsi="Arial" w:cs="Arial"/>
                <w:b/>
                <w:bCs/>
                <w:color w:val="FF0000"/>
              </w:rPr>
              <w:t>Impact</w:t>
            </w:r>
          </w:p>
        </w:tc>
      </w:tr>
      <w:tr w:rsidR="00036F9A" w:rsidRPr="00A2645F" w:rsidTr="00F057DB">
        <w:tc>
          <w:tcPr>
            <w:tcW w:w="4508" w:type="dxa"/>
            <w:vAlign w:val="center"/>
          </w:tcPr>
          <w:p w:rsidR="00036F9A" w:rsidRPr="00A2645F" w:rsidRDefault="00036F9A" w:rsidP="00A2645F">
            <w:pPr>
              <w:spacing w:line="360" w:lineRule="auto"/>
              <w:rPr>
                <w:rFonts w:ascii="Arial" w:hAnsi="Arial" w:cs="Arial"/>
              </w:rPr>
            </w:pPr>
            <w:r w:rsidRPr="00A2645F">
              <w:rPr>
                <w:rStyle w:val="Strong"/>
                <w:rFonts w:ascii="Arial" w:hAnsi="Arial" w:cs="Arial"/>
              </w:rPr>
              <w:t>Economic</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Optimising revenue and controlling costs</w:t>
            </w:r>
          </w:p>
        </w:tc>
      </w:tr>
      <w:tr w:rsidR="00036F9A" w:rsidRPr="00A2645F" w:rsidTr="00F057DB">
        <w:tc>
          <w:tcPr>
            <w:tcW w:w="4508" w:type="dxa"/>
            <w:vAlign w:val="center"/>
          </w:tcPr>
          <w:p w:rsidR="00036F9A" w:rsidRPr="00A2645F" w:rsidRDefault="00036F9A" w:rsidP="00A2645F">
            <w:pPr>
              <w:spacing w:line="360" w:lineRule="auto"/>
              <w:rPr>
                <w:rFonts w:ascii="Arial" w:hAnsi="Arial" w:cs="Arial"/>
              </w:rPr>
            </w:pPr>
            <w:r w:rsidRPr="00A2645F">
              <w:rPr>
                <w:rStyle w:val="Strong"/>
                <w:rFonts w:ascii="Arial" w:hAnsi="Arial" w:cs="Arial"/>
              </w:rPr>
              <w:t>Social</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Better health results and well-being of end users</w:t>
            </w:r>
          </w:p>
        </w:tc>
      </w:tr>
      <w:tr w:rsidR="00036F9A" w:rsidRPr="00A2645F" w:rsidTr="00F057DB">
        <w:tc>
          <w:tcPr>
            <w:tcW w:w="4508" w:type="dxa"/>
            <w:vAlign w:val="center"/>
          </w:tcPr>
          <w:p w:rsidR="00036F9A" w:rsidRPr="00A2645F" w:rsidRDefault="00036F9A" w:rsidP="00A2645F">
            <w:pPr>
              <w:spacing w:line="360" w:lineRule="auto"/>
              <w:rPr>
                <w:rFonts w:ascii="Arial" w:hAnsi="Arial" w:cs="Arial"/>
              </w:rPr>
            </w:pPr>
            <w:r w:rsidRPr="00A2645F">
              <w:rPr>
                <w:rStyle w:val="Strong"/>
                <w:rFonts w:ascii="Arial" w:hAnsi="Arial" w:cs="Arial"/>
              </w:rPr>
              <w:t>Environmental</w:t>
            </w:r>
          </w:p>
        </w:tc>
        <w:tc>
          <w:tcPr>
            <w:tcW w:w="4508" w:type="dxa"/>
          </w:tcPr>
          <w:p w:rsidR="00036F9A" w:rsidRPr="00A2645F" w:rsidRDefault="00036F9A" w:rsidP="00A2645F">
            <w:pPr>
              <w:spacing w:line="360" w:lineRule="auto"/>
              <w:rPr>
                <w:rFonts w:ascii="Arial" w:hAnsi="Arial" w:cs="Arial"/>
              </w:rPr>
            </w:pPr>
            <w:r w:rsidRPr="00A2645F">
              <w:rPr>
                <w:rFonts w:ascii="Arial" w:hAnsi="Arial" w:cs="Arial"/>
              </w:rPr>
              <w:t>Sustainable procurement from vendors</w:t>
            </w:r>
          </w:p>
        </w:tc>
      </w:tr>
    </w:tbl>
    <w:p w:rsidR="00237410" w:rsidRPr="00A2645F" w:rsidRDefault="00237410" w:rsidP="00A2645F">
      <w:pPr>
        <w:spacing w:line="360" w:lineRule="auto"/>
        <w:rPr>
          <w:rFonts w:ascii="Arial" w:hAnsi="Arial" w:cs="Arial"/>
        </w:rPr>
      </w:pPr>
    </w:p>
    <w:p w:rsidR="00036F9A" w:rsidRDefault="00036F9A" w:rsidP="00A2645F">
      <w:pPr>
        <w:spacing w:after="0" w:line="360" w:lineRule="auto"/>
        <w:rPr>
          <w:rFonts w:ascii="Arial" w:eastAsia="Times New Roman" w:hAnsi="Arial" w:cs="Arial"/>
          <w:lang w:eastAsia="en-GB"/>
        </w:rPr>
      </w:pPr>
      <w:r w:rsidRPr="00036F9A">
        <w:rPr>
          <w:rFonts w:ascii="Arial" w:eastAsia="Times New Roman" w:hAnsi="Arial" w:cs="Arial"/>
          <w:lang w:eastAsia="en-GB"/>
        </w:rPr>
        <w:t>For a health device company like Fitbit, the social component is particularly crucial because improved stakeholder engagement leads to improved health monitoring services that support public wellness.</w:t>
      </w:r>
    </w:p>
    <w:p w:rsidR="00D81807" w:rsidRPr="00036F9A" w:rsidRDefault="00D81807" w:rsidP="00A2645F">
      <w:pPr>
        <w:spacing w:after="0" w:line="360" w:lineRule="auto"/>
        <w:rPr>
          <w:rFonts w:ascii="Arial" w:eastAsia="Times New Roman" w:hAnsi="Arial" w:cs="Arial"/>
          <w:lang w:eastAsia="en-GB"/>
        </w:rPr>
      </w:pPr>
    </w:p>
    <w:p w:rsidR="00D90E17" w:rsidRPr="00A2645F" w:rsidRDefault="00D90E17" w:rsidP="00A2645F">
      <w:pPr>
        <w:pStyle w:val="Heading2"/>
        <w:spacing w:line="360" w:lineRule="auto"/>
        <w:rPr>
          <w:rFonts w:ascii="Arial" w:eastAsiaTheme="minorHAnsi" w:hAnsi="Arial" w:cs="Arial"/>
          <w:color w:val="auto"/>
          <w:sz w:val="22"/>
          <w:szCs w:val="22"/>
        </w:rPr>
      </w:pPr>
    </w:p>
    <w:p w:rsidR="00F254CA" w:rsidRPr="00A2645F" w:rsidRDefault="00F254CA" w:rsidP="00A2645F">
      <w:pPr>
        <w:pStyle w:val="Heading2"/>
        <w:spacing w:line="360" w:lineRule="auto"/>
        <w:rPr>
          <w:rStyle w:val="Strong"/>
          <w:rFonts w:ascii="Arial" w:hAnsi="Arial" w:cs="Arial"/>
          <w:b w:val="0"/>
          <w:bCs w:val="0"/>
          <w:sz w:val="22"/>
          <w:szCs w:val="22"/>
        </w:rPr>
      </w:pPr>
      <w:r w:rsidRPr="00A2645F">
        <w:rPr>
          <w:rStyle w:val="Strong"/>
          <w:rFonts w:ascii="Arial" w:hAnsi="Arial" w:cs="Arial"/>
          <w:b w:val="0"/>
          <w:bCs w:val="0"/>
          <w:sz w:val="22"/>
          <w:szCs w:val="22"/>
        </w:rPr>
        <w:t>Challenges and Limitations</w:t>
      </w:r>
    </w:p>
    <w:p w:rsidR="00F16085" w:rsidRPr="00A2645F" w:rsidRDefault="00F16085" w:rsidP="00A2645F">
      <w:pPr>
        <w:spacing w:line="360" w:lineRule="auto"/>
        <w:rPr>
          <w:rFonts w:ascii="Arial" w:hAnsi="Arial" w:cs="Arial"/>
        </w:rPr>
      </w:pPr>
    </w:p>
    <w:p w:rsidR="00036F9A" w:rsidRPr="00036F9A" w:rsidRDefault="00036F9A" w:rsidP="00A80FD3">
      <w:pPr>
        <w:spacing w:after="0" w:line="360" w:lineRule="auto"/>
        <w:ind w:firstLine="720"/>
        <w:jc w:val="both"/>
        <w:rPr>
          <w:rFonts w:ascii="Arial" w:eastAsia="Times New Roman" w:hAnsi="Arial" w:cs="Arial"/>
          <w:lang w:eastAsia="en-GB"/>
        </w:rPr>
      </w:pPr>
      <w:r w:rsidRPr="00036F9A">
        <w:rPr>
          <w:rFonts w:ascii="Arial" w:eastAsia="Times New Roman" w:hAnsi="Arial" w:cs="Arial"/>
          <w:lang w:eastAsia="en-GB"/>
        </w:rPr>
        <w:t xml:space="preserve">Despite these benefits, stakeholder participation can bring challenges like conflicting interests, communication overload, and resistance to change. Some stakeholders' excessive involvement could slow down decision-making. For instance, if a regulatory response requires design changes, the project lead time may be prolonged. </w:t>
      </w:r>
      <w:r w:rsidRPr="00036F9A">
        <w:rPr>
          <w:rFonts w:ascii="Arial" w:eastAsia="Times New Roman" w:hAnsi="Arial" w:cs="Arial"/>
          <w:lang w:eastAsia="en-GB"/>
        </w:rPr>
        <w:br/>
        <w:t>To address these issues, it is recommended that Fitbit develop a stakeholder influence vs. engagement effort matrix, assess engagement success on a regular basis, and use digital collaboration platforms to minimise manual coordination efforts.</w:t>
      </w:r>
    </w:p>
    <w:p w:rsidR="00F16085" w:rsidRPr="00D81807" w:rsidRDefault="00036F9A" w:rsidP="00A80FD3">
      <w:pPr>
        <w:spacing w:after="0" w:line="360" w:lineRule="auto"/>
        <w:ind w:firstLine="720"/>
        <w:jc w:val="both"/>
        <w:rPr>
          <w:rStyle w:val="Strong"/>
          <w:rFonts w:ascii="Arial" w:eastAsia="Times New Roman" w:hAnsi="Arial" w:cs="Arial"/>
          <w:b w:val="0"/>
          <w:bCs w:val="0"/>
          <w:lang w:eastAsia="en-GB"/>
        </w:rPr>
      </w:pPr>
      <w:r w:rsidRPr="00036F9A">
        <w:rPr>
          <w:rFonts w:ascii="Arial" w:eastAsia="Times New Roman" w:hAnsi="Arial" w:cs="Arial"/>
          <w:lang w:eastAsia="en-GB"/>
        </w:rPr>
        <w:t xml:space="preserve">In conclusion, effective stakeholder engagement significantly enhances business performance by promoting innovation, reducing risk, increasing customer satisfaction, and supporting regulatory compliance. Combining </w:t>
      </w:r>
      <w:proofErr w:type="gramStart"/>
      <w:r w:rsidRPr="00036F9A">
        <w:rPr>
          <w:rFonts w:ascii="Arial" w:eastAsia="Times New Roman" w:hAnsi="Arial" w:cs="Arial"/>
          <w:lang w:eastAsia="en-GB"/>
        </w:rPr>
        <w:t>Agile</w:t>
      </w:r>
      <w:proofErr w:type="gramEnd"/>
      <w:r w:rsidRPr="00036F9A">
        <w:rPr>
          <w:rFonts w:ascii="Arial" w:eastAsia="Times New Roman" w:hAnsi="Arial" w:cs="Arial"/>
          <w:lang w:eastAsia="en-GB"/>
        </w:rPr>
        <w:t xml:space="preserve"> techniques, 4Cs conflict resolution, and structured stakeholder models improves project success. </w:t>
      </w:r>
      <w:r w:rsidRPr="00036F9A">
        <w:rPr>
          <w:rFonts w:ascii="Arial" w:eastAsia="Times New Roman" w:hAnsi="Arial" w:cs="Arial"/>
          <w:lang w:eastAsia="en-GB"/>
        </w:rPr>
        <w:br/>
        <w:t>Effective stakeholder involvement improves Fitbit's long-term financial performance and competitiveness, according to research. Consequently, participation is now a strategic necessity rather than an operational choice.</w:t>
      </w: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 xml:space="preserve">Recommendations to Further Engage Stakeholders </w:t>
      </w:r>
    </w:p>
    <w:p w:rsidR="00036F9A" w:rsidRPr="00036F9A" w:rsidRDefault="00036F9A" w:rsidP="00D81807">
      <w:pPr>
        <w:spacing w:after="0" w:line="360" w:lineRule="auto"/>
        <w:ind w:firstLine="720"/>
        <w:rPr>
          <w:rFonts w:ascii="Arial" w:eastAsia="Times New Roman" w:hAnsi="Arial" w:cs="Arial"/>
          <w:lang w:eastAsia="en-GB"/>
        </w:rPr>
      </w:pPr>
      <w:r w:rsidRPr="00036F9A">
        <w:rPr>
          <w:rFonts w:ascii="Arial" w:eastAsia="Times New Roman" w:hAnsi="Arial" w:cs="Arial"/>
          <w:lang w:eastAsia="en-GB"/>
        </w:rPr>
        <w:t xml:space="preserve">To increase stakeholder involvement and help Fitbit's new wearable health device launch successfully, several strategic recommendations are made. </w:t>
      </w:r>
      <w:r w:rsidRPr="00036F9A">
        <w:rPr>
          <w:rFonts w:ascii="Arial" w:eastAsia="Times New Roman" w:hAnsi="Arial" w:cs="Arial"/>
          <w:lang w:eastAsia="en-GB"/>
        </w:rPr>
        <w:br/>
        <w:t xml:space="preserve">1. Establish a stakeholder engagement dashboard </w:t>
      </w:r>
      <w:r w:rsidRPr="00036F9A">
        <w:rPr>
          <w:rFonts w:ascii="Arial" w:eastAsia="Times New Roman" w:hAnsi="Arial" w:cs="Arial"/>
          <w:lang w:eastAsia="en-GB"/>
        </w:rPr>
        <w:br/>
        <w:t xml:space="preserve">Fitbit ought to put in place a digital engagement dashboard that uses Jira or Power BI to monitor engagement activities, stakeholder responsiveness, and risk indicators. This promotes transparency and enables real-time monitoring of disagreements and unresolved issues. </w:t>
      </w:r>
      <w:r w:rsidRPr="00036F9A">
        <w:rPr>
          <w:rFonts w:ascii="Arial" w:eastAsia="Times New Roman" w:hAnsi="Arial" w:cs="Arial"/>
          <w:lang w:eastAsia="en-GB"/>
        </w:rPr>
        <w:br/>
        <w:t xml:space="preserve">2. Assess the level of stakeholder engagement. </w:t>
      </w:r>
      <w:r w:rsidRPr="00036F9A">
        <w:rPr>
          <w:rFonts w:ascii="Arial" w:eastAsia="Times New Roman" w:hAnsi="Arial" w:cs="Arial"/>
          <w:lang w:eastAsia="en-GB"/>
        </w:rPr>
        <w:br/>
        <w:t>A maturity model will be used each quarter to assess the effectiveness of engagement strategies. It is important to evaluate stakeholder satisfaction, communication consistency, and contribution to project milestones.</w:t>
      </w:r>
    </w:p>
    <w:p w:rsidR="00036F9A" w:rsidRPr="00036F9A" w:rsidRDefault="00036F9A" w:rsidP="00A2645F">
      <w:pPr>
        <w:spacing w:after="0" w:line="360" w:lineRule="auto"/>
        <w:rPr>
          <w:rFonts w:ascii="Arial" w:eastAsia="Times New Roman" w:hAnsi="Arial" w:cs="Arial"/>
          <w:lang w:eastAsia="en-GB"/>
        </w:rPr>
      </w:pPr>
      <w:r w:rsidRPr="00036F9A">
        <w:rPr>
          <w:rFonts w:ascii="Arial" w:eastAsia="Times New Roman" w:hAnsi="Arial" w:cs="Arial"/>
          <w:lang w:eastAsia="en-GB"/>
        </w:rPr>
        <w:t xml:space="preserve">3. Conduct Regular Co-Design Workshops </w:t>
      </w:r>
      <w:r w:rsidRPr="00036F9A">
        <w:rPr>
          <w:rFonts w:ascii="Arial" w:eastAsia="Times New Roman" w:hAnsi="Arial" w:cs="Arial"/>
          <w:lang w:eastAsia="en-GB"/>
        </w:rPr>
        <w:br/>
        <w:t xml:space="preserve">Participation in organised co-design sessions by key internal teams (R&amp;D, IT) and external stakeholders (NHS specialists, customers) increases innovation and market relevance. This collaborative approach supports improved feature development and early risk detection. </w:t>
      </w:r>
      <w:r w:rsidRPr="00036F9A">
        <w:rPr>
          <w:rFonts w:ascii="Arial" w:eastAsia="Times New Roman" w:hAnsi="Arial" w:cs="Arial"/>
          <w:lang w:eastAsia="en-GB"/>
        </w:rPr>
        <w:br/>
        <w:t xml:space="preserve">4. Create a Structure for Resolving Conflicts </w:t>
      </w:r>
      <w:r w:rsidRPr="00036F9A">
        <w:rPr>
          <w:rFonts w:ascii="Arial" w:eastAsia="Times New Roman" w:hAnsi="Arial" w:cs="Arial"/>
          <w:lang w:eastAsia="en-GB"/>
        </w:rPr>
        <w:br/>
        <w:t xml:space="preserve">The 4Cs Model (communication, coordination, cooperation, and collaboration) should be </w:t>
      </w:r>
      <w:r w:rsidRPr="00036F9A">
        <w:rPr>
          <w:rFonts w:ascii="Arial" w:eastAsia="Times New Roman" w:hAnsi="Arial" w:cs="Arial"/>
          <w:lang w:eastAsia="en-GB"/>
        </w:rPr>
        <w:lastRenderedPageBreak/>
        <w:t xml:space="preserve">incorporated into project governance procedures. This should include mediation guidelines, escalation protocols, and scenario-based conflict simulations. </w:t>
      </w:r>
      <w:r w:rsidRPr="00036F9A">
        <w:rPr>
          <w:rFonts w:ascii="Arial" w:eastAsia="Times New Roman" w:hAnsi="Arial" w:cs="Arial"/>
          <w:lang w:eastAsia="en-GB"/>
        </w:rPr>
        <w:br/>
        <w:t xml:space="preserve">5. Strengthen Feedback Loops </w:t>
      </w:r>
      <w:r w:rsidRPr="00036F9A">
        <w:rPr>
          <w:rFonts w:ascii="Arial" w:eastAsia="Times New Roman" w:hAnsi="Arial" w:cs="Arial"/>
          <w:lang w:eastAsia="en-GB"/>
        </w:rPr>
        <w:br/>
        <w:t xml:space="preserve">Create official feedback channels such as biweekly stakeholder review sessions, post-engagement questionnaires, and end-user testing cycles. </w:t>
      </w:r>
      <w:r w:rsidRPr="00036F9A">
        <w:rPr>
          <w:rFonts w:ascii="Arial" w:eastAsia="Times New Roman" w:hAnsi="Arial" w:cs="Arial"/>
          <w:lang w:eastAsia="en-GB"/>
        </w:rPr>
        <w:br/>
        <w:t>This ensures continued growth and promotes trust-based collaborations (Ashcroft, 2017).</w:t>
      </w:r>
    </w:p>
    <w:p w:rsidR="00036F9A" w:rsidRPr="00036F9A" w:rsidRDefault="00036F9A" w:rsidP="00A2645F">
      <w:pPr>
        <w:spacing w:after="0" w:line="360" w:lineRule="auto"/>
        <w:rPr>
          <w:rFonts w:ascii="Arial" w:eastAsia="Times New Roman" w:hAnsi="Arial" w:cs="Arial"/>
          <w:lang w:eastAsia="en-GB"/>
        </w:rPr>
      </w:pPr>
      <w:r w:rsidRPr="00036F9A">
        <w:rPr>
          <w:rFonts w:ascii="Arial" w:eastAsia="Times New Roman" w:hAnsi="Arial" w:cs="Arial"/>
          <w:lang w:eastAsia="en-GB"/>
        </w:rPr>
        <w:t xml:space="preserve">6. Boost Knowledge and Awareness </w:t>
      </w:r>
      <w:r w:rsidRPr="00036F9A">
        <w:rPr>
          <w:rFonts w:ascii="Arial" w:eastAsia="Times New Roman" w:hAnsi="Arial" w:cs="Arial"/>
          <w:lang w:eastAsia="en-GB"/>
        </w:rPr>
        <w:br/>
        <w:t xml:space="preserve">Specialised stakeholder interaction training with a focus on emotional intelligence, negotiation, regulatory alignment, and </w:t>
      </w:r>
      <w:proofErr w:type="gramStart"/>
      <w:r w:rsidRPr="00036F9A">
        <w:rPr>
          <w:rFonts w:ascii="Arial" w:eastAsia="Times New Roman" w:hAnsi="Arial" w:cs="Arial"/>
          <w:lang w:eastAsia="en-GB"/>
        </w:rPr>
        <w:t>Agile</w:t>
      </w:r>
      <w:proofErr w:type="gramEnd"/>
      <w:r w:rsidRPr="00036F9A">
        <w:rPr>
          <w:rFonts w:ascii="Arial" w:eastAsia="Times New Roman" w:hAnsi="Arial" w:cs="Arial"/>
          <w:lang w:eastAsia="en-GB"/>
        </w:rPr>
        <w:t xml:space="preserve"> leadership should be provided to project leads and team representatives. </w:t>
      </w:r>
      <w:r w:rsidRPr="00036F9A">
        <w:rPr>
          <w:rFonts w:ascii="Arial" w:eastAsia="Times New Roman" w:hAnsi="Arial" w:cs="Arial"/>
          <w:lang w:eastAsia="en-GB"/>
        </w:rPr>
        <w:br/>
        <w:t xml:space="preserve">7. Encourage Extended Partnerships </w:t>
      </w:r>
      <w:r w:rsidRPr="00036F9A">
        <w:rPr>
          <w:rFonts w:ascii="Arial" w:eastAsia="Times New Roman" w:hAnsi="Arial" w:cs="Arial"/>
          <w:lang w:eastAsia="en-GB"/>
        </w:rPr>
        <w:br/>
        <w:t xml:space="preserve">After the product launch, Fitbit should look to establish collaborative partnerships with healthcare facilities and research organisations to enhance the product's credibility and clinical integration. </w:t>
      </w:r>
      <w:r w:rsidRPr="00036F9A">
        <w:rPr>
          <w:rFonts w:ascii="Arial" w:eastAsia="Times New Roman" w:hAnsi="Arial" w:cs="Arial"/>
          <w:lang w:eastAsia="en-GB"/>
        </w:rPr>
        <w:br/>
        <w:t>Implementing these recommendations will enhance stakeholder alignment, reduce the possibility of conflicts, and boost strategic value—all of which will support project completion success and the organization's long-term performance.</w:t>
      </w:r>
    </w:p>
    <w:p w:rsidR="00F16085" w:rsidRPr="00A2645F" w:rsidRDefault="00F16085" w:rsidP="00A2645F">
      <w:pPr>
        <w:spacing w:before="100" w:beforeAutospacing="1" w:after="100" w:afterAutospacing="1" w:line="360" w:lineRule="auto"/>
        <w:outlineLvl w:val="0"/>
        <w:rPr>
          <w:rFonts w:ascii="Arial" w:eastAsia="Times New Roman" w:hAnsi="Arial" w:cs="Arial"/>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lang w:eastAsia="en-GB"/>
        </w:rPr>
      </w:pPr>
    </w:p>
    <w:p w:rsidR="00FF6846" w:rsidRPr="00A2645F" w:rsidRDefault="00FF6846" w:rsidP="00A2645F">
      <w:pPr>
        <w:spacing w:before="100" w:beforeAutospacing="1" w:after="100" w:afterAutospacing="1" w:line="360" w:lineRule="auto"/>
        <w:outlineLvl w:val="0"/>
        <w:rPr>
          <w:rFonts w:ascii="Arial" w:eastAsia="Times New Roman" w:hAnsi="Arial" w:cs="Arial"/>
          <w:lang w:eastAsia="en-GB"/>
        </w:rPr>
      </w:pPr>
    </w:p>
    <w:p w:rsidR="00D90E17" w:rsidRDefault="00D90E1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D81807" w:rsidRPr="00A2645F" w:rsidRDefault="00D81807" w:rsidP="00A2645F">
      <w:pPr>
        <w:spacing w:before="100" w:beforeAutospacing="1" w:after="100" w:afterAutospacing="1" w:line="360" w:lineRule="auto"/>
        <w:outlineLvl w:val="0"/>
        <w:rPr>
          <w:rFonts w:ascii="Arial" w:eastAsia="Times New Roman" w:hAnsi="Arial" w:cs="Arial"/>
          <w:b/>
          <w:bCs/>
          <w:kern w:val="36"/>
          <w:lang w:eastAsia="en-GB"/>
        </w:rPr>
      </w:pPr>
    </w:p>
    <w:p w:rsidR="00F254CA" w:rsidRPr="00A2645F" w:rsidRDefault="00F254CA" w:rsidP="00A2645F">
      <w:pPr>
        <w:spacing w:before="100" w:beforeAutospacing="1" w:after="100" w:afterAutospacing="1" w:line="360" w:lineRule="auto"/>
        <w:outlineLvl w:val="0"/>
        <w:rPr>
          <w:rFonts w:ascii="Arial" w:eastAsia="Times New Roman" w:hAnsi="Arial" w:cs="Arial"/>
          <w:b/>
          <w:bCs/>
          <w:kern w:val="36"/>
          <w:lang w:eastAsia="en-GB"/>
        </w:rPr>
      </w:pPr>
      <w:r w:rsidRPr="00A2645F">
        <w:rPr>
          <w:rFonts w:ascii="Arial" w:eastAsia="Times New Roman" w:hAnsi="Arial" w:cs="Arial"/>
          <w:b/>
          <w:bCs/>
          <w:kern w:val="36"/>
          <w:lang w:eastAsia="en-GB"/>
        </w:rPr>
        <w:lastRenderedPageBreak/>
        <w:t xml:space="preserve"> Conclusion </w:t>
      </w:r>
    </w:p>
    <w:p w:rsidR="00036F9A" w:rsidRPr="00036F9A" w:rsidRDefault="00036F9A" w:rsidP="00D81807">
      <w:pPr>
        <w:spacing w:after="0" w:line="360" w:lineRule="auto"/>
        <w:ind w:firstLine="720"/>
        <w:rPr>
          <w:rFonts w:ascii="Arial" w:eastAsia="Times New Roman" w:hAnsi="Arial" w:cs="Arial"/>
          <w:lang w:eastAsia="en-GB"/>
        </w:rPr>
      </w:pPr>
      <w:r w:rsidRPr="00036F9A">
        <w:rPr>
          <w:rFonts w:ascii="Arial" w:eastAsia="Times New Roman" w:hAnsi="Arial" w:cs="Arial"/>
          <w:lang w:eastAsia="en-GB"/>
        </w:rPr>
        <w:t>Effective stakeholder participation is essential for complex projects like Fitbit's launch of a new wearable health device to be successfully started, carried out, and finished. Despite the device's enormous technological and commercial potential, the analysis has revealed that its success largely depends on the coordinated involvement of internal and external stakeholders, such as R&amp;D, marketing, suppliers, regulatory bodies, healthcare professionals, and end users. A comprehensive engagement plan ensures that stakeholders remain informed, engaged, and aligned with strategic objectives. Models such as the Communication Plan, RACI Framework, and Stakeholder Matrix support it.</w:t>
      </w:r>
    </w:p>
    <w:p w:rsidR="00036F9A" w:rsidRPr="00036F9A" w:rsidRDefault="00036F9A" w:rsidP="00D81807">
      <w:pPr>
        <w:spacing w:after="0" w:line="360" w:lineRule="auto"/>
        <w:ind w:firstLine="720"/>
        <w:rPr>
          <w:rFonts w:ascii="Arial" w:eastAsia="Times New Roman" w:hAnsi="Arial" w:cs="Arial"/>
          <w:lang w:eastAsia="en-GB"/>
        </w:rPr>
      </w:pPr>
      <w:r w:rsidRPr="00036F9A">
        <w:rPr>
          <w:rFonts w:ascii="Arial" w:eastAsia="Times New Roman" w:hAnsi="Arial" w:cs="Arial"/>
          <w:lang w:eastAsia="en-GB"/>
        </w:rPr>
        <w:t xml:space="preserve">By promoting interdepartmental cooperation and proactive problem solving, the 4Cs model—Communication, Coordination, Cooperation, and Collaboration—offers a powerful approach to managing conflicts. Involving stakeholders in the design, testing, and marketing phases enhances customer satisfaction, product quality, and innovation—all of which improve market readiness. </w:t>
      </w:r>
      <w:r w:rsidRPr="00036F9A">
        <w:rPr>
          <w:rFonts w:ascii="Arial" w:eastAsia="Times New Roman" w:hAnsi="Arial" w:cs="Arial"/>
          <w:lang w:eastAsia="en-GB"/>
        </w:rPr>
        <w:br/>
        <w:t>Evaluation of engagement outcomes directly improves project performance, time management, and business sustainability. Regulators and investors are more trusting when stakeholders consistently work together to reduce risk and improve decision-making effectiveness.</w:t>
      </w:r>
    </w:p>
    <w:p w:rsidR="00D81807" w:rsidRDefault="00036F9A" w:rsidP="00D81807">
      <w:pPr>
        <w:spacing w:after="0" w:line="360" w:lineRule="auto"/>
        <w:ind w:firstLine="720"/>
        <w:rPr>
          <w:rFonts w:ascii="Arial" w:eastAsia="Times New Roman" w:hAnsi="Arial" w:cs="Arial"/>
          <w:lang w:eastAsia="en-GB"/>
        </w:rPr>
      </w:pPr>
      <w:r w:rsidRPr="00036F9A">
        <w:rPr>
          <w:rFonts w:ascii="Arial" w:eastAsia="Times New Roman" w:hAnsi="Arial" w:cs="Arial"/>
          <w:lang w:eastAsia="en-GB"/>
        </w:rPr>
        <w:t xml:space="preserve">The research also highlights the need for adaptive involvement, feedback loops, and digital cooperation to ensure dynamic responsiveness to issues. By implementing the suggestions, which include stakeholder workshops, real-time tracking tools, and training, engagement will be further enhanced. </w:t>
      </w:r>
      <w:r w:rsidRPr="00036F9A">
        <w:rPr>
          <w:rFonts w:ascii="Arial" w:eastAsia="Times New Roman" w:hAnsi="Arial" w:cs="Arial"/>
          <w:lang w:eastAsia="en-GB"/>
        </w:rPr>
        <w:br/>
      </w:r>
    </w:p>
    <w:p w:rsidR="00036F9A" w:rsidRPr="00036F9A" w:rsidRDefault="00036F9A" w:rsidP="00D81807">
      <w:pPr>
        <w:spacing w:after="0" w:line="360" w:lineRule="auto"/>
        <w:ind w:firstLine="720"/>
        <w:rPr>
          <w:rFonts w:ascii="Arial" w:eastAsia="Times New Roman" w:hAnsi="Arial" w:cs="Arial"/>
          <w:lang w:eastAsia="en-GB"/>
        </w:rPr>
      </w:pPr>
      <w:r w:rsidRPr="00036F9A">
        <w:rPr>
          <w:rFonts w:ascii="Arial" w:eastAsia="Times New Roman" w:hAnsi="Arial" w:cs="Arial"/>
          <w:lang w:eastAsia="en-GB"/>
        </w:rPr>
        <w:t>In conclusion, stakeholder engagement is not only a project management requirement but also a strategic necessity that promotes innovation and competitive advantage. By adopting collaborative techniques and aligning stakeholder interests, Fitbit is positioned to produce a successful, market-ready product within the launch timeline.</w:t>
      </w:r>
    </w:p>
    <w:p w:rsidR="00D90E17" w:rsidRPr="00A2645F" w:rsidRDefault="00D90E17" w:rsidP="00A2645F">
      <w:pPr>
        <w:pStyle w:val="Heading1"/>
        <w:spacing w:line="360" w:lineRule="auto"/>
        <w:rPr>
          <w:rStyle w:val="Strong"/>
          <w:rFonts w:ascii="Arial" w:hAnsi="Arial" w:cs="Arial"/>
          <w:b/>
          <w:bCs/>
          <w:sz w:val="22"/>
          <w:szCs w:val="22"/>
        </w:rPr>
      </w:pPr>
    </w:p>
    <w:p w:rsidR="00D90E17" w:rsidRPr="00A2645F" w:rsidRDefault="00D90E17" w:rsidP="00A2645F">
      <w:pPr>
        <w:pStyle w:val="Heading1"/>
        <w:spacing w:line="360" w:lineRule="auto"/>
        <w:rPr>
          <w:rStyle w:val="Strong"/>
          <w:rFonts w:ascii="Arial" w:hAnsi="Arial" w:cs="Arial"/>
          <w:b/>
          <w:bCs/>
          <w:sz w:val="22"/>
          <w:szCs w:val="22"/>
        </w:rPr>
      </w:pPr>
    </w:p>
    <w:p w:rsidR="00D90E17" w:rsidRPr="00A2645F" w:rsidRDefault="00D90E17" w:rsidP="00A2645F">
      <w:pPr>
        <w:pStyle w:val="Heading1"/>
        <w:spacing w:line="360" w:lineRule="auto"/>
        <w:rPr>
          <w:rStyle w:val="Strong"/>
          <w:rFonts w:ascii="Arial" w:hAnsi="Arial" w:cs="Arial"/>
          <w:b/>
          <w:bCs/>
          <w:sz w:val="22"/>
          <w:szCs w:val="22"/>
        </w:rPr>
      </w:pPr>
    </w:p>
    <w:p w:rsidR="00F16085" w:rsidRPr="00A2645F" w:rsidRDefault="00F16085" w:rsidP="00A2645F">
      <w:pPr>
        <w:pStyle w:val="Heading1"/>
        <w:spacing w:line="360" w:lineRule="auto"/>
        <w:rPr>
          <w:rStyle w:val="Strong"/>
          <w:rFonts w:ascii="Arial" w:hAnsi="Arial" w:cs="Arial"/>
          <w:b/>
          <w:bCs/>
          <w:sz w:val="22"/>
          <w:szCs w:val="22"/>
        </w:rPr>
      </w:pPr>
    </w:p>
    <w:p w:rsidR="00FF6846" w:rsidRPr="00A2645F" w:rsidRDefault="00FF6846" w:rsidP="00A2645F">
      <w:pPr>
        <w:pStyle w:val="Heading1"/>
        <w:spacing w:line="360" w:lineRule="auto"/>
        <w:rPr>
          <w:rStyle w:val="Strong"/>
          <w:rFonts w:ascii="Arial" w:hAnsi="Arial" w:cs="Arial"/>
          <w:b/>
          <w:bCs/>
          <w:sz w:val="22"/>
          <w:szCs w:val="22"/>
        </w:rPr>
      </w:pPr>
    </w:p>
    <w:p w:rsidR="00FF6846" w:rsidRPr="00A2645F" w:rsidRDefault="00FF6846" w:rsidP="00A2645F">
      <w:pPr>
        <w:pStyle w:val="Heading1"/>
        <w:spacing w:line="360" w:lineRule="auto"/>
        <w:rPr>
          <w:rStyle w:val="Strong"/>
          <w:rFonts w:ascii="Arial" w:hAnsi="Arial" w:cs="Arial"/>
          <w:b/>
          <w:bCs/>
          <w:sz w:val="22"/>
          <w:szCs w:val="22"/>
        </w:rPr>
      </w:pP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Reference List</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Ashcroft, J. (2017) </w:t>
      </w:r>
      <w:proofErr w:type="gramStart"/>
      <w:r w:rsidRPr="00A2645F">
        <w:rPr>
          <w:rStyle w:val="Emphasis"/>
          <w:rFonts w:ascii="Arial" w:hAnsi="Arial" w:cs="Arial"/>
          <w:sz w:val="22"/>
          <w:szCs w:val="22"/>
        </w:rPr>
        <w:t>The</w:t>
      </w:r>
      <w:proofErr w:type="gramEnd"/>
      <w:r w:rsidRPr="00A2645F">
        <w:rPr>
          <w:rStyle w:val="Emphasis"/>
          <w:rFonts w:ascii="Arial" w:hAnsi="Arial" w:cs="Arial"/>
          <w:sz w:val="22"/>
          <w:szCs w:val="22"/>
        </w:rPr>
        <w:t xml:space="preserve"> relational lens: understanding, measuring, and managing stakeholder relationships</w:t>
      </w:r>
      <w:r w:rsidRPr="00A2645F">
        <w:rPr>
          <w:rFonts w:ascii="Arial" w:hAnsi="Arial" w:cs="Arial"/>
          <w:sz w:val="22"/>
          <w:szCs w:val="22"/>
        </w:rPr>
        <w:t>. Cambridge: Cambridge University Press.</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Christopher, M., Payne, A. and Ballantyne, D. (2013) </w:t>
      </w:r>
      <w:r w:rsidRPr="00A2645F">
        <w:rPr>
          <w:rStyle w:val="Emphasis"/>
          <w:rFonts w:ascii="Arial" w:hAnsi="Arial" w:cs="Arial"/>
          <w:sz w:val="22"/>
          <w:szCs w:val="22"/>
        </w:rPr>
        <w:t>Relationship Marketing: Creating Stakeholder Value</w:t>
      </w:r>
      <w:r w:rsidRPr="00A2645F">
        <w:rPr>
          <w:rFonts w:ascii="Arial" w:hAnsi="Arial" w:cs="Arial"/>
          <w:sz w:val="22"/>
          <w:szCs w:val="22"/>
        </w:rPr>
        <w:t>. Saint Louis: Taylor and Francis.</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Ellis, C.A., Gibbs, S.J. and Rein, G.L. (1991) ‘Groupware: Some issues and experiences’, </w:t>
      </w:r>
      <w:r w:rsidRPr="00A2645F">
        <w:rPr>
          <w:rStyle w:val="Emphasis"/>
          <w:rFonts w:ascii="Arial" w:hAnsi="Arial" w:cs="Arial"/>
          <w:sz w:val="22"/>
          <w:szCs w:val="22"/>
        </w:rPr>
        <w:t>Communications of the ACM</w:t>
      </w:r>
      <w:r w:rsidRPr="00A2645F">
        <w:rPr>
          <w:rFonts w:ascii="Arial" w:hAnsi="Arial" w:cs="Arial"/>
          <w:sz w:val="22"/>
          <w:szCs w:val="22"/>
        </w:rPr>
        <w:t>, 34(1), pp. 38–58. doi:10.1145/99977.99987.</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Freeman, R.E. (1984) </w:t>
      </w:r>
      <w:r w:rsidRPr="00A2645F">
        <w:rPr>
          <w:rStyle w:val="Emphasis"/>
          <w:rFonts w:ascii="Arial" w:hAnsi="Arial" w:cs="Arial"/>
          <w:sz w:val="22"/>
          <w:szCs w:val="22"/>
        </w:rPr>
        <w:t>Strategic Management: A Stakeholder Approach</w:t>
      </w:r>
      <w:r w:rsidRPr="00A2645F">
        <w:rPr>
          <w:rFonts w:ascii="Arial" w:hAnsi="Arial" w:cs="Arial"/>
          <w:sz w:val="22"/>
          <w:szCs w:val="22"/>
        </w:rPr>
        <w:t>. Boston: Pitman.</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Mitchell, R.K., </w:t>
      </w:r>
      <w:proofErr w:type="spellStart"/>
      <w:r w:rsidRPr="00A2645F">
        <w:rPr>
          <w:rFonts w:ascii="Arial" w:hAnsi="Arial" w:cs="Arial"/>
          <w:sz w:val="22"/>
          <w:szCs w:val="22"/>
        </w:rPr>
        <w:t>Agle</w:t>
      </w:r>
      <w:proofErr w:type="spellEnd"/>
      <w:r w:rsidRPr="00A2645F">
        <w:rPr>
          <w:rFonts w:ascii="Arial" w:hAnsi="Arial" w:cs="Arial"/>
          <w:sz w:val="22"/>
          <w:szCs w:val="22"/>
        </w:rPr>
        <w:t>, B.R. and Wood, D.J. (1997) ‘</w:t>
      </w:r>
      <w:proofErr w:type="gramStart"/>
      <w:r w:rsidRPr="00A2645F">
        <w:rPr>
          <w:rFonts w:ascii="Arial" w:hAnsi="Arial" w:cs="Arial"/>
          <w:sz w:val="22"/>
          <w:szCs w:val="22"/>
        </w:rPr>
        <w:t>Toward</w:t>
      </w:r>
      <w:proofErr w:type="gramEnd"/>
      <w:r w:rsidRPr="00A2645F">
        <w:rPr>
          <w:rFonts w:ascii="Arial" w:hAnsi="Arial" w:cs="Arial"/>
          <w:sz w:val="22"/>
          <w:szCs w:val="22"/>
        </w:rPr>
        <w:t xml:space="preserve"> a theory of stakeholder identification and salience: Defining the principle of who and what really counts’, </w:t>
      </w:r>
      <w:r w:rsidRPr="00A2645F">
        <w:rPr>
          <w:rStyle w:val="Emphasis"/>
          <w:rFonts w:ascii="Arial" w:hAnsi="Arial" w:cs="Arial"/>
          <w:sz w:val="22"/>
          <w:szCs w:val="22"/>
        </w:rPr>
        <w:t>Academy of Management Review</w:t>
      </w:r>
      <w:r w:rsidRPr="00A2645F">
        <w:rPr>
          <w:rFonts w:ascii="Arial" w:hAnsi="Arial" w:cs="Arial"/>
          <w:sz w:val="22"/>
          <w:szCs w:val="22"/>
        </w:rPr>
        <w:t>, 22(4), pp. 853–886.</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PMI (2021) </w:t>
      </w:r>
      <w:r w:rsidRPr="00A2645F">
        <w:rPr>
          <w:rStyle w:val="Emphasis"/>
          <w:rFonts w:ascii="Arial" w:hAnsi="Arial" w:cs="Arial"/>
          <w:sz w:val="22"/>
          <w:szCs w:val="22"/>
        </w:rPr>
        <w:t>A Guide to the Project Management Body of Knowledge (PMBOK Guide)</w:t>
      </w:r>
      <w:r w:rsidRPr="00A2645F">
        <w:rPr>
          <w:rFonts w:ascii="Arial" w:hAnsi="Arial" w:cs="Arial"/>
          <w:sz w:val="22"/>
          <w:szCs w:val="22"/>
        </w:rPr>
        <w:t xml:space="preserve">. 7th </w:t>
      </w:r>
      <w:proofErr w:type="spellStart"/>
      <w:r w:rsidRPr="00A2645F">
        <w:rPr>
          <w:rFonts w:ascii="Arial" w:hAnsi="Arial" w:cs="Arial"/>
          <w:sz w:val="22"/>
          <w:szCs w:val="22"/>
        </w:rPr>
        <w:t>edn</w:t>
      </w:r>
      <w:proofErr w:type="spellEnd"/>
      <w:r w:rsidRPr="00A2645F">
        <w:rPr>
          <w:rFonts w:ascii="Arial" w:hAnsi="Arial" w:cs="Arial"/>
          <w:sz w:val="22"/>
          <w:szCs w:val="22"/>
        </w:rPr>
        <w:t>. Pennsylvania: Project Management Institute.</w:t>
      </w:r>
    </w:p>
    <w:p w:rsidR="00F254CA" w:rsidRPr="00A2645F" w:rsidRDefault="00F254CA" w:rsidP="00A2645F">
      <w:pPr>
        <w:pStyle w:val="NormalWeb"/>
        <w:spacing w:line="360" w:lineRule="auto"/>
        <w:rPr>
          <w:rFonts w:ascii="Arial" w:hAnsi="Arial" w:cs="Arial"/>
          <w:sz w:val="22"/>
          <w:szCs w:val="22"/>
        </w:rPr>
      </w:pPr>
      <w:proofErr w:type="spellStart"/>
      <w:r w:rsidRPr="00A2645F">
        <w:rPr>
          <w:rFonts w:ascii="Arial" w:hAnsi="Arial" w:cs="Arial"/>
          <w:sz w:val="22"/>
          <w:szCs w:val="22"/>
        </w:rPr>
        <w:t>Mendelow</w:t>
      </w:r>
      <w:proofErr w:type="spellEnd"/>
      <w:r w:rsidRPr="00A2645F">
        <w:rPr>
          <w:rFonts w:ascii="Arial" w:hAnsi="Arial" w:cs="Arial"/>
          <w:sz w:val="22"/>
          <w:szCs w:val="22"/>
        </w:rPr>
        <w:t>, A. (1991) ‘Stakeholder Mapping’, Proceedings of the 2nd International Conference on Information Systems. Cambridge, UK.</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Kotter, J.P. (1996) </w:t>
      </w:r>
      <w:r w:rsidRPr="00A2645F">
        <w:rPr>
          <w:rStyle w:val="Emphasis"/>
          <w:rFonts w:ascii="Arial" w:hAnsi="Arial" w:cs="Arial"/>
          <w:sz w:val="22"/>
          <w:szCs w:val="22"/>
        </w:rPr>
        <w:t>Leading Change</w:t>
      </w:r>
      <w:r w:rsidRPr="00A2645F">
        <w:rPr>
          <w:rFonts w:ascii="Arial" w:hAnsi="Arial" w:cs="Arial"/>
          <w:sz w:val="22"/>
          <w:szCs w:val="22"/>
        </w:rPr>
        <w:t>. Boston: Harvard Business Review Press.</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Johnson, G., Scholes, K. and Whittington, R. (2008) </w:t>
      </w:r>
      <w:r w:rsidRPr="00A2645F">
        <w:rPr>
          <w:rStyle w:val="Emphasis"/>
          <w:rFonts w:ascii="Arial" w:hAnsi="Arial" w:cs="Arial"/>
          <w:sz w:val="22"/>
          <w:szCs w:val="22"/>
        </w:rPr>
        <w:t>Exploring Corporate Strategy</w:t>
      </w:r>
      <w:r w:rsidRPr="00A2645F">
        <w:rPr>
          <w:rFonts w:ascii="Arial" w:hAnsi="Arial" w:cs="Arial"/>
          <w:sz w:val="22"/>
          <w:szCs w:val="22"/>
        </w:rPr>
        <w:t xml:space="preserve">. 8th </w:t>
      </w:r>
      <w:proofErr w:type="spellStart"/>
      <w:r w:rsidRPr="00A2645F">
        <w:rPr>
          <w:rFonts w:ascii="Arial" w:hAnsi="Arial" w:cs="Arial"/>
          <w:sz w:val="22"/>
          <w:szCs w:val="22"/>
        </w:rPr>
        <w:t>edn</w:t>
      </w:r>
      <w:proofErr w:type="spellEnd"/>
      <w:r w:rsidRPr="00A2645F">
        <w:rPr>
          <w:rFonts w:ascii="Arial" w:hAnsi="Arial" w:cs="Arial"/>
          <w:sz w:val="22"/>
          <w:szCs w:val="22"/>
        </w:rPr>
        <w:t>. London: Pearson.</w:t>
      </w:r>
    </w:p>
    <w:p w:rsidR="00F254CA" w:rsidRPr="00A2645F" w:rsidRDefault="00F254CA" w:rsidP="00A2645F">
      <w:pPr>
        <w:pStyle w:val="NormalWeb"/>
        <w:spacing w:line="360" w:lineRule="auto"/>
        <w:rPr>
          <w:rFonts w:ascii="Arial" w:hAnsi="Arial" w:cs="Arial"/>
          <w:sz w:val="22"/>
          <w:szCs w:val="22"/>
        </w:rPr>
      </w:pPr>
      <w:r w:rsidRPr="00A2645F">
        <w:rPr>
          <w:rFonts w:ascii="Arial" w:hAnsi="Arial" w:cs="Arial"/>
          <w:sz w:val="22"/>
          <w:szCs w:val="22"/>
        </w:rPr>
        <w:t xml:space="preserve">MacMillan, K. and Downing, S. (2019) ‘Managing stakeholder engagement in complex project environments’, </w:t>
      </w:r>
      <w:r w:rsidRPr="00A2645F">
        <w:rPr>
          <w:rStyle w:val="Emphasis"/>
          <w:rFonts w:ascii="Arial" w:hAnsi="Arial" w:cs="Arial"/>
          <w:sz w:val="22"/>
          <w:szCs w:val="22"/>
        </w:rPr>
        <w:t>International Journal of Project Management</w:t>
      </w:r>
      <w:r w:rsidRPr="00A2645F">
        <w:rPr>
          <w:rFonts w:ascii="Arial" w:hAnsi="Arial" w:cs="Arial"/>
          <w:sz w:val="22"/>
          <w:szCs w:val="22"/>
        </w:rPr>
        <w:t>, 37(3), pp. 450–462.</w:t>
      </w:r>
    </w:p>
    <w:p w:rsidR="00F254CA" w:rsidRPr="00A2645F" w:rsidRDefault="00F254CA" w:rsidP="00A2645F">
      <w:pPr>
        <w:spacing w:line="360" w:lineRule="auto"/>
        <w:rPr>
          <w:rFonts w:ascii="Arial" w:hAnsi="Arial" w:cs="Arial"/>
        </w:rPr>
      </w:pPr>
    </w:p>
    <w:p w:rsidR="0061184F" w:rsidRPr="00A2645F" w:rsidRDefault="0061184F" w:rsidP="00A2645F">
      <w:pPr>
        <w:pStyle w:val="Heading1"/>
        <w:spacing w:line="360" w:lineRule="auto"/>
        <w:rPr>
          <w:rStyle w:val="Strong"/>
          <w:rFonts w:ascii="Arial" w:hAnsi="Arial" w:cs="Arial"/>
          <w:b/>
          <w:bCs/>
          <w:sz w:val="22"/>
          <w:szCs w:val="22"/>
        </w:rPr>
      </w:pPr>
    </w:p>
    <w:p w:rsidR="0061184F" w:rsidRPr="00A2645F" w:rsidRDefault="0061184F" w:rsidP="00A2645F">
      <w:pPr>
        <w:pStyle w:val="Heading1"/>
        <w:spacing w:line="360" w:lineRule="auto"/>
        <w:rPr>
          <w:rStyle w:val="Strong"/>
          <w:rFonts w:ascii="Arial" w:hAnsi="Arial" w:cs="Arial"/>
          <w:b/>
          <w:bCs/>
          <w:sz w:val="22"/>
          <w:szCs w:val="22"/>
        </w:rPr>
      </w:pPr>
    </w:p>
    <w:p w:rsidR="0061184F" w:rsidRPr="00A2645F" w:rsidRDefault="0061184F" w:rsidP="00A2645F">
      <w:pPr>
        <w:pStyle w:val="Heading1"/>
        <w:spacing w:line="360" w:lineRule="auto"/>
        <w:rPr>
          <w:rStyle w:val="Strong"/>
          <w:rFonts w:ascii="Arial" w:hAnsi="Arial" w:cs="Arial"/>
          <w:b/>
          <w:bCs/>
          <w:sz w:val="22"/>
          <w:szCs w:val="22"/>
        </w:rPr>
      </w:pPr>
    </w:p>
    <w:p w:rsidR="0061184F" w:rsidRPr="00A2645F" w:rsidRDefault="0061184F" w:rsidP="00A2645F">
      <w:pPr>
        <w:pStyle w:val="Heading1"/>
        <w:spacing w:line="360" w:lineRule="auto"/>
        <w:rPr>
          <w:rStyle w:val="Strong"/>
          <w:rFonts w:ascii="Arial" w:hAnsi="Arial" w:cs="Arial"/>
          <w:b/>
          <w:bCs/>
          <w:sz w:val="22"/>
          <w:szCs w:val="22"/>
        </w:rPr>
      </w:pPr>
    </w:p>
    <w:p w:rsidR="00F254CA" w:rsidRPr="00A2645F" w:rsidRDefault="00F254CA" w:rsidP="00A2645F">
      <w:pPr>
        <w:pStyle w:val="Heading1"/>
        <w:spacing w:line="360" w:lineRule="auto"/>
        <w:rPr>
          <w:rFonts w:ascii="Arial" w:hAnsi="Arial" w:cs="Arial"/>
          <w:sz w:val="22"/>
          <w:szCs w:val="22"/>
        </w:rPr>
      </w:pPr>
      <w:r w:rsidRPr="00A2645F">
        <w:rPr>
          <w:rStyle w:val="Strong"/>
          <w:rFonts w:ascii="Arial" w:hAnsi="Arial" w:cs="Arial"/>
          <w:b/>
          <w:bCs/>
          <w:sz w:val="22"/>
          <w:szCs w:val="22"/>
        </w:rPr>
        <w:t>Examples of In-text Citations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6"/>
        <w:gridCol w:w="7420"/>
      </w:tblGrid>
      <w:tr w:rsidR="00F254CA" w:rsidRPr="00A2645F" w:rsidTr="00F254CA">
        <w:trPr>
          <w:tblHeader/>
          <w:tblCellSpacing w:w="15" w:type="dxa"/>
        </w:trPr>
        <w:tc>
          <w:tcPr>
            <w:tcW w:w="0" w:type="auto"/>
            <w:vAlign w:val="center"/>
            <w:hideMark/>
          </w:tcPr>
          <w:p w:rsidR="00F254CA" w:rsidRPr="00A2645F" w:rsidRDefault="00F254CA" w:rsidP="00A2645F">
            <w:pPr>
              <w:spacing w:line="360" w:lineRule="auto"/>
              <w:jc w:val="center"/>
              <w:rPr>
                <w:rFonts w:ascii="Arial" w:hAnsi="Arial" w:cs="Arial"/>
                <w:b/>
                <w:bCs/>
              </w:rPr>
            </w:pPr>
            <w:r w:rsidRPr="00A2645F">
              <w:rPr>
                <w:rFonts w:ascii="Arial" w:hAnsi="Arial" w:cs="Arial"/>
                <w:b/>
                <w:bCs/>
              </w:rPr>
              <w:t>Citation Type</w:t>
            </w:r>
          </w:p>
        </w:tc>
        <w:tc>
          <w:tcPr>
            <w:tcW w:w="0" w:type="auto"/>
            <w:vAlign w:val="center"/>
            <w:hideMark/>
          </w:tcPr>
          <w:p w:rsidR="00F254CA" w:rsidRPr="00A2645F" w:rsidRDefault="00F254CA" w:rsidP="00A2645F">
            <w:pPr>
              <w:spacing w:line="360" w:lineRule="auto"/>
              <w:jc w:val="center"/>
              <w:rPr>
                <w:rFonts w:ascii="Arial" w:hAnsi="Arial" w:cs="Arial"/>
                <w:b/>
                <w:bCs/>
              </w:rPr>
            </w:pPr>
            <w:r w:rsidRPr="00A2645F">
              <w:rPr>
                <w:rFonts w:ascii="Arial" w:hAnsi="Arial" w:cs="Arial"/>
                <w:b/>
                <w:bCs/>
              </w:rPr>
              <w:t>Example</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Direct Quote</w:t>
            </w:r>
          </w:p>
        </w:tc>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“Stakeholder relationships are central to long-term value creation” (Ashcroft, 2017, p. 25).</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Paraphrase</w:t>
            </w:r>
          </w:p>
        </w:tc>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Effective collaboration enhances engagement and project outcomes (Christopher, Payne and Ballantyne, 2013).</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Theory Reference</w:t>
            </w:r>
          </w:p>
        </w:tc>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 xml:space="preserve">The stakeholder salience model outlines power, legitimacy and urgency (Mitchell, </w:t>
            </w:r>
            <w:proofErr w:type="spellStart"/>
            <w:r w:rsidRPr="00A2645F">
              <w:rPr>
                <w:rFonts w:ascii="Arial" w:hAnsi="Arial" w:cs="Arial"/>
              </w:rPr>
              <w:t>Agle</w:t>
            </w:r>
            <w:proofErr w:type="spellEnd"/>
            <w:r w:rsidRPr="00A2645F">
              <w:rPr>
                <w:rFonts w:ascii="Arial" w:hAnsi="Arial" w:cs="Arial"/>
              </w:rPr>
              <w:t xml:space="preserve"> and Wood, 1997).</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Framework</w:t>
            </w:r>
          </w:p>
        </w:tc>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According to PMI (2021), stakeholder engagement should be integrated within project governance.</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Historical</w:t>
            </w:r>
          </w:p>
        </w:tc>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The concept of stakeholder influence was first explored by Freeman (1984).</w:t>
            </w:r>
          </w:p>
        </w:tc>
      </w:tr>
      <w:tr w:rsidR="00F254CA" w:rsidRPr="00A2645F" w:rsidTr="00F254CA">
        <w:trPr>
          <w:tblCellSpacing w:w="15" w:type="dxa"/>
        </w:trPr>
        <w:tc>
          <w:tcPr>
            <w:tcW w:w="0" w:type="auto"/>
            <w:vAlign w:val="center"/>
            <w:hideMark/>
          </w:tcPr>
          <w:p w:rsidR="00F254CA" w:rsidRPr="00A2645F" w:rsidRDefault="00F254CA" w:rsidP="00A2645F">
            <w:pPr>
              <w:spacing w:line="360" w:lineRule="auto"/>
              <w:rPr>
                <w:rFonts w:ascii="Arial" w:hAnsi="Arial" w:cs="Arial"/>
              </w:rPr>
            </w:pPr>
            <w:r w:rsidRPr="00A2645F">
              <w:rPr>
                <w:rFonts w:ascii="Arial" w:hAnsi="Arial" w:cs="Arial"/>
              </w:rPr>
              <w:t>Model</w:t>
            </w:r>
          </w:p>
        </w:tc>
        <w:tc>
          <w:tcPr>
            <w:tcW w:w="0" w:type="auto"/>
            <w:vAlign w:val="center"/>
            <w:hideMark/>
          </w:tcPr>
          <w:p w:rsidR="00F254CA" w:rsidRPr="00A2645F" w:rsidRDefault="00F254CA" w:rsidP="00A2645F">
            <w:pPr>
              <w:spacing w:line="360" w:lineRule="auto"/>
              <w:rPr>
                <w:rFonts w:ascii="Arial" w:hAnsi="Arial" w:cs="Arial"/>
              </w:rPr>
            </w:pPr>
            <w:proofErr w:type="spellStart"/>
            <w:r w:rsidRPr="00A2645F">
              <w:rPr>
                <w:rFonts w:ascii="Arial" w:hAnsi="Arial" w:cs="Arial"/>
              </w:rPr>
              <w:t>Mendelow’s</w:t>
            </w:r>
            <w:proofErr w:type="spellEnd"/>
            <w:r w:rsidRPr="00A2645F">
              <w:rPr>
                <w:rFonts w:ascii="Arial" w:hAnsi="Arial" w:cs="Arial"/>
              </w:rPr>
              <w:t xml:space="preserve"> Matrix helps categorise stakeholders based on power and interest (</w:t>
            </w:r>
            <w:proofErr w:type="spellStart"/>
            <w:r w:rsidRPr="00A2645F">
              <w:rPr>
                <w:rFonts w:ascii="Arial" w:hAnsi="Arial" w:cs="Arial"/>
              </w:rPr>
              <w:t>Mendelow</w:t>
            </w:r>
            <w:proofErr w:type="spellEnd"/>
            <w:r w:rsidRPr="00A2645F">
              <w:rPr>
                <w:rFonts w:ascii="Arial" w:hAnsi="Arial" w:cs="Arial"/>
              </w:rPr>
              <w:t>, 1991).</w:t>
            </w:r>
          </w:p>
        </w:tc>
      </w:tr>
    </w:tbl>
    <w:p w:rsidR="00F254CA" w:rsidRPr="00A2645F" w:rsidRDefault="00F254CA" w:rsidP="00A2645F">
      <w:pPr>
        <w:spacing w:line="360" w:lineRule="auto"/>
        <w:rPr>
          <w:rFonts w:ascii="Arial" w:hAnsi="Arial" w:cs="Arial"/>
        </w:rPr>
      </w:pPr>
    </w:p>
    <w:p w:rsidR="00136F54" w:rsidRPr="00A2645F" w:rsidRDefault="00136F54"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p w:rsidR="00F254CA" w:rsidRPr="00A2645F" w:rsidRDefault="00F254CA" w:rsidP="00A2645F">
      <w:pPr>
        <w:spacing w:line="360" w:lineRule="auto"/>
        <w:rPr>
          <w:rFonts w:ascii="Arial" w:hAnsi="Arial" w:cs="Arial"/>
        </w:rPr>
      </w:pPr>
    </w:p>
    <w:sectPr w:rsidR="00F254CA" w:rsidRPr="00A2645F">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138B" w:rsidRDefault="00F0138B" w:rsidP="00051301">
      <w:pPr>
        <w:spacing w:after="0" w:line="240" w:lineRule="auto"/>
      </w:pPr>
      <w:r>
        <w:separator/>
      </w:r>
    </w:p>
  </w:endnote>
  <w:endnote w:type="continuationSeparator" w:id="0">
    <w:p w:rsidR="00F0138B" w:rsidRDefault="00F0138B" w:rsidP="00051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1821771"/>
      <w:docPartObj>
        <w:docPartGallery w:val="Page Numbers (Bottom of Page)"/>
        <w:docPartUnique/>
      </w:docPartObj>
    </w:sdtPr>
    <w:sdtEndPr>
      <w:rPr>
        <w:noProof/>
      </w:rPr>
    </w:sdtEndPr>
    <w:sdtContent>
      <w:p w:rsidR="00051301" w:rsidRDefault="00051301">
        <w:pPr>
          <w:pStyle w:val="Footer"/>
          <w:jc w:val="center"/>
        </w:pPr>
        <w:r>
          <w:fldChar w:fldCharType="begin"/>
        </w:r>
        <w:r>
          <w:instrText xml:space="preserve"> PAGE   \* MERGEFORMAT </w:instrText>
        </w:r>
        <w:r>
          <w:fldChar w:fldCharType="separate"/>
        </w:r>
        <w:r w:rsidR="00A80FD3">
          <w:rPr>
            <w:noProof/>
          </w:rPr>
          <w:t>20</w:t>
        </w:r>
        <w:r>
          <w:rPr>
            <w:noProof/>
          </w:rPr>
          <w:fldChar w:fldCharType="end"/>
        </w:r>
      </w:p>
    </w:sdtContent>
  </w:sdt>
  <w:p w:rsidR="00051301" w:rsidRDefault="000513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138B" w:rsidRDefault="00F0138B" w:rsidP="00051301">
      <w:pPr>
        <w:spacing w:after="0" w:line="240" w:lineRule="auto"/>
      </w:pPr>
      <w:r>
        <w:separator/>
      </w:r>
    </w:p>
  </w:footnote>
  <w:footnote w:type="continuationSeparator" w:id="0">
    <w:p w:rsidR="00F0138B" w:rsidRDefault="00F0138B" w:rsidP="000513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642D1A"/>
    <w:multiLevelType w:val="hybridMultilevel"/>
    <w:tmpl w:val="915C01A6"/>
    <w:lvl w:ilvl="0" w:tplc="FB14F5BA">
      <w:start w:val="1"/>
      <w:numFmt w:val="decimal"/>
      <w:lvlText w:val="%1)"/>
      <w:lvlJc w:val="left"/>
      <w:pPr>
        <w:ind w:left="870" w:hanging="5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F56CC"/>
    <w:multiLevelType w:val="multilevel"/>
    <w:tmpl w:val="35D8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A36C9"/>
    <w:multiLevelType w:val="multilevel"/>
    <w:tmpl w:val="F2BCA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33095B"/>
    <w:multiLevelType w:val="multilevel"/>
    <w:tmpl w:val="116EF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65993"/>
    <w:multiLevelType w:val="multilevel"/>
    <w:tmpl w:val="4D448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1D2252"/>
    <w:multiLevelType w:val="multilevel"/>
    <w:tmpl w:val="96F8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387636"/>
    <w:multiLevelType w:val="multilevel"/>
    <w:tmpl w:val="88081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960B29"/>
    <w:multiLevelType w:val="multilevel"/>
    <w:tmpl w:val="96CC9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8E0132"/>
    <w:multiLevelType w:val="multilevel"/>
    <w:tmpl w:val="33EC3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127A"/>
    <w:multiLevelType w:val="multilevel"/>
    <w:tmpl w:val="1574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F77123"/>
    <w:multiLevelType w:val="multilevel"/>
    <w:tmpl w:val="3D9E5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29709F"/>
    <w:multiLevelType w:val="multilevel"/>
    <w:tmpl w:val="893AF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1233E4"/>
    <w:multiLevelType w:val="multilevel"/>
    <w:tmpl w:val="D77C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34549E"/>
    <w:multiLevelType w:val="multilevel"/>
    <w:tmpl w:val="13C6E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D3139C"/>
    <w:multiLevelType w:val="multilevel"/>
    <w:tmpl w:val="FFA87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A23962"/>
    <w:multiLevelType w:val="multilevel"/>
    <w:tmpl w:val="5A40D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3B1F07"/>
    <w:multiLevelType w:val="multilevel"/>
    <w:tmpl w:val="24368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82169F"/>
    <w:multiLevelType w:val="multilevel"/>
    <w:tmpl w:val="E9CE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285760"/>
    <w:multiLevelType w:val="multilevel"/>
    <w:tmpl w:val="6A00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D6612"/>
    <w:multiLevelType w:val="multilevel"/>
    <w:tmpl w:val="1538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090DB9"/>
    <w:multiLevelType w:val="multilevel"/>
    <w:tmpl w:val="6C00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D637E5"/>
    <w:multiLevelType w:val="hybridMultilevel"/>
    <w:tmpl w:val="19A2B5AE"/>
    <w:lvl w:ilvl="0" w:tplc="17DCB4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16"/>
  </w:num>
  <w:num w:numId="3">
    <w:abstractNumId w:val="6"/>
  </w:num>
  <w:num w:numId="4">
    <w:abstractNumId w:val="15"/>
  </w:num>
  <w:num w:numId="5">
    <w:abstractNumId w:val="20"/>
  </w:num>
  <w:num w:numId="6">
    <w:abstractNumId w:val="12"/>
  </w:num>
  <w:num w:numId="7">
    <w:abstractNumId w:val="10"/>
  </w:num>
  <w:num w:numId="8">
    <w:abstractNumId w:val="18"/>
  </w:num>
  <w:num w:numId="9">
    <w:abstractNumId w:val="13"/>
  </w:num>
  <w:num w:numId="10">
    <w:abstractNumId w:val="2"/>
  </w:num>
  <w:num w:numId="11">
    <w:abstractNumId w:val="4"/>
  </w:num>
  <w:num w:numId="12">
    <w:abstractNumId w:val="19"/>
  </w:num>
  <w:num w:numId="13">
    <w:abstractNumId w:val="9"/>
  </w:num>
  <w:num w:numId="14">
    <w:abstractNumId w:val="3"/>
  </w:num>
  <w:num w:numId="15">
    <w:abstractNumId w:val="14"/>
  </w:num>
  <w:num w:numId="16">
    <w:abstractNumId w:val="5"/>
  </w:num>
  <w:num w:numId="17">
    <w:abstractNumId w:val="1"/>
  </w:num>
  <w:num w:numId="18">
    <w:abstractNumId w:val="17"/>
  </w:num>
  <w:num w:numId="19">
    <w:abstractNumId w:val="11"/>
  </w:num>
  <w:num w:numId="20">
    <w:abstractNumId w:val="7"/>
  </w:num>
  <w:num w:numId="21">
    <w:abstractNumId w:val="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1A98"/>
    <w:rsid w:val="00003F37"/>
    <w:rsid w:val="00011D7A"/>
    <w:rsid w:val="000225B6"/>
    <w:rsid w:val="000269B5"/>
    <w:rsid w:val="00036F9A"/>
    <w:rsid w:val="00051301"/>
    <w:rsid w:val="000522DD"/>
    <w:rsid w:val="00084A63"/>
    <w:rsid w:val="000C15A4"/>
    <w:rsid w:val="000E1A98"/>
    <w:rsid w:val="001123E5"/>
    <w:rsid w:val="00136F54"/>
    <w:rsid w:val="00142722"/>
    <w:rsid w:val="00144671"/>
    <w:rsid w:val="00147D79"/>
    <w:rsid w:val="00166EBF"/>
    <w:rsid w:val="00173E63"/>
    <w:rsid w:val="001B6420"/>
    <w:rsid w:val="001C2EC0"/>
    <w:rsid w:val="00223BCF"/>
    <w:rsid w:val="00237410"/>
    <w:rsid w:val="00261A8B"/>
    <w:rsid w:val="002A194D"/>
    <w:rsid w:val="002C1EBF"/>
    <w:rsid w:val="003178E2"/>
    <w:rsid w:val="004F7DB4"/>
    <w:rsid w:val="00503886"/>
    <w:rsid w:val="005840DF"/>
    <w:rsid w:val="005D764F"/>
    <w:rsid w:val="0061184F"/>
    <w:rsid w:val="006C3107"/>
    <w:rsid w:val="006C6C14"/>
    <w:rsid w:val="00767E18"/>
    <w:rsid w:val="007D1E7C"/>
    <w:rsid w:val="007D2D93"/>
    <w:rsid w:val="007D59C8"/>
    <w:rsid w:val="00827C07"/>
    <w:rsid w:val="00861CC8"/>
    <w:rsid w:val="0088083E"/>
    <w:rsid w:val="008962A0"/>
    <w:rsid w:val="008F02DB"/>
    <w:rsid w:val="009115AE"/>
    <w:rsid w:val="00924CA0"/>
    <w:rsid w:val="00926B3F"/>
    <w:rsid w:val="009750C3"/>
    <w:rsid w:val="009B1F99"/>
    <w:rsid w:val="00A07A83"/>
    <w:rsid w:val="00A2645F"/>
    <w:rsid w:val="00A80FD3"/>
    <w:rsid w:val="00A864B4"/>
    <w:rsid w:val="00AE2707"/>
    <w:rsid w:val="00B37F6A"/>
    <w:rsid w:val="00B44613"/>
    <w:rsid w:val="00BB474A"/>
    <w:rsid w:val="00BD4366"/>
    <w:rsid w:val="00C8569F"/>
    <w:rsid w:val="00C96928"/>
    <w:rsid w:val="00CC2AF2"/>
    <w:rsid w:val="00CD1C5B"/>
    <w:rsid w:val="00CE2E7D"/>
    <w:rsid w:val="00D4632F"/>
    <w:rsid w:val="00D81807"/>
    <w:rsid w:val="00D90E17"/>
    <w:rsid w:val="00DA4965"/>
    <w:rsid w:val="00DB0F2D"/>
    <w:rsid w:val="00E01A85"/>
    <w:rsid w:val="00E16084"/>
    <w:rsid w:val="00E57AAA"/>
    <w:rsid w:val="00E658A8"/>
    <w:rsid w:val="00E945C1"/>
    <w:rsid w:val="00EB68D7"/>
    <w:rsid w:val="00ED6107"/>
    <w:rsid w:val="00F0138B"/>
    <w:rsid w:val="00F10157"/>
    <w:rsid w:val="00F16085"/>
    <w:rsid w:val="00F254CA"/>
    <w:rsid w:val="00F64984"/>
    <w:rsid w:val="00FC37B1"/>
    <w:rsid w:val="00FF6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A698E9-CBFB-440E-93A3-79529998A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2AF2"/>
  </w:style>
  <w:style w:type="paragraph" w:styleId="Heading1">
    <w:name w:val="heading 1"/>
    <w:basedOn w:val="Normal"/>
    <w:link w:val="Heading1Char"/>
    <w:uiPriority w:val="9"/>
    <w:qFormat/>
    <w:rsid w:val="00F254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254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254C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4C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F254CA"/>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25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54CA"/>
    <w:rPr>
      <w:b/>
      <w:bCs/>
    </w:rPr>
  </w:style>
  <w:style w:type="character" w:styleId="Emphasis">
    <w:name w:val="Emphasis"/>
    <w:basedOn w:val="DefaultParagraphFont"/>
    <w:uiPriority w:val="20"/>
    <w:qFormat/>
    <w:rsid w:val="00F254CA"/>
    <w:rPr>
      <w:i/>
      <w:iCs/>
    </w:rPr>
  </w:style>
  <w:style w:type="character" w:customStyle="1" w:styleId="Heading2Char">
    <w:name w:val="Heading 2 Char"/>
    <w:basedOn w:val="DefaultParagraphFont"/>
    <w:link w:val="Heading2"/>
    <w:uiPriority w:val="9"/>
    <w:rsid w:val="00F254CA"/>
    <w:rPr>
      <w:rFonts w:asciiTheme="majorHAnsi" w:eastAsiaTheme="majorEastAsia" w:hAnsiTheme="majorHAnsi" w:cstheme="majorBidi"/>
      <w:color w:val="2E74B5" w:themeColor="accent1" w:themeShade="BF"/>
      <w:sz w:val="26"/>
      <w:szCs w:val="26"/>
    </w:rPr>
  </w:style>
  <w:style w:type="paragraph" w:styleId="HTMLPreformatted">
    <w:name w:val="HTML Preformatted"/>
    <w:basedOn w:val="Normal"/>
    <w:link w:val="HTMLPreformattedChar"/>
    <w:uiPriority w:val="99"/>
    <w:semiHidden/>
    <w:unhideWhenUsed/>
    <w:rsid w:val="00F254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254C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F254CA"/>
    <w:rPr>
      <w:rFonts w:ascii="Courier New" w:eastAsia="Times New Roman" w:hAnsi="Courier New" w:cs="Courier New"/>
      <w:sz w:val="20"/>
      <w:szCs w:val="20"/>
    </w:rPr>
  </w:style>
  <w:style w:type="table" w:styleId="TableGrid">
    <w:name w:val="Table Grid"/>
    <w:basedOn w:val="TableNormal"/>
    <w:uiPriority w:val="39"/>
    <w:rsid w:val="005D76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7410"/>
    <w:pPr>
      <w:ind w:left="720"/>
      <w:contextualSpacing/>
    </w:pPr>
  </w:style>
  <w:style w:type="paragraph" w:styleId="Header">
    <w:name w:val="header"/>
    <w:basedOn w:val="Normal"/>
    <w:link w:val="HeaderChar"/>
    <w:uiPriority w:val="99"/>
    <w:unhideWhenUsed/>
    <w:rsid w:val="00051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301"/>
  </w:style>
  <w:style w:type="paragraph" w:styleId="Footer">
    <w:name w:val="footer"/>
    <w:basedOn w:val="Normal"/>
    <w:link w:val="FooterChar"/>
    <w:uiPriority w:val="99"/>
    <w:unhideWhenUsed/>
    <w:rsid w:val="00051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3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64285">
      <w:bodyDiv w:val="1"/>
      <w:marLeft w:val="0"/>
      <w:marRight w:val="0"/>
      <w:marTop w:val="0"/>
      <w:marBottom w:val="0"/>
      <w:divBdr>
        <w:top w:val="none" w:sz="0" w:space="0" w:color="auto"/>
        <w:left w:val="none" w:sz="0" w:space="0" w:color="auto"/>
        <w:bottom w:val="none" w:sz="0" w:space="0" w:color="auto"/>
        <w:right w:val="none" w:sz="0" w:space="0" w:color="auto"/>
      </w:divBdr>
    </w:div>
    <w:div w:id="18052345">
      <w:bodyDiv w:val="1"/>
      <w:marLeft w:val="0"/>
      <w:marRight w:val="0"/>
      <w:marTop w:val="0"/>
      <w:marBottom w:val="0"/>
      <w:divBdr>
        <w:top w:val="none" w:sz="0" w:space="0" w:color="auto"/>
        <w:left w:val="none" w:sz="0" w:space="0" w:color="auto"/>
        <w:bottom w:val="none" w:sz="0" w:space="0" w:color="auto"/>
        <w:right w:val="none" w:sz="0" w:space="0" w:color="auto"/>
      </w:divBdr>
    </w:div>
    <w:div w:id="31195309">
      <w:bodyDiv w:val="1"/>
      <w:marLeft w:val="0"/>
      <w:marRight w:val="0"/>
      <w:marTop w:val="0"/>
      <w:marBottom w:val="0"/>
      <w:divBdr>
        <w:top w:val="none" w:sz="0" w:space="0" w:color="auto"/>
        <w:left w:val="none" w:sz="0" w:space="0" w:color="auto"/>
        <w:bottom w:val="none" w:sz="0" w:space="0" w:color="auto"/>
        <w:right w:val="none" w:sz="0" w:space="0" w:color="auto"/>
      </w:divBdr>
    </w:div>
    <w:div w:id="73667105">
      <w:bodyDiv w:val="1"/>
      <w:marLeft w:val="0"/>
      <w:marRight w:val="0"/>
      <w:marTop w:val="0"/>
      <w:marBottom w:val="0"/>
      <w:divBdr>
        <w:top w:val="none" w:sz="0" w:space="0" w:color="auto"/>
        <w:left w:val="none" w:sz="0" w:space="0" w:color="auto"/>
        <w:bottom w:val="none" w:sz="0" w:space="0" w:color="auto"/>
        <w:right w:val="none" w:sz="0" w:space="0" w:color="auto"/>
      </w:divBdr>
    </w:div>
    <w:div w:id="81461528">
      <w:bodyDiv w:val="1"/>
      <w:marLeft w:val="0"/>
      <w:marRight w:val="0"/>
      <w:marTop w:val="0"/>
      <w:marBottom w:val="0"/>
      <w:divBdr>
        <w:top w:val="none" w:sz="0" w:space="0" w:color="auto"/>
        <w:left w:val="none" w:sz="0" w:space="0" w:color="auto"/>
        <w:bottom w:val="none" w:sz="0" w:space="0" w:color="auto"/>
        <w:right w:val="none" w:sz="0" w:space="0" w:color="auto"/>
      </w:divBdr>
    </w:div>
    <w:div w:id="111747730">
      <w:bodyDiv w:val="1"/>
      <w:marLeft w:val="0"/>
      <w:marRight w:val="0"/>
      <w:marTop w:val="0"/>
      <w:marBottom w:val="0"/>
      <w:divBdr>
        <w:top w:val="none" w:sz="0" w:space="0" w:color="auto"/>
        <w:left w:val="none" w:sz="0" w:space="0" w:color="auto"/>
        <w:bottom w:val="none" w:sz="0" w:space="0" w:color="auto"/>
        <w:right w:val="none" w:sz="0" w:space="0" w:color="auto"/>
      </w:divBdr>
    </w:div>
    <w:div w:id="146022354">
      <w:bodyDiv w:val="1"/>
      <w:marLeft w:val="0"/>
      <w:marRight w:val="0"/>
      <w:marTop w:val="0"/>
      <w:marBottom w:val="0"/>
      <w:divBdr>
        <w:top w:val="none" w:sz="0" w:space="0" w:color="auto"/>
        <w:left w:val="none" w:sz="0" w:space="0" w:color="auto"/>
        <w:bottom w:val="none" w:sz="0" w:space="0" w:color="auto"/>
        <w:right w:val="none" w:sz="0" w:space="0" w:color="auto"/>
      </w:divBdr>
    </w:div>
    <w:div w:id="168302565">
      <w:bodyDiv w:val="1"/>
      <w:marLeft w:val="0"/>
      <w:marRight w:val="0"/>
      <w:marTop w:val="0"/>
      <w:marBottom w:val="0"/>
      <w:divBdr>
        <w:top w:val="none" w:sz="0" w:space="0" w:color="auto"/>
        <w:left w:val="none" w:sz="0" w:space="0" w:color="auto"/>
        <w:bottom w:val="none" w:sz="0" w:space="0" w:color="auto"/>
        <w:right w:val="none" w:sz="0" w:space="0" w:color="auto"/>
      </w:divBdr>
    </w:div>
    <w:div w:id="221643948">
      <w:bodyDiv w:val="1"/>
      <w:marLeft w:val="0"/>
      <w:marRight w:val="0"/>
      <w:marTop w:val="0"/>
      <w:marBottom w:val="0"/>
      <w:divBdr>
        <w:top w:val="none" w:sz="0" w:space="0" w:color="auto"/>
        <w:left w:val="none" w:sz="0" w:space="0" w:color="auto"/>
        <w:bottom w:val="none" w:sz="0" w:space="0" w:color="auto"/>
        <w:right w:val="none" w:sz="0" w:space="0" w:color="auto"/>
      </w:divBdr>
    </w:div>
    <w:div w:id="270205243">
      <w:bodyDiv w:val="1"/>
      <w:marLeft w:val="0"/>
      <w:marRight w:val="0"/>
      <w:marTop w:val="0"/>
      <w:marBottom w:val="0"/>
      <w:divBdr>
        <w:top w:val="none" w:sz="0" w:space="0" w:color="auto"/>
        <w:left w:val="none" w:sz="0" w:space="0" w:color="auto"/>
        <w:bottom w:val="none" w:sz="0" w:space="0" w:color="auto"/>
        <w:right w:val="none" w:sz="0" w:space="0" w:color="auto"/>
      </w:divBdr>
    </w:div>
    <w:div w:id="274866971">
      <w:bodyDiv w:val="1"/>
      <w:marLeft w:val="0"/>
      <w:marRight w:val="0"/>
      <w:marTop w:val="0"/>
      <w:marBottom w:val="0"/>
      <w:divBdr>
        <w:top w:val="none" w:sz="0" w:space="0" w:color="auto"/>
        <w:left w:val="none" w:sz="0" w:space="0" w:color="auto"/>
        <w:bottom w:val="none" w:sz="0" w:space="0" w:color="auto"/>
        <w:right w:val="none" w:sz="0" w:space="0" w:color="auto"/>
      </w:divBdr>
    </w:div>
    <w:div w:id="281500678">
      <w:bodyDiv w:val="1"/>
      <w:marLeft w:val="0"/>
      <w:marRight w:val="0"/>
      <w:marTop w:val="0"/>
      <w:marBottom w:val="0"/>
      <w:divBdr>
        <w:top w:val="none" w:sz="0" w:space="0" w:color="auto"/>
        <w:left w:val="none" w:sz="0" w:space="0" w:color="auto"/>
        <w:bottom w:val="none" w:sz="0" w:space="0" w:color="auto"/>
        <w:right w:val="none" w:sz="0" w:space="0" w:color="auto"/>
      </w:divBdr>
    </w:div>
    <w:div w:id="309988745">
      <w:bodyDiv w:val="1"/>
      <w:marLeft w:val="0"/>
      <w:marRight w:val="0"/>
      <w:marTop w:val="0"/>
      <w:marBottom w:val="0"/>
      <w:divBdr>
        <w:top w:val="none" w:sz="0" w:space="0" w:color="auto"/>
        <w:left w:val="none" w:sz="0" w:space="0" w:color="auto"/>
        <w:bottom w:val="none" w:sz="0" w:space="0" w:color="auto"/>
        <w:right w:val="none" w:sz="0" w:space="0" w:color="auto"/>
      </w:divBdr>
    </w:div>
    <w:div w:id="310257720">
      <w:bodyDiv w:val="1"/>
      <w:marLeft w:val="0"/>
      <w:marRight w:val="0"/>
      <w:marTop w:val="0"/>
      <w:marBottom w:val="0"/>
      <w:divBdr>
        <w:top w:val="none" w:sz="0" w:space="0" w:color="auto"/>
        <w:left w:val="none" w:sz="0" w:space="0" w:color="auto"/>
        <w:bottom w:val="none" w:sz="0" w:space="0" w:color="auto"/>
        <w:right w:val="none" w:sz="0" w:space="0" w:color="auto"/>
      </w:divBdr>
    </w:div>
    <w:div w:id="334966209">
      <w:bodyDiv w:val="1"/>
      <w:marLeft w:val="0"/>
      <w:marRight w:val="0"/>
      <w:marTop w:val="0"/>
      <w:marBottom w:val="0"/>
      <w:divBdr>
        <w:top w:val="none" w:sz="0" w:space="0" w:color="auto"/>
        <w:left w:val="none" w:sz="0" w:space="0" w:color="auto"/>
        <w:bottom w:val="none" w:sz="0" w:space="0" w:color="auto"/>
        <w:right w:val="none" w:sz="0" w:space="0" w:color="auto"/>
      </w:divBdr>
    </w:div>
    <w:div w:id="340622208">
      <w:bodyDiv w:val="1"/>
      <w:marLeft w:val="0"/>
      <w:marRight w:val="0"/>
      <w:marTop w:val="0"/>
      <w:marBottom w:val="0"/>
      <w:divBdr>
        <w:top w:val="none" w:sz="0" w:space="0" w:color="auto"/>
        <w:left w:val="none" w:sz="0" w:space="0" w:color="auto"/>
        <w:bottom w:val="none" w:sz="0" w:space="0" w:color="auto"/>
        <w:right w:val="none" w:sz="0" w:space="0" w:color="auto"/>
      </w:divBdr>
    </w:div>
    <w:div w:id="351222986">
      <w:bodyDiv w:val="1"/>
      <w:marLeft w:val="0"/>
      <w:marRight w:val="0"/>
      <w:marTop w:val="0"/>
      <w:marBottom w:val="0"/>
      <w:divBdr>
        <w:top w:val="none" w:sz="0" w:space="0" w:color="auto"/>
        <w:left w:val="none" w:sz="0" w:space="0" w:color="auto"/>
        <w:bottom w:val="none" w:sz="0" w:space="0" w:color="auto"/>
        <w:right w:val="none" w:sz="0" w:space="0" w:color="auto"/>
      </w:divBdr>
    </w:div>
    <w:div w:id="353071259">
      <w:bodyDiv w:val="1"/>
      <w:marLeft w:val="0"/>
      <w:marRight w:val="0"/>
      <w:marTop w:val="0"/>
      <w:marBottom w:val="0"/>
      <w:divBdr>
        <w:top w:val="none" w:sz="0" w:space="0" w:color="auto"/>
        <w:left w:val="none" w:sz="0" w:space="0" w:color="auto"/>
        <w:bottom w:val="none" w:sz="0" w:space="0" w:color="auto"/>
        <w:right w:val="none" w:sz="0" w:space="0" w:color="auto"/>
      </w:divBdr>
    </w:div>
    <w:div w:id="360321547">
      <w:bodyDiv w:val="1"/>
      <w:marLeft w:val="0"/>
      <w:marRight w:val="0"/>
      <w:marTop w:val="0"/>
      <w:marBottom w:val="0"/>
      <w:divBdr>
        <w:top w:val="none" w:sz="0" w:space="0" w:color="auto"/>
        <w:left w:val="none" w:sz="0" w:space="0" w:color="auto"/>
        <w:bottom w:val="none" w:sz="0" w:space="0" w:color="auto"/>
        <w:right w:val="none" w:sz="0" w:space="0" w:color="auto"/>
      </w:divBdr>
    </w:div>
    <w:div w:id="362558218">
      <w:bodyDiv w:val="1"/>
      <w:marLeft w:val="0"/>
      <w:marRight w:val="0"/>
      <w:marTop w:val="0"/>
      <w:marBottom w:val="0"/>
      <w:divBdr>
        <w:top w:val="none" w:sz="0" w:space="0" w:color="auto"/>
        <w:left w:val="none" w:sz="0" w:space="0" w:color="auto"/>
        <w:bottom w:val="none" w:sz="0" w:space="0" w:color="auto"/>
        <w:right w:val="none" w:sz="0" w:space="0" w:color="auto"/>
      </w:divBdr>
    </w:div>
    <w:div w:id="375354668">
      <w:bodyDiv w:val="1"/>
      <w:marLeft w:val="0"/>
      <w:marRight w:val="0"/>
      <w:marTop w:val="0"/>
      <w:marBottom w:val="0"/>
      <w:divBdr>
        <w:top w:val="none" w:sz="0" w:space="0" w:color="auto"/>
        <w:left w:val="none" w:sz="0" w:space="0" w:color="auto"/>
        <w:bottom w:val="none" w:sz="0" w:space="0" w:color="auto"/>
        <w:right w:val="none" w:sz="0" w:space="0" w:color="auto"/>
      </w:divBdr>
    </w:div>
    <w:div w:id="375467844">
      <w:bodyDiv w:val="1"/>
      <w:marLeft w:val="0"/>
      <w:marRight w:val="0"/>
      <w:marTop w:val="0"/>
      <w:marBottom w:val="0"/>
      <w:divBdr>
        <w:top w:val="none" w:sz="0" w:space="0" w:color="auto"/>
        <w:left w:val="none" w:sz="0" w:space="0" w:color="auto"/>
        <w:bottom w:val="none" w:sz="0" w:space="0" w:color="auto"/>
        <w:right w:val="none" w:sz="0" w:space="0" w:color="auto"/>
      </w:divBdr>
    </w:div>
    <w:div w:id="427041327">
      <w:bodyDiv w:val="1"/>
      <w:marLeft w:val="0"/>
      <w:marRight w:val="0"/>
      <w:marTop w:val="0"/>
      <w:marBottom w:val="0"/>
      <w:divBdr>
        <w:top w:val="none" w:sz="0" w:space="0" w:color="auto"/>
        <w:left w:val="none" w:sz="0" w:space="0" w:color="auto"/>
        <w:bottom w:val="none" w:sz="0" w:space="0" w:color="auto"/>
        <w:right w:val="none" w:sz="0" w:space="0" w:color="auto"/>
      </w:divBdr>
    </w:div>
    <w:div w:id="439420542">
      <w:bodyDiv w:val="1"/>
      <w:marLeft w:val="0"/>
      <w:marRight w:val="0"/>
      <w:marTop w:val="0"/>
      <w:marBottom w:val="0"/>
      <w:divBdr>
        <w:top w:val="none" w:sz="0" w:space="0" w:color="auto"/>
        <w:left w:val="none" w:sz="0" w:space="0" w:color="auto"/>
        <w:bottom w:val="none" w:sz="0" w:space="0" w:color="auto"/>
        <w:right w:val="none" w:sz="0" w:space="0" w:color="auto"/>
      </w:divBdr>
    </w:div>
    <w:div w:id="504831963">
      <w:bodyDiv w:val="1"/>
      <w:marLeft w:val="0"/>
      <w:marRight w:val="0"/>
      <w:marTop w:val="0"/>
      <w:marBottom w:val="0"/>
      <w:divBdr>
        <w:top w:val="none" w:sz="0" w:space="0" w:color="auto"/>
        <w:left w:val="none" w:sz="0" w:space="0" w:color="auto"/>
        <w:bottom w:val="none" w:sz="0" w:space="0" w:color="auto"/>
        <w:right w:val="none" w:sz="0" w:space="0" w:color="auto"/>
      </w:divBdr>
    </w:div>
    <w:div w:id="522137829">
      <w:bodyDiv w:val="1"/>
      <w:marLeft w:val="0"/>
      <w:marRight w:val="0"/>
      <w:marTop w:val="0"/>
      <w:marBottom w:val="0"/>
      <w:divBdr>
        <w:top w:val="none" w:sz="0" w:space="0" w:color="auto"/>
        <w:left w:val="none" w:sz="0" w:space="0" w:color="auto"/>
        <w:bottom w:val="none" w:sz="0" w:space="0" w:color="auto"/>
        <w:right w:val="none" w:sz="0" w:space="0" w:color="auto"/>
      </w:divBdr>
    </w:div>
    <w:div w:id="522481358">
      <w:bodyDiv w:val="1"/>
      <w:marLeft w:val="0"/>
      <w:marRight w:val="0"/>
      <w:marTop w:val="0"/>
      <w:marBottom w:val="0"/>
      <w:divBdr>
        <w:top w:val="none" w:sz="0" w:space="0" w:color="auto"/>
        <w:left w:val="none" w:sz="0" w:space="0" w:color="auto"/>
        <w:bottom w:val="none" w:sz="0" w:space="0" w:color="auto"/>
        <w:right w:val="none" w:sz="0" w:space="0" w:color="auto"/>
      </w:divBdr>
    </w:div>
    <w:div w:id="530803424">
      <w:bodyDiv w:val="1"/>
      <w:marLeft w:val="0"/>
      <w:marRight w:val="0"/>
      <w:marTop w:val="0"/>
      <w:marBottom w:val="0"/>
      <w:divBdr>
        <w:top w:val="none" w:sz="0" w:space="0" w:color="auto"/>
        <w:left w:val="none" w:sz="0" w:space="0" w:color="auto"/>
        <w:bottom w:val="none" w:sz="0" w:space="0" w:color="auto"/>
        <w:right w:val="none" w:sz="0" w:space="0" w:color="auto"/>
      </w:divBdr>
    </w:div>
    <w:div w:id="552498092">
      <w:bodyDiv w:val="1"/>
      <w:marLeft w:val="0"/>
      <w:marRight w:val="0"/>
      <w:marTop w:val="0"/>
      <w:marBottom w:val="0"/>
      <w:divBdr>
        <w:top w:val="none" w:sz="0" w:space="0" w:color="auto"/>
        <w:left w:val="none" w:sz="0" w:space="0" w:color="auto"/>
        <w:bottom w:val="none" w:sz="0" w:space="0" w:color="auto"/>
        <w:right w:val="none" w:sz="0" w:space="0" w:color="auto"/>
      </w:divBdr>
    </w:div>
    <w:div w:id="582032112">
      <w:bodyDiv w:val="1"/>
      <w:marLeft w:val="0"/>
      <w:marRight w:val="0"/>
      <w:marTop w:val="0"/>
      <w:marBottom w:val="0"/>
      <w:divBdr>
        <w:top w:val="none" w:sz="0" w:space="0" w:color="auto"/>
        <w:left w:val="none" w:sz="0" w:space="0" w:color="auto"/>
        <w:bottom w:val="none" w:sz="0" w:space="0" w:color="auto"/>
        <w:right w:val="none" w:sz="0" w:space="0" w:color="auto"/>
      </w:divBdr>
    </w:div>
    <w:div w:id="589001767">
      <w:bodyDiv w:val="1"/>
      <w:marLeft w:val="0"/>
      <w:marRight w:val="0"/>
      <w:marTop w:val="0"/>
      <w:marBottom w:val="0"/>
      <w:divBdr>
        <w:top w:val="none" w:sz="0" w:space="0" w:color="auto"/>
        <w:left w:val="none" w:sz="0" w:space="0" w:color="auto"/>
        <w:bottom w:val="none" w:sz="0" w:space="0" w:color="auto"/>
        <w:right w:val="none" w:sz="0" w:space="0" w:color="auto"/>
      </w:divBdr>
    </w:div>
    <w:div w:id="592857134">
      <w:bodyDiv w:val="1"/>
      <w:marLeft w:val="0"/>
      <w:marRight w:val="0"/>
      <w:marTop w:val="0"/>
      <w:marBottom w:val="0"/>
      <w:divBdr>
        <w:top w:val="none" w:sz="0" w:space="0" w:color="auto"/>
        <w:left w:val="none" w:sz="0" w:space="0" w:color="auto"/>
        <w:bottom w:val="none" w:sz="0" w:space="0" w:color="auto"/>
        <w:right w:val="none" w:sz="0" w:space="0" w:color="auto"/>
      </w:divBdr>
    </w:div>
    <w:div w:id="602735172">
      <w:bodyDiv w:val="1"/>
      <w:marLeft w:val="0"/>
      <w:marRight w:val="0"/>
      <w:marTop w:val="0"/>
      <w:marBottom w:val="0"/>
      <w:divBdr>
        <w:top w:val="none" w:sz="0" w:space="0" w:color="auto"/>
        <w:left w:val="none" w:sz="0" w:space="0" w:color="auto"/>
        <w:bottom w:val="none" w:sz="0" w:space="0" w:color="auto"/>
        <w:right w:val="none" w:sz="0" w:space="0" w:color="auto"/>
      </w:divBdr>
    </w:div>
    <w:div w:id="632633541">
      <w:bodyDiv w:val="1"/>
      <w:marLeft w:val="0"/>
      <w:marRight w:val="0"/>
      <w:marTop w:val="0"/>
      <w:marBottom w:val="0"/>
      <w:divBdr>
        <w:top w:val="none" w:sz="0" w:space="0" w:color="auto"/>
        <w:left w:val="none" w:sz="0" w:space="0" w:color="auto"/>
        <w:bottom w:val="none" w:sz="0" w:space="0" w:color="auto"/>
        <w:right w:val="none" w:sz="0" w:space="0" w:color="auto"/>
      </w:divBdr>
    </w:div>
    <w:div w:id="658457820">
      <w:bodyDiv w:val="1"/>
      <w:marLeft w:val="0"/>
      <w:marRight w:val="0"/>
      <w:marTop w:val="0"/>
      <w:marBottom w:val="0"/>
      <w:divBdr>
        <w:top w:val="none" w:sz="0" w:space="0" w:color="auto"/>
        <w:left w:val="none" w:sz="0" w:space="0" w:color="auto"/>
        <w:bottom w:val="none" w:sz="0" w:space="0" w:color="auto"/>
        <w:right w:val="none" w:sz="0" w:space="0" w:color="auto"/>
      </w:divBdr>
    </w:div>
    <w:div w:id="678699390">
      <w:bodyDiv w:val="1"/>
      <w:marLeft w:val="0"/>
      <w:marRight w:val="0"/>
      <w:marTop w:val="0"/>
      <w:marBottom w:val="0"/>
      <w:divBdr>
        <w:top w:val="none" w:sz="0" w:space="0" w:color="auto"/>
        <w:left w:val="none" w:sz="0" w:space="0" w:color="auto"/>
        <w:bottom w:val="none" w:sz="0" w:space="0" w:color="auto"/>
        <w:right w:val="none" w:sz="0" w:space="0" w:color="auto"/>
      </w:divBdr>
    </w:div>
    <w:div w:id="730691776">
      <w:bodyDiv w:val="1"/>
      <w:marLeft w:val="0"/>
      <w:marRight w:val="0"/>
      <w:marTop w:val="0"/>
      <w:marBottom w:val="0"/>
      <w:divBdr>
        <w:top w:val="none" w:sz="0" w:space="0" w:color="auto"/>
        <w:left w:val="none" w:sz="0" w:space="0" w:color="auto"/>
        <w:bottom w:val="none" w:sz="0" w:space="0" w:color="auto"/>
        <w:right w:val="none" w:sz="0" w:space="0" w:color="auto"/>
      </w:divBdr>
    </w:div>
    <w:div w:id="735474677">
      <w:bodyDiv w:val="1"/>
      <w:marLeft w:val="0"/>
      <w:marRight w:val="0"/>
      <w:marTop w:val="0"/>
      <w:marBottom w:val="0"/>
      <w:divBdr>
        <w:top w:val="none" w:sz="0" w:space="0" w:color="auto"/>
        <w:left w:val="none" w:sz="0" w:space="0" w:color="auto"/>
        <w:bottom w:val="none" w:sz="0" w:space="0" w:color="auto"/>
        <w:right w:val="none" w:sz="0" w:space="0" w:color="auto"/>
      </w:divBdr>
    </w:div>
    <w:div w:id="748188410">
      <w:bodyDiv w:val="1"/>
      <w:marLeft w:val="0"/>
      <w:marRight w:val="0"/>
      <w:marTop w:val="0"/>
      <w:marBottom w:val="0"/>
      <w:divBdr>
        <w:top w:val="none" w:sz="0" w:space="0" w:color="auto"/>
        <w:left w:val="none" w:sz="0" w:space="0" w:color="auto"/>
        <w:bottom w:val="none" w:sz="0" w:space="0" w:color="auto"/>
        <w:right w:val="none" w:sz="0" w:space="0" w:color="auto"/>
      </w:divBdr>
    </w:div>
    <w:div w:id="804200371">
      <w:bodyDiv w:val="1"/>
      <w:marLeft w:val="0"/>
      <w:marRight w:val="0"/>
      <w:marTop w:val="0"/>
      <w:marBottom w:val="0"/>
      <w:divBdr>
        <w:top w:val="none" w:sz="0" w:space="0" w:color="auto"/>
        <w:left w:val="none" w:sz="0" w:space="0" w:color="auto"/>
        <w:bottom w:val="none" w:sz="0" w:space="0" w:color="auto"/>
        <w:right w:val="none" w:sz="0" w:space="0" w:color="auto"/>
      </w:divBdr>
    </w:div>
    <w:div w:id="826168542">
      <w:bodyDiv w:val="1"/>
      <w:marLeft w:val="0"/>
      <w:marRight w:val="0"/>
      <w:marTop w:val="0"/>
      <w:marBottom w:val="0"/>
      <w:divBdr>
        <w:top w:val="none" w:sz="0" w:space="0" w:color="auto"/>
        <w:left w:val="none" w:sz="0" w:space="0" w:color="auto"/>
        <w:bottom w:val="none" w:sz="0" w:space="0" w:color="auto"/>
        <w:right w:val="none" w:sz="0" w:space="0" w:color="auto"/>
      </w:divBdr>
    </w:div>
    <w:div w:id="826554855">
      <w:bodyDiv w:val="1"/>
      <w:marLeft w:val="0"/>
      <w:marRight w:val="0"/>
      <w:marTop w:val="0"/>
      <w:marBottom w:val="0"/>
      <w:divBdr>
        <w:top w:val="none" w:sz="0" w:space="0" w:color="auto"/>
        <w:left w:val="none" w:sz="0" w:space="0" w:color="auto"/>
        <w:bottom w:val="none" w:sz="0" w:space="0" w:color="auto"/>
        <w:right w:val="none" w:sz="0" w:space="0" w:color="auto"/>
      </w:divBdr>
    </w:div>
    <w:div w:id="827477040">
      <w:bodyDiv w:val="1"/>
      <w:marLeft w:val="0"/>
      <w:marRight w:val="0"/>
      <w:marTop w:val="0"/>
      <w:marBottom w:val="0"/>
      <w:divBdr>
        <w:top w:val="none" w:sz="0" w:space="0" w:color="auto"/>
        <w:left w:val="none" w:sz="0" w:space="0" w:color="auto"/>
        <w:bottom w:val="none" w:sz="0" w:space="0" w:color="auto"/>
        <w:right w:val="none" w:sz="0" w:space="0" w:color="auto"/>
      </w:divBdr>
    </w:div>
    <w:div w:id="829830498">
      <w:bodyDiv w:val="1"/>
      <w:marLeft w:val="0"/>
      <w:marRight w:val="0"/>
      <w:marTop w:val="0"/>
      <w:marBottom w:val="0"/>
      <w:divBdr>
        <w:top w:val="none" w:sz="0" w:space="0" w:color="auto"/>
        <w:left w:val="none" w:sz="0" w:space="0" w:color="auto"/>
        <w:bottom w:val="none" w:sz="0" w:space="0" w:color="auto"/>
        <w:right w:val="none" w:sz="0" w:space="0" w:color="auto"/>
      </w:divBdr>
    </w:div>
    <w:div w:id="855654098">
      <w:bodyDiv w:val="1"/>
      <w:marLeft w:val="0"/>
      <w:marRight w:val="0"/>
      <w:marTop w:val="0"/>
      <w:marBottom w:val="0"/>
      <w:divBdr>
        <w:top w:val="none" w:sz="0" w:space="0" w:color="auto"/>
        <w:left w:val="none" w:sz="0" w:space="0" w:color="auto"/>
        <w:bottom w:val="none" w:sz="0" w:space="0" w:color="auto"/>
        <w:right w:val="none" w:sz="0" w:space="0" w:color="auto"/>
      </w:divBdr>
    </w:div>
    <w:div w:id="873150951">
      <w:bodyDiv w:val="1"/>
      <w:marLeft w:val="0"/>
      <w:marRight w:val="0"/>
      <w:marTop w:val="0"/>
      <w:marBottom w:val="0"/>
      <w:divBdr>
        <w:top w:val="none" w:sz="0" w:space="0" w:color="auto"/>
        <w:left w:val="none" w:sz="0" w:space="0" w:color="auto"/>
        <w:bottom w:val="none" w:sz="0" w:space="0" w:color="auto"/>
        <w:right w:val="none" w:sz="0" w:space="0" w:color="auto"/>
      </w:divBdr>
    </w:div>
    <w:div w:id="890119272">
      <w:bodyDiv w:val="1"/>
      <w:marLeft w:val="0"/>
      <w:marRight w:val="0"/>
      <w:marTop w:val="0"/>
      <w:marBottom w:val="0"/>
      <w:divBdr>
        <w:top w:val="none" w:sz="0" w:space="0" w:color="auto"/>
        <w:left w:val="none" w:sz="0" w:space="0" w:color="auto"/>
        <w:bottom w:val="none" w:sz="0" w:space="0" w:color="auto"/>
        <w:right w:val="none" w:sz="0" w:space="0" w:color="auto"/>
      </w:divBdr>
    </w:div>
    <w:div w:id="922419231">
      <w:bodyDiv w:val="1"/>
      <w:marLeft w:val="0"/>
      <w:marRight w:val="0"/>
      <w:marTop w:val="0"/>
      <w:marBottom w:val="0"/>
      <w:divBdr>
        <w:top w:val="none" w:sz="0" w:space="0" w:color="auto"/>
        <w:left w:val="none" w:sz="0" w:space="0" w:color="auto"/>
        <w:bottom w:val="none" w:sz="0" w:space="0" w:color="auto"/>
        <w:right w:val="none" w:sz="0" w:space="0" w:color="auto"/>
      </w:divBdr>
    </w:div>
    <w:div w:id="924193124">
      <w:bodyDiv w:val="1"/>
      <w:marLeft w:val="0"/>
      <w:marRight w:val="0"/>
      <w:marTop w:val="0"/>
      <w:marBottom w:val="0"/>
      <w:divBdr>
        <w:top w:val="none" w:sz="0" w:space="0" w:color="auto"/>
        <w:left w:val="none" w:sz="0" w:space="0" w:color="auto"/>
        <w:bottom w:val="none" w:sz="0" w:space="0" w:color="auto"/>
        <w:right w:val="none" w:sz="0" w:space="0" w:color="auto"/>
      </w:divBdr>
    </w:div>
    <w:div w:id="933246163">
      <w:bodyDiv w:val="1"/>
      <w:marLeft w:val="0"/>
      <w:marRight w:val="0"/>
      <w:marTop w:val="0"/>
      <w:marBottom w:val="0"/>
      <w:divBdr>
        <w:top w:val="none" w:sz="0" w:space="0" w:color="auto"/>
        <w:left w:val="none" w:sz="0" w:space="0" w:color="auto"/>
        <w:bottom w:val="none" w:sz="0" w:space="0" w:color="auto"/>
        <w:right w:val="none" w:sz="0" w:space="0" w:color="auto"/>
      </w:divBdr>
    </w:div>
    <w:div w:id="970406555">
      <w:bodyDiv w:val="1"/>
      <w:marLeft w:val="0"/>
      <w:marRight w:val="0"/>
      <w:marTop w:val="0"/>
      <w:marBottom w:val="0"/>
      <w:divBdr>
        <w:top w:val="none" w:sz="0" w:space="0" w:color="auto"/>
        <w:left w:val="none" w:sz="0" w:space="0" w:color="auto"/>
        <w:bottom w:val="none" w:sz="0" w:space="0" w:color="auto"/>
        <w:right w:val="none" w:sz="0" w:space="0" w:color="auto"/>
      </w:divBdr>
    </w:div>
    <w:div w:id="971208344">
      <w:bodyDiv w:val="1"/>
      <w:marLeft w:val="0"/>
      <w:marRight w:val="0"/>
      <w:marTop w:val="0"/>
      <w:marBottom w:val="0"/>
      <w:divBdr>
        <w:top w:val="none" w:sz="0" w:space="0" w:color="auto"/>
        <w:left w:val="none" w:sz="0" w:space="0" w:color="auto"/>
        <w:bottom w:val="none" w:sz="0" w:space="0" w:color="auto"/>
        <w:right w:val="none" w:sz="0" w:space="0" w:color="auto"/>
      </w:divBdr>
    </w:div>
    <w:div w:id="988829363">
      <w:bodyDiv w:val="1"/>
      <w:marLeft w:val="0"/>
      <w:marRight w:val="0"/>
      <w:marTop w:val="0"/>
      <w:marBottom w:val="0"/>
      <w:divBdr>
        <w:top w:val="none" w:sz="0" w:space="0" w:color="auto"/>
        <w:left w:val="none" w:sz="0" w:space="0" w:color="auto"/>
        <w:bottom w:val="none" w:sz="0" w:space="0" w:color="auto"/>
        <w:right w:val="none" w:sz="0" w:space="0" w:color="auto"/>
      </w:divBdr>
    </w:div>
    <w:div w:id="1042903239">
      <w:bodyDiv w:val="1"/>
      <w:marLeft w:val="0"/>
      <w:marRight w:val="0"/>
      <w:marTop w:val="0"/>
      <w:marBottom w:val="0"/>
      <w:divBdr>
        <w:top w:val="none" w:sz="0" w:space="0" w:color="auto"/>
        <w:left w:val="none" w:sz="0" w:space="0" w:color="auto"/>
        <w:bottom w:val="none" w:sz="0" w:space="0" w:color="auto"/>
        <w:right w:val="none" w:sz="0" w:space="0" w:color="auto"/>
      </w:divBdr>
    </w:div>
    <w:div w:id="1061830552">
      <w:bodyDiv w:val="1"/>
      <w:marLeft w:val="0"/>
      <w:marRight w:val="0"/>
      <w:marTop w:val="0"/>
      <w:marBottom w:val="0"/>
      <w:divBdr>
        <w:top w:val="none" w:sz="0" w:space="0" w:color="auto"/>
        <w:left w:val="none" w:sz="0" w:space="0" w:color="auto"/>
        <w:bottom w:val="none" w:sz="0" w:space="0" w:color="auto"/>
        <w:right w:val="none" w:sz="0" w:space="0" w:color="auto"/>
      </w:divBdr>
    </w:div>
    <w:div w:id="1074664721">
      <w:bodyDiv w:val="1"/>
      <w:marLeft w:val="0"/>
      <w:marRight w:val="0"/>
      <w:marTop w:val="0"/>
      <w:marBottom w:val="0"/>
      <w:divBdr>
        <w:top w:val="none" w:sz="0" w:space="0" w:color="auto"/>
        <w:left w:val="none" w:sz="0" w:space="0" w:color="auto"/>
        <w:bottom w:val="none" w:sz="0" w:space="0" w:color="auto"/>
        <w:right w:val="none" w:sz="0" w:space="0" w:color="auto"/>
      </w:divBdr>
    </w:div>
    <w:div w:id="1112630345">
      <w:bodyDiv w:val="1"/>
      <w:marLeft w:val="0"/>
      <w:marRight w:val="0"/>
      <w:marTop w:val="0"/>
      <w:marBottom w:val="0"/>
      <w:divBdr>
        <w:top w:val="none" w:sz="0" w:space="0" w:color="auto"/>
        <w:left w:val="none" w:sz="0" w:space="0" w:color="auto"/>
        <w:bottom w:val="none" w:sz="0" w:space="0" w:color="auto"/>
        <w:right w:val="none" w:sz="0" w:space="0" w:color="auto"/>
      </w:divBdr>
    </w:div>
    <w:div w:id="1139297746">
      <w:bodyDiv w:val="1"/>
      <w:marLeft w:val="0"/>
      <w:marRight w:val="0"/>
      <w:marTop w:val="0"/>
      <w:marBottom w:val="0"/>
      <w:divBdr>
        <w:top w:val="none" w:sz="0" w:space="0" w:color="auto"/>
        <w:left w:val="none" w:sz="0" w:space="0" w:color="auto"/>
        <w:bottom w:val="none" w:sz="0" w:space="0" w:color="auto"/>
        <w:right w:val="none" w:sz="0" w:space="0" w:color="auto"/>
      </w:divBdr>
    </w:div>
    <w:div w:id="1154684664">
      <w:bodyDiv w:val="1"/>
      <w:marLeft w:val="0"/>
      <w:marRight w:val="0"/>
      <w:marTop w:val="0"/>
      <w:marBottom w:val="0"/>
      <w:divBdr>
        <w:top w:val="none" w:sz="0" w:space="0" w:color="auto"/>
        <w:left w:val="none" w:sz="0" w:space="0" w:color="auto"/>
        <w:bottom w:val="none" w:sz="0" w:space="0" w:color="auto"/>
        <w:right w:val="none" w:sz="0" w:space="0" w:color="auto"/>
      </w:divBdr>
    </w:div>
    <w:div w:id="1174227414">
      <w:bodyDiv w:val="1"/>
      <w:marLeft w:val="0"/>
      <w:marRight w:val="0"/>
      <w:marTop w:val="0"/>
      <w:marBottom w:val="0"/>
      <w:divBdr>
        <w:top w:val="none" w:sz="0" w:space="0" w:color="auto"/>
        <w:left w:val="none" w:sz="0" w:space="0" w:color="auto"/>
        <w:bottom w:val="none" w:sz="0" w:space="0" w:color="auto"/>
        <w:right w:val="none" w:sz="0" w:space="0" w:color="auto"/>
      </w:divBdr>
    </w:div>
    <w:div w:id="1175530457">
      <w:bodyDiv w:val="1"/>
      <w:marLeft w:val="0"/>
      <w:marRight w:val="0"/>
      <w:marTop w:val="0"/>
      <w:marBottom w:val="0"/>
      <w:divBdr>
        <w:top w:val="none" w:sz="0" w:space="0" w:color="auto"/>
        <w:left w:val="none" w:sz="0" w:space="0" w:color="auto"/>
        <w:bottom w:val="none" w:sz="0" w:space="0" w:color="auto"/>
        <w:right w:val="none" w:sz="0" w:space="0" w:color="auto"/>
      </w:divBdr>
    </w:div>
    <w:div w:id="1179193222">
      <w:bodyDiv w:val="1"/>
      <w:marLeft w:val="0"/>
      <w:marRight w:val="0"/>
      <w:marTop w:val="0"/>
      <w:marBottom w:val="0"/>
      <w:divBdr>
        <w:top w:val="none" w:sz="0" w:space="0" w:color="auto"/>
        <w:left w:val="none" w:sz="0" w:space="0" w:color="auto"/>
        <w:bottom w:val="none" w:sz="0" w:space="0" w:color="auto"/>
        <w:right w:val="none" w:sz="0" w:space="0" w:color="auto"/>
      </w:divBdr>
    </w:div>
    <w:div w:id="1183056793">
      <w:bodyDiv w:val="1"/>
      <w:marLeft w:val="0"/>
      <w:marRight w:val="0"/>
      <w:marTop w:val="0"/>
      <w:marBottom w:val="0"/>
      <w:divBdr>
        <w:top w:val="none" w:sz="0" w:space="0" w:color="auto"/>
        <w:left w:val="none" w:sz="0" w:space="0" w:color="auto"/>
        <w:bottom w:val="none" w:sz="0" w:space="0" w:color="auto"/>
        <w:right w:val="none" w:sz="0" w:space="0" w:color="auto"/>
      </w:divBdr>
    </w:div>
    <w:div w:id="1197350591">
      <w:bodyDiv w:val="1"/>
      <w:marLeft w:val="0"/>
      <w:marRight w:val="0"/>
      <w:marTop w:val="0"/>
      <w:marBottom w:val="0"/>
      <w:divBdr>
        <w:top w:val="none" w:sz="0" w:space="0" w:color="auto"/>
        <w:left w:val="none" w:sz="0" w:space="0" w:color="auto"/>
        <w:bottom w:val="none" w:sz="0" w:space="0" w:color="auto"/>
        <w:right w:val="none" w:sz="0" w:space="0" w:color="auto"/>
      </w:divBdr>
    </w:div>
    <w:div w:id="1200781357">
      <w:bodyDiv w:val="1"/>
      <w:marLeft w:val="0"/>
      <w:marRight w:val="0"/>
      <w:marTop w:val="0"/>
      <w:marBottom w:val="0"/>
      <w:divBdr>
        <w:top w:val="none" w:sz="0" w:space="0" w:color="auto"/>
        <w:left w:val="none" w:sz="0" w:space="0" w:color="auto"/>
        <w:bottom w:val="none" w:sz="0" w:space="0" w:color="auto"/>
        <w:right w:val="none" w:sz="0" w:space="0" w:color="auto"/>
      </w:divBdr>
    </w:div>
    <w:div w:id="1205752159">
      <w:bodyDiv w:val="1"/>
      <w:marLeft w:val="0"/>
      <w:marRight w:val="0"/>
      <w:marTop w:val="0"/>
      <w:marBottom w:val="0"/>
      <w:divBdr>
        <w:top w:val="none" w:sz="0" w:space="0" w:color="auto"/>
        <w:left w:val="none" w:sz="0" w:space="0" w:color="auto"/>
        <w:bottom w:val="none" w:sz="0" w:space="0" w:color="auto"/>
        <w:right w:val="none" w:sz="0" w:space="0" w:color="auto"/>
      </w:divBdr>
    </w:div>
    <w:div w:id="1228607176">
      <w:bodyDiv w:val="1"/>
      <w:marLeft w:val="0"/>
      <w:marRight w:val="0"/>
      <w:marTop w:val="0"/>
      <w:marBottom w:val="0"/>
      <w:divBdr>
        <w:top w:val="none" w:sz="0" w:space="0" w:color="auto"/>
        <w:left w:val="none" w:sz="0" w:space="0" w:color="auto"/>
        <w:bottom w:val="none" w:sz="0" w:space="0" w:color="auto"/>
        <w:right w:val="none" w:sz="0" w:space="0" w:color="auto"/>
      </w:divBdr>
    </w:div>
    <w:div w:id="1235385616">
      <w:bodyDiv w:val="1"/>
      <w:marLeft w:val="0"/>
      <w:marRight w:val="0"/>
      <w:marTop w:val="0"/>
      <w:marBottom w:val="0"/>
      <w:divBdr>
        <w:top w:val="none" w:sz="0" w:space="0" w:color="auto"/>
        <w:left w:val="none" w:sz="0" w:space="0" w:color="auto"/>
        <w:bottom w:val="none" w:sz="0" w:space="0" w:color="auto"/>
        <w:right w:val="none" w:sz="0" w:space="0" w:color="auto"/>
      </w:divBdr>
    </w:div>
    <w:div w:id="1308628162">
      <w:bodyDiv w:val="1"/>
      <w:marLeft w:val="0"/>
      <w:marRight w:val="0"/>
      <w:marTop w:val="0"/>
      <w:marBottom w:val="0"/>
      <w:divBdr>
        <w:top w:val="none" w:sz="0" w:space="0" w:color="auto"/>
        <w:left w:val="none" w:sz="0" w:space="0" w:color="auto"/>
        <w:bottom w:val="none" w:sz="0" w:space="0" w:color="auto"/>
        <w:right w:val="none" w:sz="0" w:space="0" w:color="auto"/>
      </w:divBdr>
    </w:div>
    <w:div w:id="1313412244">
      <w:bodyDiv w:val="1"/>
      <w:marLeft w:val="0"/>
      <w:marRight w:val="0"/>
      <w:marTop w:val="0"/>
      <w:marBottom w:val="0"/>
      <w:divBdr>
        <w:top w:val="none" w:sz="0" w:space="0" w:color="auto"/>
        <w:left w:val="none" w:sz="0" w:space="0" w:color="auto"/>
        <w:bottom w:val="none" w:sz="0" w:space="0" w:color="auto"/>
        <w:right w:val="none" w:sz="0" w:space="0" w:color="auto"/>
      </w:divBdr>
    </w:div>
    <w:div w:id="1320888458">
      <w:bodyDiv w:val="1"/>
      <w:marLeft w:val="0"/>
      <w:marRight w:val="0"/>
      <w:marTop w:val="0"/>
      <w:marBottom w:val="0"/>
      <w:divBdr>
        <w:top w:val="none" w:sz="0" w:space="0" w:color="auto"/>
        <w:left w:val="none" w:sz="0" w:space="0" w:color="auto"/>
        <w:bottom w:val="none" w:sz="0" w:space="0" w:color="auto"/>
        <w:right w:val="none" w:sz="0" w:space="0" w:color="auto"/>
      </w:divBdr>
    </w:div>
    <w:div w:id="1341814903">
      <w:bodyDiv w:val="1"/>
      <w:marLeft w:val="0"/>
      <w:marRight w:val="0"/>
      <w:marTop w:val="0"/>
      <w:marBottom w:val="0"/>
      <w:divBdr>
        <w:top w:val="none" w:sz="0" w:space="0" w:color="auto"/>
        <w:left w:val="none" w:sz="0" w:space="0" w:color="auto"/>
        <w:bottom w:val="none" w:sz="0" w:space="0" w:color="auto"/>
        <w:right w:val="none" w:sz="0" w:space="0" w:color="auto"/>
      </w:divBdr>
    </w:div>
    <w:div w:id="1380982984">
      <w:bodyDiv w:val="1"/>
      <w:marLeft w:val="0"/>
      <w:marRight w:val="0"/>
      <w:marTop w:val="0"/>
      <w:marBottom w:val="0"/>
      <w:divBdr>
        <w:top w:val="none" w:sz="0" w:space="0" w:color="auto"/>
        <w:left w:val="none" w:sz="0" w:space="0" w:color="auto"/>
        <w:bottom w:val="none" w:sz="0" w:space="0" w:color="auto"/>
        <w:right w:val="none" w:sz="0" w:space="0" w:color="auto"/>
      </w:divBdr>
    </w:div>
    <w:div w:id="1383796893">
      <w:bodyDiv w:val="1"/>
      <w:marLeft w:val="0"/>
      <w:marRight w:val="0"/>
      <w:marTop w:val="0"/>
      <w:marBottom w:val="0"/>
      <w:divBdr>
        <w:top w:val="none" w:sz="0" w:space="0" w:color="auto"/>
        <w:left w:val="none" w:sz="0" w:space="0" w:color="auto"/>
        <w:bottom w:val="none" w:sz="0" w:space="0" w:color="auto"/>
        <w:right w:val="none" w:sz="0" w:space="0" w:color="auto"/>
      </w:divBdr>
    </w:div>
    <w:div w:id="1413234747">
      <w:bodyDiv w:val="1"/>
      <w:marLeft w:val="0"/>
      <w:marRight w:val="0"/>
      <w:marTop w:val="0"/>
      <w:marBottom w:val="0"/>
      <w:divBdr>
        <w:top w:val="none" w:sz="0" w:space="0" w:color="auto"/>
        <w:left w:val="none" w:sz="0" w:space="0" w:color="auto"/>
        <w:bottom w:val="none" w:sz="0" w:space="0" w:color="auto"/>
        <w:right w:val="none" w:sz="0" w:space="0" w:color="auto"/>
      </w:divBdr>
    </w:div>
    <w:div w:id="1413703910">
      <w:bodyDiv w:val="1"/>
      <w:marLeft w:val="0"/>
      <w:marRight w:val="0"/>
      <w:marTop w:val="0"/>
      <w:marBottom w:val="0"/>
      <w:divBdr>
        <w:top w:val="none" w:sz="0" w:space="0" w:color="auto"/>
        <w:left w:val="none" w:sz="0" w:space="0" w:color="auto"/>
        <w:bottom w:val="none" w:sz="0" w:space="0" w:color="auto"/>
        <w:right w:val="none" w:sz="0" w:space="0" w:color="auto"/>
      </w:divBdr>
    </w:div>
    <w:div w:id="1419405169">
      <w:bodyDiv w:val="1"/>
      <w:marLeft w:val="0"/>
      <w:marRight w:val="0"/>
      <w:marTop w:val="0"/>
      <w:marBottom w:val="0"/>
      <w:divBdr>
        <w:top w:val="none" w:sz="0" w:space="0" w:color="auto"/>
        <w:left w:val="none" w:sz="0" w:space="0" w:color="auto"/>
        <w:bottom w:val="none" w:sz="0" w:space="0" w:color="auto"/>
        <w:right w:val="none" w:sz="0" w:space="0" w:color="auto"/>
      </w:divBdr>
    </w:div>
    <w:div w:id="1423915272">
      <w:bodyDiv w:val="1"/>
      <w:marLeft w:val="0"/>
      <w:marRight w:val="0"/>
      <w:marTop w:val="0"/>
      <w:marBottom w:val="0"/>
      <w:divBdr>
        <w:top w:val="none" w:sz="0" w:space="0" w:color="auto"/>
        <w:left w:val="none" w:sz="0" w:space="0" w:color="auto"/>
        <w:bottom w:val="none" w:sz="0" w:space="0" w:color="auto"/>
        <w:right w:val="none" w:sz="0" w:space="0" w:color="auto"/>
      </w:divBdr>
    </w:div>
    <w:div w:id="1442185557">
      <w:bodyDiv w:val="1"/>
      <w:marLeft w:val="0"/>
      <w:marRight w:val="0"/>
      <w:marTop w:val="0"/>
      <w:marBottom w:val="0"/>
      <w:divBdr>
        <w:top w:val="none" w:sz="0" w:space="0" w:color="auto"/>
        <w:left w:val="none" w:sz="0" w:space="0" w:color="auto"/>
        <w:bottom w:val="none" w:sz="0" w:space="0" w:color="auto"/>
        <w:right w:val="none" w:sz="0" w:space="0" w:color="auto"/>
      </w:divBdr>
    </w:div>
    <w:div w:id="1446929054">
      <w:bodyDiv w:val="1"/>
      <w:marLeft w:val="0"/>
      <w:marRight w:val="0"/>
      <w:marTop w:val="0"/>
      <w:marBottom w:val="0"/>
      <w:divBdr>
        <w:top w:val="none" w:sz="0" w:space="0" w:color="auto"/>
        <w:left w:val="none" w:sz="0" w:space="0" w:color="auto"/>
        <w:bottom w:val="none" w:sz="0" w:space="0" w:color="auto"/>
        <w:right w:val="none" w:sz="0" w:space="0" w:color="auto"/>
      </w:divBdr>
    </w:div>
    <w:div w:id="1448351242">
      <w:bodyDiv w:val="1"/>
      <w:marLeft w:val="0"/>
      <w:marRight w:val="0"/>
      <w:marTop w:val="0"/>
      <w:marBottom w:val="0"/>
      <w:divBdr>
        <w:top w:val="none" w:sz="0" w:space="0" w:color="auto"/>
        <w:left w:val="none" w:sz="0" w:space="0" w:color="auto"/>
        <w:bottom w:val="none" w:sz="0" w:space="0" w:color="auto"/>
        <w:right w:val="none" w:sz="0" w:space="0" w:color="auto"/>
      </w:divBdr>
    </w:div>
    <w:div w:id="1472014145">
      <w:bodyDiv w:val="1"/>
      <w:marLeft w:val="0"/>
      <w:marRight w:val="0"/>
      <w:marTop w:val="0"/>
      <w:marBottom w:val="0"/>
      <w:divBdr>
        <w:top w:val="none" w:sz="0" w:space="0" w:color="auto"/>
        <w:left w:val="none" w:sz="0" w:space="0" w:color="auto"/>
        <w:bottom w:val="none" w:sz="0" w:space="0" w:color="auto"/>
        <w:right w:val="none" w:sz="0" w:space="0" w:color="auto"/>
      </w:divBdr>
    </w:div>
    <w:div w:id="1500735323">
      <w:bodyDiv w:val="1"/>
      <w:marLeft w:val="0"/>
      <w:marRight w:val="0"/>
      <w:marTop w:val="0"/>
      <w:marBottom w:val="0"/>
      <w:divBdr>
        <w:top w:val="none" w:sz="0" w:space="0" w:color="auto"/>
        <w:left w:val="none" w:sz="0" w:space="0" w:color="auto"/>
        <w:bottom w:val="none" w:sz="0" w:space="0" w:color="auto"/>
        <w:right w:val="none" w:sz="0" w:space="0" w:color="auto"/>
      </w:divBdr>
    </w:div>
    <w:div w:id="1513255948">
      <w:bodyDiv w:val="1"/>
      <w:marLeft w:val="0"/>
      <w:marRight w:val="0"/>
      <w:marTop w:val="0"/>
      <w:marBottom w:val="0"/>
      <w:divBdr>
        <w:top w:val="none" w:sz="0" w:space="0" w:color="auto"/>
        <w:left w:val="none" w:sz="0" w:space="0" w:color="auto"/>
        <w:bottom w:val="none" w:sz="0" w:space="0" w:color="auto"/>
        <w:right w:val="none" w:sz="0" w:space="0" w:color="auto"/>
      </w:divBdr>
    </w:div>
    <w:div w:id="1514107237">
      <w:bodyDiv w:val="1"/>
      <w:marLeft w:val="0"/>
      <w:marRight w:val="0"/>
      <w:marTop w:val="0"/>
      <w:marBottom w:val="0"/>
      <w:divBdr>
        <w:top w:val="none" w:sz="0" w:space="0" w:color="auto"/>
        <w:left w:val="none" w:sz="0" w:space="0" w:color="auto"/>
        <w:bottom w:val="none" w:sz="0" w:space="0" w:color="auto"/>
        <w:right w:val="none" w:sz="0" w:space="0" w:color="auto"/>
      </w:divBdr>
    </w:div>
    <w:div w:id="1546410919">
      <w:bodyDiv w:val="1"/>
      <w:marLeft w:val="0"/>
      <w:marRight w:val="0"/>
      <w:marTop w:val="0"/>
      <w:marBottom w:val="0"/>
      <w:divBdr>
        <w:top w:val="none" w:sz="0" w:space="0" w:color="auto"/>
        <w:left w:val="none" w:sz="0" w:space="0" w:color="auto"/>
        <w:bottom w:val="none" w:sz="0" w:space="0" w:color="auto"/>
        <w:right w:val="none" w:sz="0" w:space="0" w:color="auto"/>
      </w:divBdr>
    </w:div>
    <w:div w:id="1575893575">
      <w:bodyDiv w:val="1"/>
      <w:marLeft w:val="0"/>
      <w:marRight w:val="0"/>
      <w:marTop w:val="0"/>
      <w:marBottom w:val="0"/>
      <w:divBdr>
        <w:top w:val="none" w:sz="0" w:space="0" w:color="auto"/>
        <w:left w:val="none" w:sz="0" w:space="0" w:color="auto"/>
        <w:bottom w:val="none" w:sz="0" w:space="0" w:color="auto"/>
        <w:right w:val="none" w:sz="0" w:space="0" w:color="auto"/>
      </w:divBdr>
    </w:div>
    <w:div w:id="1586724725">
      <w:bodyDiv w:val="1"/>
      <w:marLeft w:val="0"/>
      <w:marRight w:val="0"/>
      <w:marTop w:val="0"/>
      <w:marBottom w:val="0"/>
      <w:divBdr>
        <w:top w:val="none" w:sz="0" w:space="0" w:color="auto"/>
        <w:left w:val="none" w:sz="0" w:space="0" w:color="auto"/>
        <w:bottom w:val="none" w:sz="0" w:space="0" w:color="auto"/>
        <w:right w:val="none" w:sz="0" w:space="0" w:color="auto"/>
      </w:divBdr>
    </w:div>
    <w:div w:id="1593390628">
      <w:bodyDiv w:val="1"/>
      <w:marLeft w:val="0"/>
      <w:marRight w:val="0"/>
      <w:marTop w:val="0"/>
      <w:marBottom w:val="0"/>
      <w:divBdr>
        <w:top w:val="none" w:sz="0" w:space="0" w:color="auto"/>
        <w:left w:val="none" w:sz="0" w:space="0" w:color="auto"/>
        <w:bottom w:val="none" w:sz="0" w:space="0" w:color="auto"/>
        <w:right w:val="none" w:sz="0" w:space="0" w:color="auto"/>
      </w:divBdr>
    </w:div>
    <w:div w:id="1607224546">
      <w:bodyDiv w:val="1"/>
      <w:marLeft w:val="0"/>
      <w:marRight w:val="0"/>
      <w:marTop w:val="0"/>
      <w:marBottom w:val="0"/>
      <w:divBdr>
        <w:top w:val="none" w:sz="0" w:space="0" w:color="auto"/>
        <w:left w:val="none" w:sz="0" w:space="0" w:color="auto"/>
        <w:bottom w:val="none" w:sz="0" w:space="0" w:color="auto"/>
        <w:right w:val="none" w:sz="0" w:space="0" w:color="auto"/>
      </w:divBdr>
    </w:div>
    <w:div w:id="1609240996">
      <w:bodyDiv w:val="1"/>
      <w:marLeft w:val="0"/>
      <w:marRight w:val="0"/>
      <w:marTop w:val="0"/>
      <w:marBottom w:val="0"/>
      <w:divBdr>
        <w:top w:val="none" w:sz="0" w:space="0" w:color="auto"/>
        <w:left w:val="none" w:sz="0" w:space="0" w:color="auto"/>
        <w:bottom w:val="none" w:sz="0" w:space="0" w:color="auto"/>
        <w:right w:val="none" w:sz="0" w:space="0" w:color="auto"/>
      </w:divBdr>
    </w:div>
    <w:div w:id="1679581694">
      <w:bodyDiv w:val="1"/>
      <w:marLeft w:val="0"/>
      <w:marRight w:val="0"/>
      <w:marTop w:val="0"/>
      <w:marBottom w:val="0"/>
      <w:divBdr>
        <w:top w:val="none" w:sz="0" w:space="0" w:color="auto"/>
        <w:left w:val="none" w:sz="0" w:space="0" w:color="auto"/>
        <w:bottom w:val="none" w:sz="0" w:space="0" w:color="auto"/>
        <w:right w:val="none" w:sz="0" w:space="0" w:color="auto"/>
      </w:divBdr>
    </w:div>
    <w:div w:id="1701781376">
      <w:bodyDiv w:val="1"/>
      <w:marLeft w:val="0"/>
      <w:marRight w:val="0"/>
      <w:marTop w:val="0"/>
      <w:marBottom w:val="0"/>
      <w:divBdr>
        <w:top w:val="none" w:sz="0" w:space="0" w:color="auto"/>
        <w:left w:val="none" w:sz="0" w:space="0" w:color="auto"/>
        <w:bottom w:val="none" w:sz="0" w:space="0" w:color="auto"/>
        <w:right w:val="none" w:sz="0" w:space="0" w:color="auto"/>
      </w:divBdr>
    </w:div>
    <w:div w:id="1706368342">
      <w:bodyDiv w:val="1"/>
      <w:marLeft w:val="0"/>
      <w:marRight w:val="0"/>
      <w:marTop w:val="0"/>
      <w:marBottom w:val="0"/>
      <w:divBdr>
        <w:top w:val="none" w:sz="0" w:space="0" w:color="auto"/>
        <w:left w:val="none" w:sz="0" w:space="0" w:color="auto"/>
        <w:bottom w:val="none" w:sz="0" w:space="0" w:color="auto"/>
        <w:right w:val="none" w:sz="0" w:space="0" w:color="auto"/>
      </w:divBdr>
    </w:div>
    <w:div w:id="1714307122">
      <w:bodyDiv w:val="1"/>
      <w:marLeft w:val="0"/>
      <w:marRight w:val="0"/>
      <w:marTop w:val="0"/>
      <w:marBottom w:val="0"/>
      <w:divBdr>
        <w:top w:val="none" w:sz="0" w:space="0" w:color="auto"/>
        <w:left w:val="none" w:sz="0" w:space="0" w:color="auto"/>
        <w:bottom w:val="none" w:sz="0" w:space="0" w:color="auto"/>
        <w:right w:val="none" w:sz="0" w:space="0" w:color="auto"/>
      </w:divBdr>
    </w:div>
    <w:div w:id="1744181338">
      <w:bodyDiv w:val="1"/>
      <w:marLeft w:val="0"/>
      <w:marRight w:val="0"/>
      <w:marTop w:val="0"/>
      <w:marBottom w:val="0"/>
      <w:divBdr>
        <w:top w:val="none" w:sz="0" w:space="0" w:color="auto"/>
        <w:left w:val="none" w:sz="0" w:space="0" w:color="auto"/>
        <w:bottom w:val="none" w:sz="0" w:space="0" w:color="auto"/>
        <w:right w:val="none" w:sz="0" w:space="0" w:color="auto"/>
      </w:divBdr>
    </w:div>
    <w:div w:id="1764301360">
      <w:bodyDiv w:val="1"/>
      <w:marLeft w:val="0"/>
      <w:marRight w:val="0"/>
      <w:marTop w:val="0"/>
      <w:marBottom w:val="0"/>
      <w:divBdr>
        <w:top w:val="none" w:sz="0" w:space="0" w:color="auto"/>
        <w:left w:val="none" w:sz="0" w:space="0" w:color="auto"/>
        <w:bottom w:val="none" w:sz="0" w:space="0" w:color="auto"/>
        <w:right w:val="none" w:sz="0" w:space="0" w:color="auto"/>
      </w:divBdr>
    </w:div>
    <w:div w:id="1785882519">
      <w:bodyDiv w:val="1"/>
      <w:marLeft w:val="0"/>
      <w:marRight w:val="0"/>
      <w:marTop w:val="0"/>
      <w:marBottom w:val="0"/>
      <w:divBdr>
        <w:top w:val="none" w:sz="0" w:space="0" w:color="auto"/>
        <w:left w:val="none" w:sz="0" w:space="0" w:color="auto"/>
        <w:bottom w:val="none" w:sz="0" w:space="0" w:color="auto"/>
        <w:right w:val="none" w:sz="0" w:space="0" w:color="auto"/>
      </w:divBdr>
    </w:div>
    <w:div w:id="1816021615">
      <w:bodyDiv w:val="1"/>
      <w:marLeft w:val="0"/>
      <w:marRight w:val="0"/>
      <w:marTop w:val="0"/>
      <w:marBottom w:val="0"/>
      <w:divBdr>
        <w:top w:val="none" w:sz="0" w:space="0" w:color="auto"/>
        <w:left w:val="none" w:sz="0" w:space="0" w:color="auto"/>
        <w:bottom w:val="none" w:sz="0" w:space="0" w:color="auto"/>
        <w:right w:val="none" w:sz="0" w:space="0" w:color="auto"/>
      </w:divBdr>
    </w:div>
    <w:div w:id="1837265415">
      <w:bodyDiv w:val="1"/>
      <w:marLeft w:val="0"/>
      <w:marRight w:val="0"/>
      <w:marTop w:val="0"/>
      <w:marBottom w:val="0"/>
      <w:divBdr>
        <w:top w:val="none" w:sz="0" w:space="0" w:color="auto"/>
        <w:left w:val="none" w:sz="0" w:space="0" w:color="auto"/>
        <w:bottom w:val="none" w:sz="0" w:space="0" w:color="auto"/>
        <w:right w:val="none" w:sz="0" w:space="0" w:color="auto"/>
      </w:divBdr>
    </w:div>
    <w:div w:id="1842503668">
      <w:bodyDiv w:val="1"/>
      <w:marLeft w:val="0"/>
      <w:marRight w:val="0"/>
      <w:marTop w:val="0"/>
      <w:marBottom w:val="0"/>
      <w:divBdr>
        <w:top w:val="none" w:sz="0" w:space="0" w:color="auto"/>
        <w:left w:val="none" w:sz="0" w:space="0" w:color="auto"/>
        <w:bottom w:val="none" w:sz="0" w:space="0" w:color="auto"/>
        <w:right w:val="none" w:sz="0" w:space="0" w:color="auto"/>
      </w:divBdr>
    </w:div>
    <w:div w:id="1845364330">
      <w:bodyDiv w:val="1"/>
      <w:marLeft w:val="0"/>
      <w:marRight w:val="0"/>
      <w:marTop w:val="0"/>
      <w:marBottom w:val="0"/>
      <w:divBdr>
        <w:top w:val="none" w:sz="0" w:space="0" w:color="auto"/>
        <w:left w:val="none" w:sz="0" w:space="0" w:color="auto"/>
        <w:bottom w:val="none" w:sz="0" w:space="0" w:color="auto"/>
        <w:right w:val="none" w:sz="0" w:space="0" w:color="auto"/>
      </w:divBdr>
    </w:div>
    <w:div w:id="1860504153">
      <w:bodyDiv w:val="1"/>
      <w:marLeft w:val="0"/>
      <w:marRight w:val="0"/>
      <w:marTop w:val="0"/>
      <w:marBottom w:val="0"/>
      <w:divBdr>
        <w:top w:val="none" w:sz="0" w:space="0" w:color="auto"/>
        <w:left w:val="none" w:sz="0" w:space="0" w:color="auto"/>
        <w:bottom w:val="none" w:sz="0" w:space="0" w:color="auto"/>
        <w:right w:val="none" w:sz="0" w:space="0" w:color="auto"/>
      </w:divBdr>
    </w:div>
    <w:div w:id="1882862590">
      <w:bodyDiv w:val="1"/>
      <w:marLeft w:val="0"/>
      <w:marRight w:val="0"/>
      <w:marTop w:val="0"/>
      <w:marBottom w:val="0"/>
      <w:divBdr>
        <w:top w:val="none" w:sz="0" w:space="0" w:color="auto"/>
        <w:left w:val="none" w:sz="0" w:space="0" w:color="auto"/>
        <w:bottom w:val="none" w:sz="0" w:space="0" w:color="auto"/>
        <w:right w:val="none" w:sz="0" w:space="0" w:color="auto"/>
      </w:divBdr>
    </w:div>
    <w:div w:id="1918442644">
      <w:bodyDiv w:val="1"/>
      <w:marLeft w:val="0"/>
      <w:marRight w:val="0"/>
      <w:marTop w:val="0"/>
      <w:marBottom w:val="0"/>
      <w:divBdr>
        <w:top w:val="none" w:sz="0" w:space="0" w:color="auto"/>
        <w:left w:val="none" w:sz="0" w:space="0" w:color="auto"/>
        <w:bottom w:val="none" w:sz="0" w:space="0" w:color="auto"/>
        <w:right w:val="none" w:sz="0" w:space="0" w:color="auto"/>
      </w:divBdr>
    </w:div>
    <w:div w:id="1938899545">
      <w:bodyDiv w:val="1"/>
      <w:marLeft w:val="0"/>
      <w:marRight w:val="0"/>
      <w:marTop w:val="0"/>
      <w:marBottom w:val="0"/>
      <w:divBdr>
        <w:top w:val="none" w:sz="0" w:space="0" w:color="auto"/>
        <w:left w:val="none" w:sz="0" w:space="0" w:color="auto"/>
        <w:bottom w:val="none" w:sz="0" w:space="0" w:color="auto"/>
        <w:right w:val="none" w:sz="0" w:space="0" w:color="auto"/>
      </w:divBdr>
    </w:div>
    <w:div w:id="1961918144">
      <w:bodyDiv w:val="1"/>
      <w:marLeft w:val="0"/>
      <w:marRight w:val="0"/>
      <w:marTop w:val="0"/>
      <w:marBottom w:val="0"/>
      <w:divBdr>
        <w:top w:val="none" w:sz="0" w:space="0" w:color="auto"/>
        <w:left w:val="none" w:sz="0" w:space="0" w:color="auto"/>
        <w:bottom w:val="none" w:sz="0" w:space="0" w:color="auto"/>
        <w:right w:val="none" w:sz="0" w:space="0" w:color="auto"/>
      </w:divBdr>
    </w:div>
    <w:div w:id="2010599599">
      <w:bodyDiv w:val="1"/>
      <w:marLeft w:val="0"/>
      <w:marRight w:val="0"/>
      <w:marTop w:val="0"/>
      <w:marBottom w:val="0"/>
      <w:divBdr>
        <w:top w:val="none" w:sz="0" w:space="0" w:color="auto"/>
        <w:left w:val="none" w:sz="0" w:space="0" w:color="auto"/>
        <w:bottom w:val="none" w:sz="0" w:space="0" w:color="auto"/>
        <w:right w:val="none" w:sz="0" w:space="0" w:color="auto"/>
      </w:divBdr>
    </w:div>
    <w:div w:id="2015106388">
      <w:bodyDiv w:val="1"/>
      <w:marLeft w:val="0"/>
      <w:marRight w:val="0"/>
      <w:marTop w:val="0"/>
      <w:marBottom w:val="0"/>
      <w:divBdr>
        <w:top w:val="none" w:sz="0" w:space="0" w:color="auto"/>
        <w:left w:val="none" w:sz="0" w:space="0" w:color="auto"/>
        <w:bottom w:val="none" w:sz="0" w:space="0" w:color="auto"/>
        <w:right w:val="none" w:sz="0" w:space="0" w:color="auto"/>
      </w:divBdr>
    </w:div>
    <w:div w:id="2027898795">
      <w:bodyDiv w:val="1"/>
      <w:marLeft w:val="0"/>
      <w:marRight w:val="0"/>
      <w:marTop w:val="0"/>
      <w:marBottom w:val="0"/>
      <w:divBdr>
        <w:top w:val="none" w:sz="0" w:space="0" w:color="auto"/>
        <w:left w:val="none" w:sz="0" w:space="0" w:color="auto"/>
        <w:bottom w:val="none" w:sz="0" w:space="0" w:color="auto"/>
        <w:right w:val="none" w:sz="0" w:space="0" w:color="auto"/>
      </w:divBdr>
    </w:div>
    <w:div w:id="2032877019">
      <w:bodyDiv w:val="1"/>
      <w:marLeft w:val="0"/>
      <w:marRight w:val="0"/>
      <w:marTop w:val="0"/>
      <w:marBottom w:val="0"/>
      <w:divBdr>
        <w:top w:val="none" w:sz="0" w:space="0" w:color="auto"/>
        <w:left w:val="none" w:sz="0" w:space="0" w:color="auto"/>
        <w:bottom w:val="none" w:sz="0" w:space="0" w:color="auto"/>
        <w:right w:val="none" w:sz="0" w:space="0" w:color="auto"/>
      </w:divBdr>
    </w:div>
    <w:div w:id="2038499923">
      <w:bodyDiv w:val="1"/>
      <w:marLeft w:val="0"/>
      <w:marRight w:val="0"/>
      <w:marTop w:val="0"/>
      <w:marBottom w:val="0"/>
      <w:divBdr>
        <w:top w:val="none" w:sz="0" w:space="0" w:color="auto"/>
        <w:left w:val="none" w:sz="0" w:space="0" w:color="auto"/>
        <w:bottom w:val="none" w:sz="0" w:space="0" w:color="auto"/>
        <w:right w:val="none" w:sz="0" w:space="0" w:color="auto"/>
      </w:divBdr>
    </w:div>
    <w:div w:id="2099516905">
      <w:bodyDiv w:val="1"/>
      <w:marLeft w:val="0"/>
      <w:marRight w:val="0"/>
      <w:marTop w:val="0"/>
      <w:marBottom w:val="0"/>
      <w:divBdr>
        <w:top w:val="none" w:sz="0" w:space="0" w:color="auto"/>
        <w:left w:val="none" w:sz="0" w:space="0" w:color="auto"/>
        <w:bottom w:val="none" w:sz="0" w:space="0" w:color="auto"/>
        <w:right w:val="none" w:sz="0" w:space="0" w:color="auto"/>
      </w:divBdr>
    </w:div>
    <w:div w:id="2105418568">
      <w:bodyDiv w:val="1"/>
      <w:marLeft w:val="0"/>
      <w:marRight w:val="0"/>
      <w:marTop w:val="0"/>
      <w:marBottom w:val="0"/>
      <w:divBdr>
        <w:top w:val="none" w:sz="0" w:space="0" w:color="auto"/>
        <w:left w:val="none" w:sz="0" w:space="0" w:color="auto"/>
        <w:bottom w:val="none" w:sz="0" w:space="0" w:color="auto"/>
        <w:right w:val="none" w:sz="0" w:space="0" w:color="auto"/>
      </w:divBdr>
    </w:div>
    <w:div w:id="211081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9" Type="http://schemas.openxmlformats.org/officeDocument/2006/relationships/diagramQuickStyle" Target="diagrams/quickStyle7.xml"/><Relationship Id="rId21" Type="http://schemas.microsoft.com/office/2007/relationships/diagramDrawing" Target="diagrams/drawing3.xml"/><Relationship Id="rId34" Type="http://schemas.openxmlformats.org/officeDocument/2006/relationships/diagramQuickStyle" Target="diagrams/quickStyle6.xml"/><Relationship Id="rId42" Type="http://schemas.openxmlformats.org/officeDocument/2006/relationships/diagramData" Target="diagrams/data8.xml"/><Relationship Id="rId47" Type="http://schemas.openxmlformats.org/officeDocument/2006/relationships/footer" Target="footer1.xml"/><Relationship Id="rId7" Type="http://schemas.openxmlformats.org/officeDocument/2006/relationships/diagramData" Target="diagrams/data1.xml"/><Relationship Id="rId2" Type="http://schemas.openxmlformats.org/officeDocument/2006/relationships/styles" Target="styles.xml"/><Relationship Id="rId16" Type="http://schemas.microsoft.com/office/2007/relationships/diagramDrawing" Target="diagrams/drawing2.xml"/><Relationship Id="rId29" Type="http://schemas.openxmlformats.org/officeDocument/2006/relationships/diagramQuickStyle" Target="diagrams/quickStyle5.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diagramData" Target="diagrams/data6.xml"/><Relationship Id="rId37" Type="http://schemas.openxmlformats.org/officeDocument/2006/relationships/diagramData" Target="diagrams/data7.xml"/><Relationship Id="rId40" Type="http://schemas.openxmlformats.org/officeDocument/2006/relationships/diagramColors" Target="diagrams/colors7.xml"/><Relationship Id="rId45" Type="http://schemas.openxmlformats.org/officeDocument/2006/relationships/diagramColors" Target="diagrams/colors8.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36" Type="http://schemas.microsoft.com/office/2007/relationships/diagramDrawing" Target="diagrams/drawing6.xml"/><Relationship Id="rId49"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4" Type="http://schemas.openxmlformats.org/officeDocument/2006/relationships/diagramQuickStyle" Target="diagrams/quickStyle8.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diagramColors" Target="diagrams/colors6.xml"/><Relationship Id="rId43" Type="http://schemas.openxmlformats.org/officeDocument/2006/relationships/diagramLayout" Target="diagrams/layout8.xml"/><Relationship Id="rId48" Type="http://schemas.openxmlformats.org/officeDocument/2006/relationships/fontTable" Target="fontTable.xml"/><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diagramLayout" Target="diagrams/layout6.xml"/><Relationship Id="rId38" Type="http://schemas.openxmlformats.org/officeDocument/2006/relationships/diagramLayout" Target="diagrams/layout7.xml"/><Relationship Id="rId46" Type="http://schemas.microsoft.com/office/2007/relationships/diagramDrawing" Target="diagrams/drawing8.xml"/><Relationship Id="rId20" Type="http://schemas.openxmlformats.org/officeDocument/2006/relationships/diagramColors" Target="diagrams/colors3.xml"/><Relationship Id="rId41" Type="http://schemas.microsoft.com/office/2007/relationships/diagramDrawing" Target="diagrams/drawing7.xml"/><Relationship Id="rId1" Type="http://schemas.openxmlformats.org/officeDocument/2006/relationships/numbering" Target="numbering.xml"/><Relationship Id="rId6"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5D6EFD-5727-4A2C-A72E-79C4037068B9}"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23AEDD4B-323F-432E-AA38-9889793BD8E8}">
      <dgm:prSet phldrT="[Text]" custT="1"/>
      <dgm:spPr/>
      <dgm:t>
        <a:bodyPr/>
        <a:lstStyle/>
        <a:p>
          <a:r>
            <a:rPr lang="en-GB" sz="1400" b="1">
              <a:solidFill>
                <a:srgbClr val="FF0000"/>
              </a:solidFill>
              <a:latin typeface="Arial" panose="020B0604020202020204" pitchFamily="34" charset="0"/>
              <a:cs typeface="Arial" panose="020B0604020202020204" pitchFamily="34" charset="0"/>
            </a:rPr>
            <a:t>Strengths</a:t>
          </a:r>
          <a:endParaRPr lang="en-GB" sz="1200" b="1">
            <a:solidFill>
              <a:srgbClr val="FF0000"/>
            </a:solidFill>
            <a:latin typeface="Arial" panose="020B0604020202020204" pitchFamily="34" charset="0"/>
            <a:cs typeface="Arial" panose="020B0604020202020204" pitchFamily="34" charset="0"/>
          </a:endParaRPr>
        </a:p>
        <a:p>
          <a:r>
            <a:rPr lang="en-GB" sz="1200" b="1">
              <a:latin typeface="Arial" panose="020B0604020202020204" pitchFamily="34" charset="0"/>
              <a:cs typeface="Arial" panose="020B0604020202020204" pitchFamily="34" charset="0"/>
            </a:rPr>
            <a:t> </a:t>
          </a:r>
          <a:r>
            <a:rPr lang="en-GB" sz="1100" b="1">
              <a:latin typeface="Arial" panose="020B0604020202020204" pitchFamily="34" charset="0"/>
              <a:cs typeface="Arial" panose="020B0604020202020204" pitchFamily="34" charset="0"/>
            </a:rPr>
            <a:t>strong market share in wearable technology and a recognisable brand </a:t>
          </a:r>
        </a:p>
        <a:p>
          <a:r>
            <a:rPr lang="en-GB" sz="1100" b="1">
              <a:latin typeface="Arial" panose="020B0604020202020204" pitchFamily="34" charset="0"/>
              <a:cs typeface="Arial" panose="020B0604020202020204" pitchFamily="34" charset="0"/>
            </a:rPr>
            <a:t>Google Health Data Systems connectivity</a:t>
          </a:r>
          <a:endParaRPr lang="en-GB" sz="1100">
            <a:latin typeface="Arial" panose="020B0604020202020204" pitchFamily="34" charset="0"/>
            <a:cs typeface="Arial" panose="020B0604020202020204" pitchFamily="34" charset="0"/>
          </a:endParaRPr>
        </a:p>
      </dgm:t>
    </dgm:pt>
    <dgm:pt modelId="{AD1161D3-4258-4764-997B-8542CEE5045F}" type="parTrans" cxnId="{DF398F38-9FDD-46B5-952B-4829591E1BD5}">
      <dgm:prSet/>
      <dgm:spPr/>
      <dgm:t>
        <a:bodyPr/>
        <a:lstStyle/>
        <a:p>
          <a:endParaRPr lang="en-GB"/>
        </a:p>
      </dgm:t>
    </dgm:pt>
    <dgm:pt modelId="{F8EDEA08-E620-494B-93A5-297499FE5D41}" type="sibTrans" cxnId="{DF398F38-9FDD-46B5-952B-4829591E1BD5}">
      <dgm:prSet/>
      <dgm:spPr/>
      <dgm:t>
        <a:bodyPr/>
        <a:lstStyle/>
        <a:p>
          <a:endParaRPr lang="en-GB"/>
        </a:p>
      </dgm:t>
    </dgm:pt>
    <dgm:pt modelId="{1B0C2A79-EB26-4C82-9C38-33C98FD009BB}">
      <dgm:prSet phldrT="[Text]" custT="1"/>
      <dgm:spPr/>
      <dgm:t>
        <a:bodyPr/>
        <a:lstStyle/>
        <a:p>
          <a:r>
            <a:rPr lang="en-GB" sz="1400" b="1">
              <a:solidFill>
                <a:srgbClr val="FF0000"/>
              </a:solidFill>
              <a:latin typeface="Arial" panose="020B0604020202020204" pitchFamily="34" charset="0"/>
              <a:cs typeface="Arial" panose="020B0604020202020204" pitchFamily="34" charset="0"/>
            </a:rPr>
            <a:t>Weaknesses</a:t>
          </a:r>
        </a:p>
        <a:p>
          <a:endParaRPr lang="en-GB" sz="1400" b="1">
            <a:solidFill>
              <a:srgbClr val="FF0000"/>
            </a:solidFill>
            <a:latin typeface="Arial" panose="020B0604020202020204" pitchFamily="34" charset="0"/>
            <a:cs typeface="Arial" panose="020B0604020202020204" pitchFamily="34" charset="0"/>
          </a:endParaRPr>
        </a:p>
        <a:p>
          <a:r>
            <a:rPr lang="en-GB" sz="1100" b="1">
              <a:latin typeface="Arial" panose="020B0604020202020204" pitchFamily="34" charset="0"/>
              <a:cs typeface="Arial" panose="020B0604020202020204" pitchFamily="34" charset="0"/>
            </a:rPr>
            <a:t>heavy reliance on outside suppliers </a:t>
          </a:r>
        </a:p>
        <a:p>
          <a:r>
            <a:rPr lang="en-GB" sz="1100" b="1">
              <a:latin typeface="Arial" panose="020B0604020202020204" pitchFamily="34" charset="0"/>
              <a:cs typeface="Arial" panose="020B0604020202020204" pitchFamily="34" charset="0"/>
            </a:rPr>
            <a:t>limited manufacturing flexibility</a:t>
          </a:r>
        </a:p>
        <a:p>
          <a:r>
            <a:rPr lang="en-GB" sz="1100" b="1">
              <a:latin typeface="Arial" panose="020B0604020202020204" pitchFamily="34" charset="0"/>
              <a:cs typeface="Arial" panose="020B0604020202020204" pitchFamily="34" charset="0"/>
            </a:rPr>
            <a:t>Potential abuse of data analytics</a:t>
          </a:r>
          <a:endParaRPr lang="en-GB" sz="1100">
            <a:latin typeface="Arial" panose="020B0604020202020204" pitchFamily="34" charset="0"/>
            <a:cs typeface="Arial" panose="020B0604020202020204" pitchFamily="34" charset="0"/>
          </a:endParaRPr>
        </a:p>
      </dgm:t>
    </dgm:pt>
    <dgm:pt modelId="{676ADFF2-9CA7-4EF7-93B8-0B7F314F360B}" type="parTrans" cxnId="{B4893729-C763-4100-996C-ED1465BC5E23}">
      <dgm:prSet/>
      <dgm:spPr/>
      <dgm:t>
        <a:bodyPr/>
        <a:lstStyle/>
        <a:p>
          <a:endParaRPr lang="en-GB"/>
        </a:p>
      </dgm:t>
    </dgm:pt>
    <dgm:pt modelId="{F91B6575-7BBD-4ADD-8764-E57E202137D7}" type="sibTrans" cxnId="{B4893729-C763-4100-996C-ED1465BC5E23}">
      <dgm:prSet/>
      <dgm:spPr/>
      <dgm:t>
        <a:bodyPr/>
        <a:lstStyle/>
        <a:p>
          <a:endParaRPr lang="en-GB"/>
        </a:p>
      </dgm:t>
    </dgm:pt>
    <dgm:pt modelId="{6DA85CD3-3CFC-4081-AE9E-E58B7FE4665A}">
      <dgm:prSet phldrT="[Text]" custT="1"/>
      <dgm:spPr/>
      <dgm:t>
        <a:bodyPr/>
        <a:lstStyle/>
        <a:p>
          <a:r>
            <a:rPr lang="en-GB" sz="1400" b="1">
              <a:solidFill>
                <a:srgbClr val="FF0000"/>
              </a:solidFill>
              <a:latin typeface="Arial" panose="020B0604020202020204" pitchFamily="34" charset="0"/>
              <a:cs typeface="Arial" panose="020B0604020202020204" pitchFamily="34" charset="0"/>
            </a:rPr>
            <a:t>Opportunities</a:t>
          </a:r>
          <a:endParaRPr lang="en-GB" sz="1200" b="1">
            <a:solidFill>
              <a:srgbClr val="FF0000"/>
            </a:solidFill>
            <a:latin typeface="Arial" panose="020B0604020202020204" pitchFamily="34" charset="0"/>
            <a:cs typeface="Arial" panose="020B0604020202020204" pitchFamily="34" charset="0"/>
          </a:endParaRPr>
        </a:p>
        <a:p>
          <a:r>
            <a:rPr lang="en-GB" sz="1200" b="1">
              <a:latin typeface="Arial" panose="020B0604020202020204" pitchFamily="34" charset="0"/>
              <a:cs typeface="Arial" panose="020B0604020202020204" pitchFamily="34" charset="0"/>
            </a:rPr>
            <a:t> </a:t>
          </a:r>
          <a:r>
            <a:rPr lang="en-GB" sz="1100" b="0">
              <a:latin typeface="Arial" panose="020B0604020202020204" pitchFamily="34" charset="0"/>
              <a:cs typeface="Arial" panose="020B0604020202020204" pitchFamily="34" charset="0"/>
            </a:rPr>
            <a:t>The market for digital health devices is expanding. </a:t>
          </a:r>
        </a:p>
        <a:p>
          <a:r>
            <a:rPr lang="en-GB" sz="1100" b="0">
              <a:latin typeface="Arial" panose="020B0604020202020204" pitchFamily="34" charset="0"/>
              <a:cs typeface="Arial" panose="020B0604020202020204" pitchFamily="34" charset="0"/>
            </a:rPr>
            <a:t>Partnerships with the NHS on preventative care and consumer adoption of remote health monitoring</a:t>
          </a:r>
        </a:p>
      </dgm:t>
    </dgm:pt>
    <dgm:pt modelId="{6DB059C8-D1E1-4E7C-8ED5-D98CAB58729F}" type="parTrans" cxnId="{4F8ABB38-DB67-4069-B945-1FA8F27FBF07}">
      <dgm:prSet/>
      <dgm:spPr/>
      <dgm:t>
        <a:bodyPr/>
        <a:lstStyle/>
        <a:p>
          <a:endParaRPr lang="en-GB"/>
        </a:p>
      </dgm:t>
    </dgm:pt>
    <dgm:pt modelId="{BAF096AF-381D-45A3-BC0C-95AE291D68DA}" type="sibTrans" cxnId="{4F8ABB38-DB67-4069-B945-1FA8F27FBF07}">
      <dgm:prSet/>
      <dgm:spPr/>
      <dgm:t>
        <a:bodyPr/>
        <a:lstStyle/>
        <a:p>
          <a:endParaRPr lang="en-GB"/>
        </a:p>
      </dgm:t>
    </dgm:pt>
    <dgm:pt modelId="{785E0545-DF71-4AE0-A249-75B6876BA3E1}">
      <dgm:prSet phldrT="[Text]" custT="1"/>
      <dgm:spPr/>
      <dgm:t>
        <a:bodyPr/>
        <a:lstStyle/>
        <a:p>
          <a:r>
            <a:rPr lang="en-GB" sz="1400" b="1">
              <a:solidFill>
                <a:srgbClr val="FF0000"/>
              </a:solidFill>
              <a:latin typeface="Arial" panose="020B0604020202020204" pitchFamily="34" charset="0"/>
              <a:cs typeface="Arial" panose="020B0604020202020204" pitchFamily="34" charset="0"/>
            </a:rPr>
            <a:t>Threats</a:t>
          </a:r>
          <a:r>
            <a:rPr lang="en-GB" sz="1400" b="1">
              <a:latin typeface="Arial" panose="020B0604020202020204" pitchFamily="34" charset="0"/>
              <a:cs typeface="Arial" panose="020B0604020202020204" pitchFamily="34" charset="0"/>
            </a:rPr>
            <a:t> </a:t>
          </a:r>
        </a:p>
        <a:p>
          <a:r>
            <a:rPr lang="en-GB" sz="1100" b="0">
              <a:latin typeface="Arial" panose="020B0604020202020204" pitchFamily="34" charset="0"/>
              <a:cs typeface="Arial" panose="020B0604020202020204" pitchFamily="34" charset="0"/>
            </a:rPr>
            <a:t>Garmin and Apple are fierce rivals. Medical device regulations in the UK are stringent. </a:t>
          </a:r>
        </a:p>
        <a:p>
          <a:r>
            <a:rPr lang="en-GB" sz="1100" b="0">
              <a:latin typeface="Arial" panose="020B0604020202020204" pitchFamily="34" charset="0"/>
              <a:cs typeface="Arial" panose="020B0604020202020204" pitchFamily="34" charset="0"/>
            </a:rPr>
            <a:t>Cybersecurity and data privacy risks</a:t>
          </a:r>
        </a:p>
      </dgm:t>
    </dgm:pt>
    <dgm:pt modelId="{CF62B794-9CF3-4EC6-B87E-3FBB80DD663A}" type="parTrans" cxnId="{0F8A30F3-DAEC-4863-92F4-F2B6A3799514}">
      <dgm:prSet/>
      <dgm:spPr/>
      <dgm:t>
        <a:bodyPr/>
        <a:lstStyle/>
        <a:p>
          <a:endParaRPr lang="en-GB"/>
        </a:p>
      </dgm:t>
    </dgm:pt>
    <dgm:pt modelId="{A35203DE-6234-4430-88CF-7A4B303269E1}" type="sibTrans" cxnId="{0F8A30F3-DAEC-4863-92F4-F2B6A3799514}">
      <dgm:prSet/>
      <dgm:spPr/>
      <dgm:t>
        <a:bodyPr/>
        <a:lstStyle/>
        <a:p>
          <a:endParaRPr lang="en-GB"/>
        </a:p>
      </dgm:t>
    </dgm:pt>
    <dgm:pt modelId="{F8FFFAA9-8A2A-4F2F-9763-12FA43B92974}" type="pres">
      <dgm:prSet presAssocID="{945D6EFD-5727-4A2C-A72E-79C4037068B9}" presName="diagram" presStyleCnt="0">
        <dgm:presLayoutVars>
          <dgm:dir/>
          <dgm:resizeHandles val="exact"/>
        </dgm:presLayoutVars>
      </dgm:prSet>
      <dgm:spPr/>
      <dgm:t>
        <a:bodyPr/>
        <a:lstStyle/>
        <a:p>
          <a:endParaRPr lang="en-GB"/>
        </a:p>
      </dgm:t>
    </dgm:pt>
    <dgm:pt modelId="{F46E7BF3-8EE2-47C2-A4A1-F0308D24A1EF}" type="pres">
      <dgm:prSet presAssocID="{23AEDD4B-323F-432E-AA38-9889793BD8E8}" presName="node" presStyleLbl="node1" presStyleIdx="0" presStyleCnt="4" custScaleX="136025" custScaleY="360665" custLinFactNeighborX="-37693" custLinFactNeighborY="3586">
        <dgm:presLayoutVars>
          <dgm:bulletEnabled val="1"/>
        </dgm:presLayoutVars>
      </dgm:prSet>
      <dgm:spPr/>
      <dgm:t>
        <a:bodyPr/>
        <a:lstStyle/>
        <a:p>
          <a:endParaRPr lang="en-GB"/>
        </a:p>
      </dgm:t>
    </dgm:pt>
    <dgm:pt modelId="{BFAD58E5-6458-4D39-9A25-4A3AA34F9074}" type="pres">
      <dgm:prSet presAssocID="{F8EDEA08-E620-494B-93A5-297499FE5D41}" presName="sibTrans" presStyleCnt="0"/>
      <dgm:spPr/>
    </dgm:pt>
    <dgm:pt modelId="{AF888E57-7116-4A79-808D-5E9E5E459619}" type="pres">
      <dgm:prSet presAssocID="{1B0C2A79-EB26-4C82-9C38-33C98FD009BB}" presName="node" presStyleLbl="node1" presStyleIdx="1" presStyleCnt="4" custScaleX="142886" custScaleY="359459" custLinFactNeighborX="-2972" custLinFactNeighborY="2045">
        <dgm:presLayoutVars>
          <dgm:bulletEnabled val="1"/>
        </dgm:presLayoutVars>
      </dgm:prSet>
      <dgm:spPr/>
      <dgm:t>
        <a:bodyPr/>
        <a:lstStyle/>
        <a:p>
          <a:endParaRPr lang="en-GB"/>
        </a:p>
      </dgm:t>
    </dgm:pt>
    <dgm:pt modelId="{A742F3F4-F96D-40F7-8CDD-7723259BD96D}" type="pres">
      <dgm:prSet presAssocID="{F91B6575-7BBD-4ADD-8764-E57E202137D7}" presName="sibTrans" presStyleCnt="0"/>
      <dgm:spPr/>
    </dgm:pt>
    <dgm:pt modelId="{8386E727-EEAB-4094-9981-57BB9121C34B}" type="pres">
      <dgm:prSet presAssocID="{6DA85CD3-3CFC-4081-AE9E-E58B7FE4665A}" presName="node" presStyleLbl="node1" presStyleIdx="2" presStyleCnt="4" custScaleX="141205" custScaleY="360344" custLinFactNeighborX="-2134" custLinFactNeighborY="326">
        <dgm:presLayoutVars>
          <dgm:bulletEnabled val="1"/>
        </dgm:presLayoutVars>
      </dgm:prSet>
      <dgm:spPr/>
      <dgm:t>
        <a:bodyPr/>
        <a:lstStyle/>
        <a:p>
          <a:endParaRPr lang="en-GB"/>
        </a:p>
      </dgm:t>
    </dgm:pt>
    <dgm:pt modelId="{BA5C79E4-D663-44BA-BC0D-A02A34D95988}" type="pres">
      <dgm:prSet presAssocID="{BAF096AF-381D-45A3-BC0C-95AE291D68DA}" presName="sibTrans" presStyleCnt="0"/>
      <dgm:spPr/>
    </dgm:pt>
    <dgm:pt modelId="{C6E16200-637D-4EA0-83FF-5265445B355A}" type="pres">
      <dgm:prSet presAssocID="{785E0545-DF71-4AE0-A249-75B6876BA3E1}" presName="node" presStyleLbl="node1" presStyleIdx="3" presStyleCnt="4" custScaleX="126630" custScaleY="355072" custLinFactNeighborX="-2846" custLinFactNeighborY="-2961">
        <dgm:presLayoutVars>
          <dgm:bulletEnabled val="1"/>
        </dgm:presLayoutVars>
      </dgm:prSet>
      <dgm:spPr/>
      <dgm:t>
        <a:bodyPr/>
        <a:lstStyle/>
        <a:p>
          <a:endParaRPr lang="en-GB"/>
        </a:p>
      </dgm:t>
    </dgm:pt>
  </dgm:ptLst>
  <dgm:cxnLst>
    <dgm:cxn modelId="{CD1AEB34-EF35-4264-AD1C-B6E6BC26BCB5}" type="presOf" srcId="{785E0545-DF71-4AE0-A249-75B6876BA3E1}" destId="{C6E16200-637D-4EA0-83FF-5265445B355A}" srcOrd="0" destOrd="0" presId="urn:microsoft.com/office/officeart/2005/8/layout/default"/>
    <dgm:cxn modelId="{4F8ABB38-DB67-4069-B945-1FA8F27FBF07}" srcId="{945D6EFD-5727-4A2C-A72E-79C4037068B9}" destId="{6DA85CD3-3CFC-4081-AE9E-E58B7FE4665A}" srcOrd="2" destOrd="0" parTransId="{6DB059C8-D1E1-4E7C-8ED5-D98CAB58729F}" sibTransId="{BAF096AF-381D-45A3-BC0C-95AE291D68DA}"/>
    <dgm:cxn modelId="{B4893729-C763-4100-996C-ED1465BC5E23}" srcId="{945D6EFD-5727-4A2C-A72E-79C4037068B9}" destId="{1B0C2A79-EB26-4C82-9C38-33C98FD009BB}" srcOrd="1" destOrd="0" parTransId="{676ADFF2-9CA7-4EF7-93B8-0B7F314F360B}" sibTransId="{F91B6575-7BBD-4ADD-8764-E57E202137D7}"/>
    <dgm:cxn modelId="{DF398F38-9FDD-46B5-952B-4829591E1BD5}" srcId="{945D6EFD-5727-4A2C-A72E-79C4037068B9}" destId="{23AEDD4B-323F-432E-AA38-9889793BD8E8}" srcOrd="0" destOrd="0" parTransId="{AD1161D3-4258-4764-997B-8542CEE5045F}" sibTransId="{F8EDEA08-E620-494B-93A5-297499FE5D41}"/>
    <dgm:cxn modelId="{74382461-113A-464A-BC86-72A922A7CE7E}" type="presOf" srcId="{6DA85CD3-3CFC-4081-AE9E-E58B7FE4665A}" destId="{8386E727-EEAB-4094-9981-57BB9121C34B}" srcOrd="0" destOrd="0" presId="urn:microsoft.com/office/officeart/2005/8/layout/default"/>
    <dgm:cxn modelId="{0F8A30F3-DAEC-4863-92F4-F2B6A3799514}" srcId="{945D6EFD-5727-4A2C-A72E-79C4037068B9}" destId="{785E0545-DF71-4AE0-A249-75B6876BA3E1}" srcOrd="3" destOrd="0" parTransId="{CF62B794-9CF3-4EC6-B87E-3FBB80DD663A}" sibTransId="{A35203DE-6234-4430-88CF-7A4B303269E1}"/>
    <dgm:cxn modelId="{88AEF353-2059-43B7-8AB4-EDD3402FD226}" type="presOf" srcId="{23AEDD4B-323F-432E-AA38-9889793BD8E8}" destId="{F46E7BF3-8EE2-47C2-A4A1-F0308D24A1EF}" srcOrd="0" destOrd="0" presId="urn:microsoft.com/office/officeart/2005/8/layout/default"/>
    <dgm:cxn modelId="{AD5F054B-9BD9-428A-801C-21602CE174FB}" type="presOf" srcId="{1B0C2A79-EB26-4C82-9C38-33C98FD009BB}" destId="{AF888E57-7116-4A79-808D-5E9E5E459619}" srcOrd="0" destOrd="0" presId="urn:microsoft.com/office/officeart/2005/8/layout/default"/>
    <dgm:cxn modelId="{0A17654D-1597-4C20-B10C-A5904533A679}" type="presOf" srcId="{945D6EFD-5727-4A2C-A72E-79C4037068B9}" destId="{F8FFFAA9-8A2A-4F2F-9763-12FA43B92974}" srcOrd="0" destOrd="0" presId="urn:microsoft.com/office/officeart/2005/8/layout/default"/>
    <dgm:cxn modelId="{F3A9B9EA-E40A-4D41-953D-CFFE58272697}" type="presParOf" srcId="{F8FFFAA9-8A2A-4F2F-9763-12FA43B92974}" destId="{F46E7BF3-8EE2-47C2-A4A1-F0308D24A1EF}" srcOrd="0" destOrd="0" presId="urn:microsoft.com/office/officeart/2005/8/layout/default"/>
    <dgm:cxn modelId="{81815423-BBFC-40E4-8643-D7D836C98519}" type="presParOf" srcId="{F8FFFAA9-8A2A-4F2F-9763-12FA43B92974}" destId="{BFAD58E5-6458-4D39-9A25-4A3AA34F9074}" srcOrd="1" destOrd="0" presId="urn:microsoft.com/office/officeart/2005/8/layout/default"/>
    <dgm:cxn modelId="{36D1CC56-B9EF-475E-B915-260777D7B6CD}" type="presParOf" srcId="{F8FFFAA9-8A2A-4F2F-9763-12FA43B92974}" destId="{AF888E57-7116-4A79-808D-5E9E5E459619}" srcOrd="2" destOrd="0" presId="urn:microsoft.com/office/officeart/2005/8/layout/default"/>
    <dgm:cxn modelId="{F7013719-F0FD-45D1-AC53-69CB7D3C857E}" type="presParOf" srcId="{F8FFFAA9-8A2A-4F2F-9763-12FA43B92974}" destId="{A742F3F4-F96D-40F7-8CDD-7723259BD96D}" srcOrd="3" destOrd="0" presId="urn:microsoft.com/office/officeart/2005/8/layout/default"/>
    <dgm:cxn modelId="{A67252ED-F8FF-44A0-9E3E-791B70ABCA7A}" type="presParOf" srcId="{F8FFFAA9-8A2A-4F2F-9763-12FA43B92974}" destId="{8386E727-EEAB-4094-9981-57BB9121C34B}" srcOrd="4" destOrd="0" presId="urn:microsoft.com/office/officeart/2005/8/layout/default"/>
    <dgm:cxn modelId="{9F3D31E0-CD15-44F2-9EF7-46E86424E491}" type="presParOf" srcId="{F8FFFAA9-8A2A-4F2F-9763-12FA43B92974}" destId="{BA5C79E4-D663-44BA-BC0D-A02A34D95988}" srcOrd="5" destOrd="0" presId="urn:microsoft.com/office/officeart/2005/8/layout/default"/>
    <dgm:cxn modelId="{349DD758-8AFD-41B5-A572-8E1FC456112A}" type="presParOf" srcId="{F8FFFAA9-8A2A-4F2F-9763-12FA43B92974}" destId="{C6E16200-637D-4EA0-83FF-5265445B355A}" srcOrd="6"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CE1880-9B52-4416-8867-9A02F9D3C0E4}"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214429A0-1620-4299-859F-6B3DF6CA01B3}">
      <dgm:prSet phldrT="[Text]"/>
      <dgm:spPr/>
      <dgm:t>
        <a:bodyPr/>
        <a:lstStyle/>
        <a:p>
          <a:r>
            <a:rPr lang="en-GB" b="1"/>
            <a:t>Political</a:t>
          </a:r>
          <a:endParaRPr lang="en-GB"/>
        </a:p>
      </dgm:t>
    </dgm:pt>
    <dgm:pt modelId="{D7973568-60C8-44F3-BD2A-CFDA353D4252}" type="parTrans" cxnId="{FF49E6BA-CE98-4A4E-9B1D-2275E130BCA4}">
      <dgm:prSet/>
      <dgm:spPr/>
      <dgm:t>
        <a:bodyPr/>
        <a:lstStyle/>
        <a:p>
          <a:endParaRPr lang="en-GB"/>
        </a:p>
      </dgm:t>
    </dgm:pt>
    <dgm:pt modelId="{F114DB90-0A55-4401-9783-C67F711362D5}" type="sibTrans" cxnId="{FF49E6BA-CE98-4A4E-9B1D-2275E130BCA4}">
      <dgm:prSet/>
      <dgm:spPr/>
      <dgm:t>
        <a:bodyPr/>
        <a:lstStyle/>
        <a:p>
          <a:endParaRPr lang="en-GB"/>
        </a:p>
      </dgm:t>
    </dgm:pt>
    <dgm:pt modelId="{5FF7D50A-25D9-4C8E-97A7-52EAAEC7D901}">
      <dgm:prSet phldrT="[Text]"/>
      <dgm:spPr/>
      <dgm:t>
        <a:bodyPr/>
        <a:lstStyle/>
        <a:p>
          <a:r>
            <a:rPr lang="en-GB"/>
            <a:t>requirements for medical compliance with the UK MHRA (alignment of regulations following Brexit). </a:t>
          </a:r>
        </a:p>
      </dgm:t>
    </dgm:pt>
    <dgm:pt modelId="{AC4FD531-257C-4FC6-89BC-F96ACA66B4C0}" type="parTrans" cxnId="{8A613433-039B-4359-BB8E-68A1B3E1C986}">
      <dgm:prSet/>
      <dgm:spPr/>
      <dgm:t>
        <a:bodyPr/>
        <a:lstStyle/>
        <a:p>
          <a:endParaRPr lang="en-GB"/>
        </a:p>
      </dgm:t>
    </dgm:pt>
    <dgm:pt modelId="{4CFE885B-89DF-47F4-B58E-753FDE269B8D}" type="sibTrans" cxnId="{8A613433-039B-4359-BB8E-68A1B3E1C986}">
      <dgm:prSet/>
      <dgm:spPr/>
      <dgm:t>
        <a:bodyPr/>
        <a:lstStyle/>
        <a:p>
          <a:endParaRPr lang="en-GB"/>
        </a:p>
      </dgm:t>
    </dgm:pt>
    <dgm:pt modelId="{30744644-946F-4CD4-B7DC-2A735FCA3375}">
      <dgm:prSet phldrT="[Text]"/>
      <dgm:spPr/>
      <dgm:t>
        <a:bodyPr/>
        <a:lstStyle/>
        <a:p>
          <a:r>
            <a:rPr lang="en-GB" b="1"/>
            <a:t>Economic</a:t>
          </a:r>
          <a:endParaRPr lang="en-GB"/>
        </a:p>
      </dgm:t>
    </dgm:pt>
    <dgm:pt modelId="{81270F71-4237-42A1-B365-F50B3861EE04}" type="parTrans" cxnId="{90049DC0-592A-401B-B1D8-C94486857242}">
      <dgm:prSet/>
      <dgm:spPr/>
      <dgm:t>
        <a:bodyPr/>
        <a:lstStyle/>
        <a:p>
          <a:endParaRPr lang="en-GB"/>
        </a:p>
      </dgm:t>
    </dgm:pt>
    <dgm:pt modelId="{FF7E65F0-BB16-427F-B004-9A61031D37FA}" type="sibTrans" cxnId="{90049DC0-592A-401B-B1D8-C94486857242}">
      <dgm:prSet/>
      <dgm:spPr/>
      <dgm:t>
        <a:bodyPr/>
        <a:lstStyle/>
        <a:p>
          <a:endParaRPr lang="en-GB"/>
        </a:p>
      </dgm:t>
    </dgm:pt>
    <dgm:pt modelId="{4841D055-D4B3-485D-9FA6-2B20EBCEB7DA}">
      <dgm:prSet phldrT="[Text]"/>
      <dgm:spPr/>
      <dgm:t>
        <a:bodyPr/>
        <a:lstStyle/>
        <a:p>
          <a:r>
            <a:rPr lang="en-GB"/>
            <a:t>Digital health boom following the pandemic and growing cost pressures</a:t>
          </a:r>
        </a:p>
      </dgm:t>
    </dgm:pt>
    <dgm:pt modelId="{D84A1997-2427-4B6F-B372-BCC281CCC18C}" type="parTrans" cxnId="{421CE40A-A604-4B71-8FA2-94FA9218BBBB}">
      <dgm:prSet/>
      <dgm:spPr/>
      <dgm:t>
        <a:bodyPr/>
        <a:lstStyle/>
        <a:p>
          <a:endParaRPr lang="en-GB"/>
        </a:p>
      </dgm:t>
    </dgm:pt>
    <dgm:pt modelId="{6A420D52-D057-4DA9-AF0C-8A7845D27415}" type="sibTrans" cxnId="{421CE40A-A604-4B71-8FA2-94FA9218BBBB}">
      <dgm:prSet/>
      <dgm:spPr/>
      <dgm:t>
        <a:bodyPr/>
        <a:lstStyle/>
        <a:p>
          <a:endParaRPr lang="en-GB"/>
        </a:p>
      </dgm:t>
    </dgm:pt>
    <dgm:pt modelId="{58DB6FD7-CE8C-4E7A-95E3-81411C745BAA}">
      <dgm:prSet phldrT="[Text]"/>
      <dgm:spPr/>
      <dgm:t>
        <a:bodyPr/>
        <a:lstStyle/>
        <a:p>
          <a:r>
            <a:rPr lang="en-GB" b="1"/>
            <a:t>Social</a:t>
          </a:r>
          <a:endParaRPr lang="en-GB"/>
        </a:p>
      </dgm:t>
    </dgm:pt>
    <dgm:pt modelId="{7B758075-6BEF-478E-9699-DF80F10942DA}" type="parTrans" cxnId="{89FE4180-4EF8-41CB-AF85-73DEF18F2ECD}">
      <dgm:prSet/>
      <dgm:spPr/>
      <dgm:t>
        <a:bodyPr/>
        <a:lstStyle/>
        <a:p>
          <a:endParaRPr lang="en-GB"/>
        </a:p>
      </dgm:t>
    </dgm:pt>
    <dgm:pt modelId="{2F5BE9C6-661D-4796-9E0D-6AEDB6D566B6}" type="sibTrans" cxnId="{89FE4180-4EF8-41CB-AF85-73DEF18F2ECD}">
      <dgm:prSet/>
      <dgm:spPr/>
      <dgm:t>
        <a:bodyPr/>
        <a:lstStyle/>
        <a:p>
          <a:endParaRPr lang="en-GB"/>
        </a:p>
      </dgm:t>
    </dgm:pt>
    <dgm:pt modelId="{239AC52F-DCA2-4206-B770-213C01C511F6}">
      <dgm:prSet phldrT="[Text]"/>
      <dgm:spPr/>
      <dgm:t>
        <a:bodyPr/>
        <a:lstStyle/>
        <a:p>
          <a:r>
            <a:rPr lang="en-GB"/>
            <a:t>Increasing awareness of physical activity and preventive medicine</a:t>
          </a:r>
        </a:p>
      </dgm:t>
    </dgm:pt>
    <dgm:pt modelId="{AB423D71-3B8E-46DD-B73A-50F211C3A382}" type="parTrans" cxnId="{04CA7ADA-897E-4CEF-982D-0FC3AC1E7E85}">
      <dgm:prSet/>
      <dgm:spPr/>
      <dgm:t>
        <a:bodyPr/>
        <a:lstStyle/>
        <a:p>
          <a:endParaRPr lang="en-GB"/>
        </a:p>
      </dgm:t>
    </dgm:pt>
    <dgm:pt modelId="{49F664D6-5822-4A52-AB38-49217FD2803B}" type="sibTrans" cxnId="{04CA7ADA-897E-4CEF-982D-0FC3AC1E7E85}">
      <dgm:prSet/>
      <dgm:spPr/>
      <dgm:t>
        <a:bodyPr/>
        <a:lstStyle/>
        <a:p>
          <a:endParaRPr lang="en-GB"/>
        </a:p>
      </dgm:t>
    </dgm:pt>
    <dgm:pt modelId="{94AC9FB5-1BC3-43AB-BDFA-EA865D47F096}" type="pres">
      <dgm:prSet presAssocID="{7FCE1880-9B52-4416-8867-9A02F9D3C0E4}" presName="Name0" presStyleCnt="0">
        <dgm:presLayoutVars>
          <dgm:dir/>
          <dgm:animLvl val="lvl"/>
          <dgm:resizeHandles val="exact"/>
        </dgm:presLayoutVars>
      </dgm:prSet>
      <dgm:spPr/>
      <dgm:t>
        <a:bodyPr/>
        <a:lstStyle/>
        <a:p>
          <a:endParaRPr lang="en-GB"/>
        </a:p>
      </dgm:t>
    </dgm:pt>
    <dgm:pt modelId="{AFF4917E-53DA-4842-934A-95FCA649F33A}" type="pres">
      <dgm:prSet presAssocID="{214429A0-1620-4299-859F-6B3DF6CA01B3}" presName="composite" presStyleCnt="0"/>
      <dgm:spPr/>
    </dgm:pt>
    <dgm:pt modelId="{ED22C7DD-C235-4EA3-B5BB-1BB76F377A80}" type="pres">
      <dgm:prSet presAssocID="{214429A0-1620-4299-859F-6B3DF6CA01B3}" presName="parTx" presStyleLbl="alignNode1" presStyleIdx="0" presStyleCnt="3">
        <dgm:presLayoutVars>
          <dgm:chMax val="0"/>
          <dgm:chPref val="0"/>
          <dgm:bulletEnabled val="1"/>
        </dgm:presLayoutVars>
      </dgm:prSet>
      <dgm:spPr/>
      <dgm:t>
        <a:bodyPr/>
        <a:lstStyle/>
        <a:p>
          <a:endParaRPr lang="en-GB"/>
        </a:p>
      </dgm:t>
    </dgm:pt>
    <dgm:pt modelId="{C116165F-0BC8-4432-8F90-8260DE7ED642}" type="pres">
      <dgm:prSet presAssocID="{214429A0-1620-4299-859F-6B3DF6CA01B3}" presName="desTx" presStyleLbl="alignAccFollowNode1" presStyleIdx="0" presStyleCnt="3">
        <dgm:presLayoutVars>
          <dgm:bulletEnabled val="1"/>
        </dgm:presLayoutVars>
      </dgm:prSet>
      <dgm:spPr/>
      <dgm:t>
        <a:bodyPr/>
        <a:lstStyle/>
        <a:p>
          <a:endParaRPr lang="en-GB"/>
        </a:p>
      </dgm:t>
    </dgm:pt>
    <dgm:pt modelId="{CF4C4610-BCA7-40E2-878B-D64FBF61F1A4}" type="pres">
      <dgm:prSet presAssocID="{F114DB90-0A55-4401-9783-C67F711362D5}" presName="space" presStyleCnt="0"/>
      <dgm:spPr/>
    </dgm:pt>
    <dgm:pt modelId="{09A6C75C-407C-4BF8-AFB8-63153D1F0095}" type="pres">
      <dgm:prSet presAssocID="{30744644-946F-4CD4-B7DC-2A735FCA3375}" presName="composite" presStyleCnt="0"/>
      <dgm:spPr/>
    </dgm:pt>
    <dgm:pt modelId="{63262B93-33C8-427D-96F8-2E807EEB27AF}" type="pres">
      <dgm:prSet presAssocID="{30744644-946F-4CD4-B7DC-2A735FCA3375}" presName="parTx" presStyleLbl="alignNode1" presStyleIdx="1" presStyleCnt="3">
        <dgm:presLayoutVars>
          <dgm:chMax val="0"/>
          <dgm:chPref val="0"/>
          <dgm:bulletEnabled val="1"/>
        </dgm:presLayoutVars>
      </dgm:prSet>
      <dgm:spPr/>
      <dgm:t>
        <a:bodyPr/>
        <a:lstStyle/>
        <a:p>
          <a:endParaRPr lang="en-GB"/>
        </a:p>
      </dgm:t>
    </dgm:pt>
    <dgm:pt modelId="{CC9249BE-0F79-414E-8078-AD79CA6BD5FD}" type="pres">
      <dgm:prSet presAssocID="{30744644-946F-4CD4-B7DC-2A735FCA3375}" presName="desTx" presStyleLbl="alignAccFollowNode1" presStyleIdx="1" presStyleCnt="3">
        <dgm:presLayoutVars>
          <dgm:bulletEnabled val="1"/>
        </dgm:presLayoutVars>
      </dgm:prSet>
      <dgm:spPr/>
      <dgm:t>
        <a:bodyPr/>
        <a:lstStyle/>
        <a:p>
          <a:endParaRPr lang="en-GB"/>
        </a:p>
      </dgm:t>
    </dgm:pt>
    <dgm:pt modelId="{31986B93-8DC1-47CB-94A8-E64264BDD2EA}" type="pres">
      <dgm:prSet presAssocID="{FF7E65F0-BB16-427F-B004-9A61031D37FA}" presName="space" presStyleCnt="0"/>
      <dgm:spPr/>
    </dgm:pt>
    <dgm:pt modelId="{180DB54C-C1AE-4889-A254-12E8472B3282}" type="pres">
      <dgm:prSet presAssocID="{58DB6FD7-CE8C-4E7A-95E3-81411C745BAA}" presName="composite" presStyleCnt="0"/>
      <dgm:spPr/>
    </dgm:pt>
    <dgm:pt modelId="{D622E87D-BAA4-4C21-A2D8-B981A6ADD7A2}" type="pres">
      <dgm:prSet presAssocID="{58DB6FD7-CE8C-4E7A-95E3-81411C745BAA}" presName="parTx" presStyleLbl="alignNode1" presStyleIdx="2" presStyleCnt="3">
        <dgm:presLayoutVars>
          <dgm:chMax val="0"/>
          <dgm:chPref val="0"/>
          <dgm:bulletEnabled val="1"/>
        </dgm:presLayoutVars>
      </dgm:prSet>
      <dgm:spPr/>
      <dgm:t>
        <a:bodyPr/>
        <a:lstStyle/>
        <a:p>
          <a:endParaRPr lang="en-GB"/>
        </a:p>
      </dgm:t>
    </dgm:pt>
    <dgm:pt modelId="{FD09E989-C051-4B32-B5C8-E00612DE62A4}" type="pres">
      <dgm:prSet presAssocID="{58DB6FD7-CE8C-4E7A-95E3-81411C745BAA}" presName="desTx" presStyleLbl="alignAccFollowNode1" presStyleIdx="2" presStyleCnt="3">
        <dgm:presLayoutVars>
          <dgm:bulletEnabled val="1"/>
        </dgm:presLayoutVars>
      </dgm:prSet>
      <dgm:spPr/>
      <dgm:t>
        <a:bodyPr/>
        <a:lstStyle/>
        <a:p>
          <a:endParaRPr lang="en-GB"/>
        </a:p>
      </dgm:t>
    </dgm:pt>
  </dgm:ptLst>
  <dgm:cxnLst>
    <dgm:cxn modelId="{6CD7FAF9-7857-407C-8570-CB5946177CAA}" type="presOf" srcId="{214429A0-1620-4299-859F-6B3DF6CA01B3}" destId="{ED22C7DD-C235-4EA3-B5BB-1BB76F377A80}" srcOrd="0" destOrd="0" presId="urn:microsoft.com/office/officeart/2005/8/layout/hList1"/>
    <dgm:cxn modelId="{89FE4180-4EF8-41CB-AF85-73DEF18F2ECD}" srcId="{7FCE1880-9B52-4416-8867-9A02F9D3C0E4}" destId="{58DB6FD7-CE8C-4E7A-95E3-81411C745BAA}" srcOrd="2" destOrd="0" parTransId="{7B758075-6BEF-478E-9699-DF80F10942DA}" sibTransId="{2F5BE9C6-661D-4796-9E0D-6AEDB6D566B6}"/>
    <dgm:cxn modelId="{7DFAA043-BF4B-4185-89F4-12D1A60D4480}" type="presOf" srcId="{5FF7D50A-25D9-4C8E-97A7-52EAAEC7D901}" destId="{C116165F-0BC8-4432-8F90-8260DE7ED642}" srcOrd="0" destOrd="0" presId="urn:microsoft.com/office/officeart/2005/8/layout/hList1"/>
    <dgm:cxn modelId="{8A613433-039B-4359-BB8E-68A1B3E1C986}" srcId="{214429A0-1620-4299-859F-6B3DF6CA01B3}" destId="{5FF7D50A-25D9-4C8E-97A7-52EAAEC7D901}" srcOrd="0" destOrd="0" parTransId="{AC4FD531-257C-4FC6-89BC-F96ACA66B4C0}" sibTransId="{4CFE885B-89DF-47F4-B58E-753FDE269B8D}"/>
    <dgm:cxn modelId="{03CA3338-7670-4F64-9C6F-A75440B31337}" type="presOf" srcId="{30744644-946F-4CD4-B7DC-2A735FCA3375}" destId="{63262B93-33C8-427D-96F8-2E807EEB27AF}" srcOrd="0" destOrd="0" presId="urn:microsoft.com/office/officeart/2005/8/layout/hList1"/>
    <dgm:cxn modelId="{32FC1CC2-1AC3-44D8-878A-B6E9FB2E7E3A}" type="presOf" srcId="{7FCE1880-9B52-4416-8867-9A02F9D3C0E4}" destId="{94AC9FB5-1BC3-43AB-BDFA-EA865D47F096}" srcOrd="0" destOrd="0" presId="urn:microsoft.com/office/officeart/2005/8/layout/hList1"/>
    <dgm:cxn modelId="{D4392AC2-1D0B-41E9-AA3F-9403B83D8F8C}" type="presOf" srcId="{239AC52F-DCA2-4206-B770-213C01C511F6}" destId="{FD09E989-C051-4B32-B5C8-E00612DE62A4}" srcOrd="0" destOrd="0" presId="urn:microsoft.com/office/officeart/2005/8/layout/hList1"/>
    <dgm:cxn modelId="{04CA7ADA-897E-4CEF-982D-0FC3AC1E7E85}" srcId="{58DB6FD7-CE8C-4E7A-95E3-81411C745BAA}" destId="{239AC52F-DCA2-4206-B770-213C01C511F6}" srcOrd="0" destOrd="0" parTransId="{AB423D71-3B8E-46DD-B73A-50F211C3A382}" sibTransId="{49F664D6-5822-4A52-AB38-49217FD2803B}"/>
    <dgm:cxn modelId="{5AF4D699-34C1-48D4-8C85-0893B8DB8A6D}" type="presOf" srcId="{4841D055-D4B3-485D-9FA6-2B20EBCEB7DA}" destId="{CC9249BE-0F79-414E-8078-AD79CA6BD5FD}" srcOrd="0" destOrd="0" presId="urn:microsoft.com/office/officeart/2005/8/layout/hList1"/>
    <dgm:cxn modelId="{90049DC0-592A-401B-B1D8-C94486857242}" srcId="{7FCE1880-9B52-4416-8867-9A02F9D3C0E4}" destId="{30744644-946F-4CD4-B7DC-2A735FCA3375}" srcOrd="1" destOrd="0" parTransId="{81270F71-4237-42A1-B365-F50B3861EE04}" sibTransId="{FF7E65F0-BB16-427F-B004-9A61031D37FA}"/>
    <dgm:cxn modelId="{421CE40A-A604-4B71-8FA2-94FA9218BBBB}" srcId="{30744644-946F-4CD4-B7DC-2A735FCA3375}" destId="{4841D055-D4B3-485D-9FA6-2B20EBCEB7DA}" srcOrd="0" destOrd="0" parTransId="{D84A1997-2427-4B6F-B372-BCC281CCC18C}" sibTransId="{6A420D52-D057-4DA9-AF0C-8A7845D27415}"/>
    <dgm:cxn modelId="{63FF8626-3018-4DFB-BCBF-0A7E2EEDDBA7}" type="presOf" srcId="{58DB6FD7-CE8C-4E7A-95E3-81411C745BAA}" destId="{D622E87D-BAA4-4C21-A2D8-B981A6ADD7A2}" srcOrd="0" destOrd="0" presId="urn:microsoft.com/office/officeart/2005/8/layout/hList1"/>
    <dgm:cxn modelId="{FF49E6BA-CE98-4A4E-9B1D-2275E130BCA4}" srcId="{7FCE1880-9B52-4416-8867-9A02F9D3C0E4}" destId="{214429A0-1620-4299-859F-6B3DF6CA01B3}" srcOrd="0" destOrd="0" parTransId="{D7973568-60C8-44F3-BD2A-CFDA353D4252}" sibTransId="{F114DB90-0A55-4401-9783-C67F711362D5}"/>
    <dgm:cxn modelId="{E91156DA-390A-482F-B701-7D59095F0A6D}" type="presParOf" srcId="{94AC9FB5-1BC3-43AB-BDFA-EA865D47F096}" destId="{AFF4917E-53DA-4842-934A-95FCA649F33A}" srcOrd="0" destOrd="0" presId="urn:microsoft.com/office/officeart/2005/8/layout/hList1"/>
    <dgm:cxn modelId="{74D35CE2-1513-4A5C-B54F-30B22A2002DD}" type="presParOf" srcId="{AFF4917E-53DA-4842-934A-95FCA649F33A}" destId="{ED22C7DD-C235-4EA3-B5BB-1BB76F377A80}" srcOrd="0" destOrd="0" presId="urn:microsoft.com/office/officeart/2005/8/layout/hList1"/>
    <dgm:cxn modelId="{76E321BE-FC45-4871-89F4-3BDC10EBAAD8}" type="presParOf" srcId="{AFF4917E-53DA-4842-934A-95FCA649F33A}" destId="{C116165F-0BC8-4432-8F90-8260DE7ED642}" srcOrd="1" destOrd="0" presId="urn:microsoft.com/office/officeart/2005/8/layout/hList1"/>
    <dgm:cxn modelId="{994252EA-B975-4CA2-B886-686F3A493247}" type="presParOf" srcId="{94AC9FB5-1BC3-43AB-BDFA-EA865D47F096}" destId="{CF4C4610-BCA7-40E2-878B-D64FBF61F1A4}" srcOrd="1" destOrd="0" presId="urn:microsoft.com/office/officeart/2005/8/layout/hList1"/>
    <dgm:cxn modelId="{BA54481C-3AA6-4B8E-9397-8E0789721362}" type="presParOf" srcId="{94AC9FB5-1BC3-43AB-BDFA-EA865D47F096}" destId="{09A6C75C-407C-4BF8-AFB8-63153D1F0095}" srcOrd="2" destOrd="0" presId="urn:microsoft.com/office/officeart/2005/8/layout/hList1"/>
    <dgm:cxn modelId="{B5C40C41-1744-4134-AAEA-22ACD76151F6}" type="presParOf" srcId="{09A6C75C-407C-4BF8-AFB8-63153D1F0095}" destId="{63262B93-33C8-427D-96F8-2E807EEB27AF}" srcOrd="0" destOrd="0" presId="urn:microsoft.com/office/officeart/2005/8/layout/hList1"/>
    <dgm:cxn modelId="{43620765-E811-4E61-A02E-D37D0F4A5022}" type="presParOf" srcId="{09A6C75C-407C-4BF8-AFB8-63153D1F0095}" destId="{CC9249BE-0F79-414E-8078-AD79CA6BD5FD}" srcOrd="1" destOrd="0" presId="urn:microsoft.com/office/officeart/2005/8/layout/hList1"/>
    <dgm:cxn modelId="{37C87571-B655-4F08-8258-BBE979264FC0}" type="presParOf" srcId="{94AC9FB5-1BC3-43AB-BDFA-EA865D47F096}" destId="{31986B93-8DC1-47CB-94A8-E64264BDD2EA}" srcOrd="3" destOrd="0" presId="urn:microsoft.com/office/officeart/2005/8/layout/hList1"/>
    <dgm:cxn modelId="{D689F1BD-1AFC-490B-8866-F1FAF9438781}" type="presParOf" srcId="{94AC9FB5-1BC3-43AB-BDFA-EA865D47F096}" destId="{180DB54C-C1AE-4889-A254-12E8472B3282}" srcOrd="4" destOrd="0" presId="urn:microsoft.com/office/officeart/2005/8/layout/hList1"/>
    <dgm:cxn modelId="{1392D108-05CF-449F-9920-64CB816856D5}" type="presParOf" srcId="{180DB54C-C1AE-4889-A254-12E8472B3282}" destId="{D622E87D-BAA4-4C21-A2D8-B981A6ADD7A2}" srcOrd="0" destOrd="0" presId="urn:microsoft.com/office/officeart/2005/8/layout/hList1"/>
    <dgm:cxn modelId="{A57B39E6-651E-479B-8084-9D6AC6835397}" type="presParOf" srcId="{180DB54C-C1AE-4889-A254-12E8472B3282}" destId="{FD09E989-C051-4B32-B5C8-E00612DE62A4}"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40CB1C1-94C4-4D85-B1DE-56CC88CD9E9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0FB9465E-7D92-4E26-9A45-42C8E0E6988C}">
      <dgm:prSet phldrT="[Text]"/>
      <dgm:spPr/>
      <dgm:t>
        <a:bodyPr/>
        <a:lstStyle/>
        <a:p>
          <a:r>
            <a:rPr lang="en-GB" b="1"/>
            <a:t>Technological</a:t>
          </a:r>
          <a:endParaRPr lang="en-GB"/>
        </a:p>
      </dgm:t>
    </dgm:pt>
    <dgm:pt modelId="{E6575289-20C6-4CCE-8659-653820EDE913}" type="parTrans" cxnId="{CA0528E4-013E-4C06-BC94-ED95BB174FA9}">
      <dgm:prSet/>
      <dgm:spPr/>
      <dgm:t>
        <a:bodyPr/>
        <a:lstStyle/>
        <a:p>
          <a:endParaRPr lang="en-GB"/>
        </a:p>
      </dgm:t>
    </dgm:pt>
    <dgm:pt modelId="{7815B200-6689-4A81-9BDE-F2FFE508CA2C}" type="sibTrans" cxnId="{CA0528E4-013E-4C06-BC94-ED95BB174FA9}">
      <dgm:prSet/>
      <dgm:spPr/>
      <dgm:t>
        <a:bodyPr/>
        <a:lstStyle/>
        <a:p>
          <a:endParaRPr lang="en-GB"/>
        </a:p>
      </dgm:t>
    </dgm:pt>
    <dgm:pt modelId="{4597D4D7-2A87-4416-A5A7-AEC2E676A17A}">
      <dgm:prSet phldrT="[Text]"/>
      <dgm:spPr/>
      <dgm:t>
        <a:bodyPr/>
        <a:lstStyle/>
        <a:p>
          <a:r>
            <a:rPr lang="en-GB"/>
            <a:t>Advances in biosensor technology and AI data modelling</a:t>
          </a:r>
        </a:p>
      </dgm:t>
    </dgm:pt>
    <dgm:pt modelId="{CD66B16D-B6EC-4888-B74D-F8B5CF09FA52}" type="parTrans" cxnId="{CF41A7A8-4450-4229-8CC1-8C728C0E340A}">
      <dgm:prSet/>
      <dgm:spPr/>
      <dgm:t>
        <a:bodyPr/>
        <a:lstStyle/>
        <a:p>
          <a:endParaRPr lang="en-GB"/>
        </a:p>
      </dgm:t>
    </dgm:pt>
    <dgm:pt modelId="{38C646DE-1E64-44D1-BFF7-68C58F7D3460}" type="sibTrans" cxnId="{CF41A7A8-4450-4229-8CC1-8C728C0E340A}">
      <dgm:prSet/>
      <dgm:spPr/>
      <dgm:t>
        <a:bodyPr/>
        <a:lstStyle/>
        <a:p>
          <a:endParaRPr lang="en-GB"/>
        </a:p>
      </dgm:t>
    </dgm:pt>
    <dgm:pt modelId="{E98D0F61-D9DD-41D1-948E-BC7394700736}">
      <dgm:prSet phldrT="[Text]"/>
      <dgm:spPr/>
      <dgm:t>
        <a:bodyPr/>
        <a:lstStyle/>
        <a:p>
          <a:r>
            <a:rPr lang="en-GB" b="1"/>
            <a:t>Legal</a:t>
          </a:r>
          <a:endParaRPr lang="en-GB"/>
        </a:p>
      </dgm:t>
    </dgm:pt>
    <dgm:pt modelId="{EEE14B09-5CAA-4635-A62B-53FF9A5CE171}" type="parTrans" cxnId="{789C892A-F923-49F8-B9CB-9CD54146A5D7}">
      <dgm:prSet/>
      <dgm:spPr/>
      <dgm:t>
        <a:bodyPr/>
        <a:lstStyle/>
        <a:p>
          <a:endParaRPr lang="en-GB"/>
        </a:p>
      </dgm:t>
    </dgm:pt>
    <dgm:pt modelId="{F0AD57A0-E465-42CD-8AE6-37E160881EF5}" type="sibTrans" cxnId="{789C892A-F923-49F8-B9CB-9CD54146A5D7}">
      <dgm:prSet/>
      <dgm:spPr/>
      <dgm:t>
        <a:bodyPr/>
        <a:lstStyle/>
        <a:p>
          <a:endParaRPr lang="en-GB"/>
        </a:p>
      </dgm:t>
    </dgm:pt>
    <dgm:pt modelId="{4D695B78-B1A1-432F-AA9A-DB4F50786183}">
      <dgm:prSet phldrT="[Text]"/>
      <dgm:spPr/>
      <dgm:t>
        <a:bodyPr/>
        <a:lstStyle/>
        <a:p>
          <a:r>
            <a:rPr lang="en-GB"/>
            <a:t>GDPR and MDR data protection regulations in the UK. </a:t>
          </a:r>
        </a:p>
      </dgm:t>
    </dgm:pt>
    <dgm:pt modelId="{EE0D3CB5-A308-46E7-918A-75A37A0E74CD}" type="parTrans" cxnId="{5DC48660-6B95-495E-812A-FBF6F6FB05FC}">
      <dgm:prSet/>
      <dgm:spPr/>
      <dgm:t>
        <a:bodyPr/>
        <a:lstStyle/>
        <a:p>
          <a:endParaRPr lang="en-GB"/>
        </a:p>
      </dgm:t>
    </dgm:pt>
    <dgm:pt modelId="{9D7642CC-3AE7-45C7-9724-4AD99CB11B4A}" type="sibTrans" cxnId="{5DC48660-6B95-495E-812A-FBF6F6FB05FC}">
      <dgm:prSet/>
      <dgm:spPr/>
      <dgm:t>
        <a:bodyPr/>
        <a:lstStyle/>
        <a:p>
          <a:endParaRPr lang="en-GB"/>
        </a:p>
      </dgm:t>
    </dgm:pt>
    <dgm:pt modelId="{47DE5EE9-8A0D-4736-A545-908C272DACA9}">
      <dgm:prSet phldrT="[Text]"/>
      <dgm:spPr/>
      <dgm:t>
        <a:bodyPr/>
        <a:lstStyle/>
        <a:p>
          <a:r>
            <a:rPr lang="en-GB" b="1"/>
            <a:t>Environmental</a:t>
          </a:r>
          <a:endParaRPr lang="en-GB"/>
        </a:p>
      </dgm:t>
    </dgm:pt>
    <dgm:pt modelId="{0CE26294-1E51-4F85-A3D6-057733B70295}" type="parTrans" cxnId="{9445825F-5198-48B2-A3DF-7C8FD6349341}">
      <dgm:prSet/>
      <dgm:spPr/>
      <dgm:t>
        <a:bodyPr/>
        <a:lstStyle/>
        <a:p>
          <a:endParaRPr lang="en-GB"/>
        </a:p>
      </dgm:t>
    </dgm:pt>
    <dgm:pt modelId="{F62BC9DA-D8B2-4E04-A941-BE1E09BDE402}" type="sibTrans" cxnId="{9445825F-5198-48B2-A3DF-7C8FD6349341}">
      <dgm:prSet/>
      <dgm:spPr/>
      <dgm:t>
        <a:bodyPr/>
        <a:lstStyle/>
        <a:p>
          <a:endParaRPr lang="en-GB"/>
        </a:p>
      </dgm:t>
    </dgm:pt>
    <dgm:pt modelId="{4DFE92E2-FC22-4C75-8C36-2D155BD535B3}">
      <dgm:prSet phldrT="[Text]"/>
      <dgm:spPr/>
      <dgm:t>
        <a:bodyPr/>
        <a:lstStyle/>
        <a:p>
          <a:r>
            <a:rPr lang="en-GB"/>
            <a:t>An increase in the demand for sustainable production and electrical recycling</a:t>
          </a:r>
        </a:p>
      </dgm:t>
    </dgm:pt>
    <dgm:pt modelId="{34DE654F-056B-4795-87CD-62A02FB0F42F}" type="parTrans" cxnId="{3D98BB7D-9D8E-4DEB-8469-1119B74E1DF4}">
      <dgm:prSet/>
      <dgm:spPr/>
      <dgm:t>
        <a:bodyPr/>
        <a:lstStyle/>
        <a:p>
          <a:endParaRPr lang="en-GB"/>
        </a:p>
      </dgm:t>
    </dgm:pt>
    <dgm:pt modelId="{B1EB3381-ACB5-4B22-9BC0-966BDEEC97A8}" type="sibTrans" cxnId="{3D98BB7D-9D8E-4DEB-8469-1119B74E1DF4}">
      <dgm:prSet/>
      <dgm:spPr/>
      <dgm:t>
        <a:bodyPr/>
        <a:lstStyle/>
        <a:p>
          <a:endParaRPr lang="en-GB"/>
        </a:p>
      </dgm:t>
    </dgm:pt>
    <dgm:pt modelId="{11889C45-517F-43B0-9E36-FD4C83DFD5FF}" type="pres">
      <dgm:prSet presAssocID="{340CB1C1-94C4-4D85-B1DE-56CC88CD9E9D}" presName="Name0" presStyleCnt="0">
        <dgm:presLayoutVars>
          <dgm:dir/>
          <dgm:animLvl val="lvl"/>
          <dgm:resizeHandles val="exact"/>
        </dgm:presLayoutVars>
      </dgm:prSet>
      <dgm:spPr/>
      <dgm:t>
        <a:bodyPr/>
        <a:lstStyle/>
        <a:p>
          <a:endParaRPr lang="en-GB"/>
        </a:p>
      </dgm:t>
    </dgm:pt>
    <dgm:pt modelId="{34EA193F-4EFA-4BF4-8C71-E77F6C8D9492}" type="pres">
      <dgm:prSet presAssocID="{0FB9465E-7D92-4E26-9A45-42C8E0E6988C}" presName="composite" presStyleCnt="0"/>
      <dgm:spPr/>
    </dgm:pt>
    <dgm:pt modelId="{97B1C94D-9BA7-4964-BB38-A1698AA375F3}" type="pres">
      <dgm:prSet presAssocID="{0FB9465E-7D92-4E26-9A45-42C8E0E6988C}" presName="parTx" presStyleLbl="alignNode1" presStyleIdx="0" presStyleCnt="3">
        <dgm:presLayoutVars>
          <dgm:chMax val="0"/>
          <dgm:chPref val="0"/>
          <dgm:bulletEnabled val="1"/>
        </dgm:presLayoutVars>
      </dgm:prSet>
      <dgm:spPr/>
      <dgm:t>
        <a:bodyPr/>
        <a:lstStyle/>
        <a:p>
          <a:endParaRPr lang="en-GB"/>
        </a:p>
      </dgm:t>
    </dgm:pt>
    <dgm:pt modelId="{002A411E-75AB-4055-8B98-D7F17590CFF1}" type="pres">
      <dgm:prSet presAssocID="{0FB9465E-7D92-4E26-9A45-42C8E0E6988C}" presName="desTx" presStyleLbl="alignAccFollowNode1" presStyleIdx="0" presStyleCnt="3">
        <dgm:presLayoutVars>
          <dgm:bulletEnabled val="1"/>
        </dgm:presLayoutVars>
      </dgm:prSet>
      <dgm:spPr/>
      <dgm:t>
        <a:bodyPr/>
        <a:lstStyle/>
        <a:p>
          <a:endParaRPr lang="en-GB"/>
        </a:p>
      </dgm:t>
    </dgm:pt>
    <dgm:pt modelId="{7BC2C6B7-D154-4459-BE4C-C6E5DBFB064F}" type="pres">
      <dgm:prSet presAssocID="{7815B200-6689-4A81-9BDE-F2FFE508CA2C}" presName="space" presStyleCnt="0"/>
      <dgm:spPr/>
    </dgm:pt>
    <dgm:pt modelId="{7BC29B85-C8C3-476D-B7EE-9F6136D7421C}" type="pres">
      <dgm:prSet presAssocID="{E98D0F61-D9DD-41D1-948E-BC7394700736}" presName="composite" presStyleCnt="0"/>
      <dgm:spPr/>
    </dgm:pt>
    <dgm:pt modelId="{EC09641D-F055-488D-8817-9214A18F55E1}" type="pres">
      <dgm:prSet presAssocID="{E98D0F61-D9DD-41D1-948E-BC7394700736}" presName="parTx" presStyleLbl="alignNode1" presStyleIdx="1" presStyleCnt="3">
        <dgm:presLayoutVars>
          <dgm:chMax val="0"/>
          <dgm:chPref val="0"/>
          <dgm:bulletEnabled val="1"/>
        </dgm:presLayoutVars>
      </dgm:prSet>
      <dgm:spPr/>
      <dgm:t>
        <a:bodyPr/>
        <a:lstStyle/>
        <a:p>
          <a:endParaRPr lang="en-GB"/>
        </a:p>
      </dgm:t>
    </dgm:pt>
    <dgm:pt modelId="{DF128002-49E4-4FA0-BFE5-1D5258C4A9F0}" type="pres">
      <dgm:prSet presAssocID="{E98D0F61-D9DD-41D1-948E-BC7394700736}" presName="desTx" presStyleLbl="alignAccFollowNode1" presStyleIdx="1" presStyleCnt="3">
        <dgm:presLayoutVars>
          <dgm:bulletEnabled val="1"/>
        </dgm:presLayoutVars>
      </dgm:prSet>
      <dgm:spPr/>
      <dgm:t>
        <a:bodyPr/>
        <a:lstStyle/>
        <a:p>
          <a:endParaRPr lang="en-GB"/>
        </a:p>
      </dgm:t>
    </dgm:pt>
    <dgm:pt modelId="{664C3688-99DB-446C-AED6-692BEA8DB0FC}" type="pres">
      <dgm:prSet presAssocID="{F0AD57A0-E465-42CD-8AE6-37E160881EF5}" presName="space" presStyleCnt="0"/>
      <dgm:spPr/>
    </dgm:pt>
    <dgm:pt modelId="{004D56EF-09B9-4EC2-9D42-549302BC33E0}" type="pres">
      <dgm:prSet presAssocID="{47DE5EE9-8A0D-4736-A545-908C272DACA9}" presName="composite" presStyleCnt="0"/>
      <dgm:spPr/>
    </dgm:pt>
    <dgm:pt modelId="{9B40E07D-A318-4A0E-B101-18C64180D038}" type="pres">
      <dgm:prSet presAssocID="{47DE5EE9-8A0D-4736-A545-908C272DACA9}" presName="parTx" presStyleLbl="alignNode1" presStyleIdx="2" presStyleCnt="3">
        <dgm:presLayoutVars>
          <dgm:chMax val="0"/>
          <dgm:chPref val="0"/>
          <dgm:bulletEnabled val="1"/>
        </dgm:presLayoutVars>
      </dgm:prSet>
      <dgm:spPr/>
      <dgm:t>
        <a:bodyPr/>
        <a:lstStyle/>
        <a:p>
          <a:endParaRPr lang="en-GB"/>
        </a:p>
      </dgm:t>
    </dgm:pt>
    <dgm:pt modelId="{D8458401-14BA-4D53-A019-12EFDBF481C0}" type="pres">
      <dgm:prSet presAssocID="{47DE5EE9-8A0D-4736-A545-908C272DACA9}" presName="desTx" presStyleLbl="alignAccFollowNode1" presStyleIdx="2" presStyleCnt="3">
        <dgm:presLayoutVars>
          <dgm:bulletEnabled val="1"/>
        </dgm:presLayoutVars>
      </dgm:prSet>
      <dgm:spPr/>
      <dgm:t>
        <a:bodyPr/>
        <a:lstStyle/>
        <a:p>
          <a:endParaRPr lang="en-GB"/>
        </a:p>
      </dgm:t>
    </dgm:pt>
  </dgm:ptLst>
  <dgm:cxnLst>
    <dgm:cxn modelId="{3D98BB7D-9D8E-4DEB-8469-1119B74E1DF4}" srcId="{47DE5EE9-8A0D-4736-A545-908C272DACA9}" destId="{4DFE92E2-FC22-4C75-8C36-2D155BD535B3}" srcOrd="0" destOrd="0" parTransId="{34DE654F-056B-4795-87CD-62A02FB0F42F}" sibTransId="{B1EB3381-ACB5-4B22-9BC0-966BDEEC97A8}"/>
    <dgm:cxn modelId="{9445825F-5198-48B2-A3DF-7C8FD6349341}" srcId="{340CB1C1-94C4-4D85-B1DE-56CC88CD9E9D}" destId="{47DE5EE9-8A0D-4736-A545-908C272DACA9}" srcOrd="2" destOrd="0" parTransId="{0CE26294-1E51-4F85-A3D6-057733B70295}" sibTransId="{F62BC9DA-D8B2-4E04-A941-BE1E09BDE402}"/>
    <dgm:cxn modelId="{531D4179-95C6-4C1F-9732-4C082CCABDD9}" type="presOf" srcId="{4DFE92E2-FC22-4C75-8C36-2D155BD535B3}" destId="{D8458401-14BA-4D53-A019-12EFDBF481C0}" srcOrd="0" destOrd="0" presId="urn:microsoft.com/office/officeart/2005/8/layout/hList1"/>
    <dgm:cxn modelId="{B8311927-2ECA-4027-BBCE-D55B493208F0}" type="presOf" srcId="{E98D0F61-D9DD-41D1-948E-BC7394700736}" destId="{EC09641D-F055-488D-8817-9214A18F55E1}" srcOrd="0" destOrd="0" presId="urn:microsoft.com/office/officeart/2005/8/layout/hList1"/>
    <dgm:cxn modelId="{C2C448BC-8BE3-4B29-BAF5-ABC0F858EF72}" type="presOf" srcId="{4D695B78-B1A1-432F-AA9A-DB4F50786183}" destId="{DF128002-49E4-4FA0-BFE5-1D5258C4A9F0}" srcOrd="0" destOrd="0" presId="urn:microsoft.com/office/officeart/2005/8/layout/hList1"/>
    <dgm:cxn modelId="{2983C170-A7FD-4C29-9B88-E6D75C1EA888}" type="presOf" srcId="{4597D4D7-2A87-4416-A5A7-AEC2E676A17A}" destId="{002A411E-75AB-4055-8B98-D7F17590CFF1}" srcOrd="0" destOrd="0" presId="urn:microsoft.com/office/officeart/2005/8/layout/hList1"/>
    <dgm:cxn modelId="{CA0528E4-013E-4C06-BC94-ED95BB174FA9}" srcId="{340CB1C1-94C4-4D85-B1DE-56CC88CD9E9D}" destId="{0FB9465E-7D92-4E26-9A45-42C8E0E6988C}" srcOrd="0" destOrd="0" parTransId="{E6575289-20C6-4CCE-8659-653820EDE913}" sibTransId="{7815B200-6689-4A81-9BDE-F2FFE508CA2C}"/>
    <dgm:cxn modelId="{D24795FB-669F-4424-BB6C-B42ECFB07459}" type="presOf" srcId="{0FB9465E-7D92-4E26-9A45-42C8E0E6988C}" destId="{97B1C94D-9BA7-4964-BB38-A1698AA375F3}" srcOrd="0" destOrd="0" presId="urn:microsoft.com/office/officeart/2005/8/layout/hList1"/>
    <dgm:cxn modelId="{CF41A7A8-4450-4229-8CC1-8C728C0E340A}" srcId="{0FB9465E-7D92-4E26-9A45-42C8E0E6988C}" destId="{4597D4D7-2A87-4416-A5A7-AEC2E676A17A}" srcOrd="0" destOrd="0" parTransId="{CD66B16D-B6EC-4888-B74D-F8B5CF09FA52}" sibTransId="{38C646DE-1E64-44D1-BFF7-68C58F7D3460}"/>
    <dgm:cxn modelId="{789C892A-F923-49F8-B9CB-9CD54146A5D7}" srcId="{340CB1C1-94C4-4D85-B1DE-56CC88CD9E9D}" destId="{E98D0F61-D9DD-41D1-948E-BC7394700736}" srcOrd="1" destOrd="0" parTransId="{EEE14B09-5CAA-4635-A62B-53FF9A5CE171}" sibTransId="{F0AD57A0-E465-42CD-8AE6-37E160881EF5}"/>
    <dgm:cxn modelId="{5DC48660-6B95-495E-812A-FBF6F6FB05FC}" srcId="{E98D0F61-D9DD-41D1-948E-BC7394700736}" destId="{4D695B78-B1A1-432F-AA9A-DB4F50786183}" srcOrd="0" destOrd="0" parTransId="{EE0D3CB5-A308-46E7-918A-75A37A0E74CD}" sibTransId="{9D7642CC-3AE7-45C7-9724-4AD99CB11B4A}"/>
    <dgm:cxn modelId="{BFC71F11-A330-46CD-BA4C-14D414D892E5}" type="presOf" srcId="{340CB1C1-94C4-4D85-B1DE-56CC88CD9E9D}" destId="{11889C45-517F-43B0-9E36-FD4C83DFD5FF}" srcOrd="0" destOrd="0" presId="urn:microsoft.com/office/officeart/2005/8/layout/hList1"/>
    <dgm:cxn modelId="{C4B5BE68-6E20-4D1D-B0EC-D1EFF532073C}" type="presOf" srcId="{47DE5EE9-8A0D-4736-A545-908C272DACA9}" destId="{9B40E07D-A318-4A0E-B101-18C64180D038}" srcOrd="0" destOrd="0" presId="urn:microsoft.com/office/officeart/2005/8/layout/hList1"/>
    <dgm:cxn modelId="{74250D23-7F4D-4AED-86B5-2C91C8315FEE}" type="presParOf" srcId="{11889C45-517F-43B0-9E36-FD4C83DFD5FF}" destId="{34EA193F-4EFA-4BF4-8C71-E77F6C8D9492}" srcOrd="0" destOrd="0" presId="urn:microsoft.com/office/officeart/2005/8/layout/hList1"/>
    <dgm:cxn modelId="{AEBC040F-7674-45A1-9746-95E4B509AA82}" type="presParOf" srcId="{34EA193F-4EFA-4BF4-8C71-E77F6C8D9492}" destId="{97B1C94D-9BA7-4964-BB38-A1698AA375F3}" srcOrd="0" destOrd="0" presId="urn:microsoft.com/office/officeart/2005/8/layout/hList1"/>
    <dgm:cxn modelId="{CFE90673-39DA-4BDC-888D-D573C4A5788D}" type="presParOf" srcId="{34EA193F-4EFA-4BF4-8C71-E77F6C8D9492}" destId="{002A411E-75AB-4055-8B98-D7F17590CFF1}" srcOrd="1" destOrd="0" presId="urn:microsoft.com/office/officeart/2005/8/layout/hList1"/>
    <dgm:cxn modelId="{6AA6C958-B34D-4CAF-B20A-C3B48025DBCB}" type="presParOf" srcId="{11889C45-517F-43B0-9E36-FD4C83DFD5FF}" destId="{7BC2C6B7-D154-4459-BE4C-C6E5DBFB064F}" srcOrd="1" destOrd="0" presId="urn:microsoft.com/office/officeart/2005/8/layout/hList1"/>
    <dgm:cxn modelId="{18716AE1-6DEC-428C-97B6-C79AD26BAA59}" type="presParOf" srcId="{11889C45-517F-43B0-9E36-FD4C83DFD5FF}" destId="{7BC29B85-C8C3-476D-B7EE-9F6136D7421C}" srcOrd="2" destOrd="0" presId="urn:microsoft.com/office/officeart/2005/8/layout/hList1"/>
    <dgm:cxn modelId="{F72F04AC-B166-4D0E-9EAC-6BCFD1B4235B}" type="presParOf" srcId="{7BC29B85-C8C3-476D-B7EE-9F6136D7421C}" destId="{EC09641D-F055-488D-8817-9214A18F55E1}" srcOrd="0" destOrd="0" presId="urn:microsoft.com/office/officeart/2005/8/layout/hList1"/>
    <dgm:cxn modelId="{D4085088-0729-4A18-813A-9327AD95A754}" type="presParOf" srcId="{7BC29B85-C8C3-476D-B7EE-9F6136D7421C}" destId="{DF128002-49E4-4FA0-BFE5-1D5258C4A9F0}" srcOrd="1" destOrd="0" presId="urn:microsoft.com/office/officeart/2005/8/layout/hList1"/>
    <dgm:cxn modelId="{046B6318-43C4-4D67-986F-5360F6D3EB19}" type="presParOf" srcId="{11889C45-517F-43B0-9E36-FD4C83DFD5FF}" destId="{664C3688-99DB-446C-AED6-692BEA8DB0FC}" srcOrd="3" destOrd="0" presId="urn:microsoft.com/office/officeart/2005/8/layout/hList1"/>
    <dgm:cxn modelId="{52DFE882-CBF4-46D5-A643-366EB48622BA}" type="presParOf" srcId="{11889C45-517F-43B0-9E36-FD4C83DFD5FF}" destId="{004D56EF-09B9-4EC2-9D42-549302BC33E0}" srcOrd="4" destOrd="0" presId="urn:microsoft.com/office/officeart/2005/8/layout/hList1"/>
    <dgm:cxn modelId="{7727E399-F3E3-4A6F-89D0-5A854936DC74}" type="presParOf" srcId="{004D56EF-09B9-4EC2-9D42-549302BC33E0}" destId="{9B40E07D-A318-4A0E-B101-18C64180D038}" srcOrd="0" destOrd="0" presId="urn:microsoft.com/office/officeart/2005/8/layout/hList1"/>
    <dgm:cxn modelId="{D26B22B5-509C-4050-BC74-E1416C90602D}" type="presParOf" srcId="{004D56EF-09B9-4EC2-9D42-549302BC33E0}" destId="{D8458401-14BA-4D53-A019-12EFDBF481C0}" srcOrd="1" destOrd="0" presId="urn:microsoft.com/office/officeart/2005/8/layout/h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6690D53-E4C2-46F2-85C3-471566C9C3DA}"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GB"/>
        </a:p>
      </dgm:t>
    </dgm:pt>
    <dgm:pt modelId="{48EC713E-00FE-4FE1-8A5D-BE985C7D24F5}">
      <dgm:prSet phldrT="[Text]"/>
      <dgm:spPr/>
      <dgm:t>
        <a:bodyPr/>
        <a:lstStyle/>
        <a:p>
          <a:r>
            <a:rPr lang="en-GB" b="1"/>
            <a:t>Objective</a:t>
          </a:r>
          <a:endParaRPr lang="en-GB"/>
        </a:p>
      </dgm:t>
    </dgm:pt>
    <dgm:pt modelId="{5DD98ED3-9C7A-4210-8A9A-9F13B06BCD35}" type="parTrans" cxnId="{32004A92-16EA-4109-8DED-AF84F8D2D8F7}">
      <dgm:prSet/>
      <dgm:spPr/>
      <dgm:t>
        <a:bodyPr/>
        <a:lstStyle/>
        <a:p>
          <a:endParaRPr lang="en-GB"/>
        </a:p>
      </dgm:t>
    </dgm:pt>
    <dgm:pt modelId="{FAE3E9DB-5598-41D7-9621-FDF73520BBD6}" type="sibTrans" cxnId="{32004A92-16EA-4109-8DED-AF84F8D2D8F7}">
      <dgm:prSet/>
      <dgm:spPr/>
      <dgm:t>
        <a:bodyPr/>
        <a:lstStyle/>
        <a:p>
          <a:endParaRPr lang="en-GB"/>
        </a:p>
      </dgm:t>
    </dgm:pt>
    <dgm:pt modelId="{A60DD813-6D2C-40C1-8135-8B177BD60810}">
      <dgm:prSet phldrT="[Text]"/>
      <dgm:spPr/>
      <dgm:t>
        <a:bodyPr/>
        <a:lstStyle/>
        <a:p>
          <a:r>
            <a:rPr lang="en-GB" b="1"/>
            <a:t>Full product development</a:t>
          </a:r>
        </a:p>
      </dgm:t>
    </dgm:pt>
    <dgm:pt modelId="{F09B190D-35A6-47B8-AEF9-B924F20A9C3D}" type="parTrans" cxnId="{BDB9A209-3F96-44A2-9143-25B3ACF70A2E}">
      <dgm:prSet/>
      <dgm:spPr/>
      <dgm:t>
        <a:bodyPr/>
        <a:lstStyle/>
        <a:p>
          <a:endParaRPr lang="en-GB"/>
        </a:p>
      </dgm:t>
    </dgm:pt>
    <dgm:pt modelId="{D6B50FF4-0BF6-4DCF-9E9B-5C8D2614F2E2}" type="sibTrans" cxnId="{BDB9A209-3F96-44A2-9143-25B3ACF70A2E}">
      <dgm:prSet/>
      <dgm:spPr/>
      <dgm:t>
        <a:bodyPr/>
        <a:lstStyle/>
        <a:p>
          <a:endParaRPr lang="en-GB"/>
        </a:p>
      </dgm:t>
    </dgm:pt>
    <dgm:pt modelId="{7EF647F8-D147-4C2F-8583-DADF6538444F}">
      <dgm:prSet phldrT="[Text]"/>
      <dgm:spPr/>
      <dgm:t>
        <a:bodyPr/>
        <a:lstStyle/>
        <a:p>
          <a:r>
            <a:rPr lang="en-GB" b="1"/>
            <a:t>SMART Criteria</a:t>
          </a:r>
          <a:endParaRPr lang="en-GB"/>
        </a:p>
      </dgm:t>
    </dgm:pt>
    <dgm:pt modelId="{23A6BA84-DE5C-48C5-87C0-A50D0581244D}" type="parTrans" cxnId="{1B38E976-524D-46DB-B6BA-8AA150E9A781}">
      <dgm:prSet/>
      <dgm:spPr/>
      <dgm:t>
        <a:bodyPr/>
        <a:lstStyle/>
        <a:p>
          <a:endParaRPr lang="en-GB"/>
        </a:p>
      </dgm:t>
    </dgm:pt>
    <dgm:pt modelId="{4EA75547-043A-4099-925C-7C05853EEEB3}" type="sibTrans" cxnId="{1B38E976-524D-46DB-B6BA-8AA150E9A781}">
      <dgm:prSet/>
      <dgm:spPr/>
      <dgm:t>
        <a:bodyPr/>
        <a:lstStyle/>
        <a:p>
          <a:endParaRPr lang="en-GB"/>
        </a:p>
      </dgm:t>
    </dgm:pt>
    <dgm:pt modelId="{68B5FFEA-CEC5-455E-A9A7-071A5161A5DB}">
      <dgm:prSet phldrT="[Text]"/>
      <dgm:spPr/>
      <dgm:t>
        <a:bodyPr/>
        <a:lstStyle/>
        <a:p>
          <a:r>
            <a:rPr lang="en-GB" b="1"/>
            <a:t>S: Release in six months → T: Based on a timeline</a:t>
          </a:r>
          <a:endParaRPr lang="en-GB"/>
        </a:p>
      </dgm:t>
    </dgm:pt>
    <dgm:pt modelId="{AEA591EE-68C2-4895-B4A5-0FF64DB804CA}" type="parTrans" cxnId="{5CF71266-AC66-4D2A-A740-9037E244FE52}">
      <dgm:prSet/>
      <dgm:spPr/>
      <dgm:t>
        <a:bodyPr/>
        <a:lstStyle/>
        <a:p>
          <a:endParaRPr lang="en-GB"/>
        </a:p>
      </dgm:t>
    </dgm:pt>
    <dgm:pt modelId="{14FA520A-1DC4-4AF6-B09F-8685BB0A1BA4}" type="sibTrans" cxnId="{5CF71266-AC66-4D2A-A740-9037E244FE52}">
      <dgm:prSet/>
      <dgm:spPr/>
      <dgm:t>
        <a:bodyPr/>
        <a:lstStyle/>
        <a:p>
          <a:endParaRPr lang="en-GB"/>
        </a:p>
      </dgm:t>
    </dgm:pt>
    <dgm:pt modelId="{22810151-B158-4DE1-A824-F8C86F3A47FA}">
      <dgm:prSet/>
      <dgm:spPr/>
      <dgm:t>
        <a:bodyPr/>
        <a:lstStyle/>
        <a:p>
          <a:endParaRPr lang="en-GB"/>
        </a:p>
      </dgm:t>
    </dgm:pt>
    <dgm:pt modelId="{914A8C40-5806-4954-A4FC-2BF8BEE49B77}" type="parTrans" cxnId="{510F77AB-C388-465A-BDED-A0B077775BB9}">
      <dgm:prSet/>
      <dgm:spPr/>
      <dgm:t>
        <a:bodyPr/>
        <a:lstStyle/>
        <a:p>
          <a:endParaRPr lang="en-GB"/>
        </a:p>
      </dgm:t>
    </dgm:pt>
    <dgm:pt modelId="{88A7AE14-5C57-40B6-A210-EAAAA8CFDAD9}" type="sibTrans" cxnId="{510F77AB-C388-465A-BDED-A0B077775BB9}">
      <dgm:prSet/>
      <dgm:spPr/>
      <dgm:t>
        <a:bodyPr/>
        <a:lstStyle/>
        <a:p>
          <a:endParaRPr lang="en-GB"/>
        </a:p>
      </dgm:t>
    </dgm:pt>
    <dgm:pt modelId="{D84D54E4-A51E-40C2-87A2-AC00FA93992E}">
      <dgm:prSet/>
      <dgm:spPr/>
      <dgm:t>
        <a:bodyPr/>
        <a:lstStyle/>
        <a:p>
          <a:r>
            <a:rPr lang="en-GB" b="1"/>
            <a:t>M: Validation of data A: Within the scope of R&amp;D</a:t>
          </a:r>
          <a:endParaRPr lang="en-GB"/>
        </a:p>
      </dgm:t>
    </dgm:pt>
    <dgm:pt modelId="{6B92089E-0010-4B18-B154-883A6C992BF8}" type="parTrans" cxnId="{BF9558E7-6CA6-4247-8EC2-72531C36C8A6}">
      <dgm:prSet/>
      <dgm:spPr/>
      <dgm:t>
        <a:bodyPr/>
        <a:lstStyle/>
        <a:p>
          <a:endParaRPr lang="en-GB"/>
        </a:p>
      </dgm:t>
    </dgm:pt>
    <dgm:pt modelId="{2A79087E-B268-4BD5-AE20-3FC6870062A4}" type="sibTrans" cxnId="{BF9558E7-6CA6-4247-8EC2-72531C36C8A6}">
      <dgm:prSet/>
      <dgm:spPr/>
      <dgm:t>
        <a:bodyPr/>
        <a:lstStyle/>
        <a:p>
          <a:endParaRPr lang="en-GB"/>
        </a:p>
      </dgm:t>
    </dgm:pt>
    <dgm:pt modelId="{B8463100-AF40-4CF7-81CE-24F2060D68D5}">
      <dgm:prSet/>
      <dgm:spPr/>
      <dgm:t>
        <a:bodyPr/>
        <a:lstStyle/>
        <a:p>
          <a:endParaRPr lang="en-GB"/>
        </a:p>
      </dgm:t>
    </dgm:pt>
    <dgm:pt modelId="{4C0797AA-3AAA-486E-9186-96C7DC61776F}" type="parTrans" cxnId="{140DB4CE-6982-4F21-BB0D-300529D05762}">
      <dgm:prSet/>
      <dgm:spPr/>
      <dgm:t>
        <a:bodyPr/>
        <a:lstStyle/>
        <a:p>
          <a:endParaRPr lang="en-GB"/>
        </a:p>
      </dgm:t>
    </dgm:pt>
    <dgm:pt modelId="{B8F6DD02-0B19-4120-A9BB-E167872BB5FF}" type="sibTrans" cxnId="{140DB4CE-6982-4F21-BB0D-300529D05762}">
      <dgm:prSet/>
      <dgm:spPr/>
      <dgm:t>
        <a:bodyPr/>
        <a:lstStyle/>
        <a:p>
          <a:endParaRPr lang="en-GB"/>
        </a:p>
      </dgm:t>
    </dgm:pt>
    <dgm:pt modelId="{C0A04D6C-9C85-487D-AC8B-0DF17EEC78CD}">
      <dgm:prSet/>
      <dgm:spPr/>
      <dgm:t>
        <a:bodyPr/>
        <a:lstStyle/>
        <a:p>
          <a:endParaRPr lang="en-GB"/>
        </a:p>
      </dgm:t>
    </dgm:pt>
    <dgm:pt modelId="{167EF3E4-F8EB-48BD-BED6-F530157CEF50}" type="parTrans" cxnId="{6F46D9B1-387D-469E-991C-BD6A6D1A4280}">
      <dgm:prSet/>
      <dgm:spPr/>
      <dgm:t>
        <a:bodyPr/>
        <a:lstStyle/>
        <a:p>
          <a:endParaRPr lang="en-GB"/>
        </a:p>
      </dgm:t>
    </dgm:pt>
    <dgm:pt modelId="{0E0DB37D-58FC-4C92-AC13-225AA83BD27E}" type="sibTrans" cxnId="{6F46D9B1-387D-469E-991C-BD6A6D1A4280}">
      <dgm:prSet/>
      <dgm:spPr/>
      <dgm:t>
        <a:bodyPr/>
        <a:lstStyle/>
        <a:p>
          <a:endParaRPr lang="en-GB"/>
        </a:p>
      </dgm:t>
    </dgm:pt>
    <dgm:pt modelId="{8329080A-B412-4633-8C53-749AF27B4902}">
      <dgm:prSet/>
      <dgm:spPr/>
      <dgm:t>
        <a:bodyPr/>
        <a:lstStyle/>
        <a:p>
          <a:r>
            <a:rPr lang="en-GB" b="1"/>
            <a:t>S: Meetings every two weeks → M: Reports on progress</a:t>
          </a:r>
          <a:endParaRPr lang="en-GB"/>
        </a:p>
      </dgm:t>
    </dgm:pt>
    <dgm:pt modelId="{96FECAB7-861F-4FAD-894E-21C7B68399BF}" type="parTrans" cxnId="{DAFE00FB-A48E-407B-BC95-6D25FE0B0756}">
      <dgm:prSet/>
      <dgm:spPr/>
      <dgm:t>
        <a:bodyPr/>
        <a:lstStyle/>
        <a:p>
          <a:endParaRPr lang="en-GB"/>
        </a:p>
      </dgm:t>
    </dgm:pt>
    <dgm:pt modelId="{2B1BEA8E-F042-4613-ADA9-BE83CD8BEB23}" type="sibTrans" cxnId="{DAFE00FB-A48E-407B-BC95-6D25FE0B0756}">
      <dgm:prSet/>
      <dgm:spPr/>
      <dgm:t>
        <a:bodyPr/>
        <a:lstStyle/>
        <a:p>
          <a:endParaRPr lang="en-GB"/>
        </a:p>
      </dgm:t>
    </dgm:pt>
    <dgm:pt modelId="{52B363B6-F019-4873-99D7-B6216B04FBC6}">
      <dgm:prSet/>
      <dgm:spPr/>
      <dgm:t>
        <a:bodyPr/>
        <a:lstStyle/>
        <a:p>
          <a:r>
            <a:rPr lang="en-GB" b="1"/>
            <a:t>Regularly involve stakeholders</a:t>
          </a:r>
        </a:p>
      </dgm:t>
    </dgm:pt>
    <dgm:pt modelId="{9D0DFF75-A9E1-45AF-BDAE-CE0DD9E4193F}" type="sibTrans" cxnId="{941CBC28-EE96-4710-88E7-C15124F958F1}">
      <dgm:prSet/>
      <dgm:spPr/>
      <dgm:t>
        <a:bodyPr/>
        <a:lstStyle/>
        <a:p>
          <a:endParaRPr lang="en-GB"/>
        </a:p>
      </dgm:t>
    </dgm:pt>
    <dgm:pt modelId="{1CDC16D5-B632-419C-8CBD-F29CC0F591B3}" type="parTrans" cxnId="{941CBC28-EE96-4710-88E7-C15124F958F1}">
      <dgm:prSet/>
      <dgm:spPr/>
      <dgm:t>
        <a:bodyPr/>
        <a:lstStyle/>
        <a:p>
          <a:endParaRPr lang="en-GB"/>
        </a:p>
      </dgm:t>
    </dgm:pt>
    <dgm:pt modelId="{1997951F-C6E1-483C-BE32-7ABAA2E81892}">
      <dgm:prSet/>
      <dgm:spPr/>
      <dgm:t>
        <a:bodyPr/>
        <a:lstStyle/>
        <a:p>
          <a:endParaRPr lang="en-GB" b="1"/>
        </a:p>
      </dgm:t>
    </dgm:pt>
    <dgm:pt modelId="{C3BE1075-D077-4A21-A619-C1461F160EC8}" type="sibTrans" cxnId="{F12F95D0-31F4-4292-B5BE-DDA5A8CA32F2}">
      <dgm:prSet/>
      <dgm:spPr/>
      <dgm:t>
        <a:bodyPr/>
        <a:lstStyle/>
        <a:p>
          <a:endParaRPr lang="en-GB"/>
        </a:p>
      </dgm:t>
    </dgm:pt>
    <dgm:pt modelId="{0AA3D8E0-6DCF-4AF8-B1CC-956EED8D15DC}" type="parTrans" cxnId="{F12F95D0-31F4-4292-B5BE-DDA5A8CA32F2}">
      <dgm:prSet/>
      <dgm:spPr/>
      <dgm:t>
        <a:bodyPr/>
        <a:lstStyle/>
        <a:p>
          <a:endParaRPr lang="en-GB"/>
        </a:p>
      </dgm:t>
    </dgm:pt>
    <dgm:pt modelId="{B4182B3B-DCDF-459F-8D6C-77924AEB1A94}">
      <dgm:prSet/>
      <dgm:spPr/>
      <dgm:t>
        <a:bodyPr/>
        <a:lstStyle/>
        <a:p>
          <a:r>
            <a:rPr lang="en-GB" b="1"/>
            <a:t>Obtain MHRA approval</a:t>
          </a:r>
        </a:p>
      </dgm:t>
    </dgm:pt>
    <dgm:pt modelId="{B5402AAC-9BE7-4E03-A623-10A8CD67DB87}" type="sibTrans" cxnId="{E81F0F79-A776-4353-9014-BFB24866409C}">
      <dgm:prSet/>
      <dgm:spPr/>
      <dgm:t>
        <a:bodyPr/>
        <a:lstStyle/>
        <a:p>
          <a:endParaRPr lang="en-GB"/>
        </a:p>
      </dgm:t>
    </dgm:pt>
    <dgm:pt modelId="{135C6E2A-24D2-43F0-8703-24A8A0845C7F}" type="parTrans" cxnId="{E81F0F79-A776-4353-9014-BFB24866409C}">
      <dgm:prSet/>
      <dgm:spPr/>
      <dgm:t>
        <a:bodyPr/>
        <a:lstStyle/>
        <a:p>
          <a:endParaRPr lang="en-GB"/>
        </a:p>
      </dgm:t>
    </dgm:pt>
    <dgm:pt modelId="{E418D1CB-2311-431D-A205-D9534DFC1EFF}">
      <dgm:prSet/>
      <dgm:spPr/>
      <dgm:t>
        <a:bodyPr/>
        <a:lstStyle/>
        <a:p>
          <a:endParaRPr lang="en-GB" b="1"/>
        </a:p>
      </dgm:t>
    </dgm:pt>
    <dgm:pt modelId="{E3D8C501-097A-402C-B048-AD22480C94B9}" type="sibTrans" cxnId="{6797E618-8F8B-4180-B560-4FBDA097EB9A}">
      <dgm:prSet/>
      <dgm:spPr/>
      <dgm:t>
        <a:bodyPr/>
        <a:lstStyle/>
        <a:p>
          <a:endParaRPr lang="en-GB"/>
        </a:p>
      </dgm:t>
    </dgm:pt>
    <dgm:pt modelId="{6FF128C7-5DD4-4BC7-9190-53BF059D4DF7}" type="parTrans" cxnId="{6797E618-8F8B-4180-B560-4FBDA097EB9A}">
      <dgm:prSet/>
      <dgm:spPr/>
      <dgm:t>
        <a:bodyPr/>
        <a:lstStyle/>
        <a:p>
          <a:endParaRPr lang="en-GB"/>
        </a:p>
      </dgm:t>
    </dgm:pt>
    <dgm:pt modelId="{08847309-706D-46FF-8990-E85F13328F97}">
      <dgm:prSet/>
      <dgm:spPr/>
      <dgm:t>
        <a:bodyPr/>
        <a:lstStyle/>
        <a:p>
          <a:r>
            <a:rPr lang="en-GB" b="1"/>
            <a:t>Reach a device accuracy of 95%.</a:t>
          </a:r>
        </a:p>
      </dgm:t>
    </dgm:pt>
    <dgm:pt modelId="{EA1FCA03-33AB-4B98-AD47-267E817A2685}" type="sibTrans" cxnId="{60922CCD-0F06-4BFF-B8ED-2A83D0CD25B8}">
      <dgm:prSet/>
      <dgm:spPr/>
      <dgm:t>
        <a:bodyPr/>
        <a:lstStyle/>
        <a:p>
          <a:endParaRPr lang="en-GB"/>
        </a:p>
      </dgm:t>
    </dgm:pt>
    <dgm:pt modelId="{0AB96AB0-3058-4D1B-B8CA-79258B90E359}" type="parTrans" cxnId="{60922CCD-0F06-4BFF-B8ED-2A83D0CD25B8}">
      <dgm:prSet/>
      <dgm:spPr/>
      <dgm:t>
        <a:bodyPr/>
        <a:lstStyle/>
        <a:p>
          <a:endParaRPr lang="en-GB"/>
        </a:p>
      </dgm:t>
    </dgm:pt>
    <dgm:pt modelId="{B8D10B7E-4DBB-4D53-950A-CA70ECFBDB9B}">
      <dgm:prSet/>
      <dgm:spPr/>
      <dgm:t>
        <a:bodyPr/>
        <a:lstStyle/>
        <a:p>
          <a:endParaRPr lang="en-GB" b="1"/>
        </a:p>
      </dgm:t>
    </dgm:pt>
    <dgm:pt modelId="{B156EDE1-7824-4F5A-892C-5E127554EDA5}" type="sibTrans" cxnId="{207FD2B0-BA64-467B-91ED-CD5AD6A2859F}">
      <dgm:prSet/>
      <dgm:spPr/>
      <dgm:t>
        <a:bodyPr/>
        <a:lstStyle/>
        <a:p>
          <a:endParaRPr lang="en-GB"/>
        </a:p>
      </dgm:t>
    </dgm:pt>
    <dgm:pt modelId="{71FBE609-D549-472F-B0EB-20F84DBB7B2D}" type="parTrans" cxnId="{207FD2B0-BA64-467B-91ED-CD5AD6A2859F}">
      <dgm:prSet/>
      <dgm:spPr/>
      <dgm:t>
        <a:bodyPr/>
        <a:lstStyle/>
        <a:p>
          <a:endParaRPr lang="en-GB"/>
        </a:p>
      </dgm:t>
    </dgm:pt>
    <dgm:pt modelId="{F9A8E744-BE16-446D-9C04-92A8CD9AD998}">
      <dgm:prSet/>
      <dgm:spPr/>
      <dgm:t>
        <a:bodyPr/>
        <a:lstStyle/>
        <a:p>
          <a:r>
            <a:rPr lang="en-GB" b="1"/>
            <a:t>R: Applicable to the UK market → T: In five months</a:t>
          </a:r>
          <a:endParaRPr lang="en-GB"/>
        </a:p>
      </dgm:t>
    </dgm:pt>
    <dgm:pt modelId="{27CB6E07-D4AA-4E61-A800-008828033F14}" type="sibTrans" cxnId="{FBEC3947-8DD5-4FEE-A1B1-B560A181FE27}">
      <dgm:prSet/>
      <dgm:spPr/>
      <dgm:t>
        <a:bodyPr/>
        <a:lstStyle/>
        <a:p>
          <a:endParaRPr lang="en-GB"/>
        </a:p>
      </dgm:t>
    </dgm:pt>
    <dgm:pt modelId="{2F09F7B1-524F-40D9-928B-DD6A7A6348CB}" type="parTrans" cxnId="{FBEC3947-8DD5-4FEE-A1B1-B560A181FE27}">
      <dgm:prSet/>
      <dgm:spPr/>
      <dgm:t>
        <a:bodyPr/>
        <a:lstStyle/>
        <a:p>
          <a:endParaRPr lang="en-GB"/>
        </a:p>
      </dgm:t>
    </dgm:pt>
    <dgm:pt modelId="{B6CDA254-3964-4496-BF5F-88507063B271}" type="pres">
      <dgm:prSet presAssocID="{46690D53-E4C2-46F2-85C3-471566C9C3DA}" presName="linear" presStyleCnt="0">
        <dgm:presLayoutVars>
          <dgm:animLvl val="lvl"/>
          <dgm:resizeHandles val="exact"/>
        </dgm:presLayoutVars>
      </dgm:prSet>
      <dgm:spPr/>
      <dgm:t>
        <a:bodyPr/>
        <a:lstStyle/>
        <a:p>
          <a:endParaRPr lang="en-GB"/>
        </a:p>
      </dgm:t>
    </dgm:pt>
    <dgm:pt modelId="{DD95A510-C1A6-4AD0-9DD2-9930FBC92464}" type="pres">
      <dgm:prSet presAssocID="{48EC713E-00FE-4FE1-8A5D-BE985C7D24F5}" presName="parentText" presStyleLbl="node1" presStyleIdx="0" presStyleCnt="2">
        <dgm:presLayoutVars>
          <dgm:chMax val="0"/>
          <dgm:bulletEnabled val="1"/>
        </dgm:presLayoutVars>
      </dgm:prSet>
      <dgm:spPr/>
      <dgm:t>
        <a:bodyPr/>
        <a:lstStyle/>
        <a:p>
          <a:endParaRPr lang="en-GB"/>
        </a:p>
      </dgm:t>
    </dgm:pt>
    <dgm:pt modelId="{E86E0D7F-2A98-4DC5-8477-541497910599}" type="pres">
      <dgm:prSet presAssocID="{48EC713E-00FE-4FE1-8A5D-BE985C7D24F5}" presName="childText" presStyleLbl="revTx" presStyleIdx="0" presStyleCnt="2">
        <dgm:presLayoutVars>
          <dgm:bulletEnabled val="1"/>
        </dgm:presLayoutVars>
      </dgm:prSet>
      <dgm:spPr/>
      <dgm:t>
        <a:bodyPr/>
        <a:lstStyle/>
        <a:p>
          <a:endParaRPr lang="en-GB"/>
        </a:p>
      </dgm:t>
    </dgm:pt>
    <dgm:pt modelId="{FDD8D98C-731B-4721-B85A-ACDEE198AA3A}" type="pres">
      <dgm:prSet presAssocID="{7EF647F8-D147-4C2F-8583-DADF6538444F}" presName="parentText" presStyleLbl="node1" presStyleIdx="1" presStyleCnt="2">
        <dgm:presLayoutVars>
          <dgm:chMax val="0"/>
          <dgm:bulletEnabled val="1"/>
        </dgm:presLayoutVars>
      </dgm:prSet>
      <dgm:spPr/>
      <dgm:t>
        <a:bodyPr/>
        <a:lstStyle/>
        <a:p>
          <a:endParaRPr lang="en-GB"/>
        </a:p>
      </dgm:t>
    </dgm:pt>
    <dgm:pt modelId="{71BB956F-5CA0-4774-8896-B3529E348932}" type="pres">
      <dgm:prSet presAssocID="{7EF647F8-D147-4C2F-8583-DADF6538444F}" presName="childText" presStyleLbl="revTx" presStyleIdx="1" presStyleCnt="2">
        <dgm:presLayoutVars>
          <dgm:bulletEnabled val="1"/>
        </dgm:presLayoutVars>
      </dgm:prSet>
      <dgm:spPr/>
      <dgm:t>
        <a:bodyPr/>
        <a:lstStyle/>
        <a:p>
          <a:endParaRPr lang="en-GB"/>
        </a:p>
      </dgm:t>
    </dgm:pt>
  </dgm:ptLst>
  <dgm:cxnLst>
    <dgm:cxn modelId="{5EC63B50-F123-4980-8CE5-8775F1276A49}" type="presOf" srcId="{B8D10B7E-4DBB-4D53-950A-CA70ECFBDB9B}" destId="{E86E0D7F-2A98-4DC5-8477-541497910599}" srcOrd="0" destOrd="1" presId="urn:microsoft.com/office/officeart/2005/8/layout/vList2"/>
    <dgm:cxn modelId="{1B38E976-524D-46DB-B6BA-8AA150E9A781}" srcId="{46690D53-E4C2-46F2-85C3-471566C9C3DA}" destId="{7EF647F8-D147-4C2F-8583-DADF6538444F}" srcOrd="1" destOrd="0" parTransId="{23A6BA84-DE5C-48C5-87C0-A50D0581244D}" sibTransId="{4EA75547-043A-4099-925C-7C05853EEEB3}"/>
    <dgm:cxn modelId="{CD1D4853-7A72-476C-984B-FF77E2D9B96C}" type="presOf" srcId="{E418D1CB-2311-431D-A205-D9534DFC1EFF}" destId="{E86E0D7F-2A98-4DC5-8477-541497910599}" srcOrd="0" destOrd="3" presId="urn:microsoft.com/office/officeart/2005/8/layout/vList2"/>
    <dgm:cxn modelId="{55D3EF94-535B-4A79-9605-984E571BBC1A}" type="presOf" srcId="{8329080A-B412-4633-8C53-749AF27B4902}" destId="{71BB956F-5CA0-4774-8896-B3529E348932}" srcOrd="0" destOrd="6" presId="urn:microsoft.com/office/officeart/2005/8/layout/vList2"/>
    <dgm:cxn modelId="{207FD2B0-BA64-467B-91ED-CD5AD6A2859F}" srcId="{48EC713E-00FE-4FE1-8A5D-BE985C7D24F5}" destId="{B8D10B7E-4DBB-4D53-950A-CA70ECFBDB9B}" srcOrd="1" destOrd="0" parTransId="{71FBE609-D549-472F-B0EB-20F84DBB7B2D}" sibTransId="{B156EDE1-7824-4F5A-892C-5E127554EDA5}"/>
    <dgm:cxn modelId="{45051BA6-E89D-4492-882B-C90D8FE3EDF9}" type="presOf" srcId="{A60DD813-6D2C-40C1-8135-8B177BD60810}" destId="{E86E0D7F-2A98-4DC5-8477-541497910599}" srcOrd="0" destOrd="0" presId="urn:microsoft.com/office/officeart/2005/8/layout/vList2"/>
    <dgm:cxn modelId="{941CBC28-EE96-4710-88E7-C15124F958F1}" srcId="{48EC713E-00FE-4FE1-8A5D-BE985C7D24F5}" destId="{52B363B6-F019-4873-99D7-B6216B04FBC6}" srcOrd="6" destOrd="0" parTransId="{1CDC16D5-B632-419C-8CBD-F29CC0F591B3}" sibTransId="{9D0DFF75-A9E1-45AF-BDAE-CE0DD9E4193F}"/>
    <dgm:cxn modelId="{FBEC3947-8DD5-4FEE-A1B1-B560A181FE27}" srcId="{7EF647F8-D147-4C2F-8583-DADF6538444F}" destId="{F9A8E744-BE16-446D-9C04-92A8CD9AD998}" srcOrd="4" destOrd="0" parTransId="{2F09F7B1-524F-40D9-928B-DD6A7A6348CB}" sibTransId="{27CB6E07-D4AA-4E61-A800-008828033F14}"/>
    <dgm:cxn modelId="{DBB289FE-8C9F-4F9D-95FD-183EA272B968}" type="presOf" srcId="{7EF647F8-D147-4C2F-8583-DADF6538444F}" destId="{FDD8D98C-731B-4721-B85A-ACDEE198AA3A}" srcOrd="0" destOrd="0" presId="urn:microsoft.com/office/officeart/2005/8/layout/vList2"/>
    <dgm:cxn modelId="{F91F5474-829E-4CB6-A971-F2F91688CF7D}" type="presOf" srcId="{C0A04D6C-9C85-487D-AC8B-0DF17EEC78CD}" destId="{71BB956F-5CA0-4774-8896-B3529E348932}" srcOrd="0" destOrd="5" presId="urn:microsoft.com/office/officeart/2005/8/layout/vList2"/>
    <dgm:cxn modelId="{5CF71266-AC66-4D2A-A740-9037E244FE52}" srcId="{7EF647F8-D147-4C2F-8583-DADF6538444F}" destId="{68B5FFEA-CEC5-455E-A9A7-071A5161A5DB}" srcOrd="0" destOrd="0" parTransId="{AEA591EE-68C2-4895-B4A5-0FF64DB804CA}" sibTransId="{14FA520A-1DC4-4AF6-B09F-8685BB0A1BA4}"/>
    <dgm:cxn modelId="{B1069FDE-60AD-4B6E-9B2B-C909B142AA65}" type="presOf" srcId="{48EC713E-00FE-4FE1-8A5D-BE985C7D24F5}" destId="{DD95A510-C1A6-4AD0-9DD2-9930FBC92464}" srcOrd="0" destOrd="0" presId="urn:microsoft.com/office/officeart/2005/8/layout/vList2"/>
    <dgm:cxn modelId="{F12F95D0-31F4-4292-B5BE-DDA5A8CA32F2}" srcId="{48EC713E-00FE-4FE1-8A5D-BE985C7D24F5}" destId="{1997951F-C6E1-483C-BE32-7ABAA2E81892}" srcOrd="5" destOrd="0" parTransId="{0AA3D8E0-6DCF-4AF8-B1CC-956EED8D15DC}" sibTransId="{C3BE1075-D077-4A21-A619-C1461F160EC8}"/>
    <dgm:cxn modelId="{3D09F463-3DA8-4DAC-8853-72EA2D8E4EF7}" type="presOf" srcId="{46690D53-E4C2-46F2-85C3-471566C9C3DA}" destId="{B6CDA254-3964-4496-BF5F-88507063B271}" srcOrd="0" destOrd="0" presId="urn:microsoft.com/office/officeart/2005/8/layout/vList2"/>
    <dgm:cxn modelId="{60922CCD-0F06-4BFF-B8ED-2A83D0CD25B8}" srcId="{48EC713E-00FE-4FE1-8A5D-BE985C7D24F5}" destId="{08847309-706D-46FF-8990-E85F13328F97}" srcOrd="2" destOrd="0" parTransId="{0AB96AB0-3058-4D1B-B8CA-79258B90E359}" sibTransId="{EA1FCA03-33AB-4B98-AD47-267E817A2685}"/>
    <dgm:cxn modelId="{75CE42B2-E960-463B-9EB0-99A35EF9C3CB}" type="presOf" srcId="{08847309-706D-46FF-8990-E85F13328F97}" destId="{E86E0D7F-2A98-4DC5-8477-541497910599}" srcOrd="0" destOrd="2" presId="urn:microsoft.com/office/officeart/2005/8/layout/vList2"/>
    <dgm:cxn modelId="{7B9409AE-4ECF-4B95-950C-9E5FA2C781C4}" type="presOf" srcId="{B8463100-AF40-4CF7-81CE-24F2060D68D5}" destId="{71BB956F-5CA0-4774-8896-B3529E348932}" srcOrd="0" destOrd="3" presId="urn:microsoft.com/office/officeart/2005/8/layout/vList2"/>
    <dgm:cxn modelId="{2BE861C2-ED73-421B-BE72-C63D8AA4C9F9}" type="presOf" srcId="{D84D54E4-A51E-40C2-87A2-AC00FA93992E}" destId="{71BB956F-5CA0-4774-8896-B3529E348932}" srcOrd="0" destOrd="2" presId="urn:microsoft.com/office/officeart/2005/8/layout/vList2"/>
    <dgm:cxn modelId="{BF9558E7-6CA6-4247-8EC2-72531C36C8A6}" srcId="{7EF647F8-D147-4C2F-8583-DADF6538444F}" destId="{D84D54E4-A51E-40C2-87A2-AC00FA93992E}" srcOrd="2" destOrd="0" parTransId="{6B92089E-0010-4B18-B154-883A6C992BF8}" sibTransId="{2A79087E-B268-4BD5-AE20-3FC6870062A4}"/>
    <dgm:cxn modelId="{32004A92-16EA-4109-8DED-AF84F8D2D8F7}" srcId="{46690D53-E4C2-46F2-85C3-471566C9C3DA}" destId="{48EC713E-00FE-4FE1-8A5D-BE985C7D24F5}" srcOrd="0" destOrd="0" parTransId="{5DD98ED3-9C7A-4210-8A9A-9F13B06BCD35}" sibTransId="{FAE3E9DB-5598-41D7-9621-FDF73520BBD6}"/>
    <dgm:cxn modelId="{E279FD35-B8B9-430F-89A2-2F5E4A1E78A4}" type="presOf" srcId="{F9A8E744-BE16-446D-9C04-92A8CD9AD998}" destId="{71BB956F-5CA0-4774-8896-B3529E348932}" srcOrd="0" destOrd="4" presId="urn:microsoft.com/office/officeart/2005/8/layout/vList2"/>
    <dgm:cxn modelId="{88D9A10D-F710-44F2-B81F-3279D33129A9}" type="presOf" srcId="{B4182B3B-DCDF-459F-8D6C-77924AEB1A94}" destId="{E86E0D7F-2A98-4DC5-8477-541497910599}" srcOrd="0" destOrd="4" presId="urn:microsoft.com/office/officeart/2005/8/layout/vList2"/>
    <dgm:cxn modelId="{BDB9A209-3F96-44A2-9143-25B3ACF70A2E}" srcId="{48EC713E-00FE-4FE1-8A5D-BE985C7D24F5}" destId="{A60DD813-6D2C-40C1-8135-8B177BD60810}" srcOrd="0" destOrd="0" parTransId="{F09B190D-35A6-47B8-AEF9-B924F20A9C3D}" sibTransId="{D6B50FF4-0BF6-4DCF-9E9B-5C8D2614F2E2}"/>
    <dgm:cxn modelId="{E977FA1B-13E4-43CF-9E62-DE4F220F4910}" type="presOf" srcId="{68B5FFEA-CEC5-455E-A9A7-071A5161A5DB}" destId="{71BB956F-5CA0-4774-8896-B3529E348932}" srcOrd="0" destOrd="0" presId="urn:microsoft.com/office/officeart/2005/8/layout/vList2"/>
    <dgm:cxn modelId="{6797E618-8F8B-4180-B560-4FBDA097EB9A}" srcId="{48EC713E-00FE-4FE1-8A5D-BE985C7D24F5}" destId="{E418D1CB-2311-431D-A205-D9534DFC1EFF}" srcOrd="3" destOrd="0" parTransId="{6FF128C7-5DD4-4BC7-9190-53BF059D4DF7}" sibTransId="{E3D8C501-097A-402C-B048-AD22480C94B9}"/>
    <dgm:cxn modelId="{510F77AB-C388-465A-BDED-A0B077775BB9}" srcId="{7EF647F8-D147-4C2F-8583-DADF6538444F}" destId="{22810151-B158-4DE1-A824-F8C86F3A47FA}" srcOrd="1" destOrd="0" parTransId="{914A8C40-5806-4954-A4FC-2BF8BEE49B77}" sibTransId="{88A7AE14-5C57-40B6-A210-EAAAA8CFDAD9}"/>
    <dgm:cxn modelId="{E81F0F79-A776-4353-9014-BFB24866409C}" srcId="{48EC713E-00FE-4FE1-8A5D-BE985C7D24F5}" destId="{B4182B3B-DCDF-459F-8D6C-77924AEB1A94}" srcOrd="4" destOrd="0" parTransId="{135C6E2A-24D2-43F0-8703-24A8A0845C7F}" sibTransId="{B5402AAC-9BE7-4E03-A623-10A8CD67DB87}"/>
    <dgm:cxn modelId="{6F46D9B1-387D-469E-991C-BD6A6D1A4280}" srcId="{7EF647F8-D147-4C2F-8583-DADF6538444F}" destId="{C0A04D6C-9C85-487D-AC8B-0DF17EEC78CD}" srcOrd="5" destOrd="0" parTransId="{167EF3E4-F8EB-48BD-BED6-F530157CEF50}" sibTransId="{0E0DB37D-58FC-4C92-AC13-225AA83BD27E}"/>
    <dgm:cxn modelId="{140DB4CE-6982-4F21-BB0D-300529D05762}" srcId="{7EF647F8-D147-4C2F-8583-DADF6538444F}" destId="{B8463100-AF40-4CF7-81CE-24F2060D68D5}" srcOrd="3" destOrd="0" parTransId="{4C0797AA-3AAA-486E-9186-96C7DC61776F}" sibTransId="{B8F6DD02-0B19-4120-A9BB-E167872BB5FF}"/>
    <dgm:cxn modelId="{28B30D8E-46FF-45A9-94FB-8B61698D50F7}" type="presOf" srcId="{22810151-B158-4DE1-A824-F8C86F3A47FA}" destId="{71BB956F-5CA0-4774-8896-B3529E348932}" srcOrd="0" destOrd="1" presId="urn:microsoft.com/office/officeart/2005/8/layout/vList2"/>
    <dgm:cxn modelId="{DAFE00FB-A48E-407B-BC95-6D25FE0B0756}" srcId="{7EF647F8-D147-4C2F-8583-DADF6538444F}" destId="{8329080A-B412-4633-8C53-749AF27B4902}" srcOrd="6" destOrd="0" parTransId="{96FECAB7-861F-4FAD-894E-21C7B68399BF}" sibTransId="{2B1BEA8E-F042-4613-ADA9-BE83CD8BEB23}"/>
    <dgm:cxn modelId="{550D4B2D-EE33-4B05-958A-0E6E7609CFFF}" type="presOf" srcId="{1997951F-C6E1-483C-BE32-7ABAA2E81892}" destId="{E86E0D7F-2A98-4DC5-8477-541497910599}" srcOrd="0" destOrd="5" presId="urn:microsoft.com/office/officeart/2005/8/layout/vList2"/>
    <dgm:cxn modelId="{E5AB46FF-7B39-4D21-A091-6FAA16B32D8E}" type="presOf" srcId="{52B363B6-F019-4873-99D7-B6216B04FBC6}" destId="{E86E0D7F-2A98-4DC5-8477-541497910599}" srcOrd="0" destOrd="6" presId="urn:microsoft.com/office/officeart/2005/8/layout/vList2"/>
    <dgm:cxn modelId="{7126DBFB-607B-41AD-9413-36BFEA216300}" type="presParOf" srcId="{B6CDA254-3964-4496-BF5F-88507063B271}" destId="{DD95A510-C1A6-4AD0-9DD2-9930FBC92464}" srcOrd="0" destOrd="0" presId="urn:microsoft.com/office/officeart/2005/8/layout/vList2"/>
    <dgm:cxn modelId="{955CDBC8-DA12-45CA-AEB0-A8D17A31FCD6}" type="presParOf" srcId="{B6CDA254-3964-4496-BF5F-88507063B271}" destId="{E86E0D7F-2A98-4DC5-8477-541497910599}" srcOrd="1" destOrd="0" presId="urn:microsoft.com/office/officeart/2005/8/layout/vList2"/>
    <dgm:cxn modelId="{7C406404-61C9-483C-889F-9AE5D5F7933F}" type="presParOf" srcId="{B6CDA254-3964-4496-BF5F-88507063B271}" destId="{FDD8D98C-731B-4721-B85A-ACDEE198AA3A}" srcOrd="2" destOrd="0" presId="urn:microsoft.com/office/officeart/2005/8/layout/vList2"/>
    <dgm:cxn modelId="{FD62FE52-A5FA-4BCC-B9A0-4CC4CCF26D61}" type="presParOf" srcId="{B6CDA254-3964-4496-BF5F-88507063B271}" destId="{71BB956F-5CA0-4774-8896-B3529E348932}" srcOrd="3" destOrd="0" presId="urn:microsoft.com/office/officeart/2005/8/layout/vList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C680C8D-453B-4D38-8FA5-DD605AD1EBEC}"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1B1FBCC6-419B-406D-9C1E-9B25E63B750B}">
      <dgm:prSet phldrT="[Text]" custT="1"/>
      <dgm:spPr/>
      <dgm:t>
        <a:bodyPr/>
        <a:lstStyle/>
        <a:p>
          <a:r>
            <a:rPr lang="en-GB" sz="1400" b="1"/>
            <a:t>Power/Interest</a:t>
          </a:r>
        </a:p>
      </dgm:t>
    </dgm:pt>
    <dgm:pt modelId="{35746C33-ED07-4AEC-AC97-157CD3FF8B9E}" type="parTrans" cxnId="{F3CA5B77-4F86-4AF1-AD65-E165C00C59A7}">
      <dgm:prSet/>
      <dgm:spPr/>
      <dgm:t>
        <a:bodyPr/>
        <a:lstStyle/>
        <a:p>
          <a:endParaRPr lang="en-GB"/>
        </a:p>
      </dgm:t>
    </dgm:pt>
    <dgm:pt modelId="{480476E5-ACF0-4FD8-9EC5-1DBC3D51EE9A}" type="sibTrans" cxnId="{F3CA5B77-4F86-4AF1-AD65-E165C00C59A7}">
      <dgm:prSet/>
      <dgm:spPr/>
      <dgm:t>
        <a:bodyPr/>
        <a:lstStyle/>
        <a:p>
          <a:endParaRPr lang="en-GB"/>
        </a:p>
      </dgm:t>
    </dgm:pt>
    <dgm:pt modelId="{AA04D676-5383-466B-9CF7-1C312DD3011D}">
      <dgm:prSet phldrT="[Text]"/>
      <dgm:spPr/>
      <dgm:t>
        <a:bodyPr/>
        <a:lstStyle/>
        <a:p>
          <a:r>
            <a:rPr lang="en-GB" b="1"/>
            <a:t>High Power / High Interest</a:t>
          </a:r>
          <a:endParaRPr lang="en-GB"/>
        </a:p>
      </dgm:t>
    </dgm:pt>
    <dgm:pt modelId="{5258B791-ABCE-485E-A82A-98711A764E7D}" type="parTrans" cxnId="{516F3A8E-EE89-40C5-A0C5-59C17C11C433}">
      <dgm:prSet/>
      <dgm:spPr/>
      <dgm:t>
        <a:bodyPr/>
        <a:lstStyle/>
        <a:p>
          <a:endParaRPr lang="en-GB"/>
        </a:p>
      </dgm:t>
    </dgm:pt>
    <dgm:pt modelId="{4A82A73B-2231-48DB-9EB0-1D211F234F55}" type="sibTrans" cxnId="{516F3A8E-EE89-40C5-A0C5-59C17C11C433}">
      <dgm:prSet/>
      <dgm:spPr/>
      <dgm:t>
        <a:bodyPr/>
        <a:lstStyle/>
        <a:p>
          <a:endParaRPr lang="en-GB"/>
        </a:p>
      </dgm:t>
    </dgm:pt>
    <dgm:pt modelId="{C0A48952-0090-4038-8B45-173715F96E5D}">
      <dgm:prSet phldrT="[Text]" custT="1"/>
      <dgm:spPr/>
      <dgm:t>
        <a:bodyPr/>
        <a:lstStyle/>
        <a:p>
          <a:r>
            <a:rPr lang="en-GB" sz="1400" b="1"/>
            <a:t>Engagement</a:t>
          </a:r>
          <a:r>
            <a:rPr lang="en-GB" sz="1300" b="1"/>
            <a:t> </a:t>
          </a:r>
          <a:r>
            <a:rPr lang="en-GB" sz="1400" b="1"/>
            <a:t>Strategy</a:t>
          </a:r>
          <a:endParaRPr lang="en-GB" sz="1400"/>
        </a:p>
      </dgm:t>
    </dgm:pt>
    <dgm:pt modelId="{488B8CD3-CD1F-42DB-AD73-9664324EB4E7}" type="parTrans" cxnId="{CB05EEA2-15F8-48BC-BC6B-CDDECBA3E3ED}">
      <dgm:prSet/>
      <dgm:spPr/>
      <dgm:t>
        <a:bodyPr/>
        <a:lstStyle/>
        <a:p>
          <a:endParaRPr lang="en-GB"/>
        </a:p>
      </dgm:t>
    </dgm:pt>
    <dgm:pt modelId="{AA987B27-C610-4250-B20A-4D1B5686F441}" type="sibTrans" cxnId="{CB05EEA2-15F8-48BC-BC6B-CDDECBA3E3ED}">
      <dgm:prSet/>
      <dgm:spPr/>
      <dgm:t>
        <a:bodyPr/>
        <a:lstStyle/>
        <a:p>
          <a:endParaRPr lang="en-GB"/>
        </a:p>
      </dgm:t>
    </dgm:pt>
    <dgm:pt modelId="{9BDD7C80-ACCA-44DA-8E17-EE8E85C956EE}">
      <dgm:prSet phldrT="[Text]"/>
      <dgm:spPr/>
      <dgm:t>
        <a:bodyPr/>
        <a:lstStyle/>
        <a:p>
          <a:r>
            <a:rPr lang="en-GB"/>
            <a:t>Closely manage</a:t>
          </a:r>
        </a:p>
      </dgm:t>
    </dgm:pt>
    <dgm:pt modelId="{D767B4B5-7AE2-448B-85A1-5489A78EA9EB}" type="parTrans" cxnId="{081C048C-30CB-4CFF-B833-BB38ABB7996C}">
      <dgm:prSet/>
      <dgm:spPr/>
      <dgm:t>
        <a:bodyPr/>
        <a:lstStyle/>
        <a:p>
          <a:endParaRPr lang="en-GB"/>
        </a:p>
      </dgm:t>
    </dgm:pt>
    <dgm:pt modelId="{D334CFCE-7364-4312-B43F-099C659D2E0F}" type="sibTrans" cxnId="{081C048C-30CB-4CFF-B833-BB38ABB7996C}">
      <dgm:prSet/>
      <dgm:spPr/>
      <dgm:t>
        <a:bodyPr/>
        <a:lstStyle/>
        <a:p>
          <a:endParaRPr lang="en-GB"/>
        </a:p>
      </dgm:t>
    </dgm:pt>
    <dgm:pt modelId="{F905CAFB-AE3B-41D5-8919-FFB20E87A10B}">
      <dgm:prSet phldrT="[Text]" custT="1"/>
      <dgm:spPr/>
      <dgm:t>
        <a:bodyPr/>
        <a:lstStyle/>
        <a:p>
          <a:r>
            <a:rPr lang="en-GB" sz="1400" b="1"/>
            <a:t>Example Stakeholders</a:t>
          </a:r>
          <a:endParaRPr lang="en-GB" sz="1400"/>
        </a:p>
      </dgm:t>
    </dgm:pt>
    <dgm:pt modelId="{544B4E19-F701-42E2-A801-1886C478BDBF}" type="parTrans" cxnId="{CCC903E0-B621-43C8-B164-E6B48EEC0A0F}">
      <dgm:prSet/>
      <dgm:spPr/>
      <dgm:t>
        <a:bodyPr/>
        <a:lstStyle/>
        <a:p>
          <a:endParaRPr lang="en-GB"/>
        </a:p>
      </dgm:t>
    </dgm:pt>
    <dgm:pt modelId="{669A9106-8097-4DE7-BA54-DDAB0226A5B2}" type="sibTrans" cxnId="{CCC903E0-B621-43C8-B164-E6B48EEC0A0F}">
      <dgm:prSet/>
      <dgm:spPr/>
      <dgm:t>
        <a:bodyPr/>
        <a:lstStyle/>
        <a:p>
          <a:endParaRPr lang="en-GB"/>
        </a:p>
      </dgm:t>
    </dgm:pt>
    <dgm:pt modelId="{60074A4D-E052-40DA-93EA-680B1D44AEFD}">
      <dgm:prSet phldrT="[Text]"/>
      <dgm:spPr/>
      <dgm:t>
        <a:bodyPr/>
        <a:lstStyle/>
        <a:p>
          <a:r>
            <a:rPr lang="en-GB"/>
            <a:t>Senior Leadership, Regulatory Bodies (MHRA), Project Manager</a:t>
          </a:r>
        </a:p>
      </dgm:t>
    </dgm:pt>
    <dgm:pt modelId="{30D3D00B-93A1-432D-948A-A39C4D94EC1E}" type="parTrans" cxnId="{422DAF5E-E6B1-4DD7-8255-9643811AE083}">
      <dgm:prSet/>
      <dgm:spPr/>
      <dgm:t>
        <a:bodyPr/>
        <a:lstStyle/>
        <a:p>
          <a:endParaRPr lang="en-GB"/>
        </a:p>
      </dgm:t>
    </dgm:pt>
    <dgm:pt modelId="{7AF87F51-DBCE-478F-96FC-C9D33FCBBDC9}" type="sibTrans" cxnId="{422DAF5E-E6B1-4DD7-8255-9643811AE083}">
      <dgm:prSet/>
      <dgm:spPr/>
      <dgm:t>
        <a:bodyPr/>
        <a:lstStyle/>
        <a:p>
          <a:endParaRPr lang="en-GB"/>
        </a:p>
      </dgm:t>
    </dgm:pt>
    <dgm:pt modelId="{A4F372A2-DAA9-42F6-B87B-28DB0B7D40AD}">
      <dgm:prSet phldrT="[Text]"/>
      <dgm:spPr/>
      <dgm:t>
        <a:bodyPr/>
        <a:lstStyle/>
        <a:p>
          <a:endParaRPr lang="en-GB"/>
        </a:p>
      </dgm:t>
    </dgm:pt>
    <dgm:pt modelId="{76BC79FB-92B5-4C0D-A022-38829C0DED30}" type="parTrans" cxnId="{F95EAC42-CE20-441C-BB9F-FD7177EB538A}">
      <dgm:prSet/>
      <dgm:spPr/>
      <dgm:t>
        <a:bodyPr/>
        <a:lstStyle/>
        <a:p>
          <a:endParaRPr lang="en-GB"/>
        </a:p>
      </dgm:t>
    </dgm:pt>
    <dgm:pt modelId="{5E8120DC-C1EE-405D-A079-EE14D19C86AB}" type="sibTrans" cxnId="{F95EAC42-CE20-441C-BB9F-FD7177EB538A}">
      <dgm:prSet/>
      <dgm:spPr/>
      <dgm:t>
        <a:bodyPr/>
        <a:lstStyle/>
        <a:p>
          <a:endParaRPr lang="en-GB"/>
        </a:p>
      </dgm:t>
    </dgm:pt>
    <dgm:pt modelId="{A1A64734-5F21-4468-BC5C-89B0D1596728}">
      <dgm:prSet/>
      <dgm:spPr/>
      <dgm:t>
        <a:bodyPr/>
        <a:lstStyle/>
        <a:p>
          <a:endParaRPr lang="en-GB"/>
        </a:p>
      </dgm:t>
    </dgm:pt>
    <dgm:pt modelId="{448DA8F1-C515-4F74-877F-2FBDBC928F37}" type="parTrans" cxnId="{64452981-15B0-468C-A58F-76DBC1FEE9C7}">
      <dgm:prSet/>
      <dgm:spPr/>
      <dgm:t>
        <a:bodyPr/>
        <a:lstStyle/>
        <a:p>
          <a:endParaRPr lang="en-GB"/>
        </a:p>
      </dgm:t>
    </dgm:pt>
    <dgm:pt modelId="{78D3F16D-07AB-4C5C-A160-34903AC45886}" type="sibTrans" cxnId="{64452981-15B0-468C-A58F-76DBC1FEE9C7}">
      <dgm:prSet/>
      <dgm:spPr/>
      <dgm:t>
        <a:bodyPr/>
        <a:lstStyle/>
        <a:p>
          <a:endParaRPr lang="en-GB"/>
        </a:p>
      </dgm:t>
    </dgm:pt>
    <dgm:pt modelId="{B6CCC206-FDEE-4655-B503-65B9F3ED777B}">
      <dgm:prSet/>
      <dgm:spPr/>
      <dgm:t>
        <a:bodyPr/>
        <a:lstStyle/>
        <a:p>
          <a:r>
            <a:rPr lang="en-GB" b="1"/>
            <a:t>High Power / Low Interest</a:t>
          </a:r>
          <a:endParaRPr lang="en-GB"/>
        </a:p>
      </dgm:t>
    </dgm:pt>
    <dgm:pt modelId="{401A363C-CC25-4C52-A8AB-EAF919E21AC3}" type="parTrans" cxnId="{74F4DCE1-0A85-4310-95F6-3655AAD160F4}">
      <dgm:prSet/>
      <dgm:spPr/>
      <dgm:t>
        <a:bodyPr/>
        <a:lstStyle/>
        <a:p>
          <a:endParaRPr lang="en-GB"/>
        </a:p>
      </dgm:t>
    </dgm:pt>
    <dgm:pt modelId="{44263699-CC4A-4B6D-8ABB-1B8BB472927D}" type="sibTrans" cxnId="{74F4DCE1-0A85-4310-95F6-3655AAD160F4}">
      <dgm:prSet/>
      <dgm:spPr/>
      <dgm:t>
        <a:bodyPr/>
        <a:lstStyle/>
        <a:p>
          <a:endParaRPr lang="en-GB"/>
        </a:p>
      </dgm:t>
    </dgm:pt>
    <dgm:pt modelId="{561698E0-D0B9-442A-8780-5911985FC3C9}">
      <dgm:prSet/>
      <dgm:spPr/>
      <dgm:t>
        <a:bodyPr/>
        <a:lstStyle/>
        <a:p>
          <a:endParaRPr lang="en-GB"/>
        </a:p>
      </dgm:t>
    </dgm:pt>
    <dgm:pt modelId="{39BC4C39-08FF-4149-951D-99F89E628E02}" type="parTrans" cxnId="{889250D8-84F0-44ED-967F-229084C2544F}">
      <dgm:prSet/>
      <dgm:spPr/>
      <dgm:t>
        <a:bodyPr/>
        <a:lstStyle/>
        <a:p>
          <a:endParaRPr lang="en-GB"/>
        </a:p>
      </dgm:t>
    </dgm:pt>
    <dgm:pt modelId="{E0DB657E-8948-4C55-8F0E-82DD52431071}" type="sibTrans" cxnId="{889250D8-84F0-44ED-967F-229084C2544F}">
      <dgm:prSet/>
      <dgm:spPr/>
      <dgm:t>
        <a:bodyPr/>
        <a:lstStyle/>
        <a:p>
          <a:endParaRPr lang="en-GB"/>
        </a:p>
      </dgm:t>
    </dgm:pt>
    <dgm:pt modelId="{A47FF6C1-E270-48AC-8BC6-EAA4B310922C}">
      <dgm:prSet/>
      <dgm:spPr/>
      <dgm:t>
        <a:bodyPr/>
        <a:lstStyle/>
        <a:p>
          <a:r>
            <a:rPr lang="en-GB" b="1"/>
            <a:t>Low Power / High Interest</a:t>
          </a:r>
          <a:endParaRPr lang="en-GB"/>
        </a:p>
      </dgm:t>
    </dgm:pt>
    <dgm:pt modelId="{FF46D283-0A5A-4C84-8BCD-F89A9DCB5A42}" type="parTrans" cxnId="{987C7472-6CD0-4EC6-A97B-60BAF2989398}">
      <dgm:prSet/>
      <dgm:spPr/>
      <dgm:t>
        <a:bodyPr/>
        <a:lstStyle/>
        <a:p>
          <a:endParaRPr lang="en-GB"/>
        </a:p>
      </dgm:t>
    </dgm:pt>
    <dgm:pt modelId="{2E383C59-38F3-4AD7-9550-3A100E503B86}" type="sibTrans" cxnId="{987C7472-6CD0-4EC6-A97B-60BAF2989398}">
      <dgm:prSet/>
      <dgm:spPr/>
      <dgm:t>
        <a:bodyPr/>
        <a:lstStyle/>
        <a:p>
          <a:endParaRPr lang="en-GB"/>
        </a:p>
      </dgm:t>
    </dgm:pt>
    <dgm:pt modelId="{78FC4D8C-3398-439A-A586-6615860CCD6B}">
      <dgm:prSet/>
      <dgm:spPr/>
      <dgm:t>
        <a:bodyPr/>
        <a:lstStyle/>
        <a:p>
          <a:endParaRPr lang="en-GB"/>
        </a:p>
      </dgm:t>
    </dgm:pt>
    <dgm:pt modelId="{4B7EDF03-100D-478A-B5D8-9BA8975F9895}" type="parTrans" cxnId="{B1783B17-12B1-4998-B9FC-E5D2BBED28DA}">
      <dgm:prSet/>
      <dgm:spPr/>
      <dgm:t>
        <a:bodyPr/>
        <a:lstStyle/>
        <a:p>
          <a:endParaRPr lang="en-GB"/>
        </a:p>
      </dgm:t>
    </dgm:pt>
    <dgm:pt modelId="{6CC4836A-010C-4209-97C4-C0047672DB75}" type="sibTrans" cxnId="{B1783B17-12B1-4998-B9FC-E5D2BBED28DA}">
      <dgm:prSet/>
      <dgm:spPr/>
      <dgm:t>
        <a:bodyPr/>
        <a:lstStyle/>
        <a:p>
          <a:endParaRPr lang="en-GB"/>
        </a:p>
      </dgm:t>
    </dgm:pt>
    <dgm:pt modelId="{C057BDF6-2F58-4AEB-A7C9-F832C3C78987}">
      <dgm:prSet/>
      <dgm:spPr/>
      <dgm:t>
        <a:bodyPr/>
        <a:lstStyle/>
        <a:p>
          <a:r>
            <a:rPr lang="en-GB" b="1"/>
            <a:t>Low Power / Low Interest</a:t>
          </a:r>
          <a:endParaRPr lang="en-GB"/>
        </a:p>
      </dgm:t>
    </dgm:pt>
    <dgm:pt modelId="{2B55BF49-0701-44F9-911B-6FF2B13AFDA9}" type="parTrans" cxnId="{B2365427-09DF-446F-A7DB-3BD69B6BCA38}">
      <dgm:prSet/>
      <dgm:spPr/>
      <dgm:t>
        <a:bodyPr/>
        <a:lstStyle/>
        <a:p>
          <a:endParaRPr lang="en-GB"/>
        </a:p>
      </dgm:t>
    </dgm:pt>
    <dgm:pt modelId="{3F4D54A8-E656-4A4B-9A37-D464FE90E9F6}" type="sibTrans" cxnId="{B2365427-09DF-446F-A7DB-3BD69B6BCA38}">
      <dgm:prSet/>
      <dgm:spPr/>
      <dgm:t>
        <a:bodyPr/>
        <a:lstStyle/>
        <a:p>
          <a:endParaRPr lang="en-GB"/>
        </a:p>
      </dgm:t>
    </dgm:pt>
    <dgm:pt modelId="{B7C9BF86-6245-4276-AAE2-76BC8A3AA83E}">
      <dgm:prSet/>
      <dgm:spPr/>
      <dgm:t>
        <a:bodyPr/>
        <a:lstStyle/>
        <a:p>
          <a:r>
            <a:rPr lang="en-GB"/>
            <a:t>Keep satisfied</a:t>
          </a:r>
        </a:p>
      </dgm:t>
    </dgm:pt>
    <dgm:pt modelId="{0670BB9B-D4E7-4B62-B1B2-15D951484CE4}" type="parTrans" cxnId="{B939B873-3013-4FC9-8EFF-30248C4BD846}">
      <dgm:prSet/>
      <dgm:spPr/>
      <dgm:t>
        <a:bodyPr/>
        <a:lstStyle/>
        <a:p>
          <a:endParaRPr lang="en-GB"/>
        </a:p>
      </dgm:t>
    </dgm:pt>
    <dgm:pt modelId="{5977DA91-A330-45D1-AB0A-9CB3E34458F3}" type="sibTrans" cxnId="{B939B873-3013-4FC9-8EFF-30248C4BD846}">
      <dgm:prSet/>
      <dgm:spPr/>
      <dgm:t>
        <a:bodyPr/>
        <a:lstStyle/>
        <a:p>
          <a:endParaRPr lang="en-GB"/>
        </a:p>
      </dgm:t>
    </dgm:pt>
    <dgm:pt modelId="{3ADC764F-CC97-4F46-9CF1-C1D1D41EE5B8}">
      <dgm:prSet/>
      <dgm:spPr/>
      <dgm:t>
        <a:bodyPr/>
        <a:lstStyle/>
        <a:p>
          <a:endParaRPr lang="en-GB"/>
        </a:p>
      </dgm:t>
    </dgm:pt>
    <dgm:pt modelId="{FA2DDC87-38B1-43B9-ABB2-DE79498231A1}" type="parTrans" cxnId="{798DA68E-458B-44AD-815D-8D82C9D38651}">
      <dgm:prSet/>
      <dgm:spPr/>
      <dgm:t>
        <a:bodyPr/>
        <a:lstStyle/>
        <a:p>
          <a:endParaRPr lang="en-GB"/>
        </a:p>
      </dgm:t>
    </dgm:pt>
    <dgm:pt modelId="{3B12C56B-6123-409E-8BAB-F377DD240D72}" type="sibTrans" cxnId="{798DA68E-458B-44AD-815D-8D82C9D38651}">
      <dgm:prSet/>
      <dgm:spPr/>
      <dgm:t>
        <a:bodyPr/>
        <a:lstStyle/>
        <a:p>
          <a:endParaRPr lang="en-GB"/>
        </a:p>
      </dgm:t>
    </dgm:pt>
    <dgm:pt modelId="{44E751FF-4AA4-4F98-9EF8-90836BDE5AF8}">
      <dgm:prSet/>
      <dgm:spPr/>
      <dgm:t>
        <a:bodyPr/>
        <a:lstStyle/>
        <a:p>
          <a:r>
            <a:rPr lang="en-GB"/>
            <a:t>Keep informed</a:t>
          </a:r>
        </a:p>
      </dgm:t>
    </dgm:pt>
    <dgm:pt modelId="{A54D524F-AC43-4E46-AA45-E6BB868C0EC3}" type="parTrans" cxnId="{F2E9A017-B9BA-45A4-AA5B-1D52006EF99A}">
      <dgm:prSet/>
      <dgm:spPr/>
      <dgm:t>
        <a:bodyPr/>
        <a:lstStyle/>
        <a:p>
          <a:endParaRPr lang="en-GB"/>
        </a:p>
      </dgm:t>
    </dgm:pt>
    <dgm:pt modelId="{5AE188A3-84D9-49DF-9E13-4583165838CD}" type="sibTrans" cxnId="{F2E9A017-B9BA-45A4-AA5B-1D52006EF99A}">
      <dgm:prSet/>
      <dgm:spPr/>
      <dgm:t>
        <a:bodyPr/>
        <a:lstStyle/>
        <a:p>
          <a:endParaRPr lang="en-GB"/>
        </a:p>
      </dgm:t>
    </dgm:pt>
    <dgm:pt modelId="{12D1B181-DBF2-46EB-A664-3D0FA4B7ED05}">
      <dgm:prSet/>
      <dgm:spPr/>
      <dgm:t>
        <a:bodyPr/>
        <a:lstStyle/>
        <a:p>
          <a:endParaRPr lang="en-GB"/>
        </a:p>
      </dgm:t>
    </dgm:pt>
    <dgm:pt modelId="{25E6C842-2DA1-4EB2-9A13-C1DD31888B69}" type="parTrans" cxnId="{71B7F18B-8DFA-495C-ACBC-8846C6BF608E}">
      <dgm:prSet/>
      <dgm:spPr/>
      <dgm:t>
        <a:bodyPr/>
        <a:lstStyle/>
        <a:p>
          <a:endParaRPr lang="en-GB"/>
        </a:p>
      </dgm:t>
    </dgm:pt>
    <dgm:pt modelId="{27030FD4-8732-4D5E-9A57-382527031335}" type="sibTrans" cxnId="{71B7F18B-8DFA-495C-ACBC-8846C6BF608E}">
      <dgm:prSet/>
      <dgm:spPr/>
      <dgm:t>
        <a:bodyPr/>
        <a:lstStyle/>
        <a:p>
          <a:endParaRPr lang="en-GB"/>
        </a:p>
      </dgm:t>
    </dgm:pt>
    <dgm:pt modelId="{116A7507-C94B-40DC-9F1F-8FEB30CE8312}">
      <dgm:prSet/>
      <dgm:spPr/>
      <dgm:t>
        <a:bodyPr/>
        <a:lstStyle/>
        <a:p>
          <a:r>
            <a:rPr lang="en-GB"/>
            <a:t>Monitor</a:t>
          </a:r>
        </a:p>
      </dgm:t>
    </dgm:pt>
    <dgm:pt modelId="{AF1C3D9B-17A5-4CBD-8C20-37A0AC9C8B4E}" type="parTrans" cxnId="{785877A7-71CC-47E5-964C-CE2E8EC11118}">
      <dgm:prSet/>
      <dgm:spPr/>
      <dgm:t>
        <a:bodyPr/>
        <a:lstStyle/>
        <a:p>
          <a:endParaRPr lang="en-GB"/>
        </a:p>
      </dgm:t>
    </dgm:pt>
    <dgm:pt modelId="{D37C8A90-F831-41C8-B276-38F99874D3C5}" type="sibTrans" cxnId="{785877A7-71CC-47E5-964C-CE2E8EC11118}">
      <dgm:prSet/>
      <dgm:spPr/>
      <dgm:t>
        <a:bodyPr/>
        <a:lstStyle/>
        <a:p>
          <a:endParaRPr lang="en-GB"/>
        </a:p>
      </dgm:t>
    </dgm:pt>
    <dgm:pt modelId="{5C7C561D-F314-4B4C-AB7F-C4C2DD52A08E}">
      <dgm:prSet phldrT="[Text]"/>
      <dgm:spPr/>
      <dgm:t>
        <a:bodyPr/>
        <a:lstStyle/>
        <a:p>
          <a:endParaRPr lang="en-GB"/>
        </a:p>
      </dgm:t>
    </dgm:pt>
    <dgm:pt modelId="{2388AB10-5B23-45D3-B54E-6A53B067ACFC}" type="parTrans" cxnId="{69D572E7-657E-4C74-A859-797E67D440A9}">
      <dgm:prSet/>
      <dgm:spPr/>
      <dgm:t>
        <a:bodyPr/>
        <a:lstStyle/>
        <a:p>
          <a:endParaRPr lang="en-GB"/>
        </a:p>
      </dgm:t>
    </dgm:pt>
    <dgm:pt modelId="{82F373CB-EB79-41D2-AD7F-A17DA82A316E}" type="sibTrans" cxnId="{69D572E7-657E-4C74-A859-797E67D440A9}">
      <dgm:prSet/>
      <dgm:spPr/>
      <dgm:t>
        <a:bodyPr/>
        <a:lstStyle/>
        <a:p>
          <a:endParaRPr lang="en-GB"/>
        </a:p>
      </dgm:t>
    </dgm:pt>
    <dgm:pt modelId="{67FB0838-FBA5-4F05-A4A1-9BE60714D310}">
      <dgm:prSet phldrT="[Text]"/>
      <dgm:spPr/>
      <dgm:t>
        <a:bodyPr/>
        <a:lstStyle/>
        <a:p>
          <a:endParaRPr lang="en-GB"/>
        </a:p>
      </dgm:t>
    </dgm:pt>
    <dgm:pt modelId="{AF17585D-2298-4936-8335-290E3B8E100C}" type="parTrans" cxnId="{6C5F05C8-CC79-444A-A097-A319BD09A374}">
      <dgm:prSet/>
      <dgm:spPr/>
      <dgm:t>
        <a:bodyPr/>
        <a:lstStyle/>
        <a:p>
          <a:endParaRPr lang="en-GB"/>
        </a:p>
      </dgm:t>
    </dgm:pt>
    <dgm:pt modelId="{99092AB3-9A14-4F6D-AA7C-3C9FB8C24A51}" type="sibTrans" cxnId="{6C5F05C8-CC79-444A-A097-A319BD09A374}">
      <dgm:prSet/>
      <dgm:spPr/>
      <dgm:t>
        <a:bodyPr/>
        <a:lstStyle/>
        <a:p>
          <a:endParaRPr lang="en-GB"/>
        </a:p>
      </dgm:t>
    </dgm:pt>
    <dgm:pt modelId="{0A4C605E-BAB1-4B56-B04A-43DCACC0D317}">
      <dgm:prSet/>
      <dgm:spPr/>
      <dgm:t>
        <a:bodyPr/>
        <a:lstStyle/>
        <a:p>
          <a:endParaRPr lang="en-GB"/>
        </a:p>
      </dgm:t>
    </dgm:pt>
    <dgm:pt modelId="{BF97ECAE-BEC8-4546-AF0E-50E62C87EEE4}" type="parTrans" cxnId="{2671A1E9-FB94-4570-B911-837588C56D20}">
      <dgm:prSet/>
      <dgm:spPr/>
      <dgm:t>
        <a:bodyPr/>
        <a:lstStyle/>
        <a:p>
          <a:endParaRPr lang="en-GB"/>
        </a:p>
      </dgm:t>
    </dgm:pt>
    <dgm:pt modelId="{5CE74F81-1E9D-4A3B-AB86-A672BD693144}" type="sibTrans" cxnId="{2671A1E9-FB94-4570-B911-837588C56D20}">
      <dgm:prSet/>
      <dgm:spPr/>
      <dgm:t>
        <a:bodyPr/>
        <a:lstStyle/>
        <a:p>
          <a:endParaRPr lang="en-GB"/>
        </a:p>
      </dgm:t>
    </dgm:pt>
    <dgm:pt modelId="{C66BEF40-9A77-4187-85DF-360E0738FCBE}">
      <dgm:prSet/>
      <dgm:spPr/>
      <dgm:t>
        <a:bodyPr/>
        <a:lstStyle/>
        <a:p>
          <a:endParaRPr lang="en-GB"/>
        </a:p>
      </dgm:t>
    </dgm:pt>
    <dgm:pt modelId="{0DADC994-51B4-45C4-AF43-D2D286CA4F86}" type="parTrans" cxnId="{B239926C-E9F2-4D89-A5DB-8410A2C9A0C8}">
      <dgm:prSet/>
      <dgm:spPr/>
      <dgm:t>
        <a:bodyPr/>
        <a:lstStyle/>
        <a:p>
          <a:endParaRPr lang="en-GB"/>
        </a:p>
      </dgm:t>
    </dgm:pt>
    <dgm:pt modelId="{5E5FD1FF-40A5-4D3F-866E-D030A0DA8E13}" type="sibTrans" cxnId="{B239926C-E9F2-4D89-A5DB-8410A2C9A0C8}">
      <dgm:prSet/>
      <dgm:spPr/>
      <dgm:t>
        <a:bodyPr/>
        <a:lstStyle/>
        <a:p>
          <a:endParaRPr lang="en-GB"/>
        </a:p>
      </dgm:t>
    </dgm:pt>
    <dgm:pt modelId="{4D2CBD1E-1150-4A95-9509-688EF59A9128}">
      <dgm:prSet/>
      <dgm:spPr/>
      <dgm:t>
        <a:bodyPr/>
        <a:lstStyle/>
        <a:p>
          <a:endParaRPr lang="en-GB"/>
        </a:p>
      </dgm:t>
    </dgm:pt>
    <dgm:pt modelId="{5E30DD83-2A39-477D-894A-D7C0C628A9A8}" type="parTrans" cxnId="{6DDDFF6F-37F0-42B7-9E67-F8EF1EF3FDD0}">
      <dgm:prSet/>
      <dgm:spPr/>
      <dgm:t>
        <a:bodyPr/>
        <a:lstStyle/>
        <a:p>
          <a:endParaRPr lang="en-GB"/>
        </a:p>
      </dgm:t>
    </dgm:pt>
    <dgm:pt modelId="{82B75215-D834-4A50-9DBB-20EE189DA412}" type="sibTrans" cxnId="{6DDDFF6F-37F0-42B7-9E67-F8EF1EF3FDD0}">
      <dgm:prSet/>
      <dgm:spPr/>
      <dgm:t>
        <a:bodyPr/>
        <a:lstStyle/>
        <a:p>
          <a:endParaRPr lang="en-GB"/>
        </a:p>
      </dgm:t>
    </dgm:pt>
    <dgm:pt modelId="{66BE6DCA-54AE-4BB6-B4DE-53D48E02BD4B}">
      <dgm:prSet/>
      <dgm:spPr/>
      <dgm:t>
        <a:bodyPr/>
        <a:lstStyle/>
        <a:p>
          <a:r>
            <a:rPr lang="en-GB"/>
            <a:t>Suppliers, Investors </a:t>
          </a:r>
        </a:p>
      </dgm:t>
    </dgm:pt>
    <dgm:pt modelId="{AF8F4795-34FE-4321-ACBA-85934144E3F9}" type="parTrans" cxnId="{135E7F80-8E6D-4E97-AAB2-E4C9500716EE}">
      <dgm:prSet/>
      <dgm:spPr/>
      <dgm:t>
        <a:bodyPr/>
        <a:lstStyle/>
        <a:p>
          <a:endParaRPr lang="en-GB"/>
        </a:p>
      </dgm:t>
    </dgm:pt>
    <dgm:pt modelId="{D48FBB41-D747-467D-BDAC-9B4FEFD9B660}" type="sibTrans" cxnId="{135E7F80-8E6D-4E97-AAB2-E4C9500716EE}">
      <dgm:prSet/>
      <dgm:spPr/>
      <dgm:t>
        <a:bodyPr/>
        <a:lstStyle/>
        <a:p>
          <a:endParaRPr lang="en-GB"/>
        </a:p>
      </dgm:t>
    </dgm:pt>
    <dgm:pt modelId="{140ACBE8-499F-49A3-9CAF-46C88ACEB208}">
      <dgm:prSet/>
      <dgm:spPr/>
      <dgm:t>
        <a:bodyPr/>
        <a:lstStyle/>
        <a:p>
          <a:r>
            <a:rPr lang="en-GB"/>
            <a:t>Marketing Team, Customers</a:t>
          </a:r>
        </a:p>
      </dgm:t>
    </dgm:pt>
    <dgm:pt modelId="{FC551ED1-6849-4FA6-8609-2DBDFC49540E}" type="parTrans" cxnId="{9EEE5910-1A39-42F9-846E-2DF09A14772D}">
      <dgm:prSet/>
      <dgm:spPr/>
      <dgm:t>
        <a:bodyPr/>
        <a:lstStyle/>
        <a:p>
          <a:endParaRPr lang="en-GB"/>
        </a:p>
      </dgm:t>
    </dgm:pt>
    <dgm:pt modelId="{7EB647A2-F6C7-4233-8546-EFF8EC2AE2A6}" type="sibTrans" cxnId="{9EEE5910-1A39-42F9-846E-2DF09A14772D}">
      <dgm:prSet/>
      <dgm:spPr/>
      <dgm:t>
        <a:bodyPr/>
        <a:lstStyle/>
        <a:p>
          <a:endParaRPr lang="en-GB"/>
        </a:p>
      </dgm:t>
    </dgm:pt>
    <dgm:pt modelId="{69BA09F2-98BC-483E-ACAA-50E2C934E94C}">
      <dgm:prSet/>
      <dgm:spPr/>
      <dgm:t>
        <a:bodyPr/>
        <a:lstStyle/>
        <a:p>
          <a:r>
            <a:rPr lang="en-GB"/>
            <a:t>External retailers</a:t>
          </a:r>
        </a:p>
      </dgm:t>
    </dgm:pt>
    <dgm:pt modelId="{5671C4BA-7B38-4479-86D0-45A2110120F9}" type="parTrans" cxnId="{F0B8D84B-328D-4D3C-B16B-06360BF9D9FC}">
      <dgm:prSet/>
      <dgm:spPr/>
      <dgm:t>
        <a:bodyPr/>
        <a:lstStyle/>
        <a:p>
          <a:endParaRPr lang="en-GB"/>
        </a:p>
      </dgm:t>
    </dgm:pt>
    <dgm:pt modelId="{CAE7B2E7-6510-4FBE-B0A9-F83DE2B4F7FA}" type="sibTrans" cxnId="{F0B8D84B-328D-4D3C-B16B-06360BF9D9FC}">
      <dgm:prSet/>
      <dgm:spPr/>
      <dgm:t>
        <a:bodyPr/>
        <a:lstStyle/>
        <a:p>
          <a:endParaRPr lang="en-GB"/>
        </a:p>
      </dgm:t>
    </dgm:pt>
    <dgm:pt modelId="{6EDCC72A-01E5-458C-9F97-AAF66C347FAD}">
      <dgm:prSet/>
      <dgm:spPr/>
      <dgm:t>
        <a:bodyPr/>
        <a:lstStyle/>
        <a:p>
          <a:endParaRPr lang="en-GB"/>
        </a:p>
      </dgm:t>
    </dgm:pt>
    <dgm:pt modelId="{BFADBD79-2A55-4D81-A128-93378FC7ECAD}" type="parTrans" cxnId="{2478A743-D63A-45F3-A42C-F2CD57662FC3}">
      <dgm:prSet/>
      <dgm:spPr/>
      <dgm:t>
        <a:bodyPr/>
        <a:lstStyle/>
        <a:p>
          <a:endParaRPr lang="en-GB"/>
        </a:p>
      </dgm:t>
    </dgm:pt>
    <dgm:pt modelId="{DE2AEAF6-BEEE-41ED-9F07-BBEF2A680116}" type="sibTrans" cxnId="{2478A743-D63A-45F3-A42C-F2CD57662FC3}">
      <dgm:prSet/>
      <dgm:spPr/>
      <dgm:t>
        <a:bodyPr/>
        <a:lstStyle/>
        <a:p>
          <a:endParaRPr lang="en-GB"/>
        </a:p>
      </dgm:t>
    </dgm:pt>
    <dgm:pt modelId="{545FBDA4-5C50-4953-B673-44A347221548}">
      <dgm:prSet/>
      <dgm:spPr/>
      <dgm:t>
        <a:bodyPr/>
        <a:lstStyle/>
        <a:p>
          <a:endParaRPr lang="en-GB"/>
        </a:p>
      </dgm:t>
    </dgm:pt>
    <dgm:pt modelId="{E39850C2-F3E5-4A9E-AEB5-6A48850E919A}" type="parTrans" cxnId="{51582C95-31A4-485C-A208-F6A7C00505DE}">
      <dgm:prSet/>
      <dgm:spPr/>
      <dgm:t>
        <a:bodyPr/>
        <a:lstStyle/>
        <a:p>
          <a:endParaRPr lang="en-GB"/>
        </a:p>
      </dgm:t>
    </dgm:pt>
    <dgm:pt modelId="{90AEB133-A39C-4CBB-BDA9-75A87F2AD37E}" type="sibTrans" cxnId="{51582C95-31A4-485C-A208-F6A7C00505DE}">
      <dgm:prSet/>
      <dgm:spPr/>
      <dgm:t>
        <a:bodyPr/>
        <a:lstStyle/>
        <a:p>
          <a:endParaRPr lang="en-GB"/>
        </a:p>
      </dgm:t>
    </dgm:pt>
    <dgm:pt modelId="{9A9FCB3F-91F2-4673-9411-19C1AA629C87}">
      <dgm:prSet/>
      <dgm:spPr/>
      <dgm:t>
        <a:bodyPr/>
        <a:lstStyle/>
        <a:p>
          <a:endParaRPr lang="en-GB"/>
        </a:p>
      </dgm:t>
    </dgm:pt>
    <dgm:pt modelId="{02E0F45C-280F-45BB-B24D-6308AE7158C0}" type="parTrans" cxnId="{27E95B57-C62C-4680-A953-AEEB89D02AAF}">
      <dgm:prSet/>
      <dgm:spPr/>
    </dgm:pt>
    <dgm:pt modelId="{BA5C6851-0C60-4C43-9DEF-09B15B8539E2}" type="sibTrans" cxnId="{27E95B57-C62C-4680-A953-AEEB89D02AAF}">
      <dgm:prSet/>
      <dgm:spPr/>
    </dgm:pt>
    <dgm:pt modelId="{AC9C77FD-4FCB-478C-930A-B956F01737EF}">
      <dgm:prSet/>
      <dgm:spPr/>
      <dgm:t>
        <a:bodyPr/>
        <a:lstStyle/>
        <a:p>
          <a:endParaRPr lang="en-GB"/>
        </a:p>
      </dgm:t>
    </dgm:pt>
    <dgm:pt modelId="{F380C0C5-F01E-488F-A5EB-06FE03F5E0A3}" type="parTrans" cxnId="{3F46441D-253A-43AB-A608-E3D2BD5A49FD}">
      <dgm:prSet/>
      <dgm:spPr/>
    </dgm:pt>
    <dgm:pt modelId="{078B1189-3620-48CA-93E6-31CAD489AFCD}" type="sibTrans" cxnId="{3F46441D-253A-43AB-A608-E3D2BD5A49FD}">
      <dgm:prSet/>
      <dgm:spPr/>
    </dgm:pt>
    <dgm:pt modelId="{D55FCD73-9636-4A54-A42D-FC384E3110C2}" type="pres">
      <dgm:prSet presAssocID="{1C680C8D-453B-4D38-8FA5-DD605AD1EBEC}" presName="Name0" presStyleCnt="0">
        <dgm:presLayoutVars>
          <dgm:dir/>
          <dgm:animLvl val="lvl"/>
          <dgm:resizeHandles val="exact"/>
        </dgm:presLayoutVars>
      </dgm:prSet>
      <dgm:spPr/>
      <dgm:t>
        <a:bodyPr/>
        <a:lstStyle/>
        <a:p>
          <a:endParaRPr lang="en-GB"/>
        </a:p>
      </dgm:t>
    </dgm:pt>
    <dgm:pt modelId="{2CE1D6A0-ADF9-4A19-B82E-C067EB0E54C9}" type="pres">
      <dgm:prSet presAssocID="{1B1FBCC6-419B-406D-9C1E-9B25E63B750B}" presName="composite" presStyleCnt="0"/>
      <dgm:spPr/>
    </dgm:pt>
    <dgm:pt modelId="{E03BDAFB-F8C8-438B-8A87-CF9B05978058}" type="pres">
      <dgm:prSet presAssocID="{1B1FBCC6-419B-406D-9C1E-9B25E63B750B}" presName="parTx" presStyleLbl="alignNode1" presStyleIdx="0" presStyleCnt="3">
        <dgm:presLayoutVars>
          <dgm:chMax val="0"/>
          <dgm:chPref val="0"/>
          <dgm:bulletEnabled val="1"/>
        </dgm:presLayoutVars>
      </dgm:prSet>
      <dgm:spPr/>
      <dgm:t>
        <a:bodyPr/>
        <a:lstStyle/>
        <a:p>
          <a:endParaRPr lang="en-GB"/>
        </a:p>
      </dgm:t>
    </dgm:pt>
    <dgm:pt modelId="{37A62DBC-0F50-413B-99BA-89773762EF7D}" type="pres">
      <dgm:prSet presAssocID="{1B1FBCC6-419B-406D-9C1E-9B25E63B750B}" presName="desTx" presStyleLbl="alignAccFollowNode1" presStyleIdx="0" presStyleCnt="3">
        <dgm:presLayoutVars>
          <dgm:bulletEnabled val="1"/>
        </dgm:presLayoutVars>
      </dgm:prSet>
      <dgm:spPr/>
      <dgm:t>
        <a:bodyPr/>
        <a:lstStyle/>
        <a:p>
          <a:endParaRPr lang="en-GB"/>
        </a:p>
      </dgm:t>
    </dgm:pt>
    <dgm:pt modelId="{EE128512-5743-4E56-AD5E-B07FED917A4C}" type="pres">
      <dgm:prSet presAssocID="{480476E5-ACF0-4FD8-9EC5-1DBC3D51EE9A}" presName="space" presStyleCnt="0"/>
      <dgm:spPr/>
    </dgm:pt>
    <dgm:pt modelId="{56690FB0-6639-4786-81F7-FDD89DA2A1B5}" type="pres">
      <dgm:prSet presAssocID="{C0A48952-0090-4038-8B45-173715F96E5D}" presName="composite" presStyleCnt="0"/>
      <dgm:spPr/>
    </dgm:pt>
    <dgm:pt modelId="{DFCAED2A-ED5E-4345-BCC7-0CA93FE7A2E5}" type="pres">
      <dgm:prSet presAssocID="{C0A48952-0090-4038-8B45-173715F96E5D}" presName="parTx" presStyleLbl="alignNode1" presStyleIdx="1" presStyleCnt="3">
        <dgm:presLayoutVars>
          <dgm:chMax val="0"/>
          <dgm:chPref val="0"/>
          <dgm:bulletEnabled val="1"/>
        </dgm:presLayoutVars>
      </dgm:prSet>
      <dgm:spPr/>
      <dgm:t>
        <a:bodyPr/>
        <a:lstStyle/>
        <a:p>
          <a:endParaRPr lang="en-GB"/>
        </a:p>
      </dgm:t>
    </dgm:pt>
    <dgm:pt modelId="{A70523A4-8124-4D49-8E90-75734DBBBBE3}" type="pres">
      <dgm:prSet presAssocID="{C0A48952-0090-4038-8B45-173715F96E5D}" presName="desTx" presStyleLbl="alignAccFollowNode1" presStyleIdx="1" presStyleCnt="3" custScaleX="99246">
        <dgm:presLayoutVars>
          <dgm:bulletEnabled val="1"/>
        </dgm:presLayoutVars>
      </dgm:prSet>
      <dgm:spPr/>
      <dgm:t>
        <a:bodyPr/>
        <a:lstStyle/>
        <a:p>
          <a:endParaRPr lang="en-GB"/>
        </a:p>
      </dgm:t>
    </dgm:pt>
    <dgm:pt modelId="{8B049F6D-447A-4C7D-957F-FA41780EE32E}" type="pres">
      <dgm:prSet presAssocID="{AA987B27-C610-4250-B20A-4D1B5686F441}" presName="space" presStyleCnt="0"/>
      <dgm:spPr/>
    </dgm:pt>
    <dgm:pt modelId="{871ED0BF-3AE6-40CC-ACD7-B48A01D45404}" type="pres">
      <dgm:prSet presAssocID="{F905CAFB-AE3B-41D5-8919-FFB20E87A10B}" presName="composite" presStyleCnt="0"/>
      <dgm:spPr/>
    </dgm:pt>
    <dgm:pt modelId="{B57F2137-C409-4323-85F4-940F41D96E96}" type="pres">
      <dgm:prSet presAssocID="{F905CAFB-AE3B-41D5-8919-FFB20E87A10B}" presName="parTx" presStyleLbl="alignNode1" presStyleIdx="2" presStyleCnt="3" custScaleX="160891">
        <dgm:presLayoutVars>
          <dgm:chMax val="0"/>
          <dgm:chPref val="0"/>
          <dgm:bulletEnabled val="1"/>
        </dgm:presLayoutVars>
      </dgm:prSet>
      <dgm:spPr/>
      <dgm:t>
        <a:bodyPr/>
        <a:lstStyle/>
        <a:p>
          <a:endParaRPr lang="en-GB"/>
        </a:p>
      </dgm:t>
    </dgm:pt>
    <dgm:pt modelId="{4804AB9C-D27B-4A88-8AA5-B6C559CAB530}" type="pres">
      <dgm:prSet presAssocID="{F905CAFB-AE3B-41D5-8919-FFB20E87A10B}" presName="desTx" presStyleLbl="alignAccFollowNode1" presStyleIdx="2" presStyleCnt="3" custScaleX="161526">
        <dgm:presLayoutVars>
          <dgm:bulletEnabled val="1"/>
        </dgm:presLayoutVars>
      </dgm:prSet>
      <dgm:spPr/>
      <dgm:t>
        <a:bodyPr/>
        <a:lstStyle/>
        <a:p>
          <a:endParaRPr lang="en-GB"/>
        </a:p>
      </dgm:t>
    </dgm:pt>
  </dgm:ptLst>
  <dgm:cxnLst>
    <dgm:cxn modelId="{C5B6670F-DBB5-4B77-A0A8-430FDF4B68D7}" type="presOf" srcId="{1C680C8D-453B-4D38-8FA5-DD605AD1EBEC}" destId="{D55FCD73-9636-4A54-A42D-FC384E3110C2}" srcOrd="0" destOrd="0" presId="urn:microsoft.com/office/officeart/2005/8/layout/hList1"/>
    <dgm:cxn modelId="{E7F4CF17-13B3-4265-82D3-7643AAC71EE5}" type="presOf" srcId="{C057BDF6-2F58-4AEB-A7C9-F832C3C78987}" destId="{37A62DBC-0F50-413B-99BA-89773762EF7D}" srcOrd="0" destOrd="6" presId="urn:microsoft.com/office/officeart/2005/8/layout/hList1"/>
    <dgm:cxn modelId="{959777B5-2CC1-44B7-A0DF-47F7224D9CF9}" type="presOf" srcId="{AC9C77FD-4FCB-478C-930A-B956F01737EF}" destId="{4804AB9C-D27B-4A88-8AA5-B6C559CAB530}" srcOrd="0" destOrd="3" presId="urn:microsoft.com/office/officeart/2005/8/layout/hList1"/>
    <dgm:cxn modelId="{8371486E-F750-47AC-84EF-C567EF56BF53}" type="presOf" srcId="{A4F372A2-DAA9-42F6-B87B-28DB0B7D40AD}" destId="{37A62DBC-0F50-413B-99BA-89773762EF7D}" srcOrd="0" destOrd="7" presId="urn:microsoft.com/office/officeart/2005/8/layout/hList1"/>
    <dgm:cxn modelId="{B939B873-3013-4FC9-8EFF-30248C4BD846}" srcId="{C0A48952-0090-4038-8B45-173715F96E5D}" destId="{B7C9BF86-6245-4276-AAE2-76BC8A3AA83E}" srcOrd="3" destOrd="0" parTransId="{0670BB9B-D4E7-4B62-B1B2-15D951484CE4}" sibTransId="{5977DA91-A330-45D1-AB0A-9CB3E34458F3}"/>
    <dgm:cxn modelId="{85359C32-F702-4DD1-9574-775F7E0657BA}" type="presOf" srcId="{A1A64734-5F21-4468-BC5C-89B0D1596728}" destId="{37A62DBC-0F50-413B-99BA-89773762EF7D}" srcOrd="0" destOrd="1" presId="urn:microsoft.com/office/officeart/2005/8/layout/hList1"/>
    <dgm:cxn modelId="{7D9B0D25-BD5E-4BDD-8777-212AF3509CB8}" type="presOf" srcId="{60074A4D-E052-40DA-93EA-680B1D44AEFD}" destId="{4804AB9C-D27B-4A88-8AA5-B6C559CAB530}" srcOrd="0" destOrd="0" presId="urn:microsoft.com/office/officeart/2005/8/layout/hList1"/>
    <dgm:cxn modelId="{F95EAC42-CE20-441C-BB9F-FD7177EB538A}" srcId="{1B1FBCC6-419B-406D-9C1E-9B25E63B750B}" destId="{A4F372A2-DAA9-42F6-B87B-28DB0B7D40AD}" srcOrd="7" destOrd="0" parTransId="{76BC79FB-92B5-4C0D-A022-38829C0DED30}" sibTransId="{5E8120DC-C1EE-405D-A079-EE14D19C86AB}"/>
    <dgm:cxn modelId="{B239926C-E9F2-4D89-A5DB-8410A2C9A0C8}" srcId="{C0A48952-0090-4038-8B45-173715F96E5D}" destId="{C66BEF40-9A77-4187-85DF-360E0738FCBE}" srcOrd="7" destOrd="0" parTransId="{0DADC994-51B4-45C4-AF43-D2D286CA4F86}" sibTransId="{5E5FD1FF-40A5-4D3F-866E-D030A0DA8E13}"/>
    <dgm:cxn modelId="{3EEC274E-8A4C-4C7A-8C16-D6E3E7351796}" type="presOf" srcId="{561698E0-D0B9-442A-8780-5911985FC3C9}" destId="{37A62DBC-0F50-413B-99BA-89773762EF7D}" srcOrd="0" destOrd="3" presId="urn:microsoft.com/office/officeart/2005/8/layout/hList1"/>
    <dgm:cxn modelId="{899D67E9-D3BB-40E5-A49C-7879B1C2E916}" type="presOf" srcId="{140ACBE8-499F-49A3-9CAF-46C88ACEB208}" destId="{4804AB9C-D27B-4A88-8AA5-B6C559CAB530}" srcOrd="0" destOrd="5" presId="urn:microsoft.com/office/officeart/2005/8/layout/hList1"/>
    <dgm:cxn modelId="{EF8E3078-39D1-4C92-8CC4-4216970A33BF}" type="presOf" srcId="{78FC4D8C-3398-439A-A586-6615860CCD6B}" destId="{37A62DBC-0F50-413B-99BA-89773762EF7D}" srcOrd="0" destOrd="5" presId="urn:microsoft.com/office/officeart/2005/8/layout/hList1"/>
    <dgm:cxn modelId="{B87B7922-C3DE-4E29-931D-589B3FC8860B}" type="presOf" srcId="{12D1B181-DBF2-46EB-A664-3D0FA4B7ED05}" destId="{A70523A4-8124-4D49-8E90-75734DBBBBE3}" srcOrd="0" destOrd="8" presId="urn:microsoft.com/office/officeart/2005/8/layout/hList1"/>
    <dgm:cxn modelId="{58DD530B-56ED-4D3E-A0B2-977E24F9AD2F}" type="presOf" srcId="{6EDCC72A-01E5-458C-9F97-AAF66C347FAD}" destId="{4804AB9C-D27B-4A88-8AA5-B6C559CAB530}" srcOrd="0" destOrd="6" presId="urn:microsoft.com/office/officeart/2005/8/layout/hList1"/>
    <dgm:cxn modelId="{68C92BD2-7C8C-45EA-B3A7-C589BD475298}" type="presOf" srcId="{C0A48952-0090-4038-8B45-173715F96E5D}" destId="{DFCAED2A-ED5E-4345-BCC7-0CA93FE7A2E5}" srcOrd="0" destOrd="0" presId="urn:microsoft.com/office/officeart/2005/8/layout/hList1"/>
    <dgm:cxn modelId="{956DBADB-9C49-45FD-95AF-04890F3AF03A}" type="presOf" srcId="{116A7507-C94B-40DC-9F1F-8FEB30CE8312}" destId="{A70523A4-8124-4D49-8E90-75734DBBBBE3}" srcOrd="0" destOrd="9" presId="urn:microsoft.com/office/officeart/2005/8/layout/hList1"/>
    <dgm:cxn modelId="{71B7F18B-8DFA-495C-ACBC-8846C6BF608E}" srcId="{C0A48952-0090-4038-8B45-173715F96E5D}" destId="{12D1B181-DBF2-46EB-A664-3D0FA4B7ED05}" srcOrd="8" destOrd="0" parTransId="{25E6C842-2DA1-4EB2-9A13-C1DD31888B69}" sibTransId="{27030FD4-8732-4D5E-9A57-382527031335}"/>
    <dgm:cxn modelId="{889250D8-84F0-44ED-967F-229084C2544F}" srcId="{1B1FBCC6-419B-406D-9C1E-9B25E63B750B}" destId="{561698E0-D0B9-442A-8780-5911985FC3C9}" srcOrd="3" destOrd="0" parTransId="{39BC4C39-08FF-4149-951D-99F89E628E02}" sibTransId="{E0DB657E-8948-4C55-8F0E-82DD52431071}"/>
    <dgm:cxn modelId="{2478A743-D63A-45F3-A42C-F2CD57662FC3}" srcId="{F905CAFB-AE3B-41D5-8919-FFB20E87A10B}" destId="{6EDCC72A-01E5-458C-9F97-AAF66C347FAD}" srcOrd="6" destOrd="0" parTransId="{BFADBD79-2A55-4D81-A128-93378FC7ECAD}" sibTransId="{DE2AEAF6-BEEE-41ED-9F07-BBEF2A680116}"/>
    <dgm:cxn modelId="{8B57EA6D-5E91-44B0-BA36-DED718EC930D}" type="presOf" srcId="{3ADC764F-CC97-4F46-9CF1-C1D1D41EE5B8}" destId="{A70523A4-8124-4D49-8E90-75734DBBBBE3}" srcOrd="0" destOrd="5" presId="urn:microsoft.com/office/officeart/2005/8/layout/hList1"/>
    <dgm:cxn modelId="{516F3A8E-EE89-40C5-A0C5-59C17C11C433}" srcId="{1B1FBCC6-419B-406D-9C1E-9B25E63B750B}" destId="{AA04D676-5383-466B-9CF7-1C312DD3011D}" srcOrd="0" destOrd="0" parTransId="{5258B791-ABCE-485E-A82A-98711A764E7D}" sibTransId="{4A82A73B-2231-48DB-9EB0-1D211F234F55}"/>
    <dgm:cxn modelId="{6DDDFF6F-37F0-42B7-9E67-F8EF1EF3FDD0}" srcId="{F905CAFB-AE3B-41D5-8919-FFB20E87A10B}" destId="{4D2CBD1E-1150-4A95-9509-688EF59A9128}" srcOrd="1" destOrd="0" parTransId="{5E30DD83-2A39-477D-894A-D7C0C628A9A8}" sibTransId="{82B75215-D834-4A50-9DBB-20EE189DA412}"/>
    <dgm:cxn modelId="{987C7472-6CD0-4EC6-A97B-60BAF2989398}" srcId="{1B1FBCC6-419B-406D-9C1E-9B25E63B750B}" destId="{A47FF6C1-E270-48AC-8BC6-EAA4B310922C}" srcOrd="4" destOrd="0" parTransId="{FF46D283-0A5A-4C84-8BCD-F89A9DCB5A42}" sibTransId="{2E383C59-38F3-4AD7-9550-3A100E503B86}"/>
    <dgm:cxn modelId="{B9D090B4-6FED-4BCE-9E0A-8DA84FE251E6}" type="presOf" srcId="{AA04D676-5383-466B-9CF7-1C312DD3011D}" destId="{37A62DBC-0F50-413B-99BA-89773762EF7D}" srcOrd="0" destOrd="0" presId="urn:microsoft.com/office/officeart/2005/8/layout/hList1"/>
    <dgm:cxn modelId="{785877A7-71CC-47E5-964C-CE2E8EC11118}" srcId="{C0A48952-0090-4038-8B45-173715F96E5D}" destId="{116A7507-C94B-40DC-9F1F-8FEB30CE8312}" srcOrd="9" destOrd="0" parTransId="{AF1C3D9B-17A5-4CBD-8C20-37A0AC9C8B4E}" sibTransId="{D37C8A90-F831-41C8-B276-38F99874D3C5}"/>
    <dgm:cxn modelId="{6C5F05C8-CC79-444A-A097-A319BD09A374}" srcId="{C0A48952-0090-4038-8B45-173715F96E5D}" destId="{67FB0838-FBA5-4F05-A4A1-9BE60714D310}" srcOrd="1" destOrd="0" parTransId="{AF17585D-2298-4936-8335-290E3B8E100C}" sibTransId="{99092AB3-9A14-4F6D-AA7C-3C9FB8C24A51}"/>
    <dgm:cxn modelId="{2186A426-34F9-4C5D-A1E7-F12705CB5B53}" type="presOf" srcId="{9BDD7C80-ACCA-44DA-8E17-EE8E85C956EE}" destId="{A70523A4-8124-4D49-8E90-75734DBBBBE3}" srcOrd="0" destOrd="0" presId="urn:microsoft.com/office/officeart/2005/8/layout/hList1"/>
    <dgm:cxn modelId="{DE2DEBD8-0B03-4DCF-B53B-4402F605F478}" type="presOf" srcId="{1B1FBCC6-419B-406D-9C1E-9B25E63B750B}" destId="{E03BDAFB-F8C8-438B-8A87-CF9B05978058}" srcOrd="0" destOrd="0" presId="urn:microsoft.com/office/officeart/2005/8/layout/hList1"/>
    <dgm:cxn modelId="{B1783B17-12B1-4998-B9FC-E5D2BBED28DA}" srcId="{1B1FBCC6-419B-406D-9C1E-9B25E63B750B}" destId="{78FC4D8C-3398-439A-A586-6615860CCD6B}" srcOrd="5" destOrd="0" parTransId="{4B7EDF03-100D-478A-B5D8-9BA8975F9895}" sibTransId="{6CC4836A-010C-4209-97C4-C0047672DB75}"/>
    <dgm:cxn modelId="{135E7F80-8E6D-4E97-AAB2-E4C9500716EE}" srcId="{F905CAFB-AE3B-41D5-8919-FFB20E87A10B}" destId="{66BE6DCA-54AE-4BB6-B4DE-53D48E02BD4B}" srcOrd="2" destOrd="0" parTransId="{AF8F4795-34FE-4321-ACBA-85934144E3F9}" sibTransId="{D48FBB41-D747-467D-BDAC-9B4FEFD9B660}"/>
    <dgm:cxn modelId="{422DAF5E-E6B1-4DD7-8255-9643811AE083}" srcId="{F905CAFB-AE3B-41D5-8919-FFB20E87A10B}" destId="{60074A4D-E052-40DA-93EA-680B1D44AEFD}" srcOrd="0" destOrd="0" parTransId="{30D3D00B-93A1-432D-948A-A39C4D94EC1E}" sibTransId="{7AF87F51-DBCE-478F-96FC-C9D33FCBBDC9}"/>
    <dgm:cxn modelId="{D41D32B5-6E2A-4E9D-9C23-EAB0D426EC67}" type="presOf" srcId="{5C7C561D-F314-4B4C-AB7F-C4C2DD52A08E}" destId="{A70523A4-8124-4D49-8E90-75734DBBBBE3}" srcOrd="0" destOrd="2" presId="urn:microsoft.com/office/officeart/2005/8/layout/hList1"/>
    <dgm:cxn modelId="{69D572E7-657E-4C74-A859-797E67D440A9}" srcId="{C0A48952-0090-4038-8B45-173715F96E5D}" destId="{5C7C561D-F314-4B4C-AB7F-C4C2DD52A08E}" srcOrd="2" destOrd="0" parTransId="{2388AB10-5B23-45D3-B54E-6A53B067ACFC}" sibTransId="{82F373CB-EB79-41D2-AD7F-A17DA82A316E}"/>
    <dgm:cxn modelId="{E9CFE80D-47B4-479F-832C-92FA44E07C36}" type="presOf" srcId="{69BA09F2-98BC-483E-ACAA-50E2C934E94C}" destId="{4804AB9C-D27B-4A88-8AA5-B6C559CAB530}" srcOrd="0" destOrd="8" presId="urn:microsoft.com/office/officeart/2005/8/layout/hList1"/>
    <dgm:cxn modelId="{F0B8D84B-328D-4D3C-B16B-06360BF9D9FC}" srcId="{F905CAFB-AE3B-41D5-8919-FFB20E87A10B}" destId="{69BA09F2-98BC-483E-ACAA-50E2C934E94C}" srcOrd="8" destOrd="0" parTransId="{5671C4BA-7B38-4479-86D0-45A2110120F9}" sibTransId="{CAE7B2E7-6510-4FBE-B0A9-F83DE2B4F7FA}"/>
    <dgm:cxn modelId="{16DE1B75-8C17-45CC-B8C3-6F0C696FC5B8}" type="presOf" srcId="{67FB0838-FBA5-4F05-A4A1-9BE60714D310}" destId="{A70523A4-8124-4D49-8E90-75734DBBBBE3}" srcOrd="0" destOrd="1" presId="urn:microsoft.com/office/officeart/2005/8/layout/hList1"/>
    <dgm:cxn modelId="{9335D9F1-506B-4073-B9A2-99C70D23CB38}" type="presOf" srcId="{A47FF6C1-E270-48AC-8BC6-EAA4B310922C}" destId="{37A62DBC-0F50-413B-99BA-89773762EF7D}" srcOrd="0" destOrd="4" presId="urn:microsoft.com/office/officeart/2005/8/layout/hList1"/>
    <dgm:cxn modelId="{64112D45-8039-4682-8797-2A35D890D89F}" type="presOf" srcId="{C66BEF40-9A77-4187-85DF-360E0738FCBE}" destId="{A70523A4-8124-4D49-8E90-75734DBBBBE3}" srcOrd="0" destOrd="7" presId="urn:microsoft.com/office/officeart/2005/8/layout/hList1"/>
    <dgm:cxn modelId="{14425001-282E-4D0E-BBF3-DAED2697EB2E}" type="presOf" srcId="{4D2CBD1E-1150-4A95-9509-688EF59A9128}" destId="{4804AB9C-D27B-4A88-8AA5-B6C559CAB530}" srcOrd="0" destOrd="1" presId="urn:microsoft.com/office/officeart/2005/8/layout/hList1"/>
    <dgm:cxn modelId="{9EEE5910-1A39-42F9-846E-2DF09A14772D}" srcId="{F905CAFB-AE3B-41D5-8919-FFB20E87A10B}" destId="{140ACBE8-499F-49A3-9CAF-46C88ACEB208}" srcOrd="5" destOrd="0" parTransId="{FC551ED1-6849-4FA6-8609-2DBDFC49540E}" sibTransId="{7EB647A2-F6C7-4233-8546-EFF8EC2AE2A6}"/>
    <dgm:cxn modelId="{95A68EDC-2B7E-483F-9369-5601118A0FE6}" type="presOf" srcId="{B7C9BF86-6245-4276-AAE2-76BC8A3AA83E}" destId="{A70523A4-8124-4D49-8E90-75734DBBBBE3}" srcOrd="0" destOrd="3" presId="urn:microsoft.com/office/officeart/2005/8/layout/hList1"/>
    <dgm:cxn modelId="{51582C95-31A4-485C-A208-F6A7C00505DE}" srcId="{F905CAFB-AE3B-41D5-8919-FFB20E87A10B}" destId="{545FBDA4-5C50-4953-B673-44A347221548}" srcOrd="7" destOrd="0" parTransId="{E39850C2-F3E5-4A9E-AEB5-6A48850E919A}" sibTransId="{90AEB133-A39C-4CBB-BDA9-75A87F2AD37E}"/>
    <dgm:cxn modelId="{74F4DCE1-0A85-4310-95F6-3655AAD160F4}" srcId="{1B1FBCC6-419B-406D-9C1E-9B25E63B750B}" destId="{B6CCC206-FDEE-4655-B503-65B9F3ED777B}" srcOrd="2" destOrd="0" parTransId="{401A363C-CC25-4C52-A8AB-EAF919E21AC3}" sibTransId="{44263699-CC4A-4B6D-8ABB-1B8BB472927D}"/>
    <dgm:cxn modelId="{F2E9A017-B9BA-45A4-AA5B-1D52006EF99A}" srcId="{C0A48952-0090-4038-8B45-173715F96E5D}" destId="{44E751FF-4AA4-4F98-9EF8-90836BDE5AF8}" srcOrd="6" destOrd="0" parTransId="{A54D524F-AC43-4E46-AA45-E6BB868C0EC3}" sibTransId="{5AE188A3-84D9-49DF-9E13-4583165838CD}"/>
    <dgm:cxn modelId="{798DA68E-458B-44AD-815D-8D82C9D38651}" srcId="{C0A48952-0090-4038-8B45-173715F96E5D}" destId="{3ADC764F-CC97-4F46-9CF1-C1D1D41EE5B8}" srcOrd="5" destOrd="0" parTransId="{FA2DDC87-38B1-43B9-ABB2-DE79498231A1}" sibTransId="{3B12C56B-6123-409E-8BAB-F377DD240D72}"/>
    <dgm:cxn modelId="{081C048C-30CB-4CFF-B833-BB38ABB7996C}" srcId="{C0A48952-0090-4038-8B45-173715F96E5D}" destId="{9BDD7C80-ACCA-44DA-8E17-EE8E85C956EE}" srcOrd="0" destOrd="0" parTransId="{D767B4B5-7AE2-448B-85A1-5489A78EA9EB}" sibTransId="{D334CFCE-7364-4312-B43F-099C659D2E0F}"/>
    <dgm:cxn modelId="{839FA55D-0D7E-4159-99C7-3ED99C994DBF}" type="presOf" srcId="{44E751FF-4AA4-4F98-9EF8-90836BDE5AF8}" destId="{A70523A4-8124-4D49-8E90-75734DBBBBE3}" srcOrd="0" destOrd="6" presId="urn:microsoft.com/office/officeart/2005/8/layout/hList1"/>
    <dgm:cxn modelId="{B2365427-09DF-446F-A7DB-3BD69B6BCA38}" srcId="{1B1FBCC6-419B-406D-9C1E-9B25E63B750B}" destId="{C057BDF6-2F58-4AEB-A7C9-F832C3C78987}" srcOrd="6" destOrd="0" parTransId="{2B55BF49-0701-44F9-911B-6FF2B13AFDA9}" sibTransId="{3F4D54A8-E656-4A4B-9A37-D464FE90E9F6}"/>
    <dgm:cxn modelId="{A9F727D0-3A02-429F-A759-87FF662ED54B}" type="presOf" srcId="{545FBDA4-5C50-4953-B673-44A347221548}" destId="{4804AB9C-D27B-4A88-8AA5-B6C559CAB530}" srcOrd="0" destOrd="7" presId="urn:microsoft.com/office/officeart/2005/8/layout/hList1"/>
    <dgm:cxn modelId="{27E95B57-C62C-4680-A953-AEEB89D02AAF}" srcId="{F905CAFB-AE3B-41D5-8919-FFB20E87A10B}" destId="{9A9FCB3F-91F2-4673-9411-19C1AA629C87}" srcOrd="4" destOrd="0" parTransId="{02E0F45C-280F-45BB-B24D-6308AE7158C0}" sibTransId="{BA5C6851-0C60-4C43-9DEF-09B15B8539E2}"/>
    <dgm:cxn modelId="{CCC903E0-B621-43C8-B164-E6B48EEC0A0F}" srcId="{1C680C8D-453B-4D38-8FA5-DD605AD1EBEC}" destId="{F905CAFB-AE3B-41D5-8919-FFB20E87A10B}" srcOrd="2" destOrd="0" parTransId="{544B4E19-F701-42E2-A801-1886C478BDBF}" sibTransId="{669A9106-8097-4DE7-BA54-DDAB0226A5B2}"/>
    <dgm:cxn modelId="{CB05EEA2-15F8-48BC-BC6B-CDDECBA3E3ED}" srcId="{1C680C8D-453B-4D38-8FA5-DD605AD1EBEC}" destId="{C0A48952-0090-4038-8B45-173715F96E5D}" srcOrd="1" destOrd="0" parTransId="{488B8CD3-CD1F-42DB-AD73-9664324EB4E7}" sibTransId="{AA987B27-C610-4250-B20A-4D1B5686F441}"/>
    <dgm:cxn modelId="{3F46441D-253A-43AB-A608-E3D2BD5A49FD}" srcId="{F905CAFB-AE3B-41D5-8919-FFB20E87A10B}" destId="{AC9C77FD-4FCB-478C-930A-B956F01737EF}" srcOrd="3" destOrd="0" parTransId="{F380C0C5-F01E-488F-A5EB-06FE03F5E0A3}" sibTransId="{078B1189-3620-48CA-93E6-31CAD489AFCD}"/>
    <dgm:cxn modelId="{2671A1E9-FB94-4570-B911-837588C56D20}" srcId="{C0A48952-0090-4038-8B45-173715F96E5D}" destId="{0A4C605E-BAB1-4B56-B04A-43DCACC0D317}" srcOrd="4" destOrd="0" parTransId="{BF97ECAE-BEC8-4546-AF0E-50E62C87EEE4}" sibTransId="{5CE74F81-1E9D-4A3B-AB86-A672BD693144}"/>
    <dgm:cxn modelId="{6BE6EA1F-12D3-4BAA-90D8-3F27471B7DEE}" type="presOf" srcId="{66BE6DCA-54AE-4BB6-B4DE-53D48E02BD4B}" destId="{4804AB9C-D27B-4A88-8AA5-B6C559CAB530}" srcOrd="0" destOrd="2" presId="urn:microsoft.com/office/officeart/2005/8/layout/hList1"/>
    <dgm:cxn modelId="{F3CA5B77-4F86-4AF1-AD65-E165C00C59A7}" srcId="{1C680C8D-453B-4D38-8FA5-DD605AD1EBEC}" destId="{1B1FBCC6-419B-406D-9C1E-9B25E63B750B}" srcOrd="0" destOrd="0" parTransId="{35746C33-ED07-4AEC-AC97-157CD3FF8B9E}" sibTransId="{480476E5-ACF0-4FD8-9EC5-1DBC3D51EE9A}"/>
    <dgm:cxn modelId="{53D3B806-8CE9-404A-9F29-841FCE244446}" type="presOf" srcId="{F905CAFB-AE3B-41D5-8919-FFB20E87A10B}" destId="{B57F2137-C409-4323-85F4-940F41D96E96}" srcOrd="0" destOrd="0" presId="urn:microsoft.com/office/officeart/2005/8/layout/hList1"/>
    <dgm:cxn modelId="{64452981-15B0-468C-A58F-76DBC1FEE9C7}" srcId="{1B1FBCC6-419B-406D-9C1E-9B25E63B750B}" destId="{A1A64734-5F21-4468-BC5C-89B0D1596728}" srcOrd="1" destOrd="0" parTransId="{448DA8F1-C515-4F74-877F-2FBDBC928F37}" sibTransId="{78D3F16D-07AB-4C5C-A160-34903AC45886}"/>
    <dgm:cxn modelId="{D6631113-F7EC-49B7-807B-7FB54C4D23C5}" type="presOf" srcId="{9A9FCB3F-91F2-4673-9411-19C1AA629C87}" destId="{4804AB9C-D27B-4A88-8AA5-B6C559CAB530}" srcOrd="0" destOrd="4" presId="urn:microsoft.com/office/officeart/2005/8/layout/hList1"/>
    <dgm:cxn modelId="{2F6A2FB4-C11A-4665-A2A3-586E08F3AC4B}" type="presOf" srcId="{B6CCC206-FDEE-4655-B503-65B9F3ED777B}" destId="{37A62DBC-0F50-413B-99BA-89773762EF7D}" srcOrd="0" destOrd="2" presId="urn:microsoft.com/office/officeart/2005/8/layout/hList1"/>
    <dgm:cxn modelId="{49758132-B2EC-4271-B857-FA456954C030}" type="presOf" srcId="{0A4C605E-BAB1-4B56-B04A-43DCACC0D317}" destId="{A70523A4-8124-4D49-8E90-75734DBBBBE3}" srcOrd="0" destOrd="4" presId="urn:microsoft.com/office/officeart/2005/8/layout/hList1"/>
    <dgm:cxn modelId="{F97828A3-BBA9-41DD-A5CD-08938942C6E7}" type="presParOf" srcId="{D55FCD73-9636-4A54-A42D-FC384E3110C2}" destId="{2CE1D6A0-ADF9-4A19-B82E-C067EB0E54C9}" srcOrd="0" destOrd="0" presId="urn:microsoft.com/office/officeart/2005/8/layout/hList1"/>
    <dgm:cxn modelId="{5C33F6CB-B825-4549-8DA7-D71909586DB5}" type="presParOf" srcId="{2CE1D6A0-ADF9-4A19-B82E-C067EB0E54C9}" destId="{E03BDAFB-F8C8-438B-8A87-CF9B05978058}" srcOrd="0" destOrd="0" presId="urn:microsoft.com/office/officeart/2005/8/layout/hList1"/>
    <dgm:cxn modelId="{1585D708-D29E-4C78-8983-43C50FAE9A45}" type="presParOf" srcId="{2CE1D6A0-ADF9-4A19-B82E-C067EB0E54C9}" destId="{37A62DBC-0F50-413B-99BA-89773762EF7D}" srcOrd="1" destOrd="0" presId="urn:microsoft.com/office/officeart/2005/8/layout/hList1"/>
    <dgm:cxn modelId="{0D7EB07C-EC09-4520-969B-CCDDB71458BD}" type="presParOf" srcId="{D55FCD73-9636-4A54-A42D-FC384E3110C2}" destId="{EE128512-5743-4E56-AD5E-B07FED917A4C}" srcOrd="1" destOrd="0" presId="urn:microsoft.com/office/officeart/2005/8/layout/hList1"/>
    <dgm:cxn modelId="{1C04B79E-03BC-41A4-B446-F84BEBD03304}" type="presParOf" srcId="{D55FCD73-9636-4A54-A42D-FC384E3110C2}" destId="{56690FB0-6639-4786-81F7-FDD89DA2A1B5}" srcOrd="2" destOrd="0" presId="urn:microsoft.com/office/officeart/2005/8/layout/hList1"/>
    <dgm:cxn modelId="{ACA3E5F4-047D-4374-8FBA-CE4B1DAF9FAC}" type="presParOf" srcId="{56690FB0-6639-4786-81F7-FDD89DA2A1B5}" destId="{DFCAED2A-ED5E-4345-BCC7-0CA93FE7A2E5}" srcOrd="0" destOrd="0" presId="urn:microsoft.com/office/officeart/2005/8/layout/hList1"/>
    <dgm:cxn modelId="{8C6247C4-D50D-45CB-BBDC-EE90AF2FB94F}" type="presParOf" srcId="{56690FB0-6639-4786-81F7-FDD89DA2A1B5}" destId="{A70523A4-8124-4D49-8E90-75734DBBBBE3}" srcOrd="1" destOrd="0" presId="urn:microsoft.com/office/officeart/2005/8/layout/hList1"/>
    <dgm:cxn modelId="{BCE46E9B-EF80-40DB-B7C2-887413A825EA}" type="presParOf" srcId="{D55FCD73-9636-4A54-A42D-FC384E3110C2}" destId="{8B049F6D-447A-4C7D-957F-FA41780EE32E}" srcOrd="3" destOrd="0" presId="urn:microsoft.com/office/officeart/2005/8/layout/hList1"/>
    <dgm:cxn modelId="{CB71AD4E-ED88-4436-BAD9-A26E62708E61}" type="presParOf" srcId="{D55FCD73-9636-4A54-A42D-FC384E3110C2}" destId="{871ED0BF-3AE6-40CC-ACD7-B48A01D45404}" srcOrd="4" destOrd="0" presId="urn:microsoft.com/office/officeart/2005/8/layout/hList1"/>
    <dgm:cxn modelId="{DFDCCB52-9052-4826-9875-A877258EF281}" type="presParOf" srcId="{871ED0BF-3AE6-40CC-ACD7-B48A01D45404}" destId="{B57F2137-C409-4323-85F4-940F41D96E96}" srcOrd="0" destOrd="0" presId="urn:microsoft.com/office/officeart/2005/8/layout/hList1"/>
    <dgm:cxn modelId="{D951E50C-D46E-4255-8118-B28D544CD3F3}" type="presParOf" srcId="{871ED0BF-3AE6-40CC-ACD7-B48A01D45404}" destId="{4804AB9C-D27B-4A88-8AA5-B6C559CAB530}" srcOrd="1" destOrd="0" presId="urn:microsoft.com/office/officeart/2005/8/layout/hList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FA8992B-E7DE-41A9-A69A-804ED6A040B9}"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74F5102-B9E4-4A95-B681-F8A2CA58B8E6}">
      <dgm:prSet phldrT="[Text]" custT="1"/>
      <dgm:spPr/>
      <dgm:t>
        <a:bodyPr/>
        <a:lstStyle/>
        <a:p>
          <a:r>
            <a:rPr lang="en-GB" sz="1200" b="1"/>
            <a:t>Stakeholder Identification</a:t>
          </a:r>
        </a:p>
        <a:p>
          <a:r>
            <a:rPr lang="en-GB" sz="1100" b="0">
              <a:latin typeface="Arial" panose="020B0604020202020204" pitchFamily="34" charset="0"/>
              <a:cs typeface="Arial" panose="020B0604020202020204" pitchFamily="34" charset="0"/>
            </a:rPr>
            <a:t>Finding the individuals and organisations that the project might impact or be impacted by is necessary for this. Stakeholders in this process were prioritised using Mendelow's Power-Interest Matrix (1991). The R&amp;D team, senior leadership, regulatory agencies, and outside vendors were among the key stakeholders that were given top priority. </a:t>
          </a:r>
        </a:p>
      </dgm:t>
    </dgm:pt>
    <dgm:pt modelId="{1BD01FA3-E21A-4D09-AA5B-A38E6F58BE9D}" type="parTrans" cxnId="{970CD9F3-4A22-41B6-A9FD-C87C2A5E088A}">
      <dgm:prSet/>
      <dgm:spPr/>
      <dgm:t>
        <a:bodyPr/>
        <a:lstStyle/>
        <a:p>
          <a:endParaRPr lang="en-GB"/>
        </a:p>
      </dgm:t>
    </dgm:pt>
    <dgm:pt modelId="{B8F340F8-CB53-4A01-B5C2-54E154C5BBA4}" type="sibTrans" cxnId="{970CD9F3-4A22-41B6-A9FD-C87C2A5E088A}">
      <dgm:prSet/>
      <dgm:spPr/>
      <dgm:t>
        <a:bodyPr/>
        <a:lstStyle/>
        <a:p>
          <a:endParaRPr lang="en-GB"/>
        </a:p>
      </dgm:t>
    </dgm:pt>
    <dgm:pt modelId="{568B84F0-44A8-4877-A675-0080E577664A}">
      <dgm:prSet phldrT="[Text]" custT="1"/>
      <dgm:spPr/>
      <dgm:t>
        <a:bodyPr/>
        <a:lstStyle/>
        <a:p>
          <a:r>
            <a:rPr lang="en-GB" sz="1200" b="1"/>
            <a:t>Stakeholder Analysis</a:t>
          </a:r>
        </a:p>
        <a:p>
          <a:r>
            <a:rPr lang="en-GB" sz="1100" b="0">
              <a:latin typeface="Arial" panose="020B0604020202020204" pitchFamily="34" charset="0"/>
              <a:cs typeface="Arial" panose="020B0604020202020204" pitchFamily="34" charset="0"/>
            </a:rPr>
            <a:t>Freeman's Stakeholder Theory (1984) was used to evaluate stakeholder interests, influence levels, and potential effects on decision-making. Among the difficulties that were pre-evaluated were supplier reliance risks and regulatory delays.</a:t>
          </a:r>
        </a:p>
      </dgm:t>
    </dgm:pt>
    <dgm:pt modelId="{71ED46CD-26C9-418C-A4BF-75820DA2DA99}" type="parTrans" cxnId="{CCF7298A-8FF9-43B8-8C54-262283ED153C}">
      <dgm:prSet/>
      <dgm:spPr/>
      <dgm:t>
        <a:bodyPr/>
        <a:lstStyle/>
        <a:p>
          <a:endParaRPr lang="en-GB"/>
        </a:p>
      </dgm:t>
    </dgm:pt>
    <dgm:pt modelId="{EC099A08-5D20-49A8-999B-2C8983D0B814}" type="sibTrans" cxnId="{CCF7298A-8FF9-43B8-8C54-262283ED153C}">
      <dgm:prSet/>
      <dgm:spPr/>
      <dgm:t>
        <a:bodyPr/>
        <a:lstStyle/>
        <a:p>
          <a:endParaRPr lang="en-GB"/>
        </a:p>
      </dgm:t>
    </dgm:pt>
    <dgm:pt modelId="{6A166F12-7E3A-42D1-9861-C1AC5D9151DD}">
      <dgm:prSet phldrT="[Text]" custT="1"/>
      <dgm:spPr/>
      <dgm:t>
        <a:bodyPr/>
        <a:lstStyle/>
        <a:p>
          <a:r>
            <a:rPr lang="en-GB" sz="1200" b="1"/>
            <a:t>Engagement Planning</a:t>
          </a:r>
        </a:p>
        <a:p>
          <a:r>
            <a:rPr lang="en-GB" sz="1100" b="0">
              <a:latin typeface="Arial" panose="020B0604020202020204" pitchFamily="34" charset="0"/>
              <a:cs typeface="Arial" panose="020B0604020202020204" pitchFamily="34" charset="0"/>
            </a:rPr>
            <a:t>An engagement plan detailed the communication channels, frequency, and level of involvement specific to each stakeholder. For example, the R&amp;D team scheduled technical evaluations every two weeks, and MHRA established monthly compliance </a:t>
          </a:r>
          <a:r>
            <a:rPr lang="en-GB" sz="1200" b="1"/>
            <a:t>checkpoints.</a:t>
          </a:r>
          <a:endParaRPr lang="en-GB" sz="1100"/>
        </a:p>
      </dgm:t>
    </dgm:pt>
    <dgm:pt modelId="{397F0880-12F5-4449-BB1D-B9F6944AC02F}" type="parTrans" cxnId="{2773DA6B-3B4C-4F36-8012-E5A0A5628B68}">
      <dgm:prSet/>
      <dgm:spPr/>
      <dgm:t>
        <a:bodyPr/>
        <a:lstStyle/>
        <a:p>
          <a:endParaRPr lang="en-GB"/>
        </a:p>
      </dgm:t>
    </dgm:pt>
    <dgm:pt modelId="{08A078D2-4874-4507-80AA-601C12ADC88E}" type="sibTrans" cxnId="{2773DA6B-3B4C-4F36-8012-E5A0A5628B68}">
      <dgm:prSet/>
      <dgm:spPr/>
      <dgm:t>
        <a:bodyPr/>
        <a:lstStyle/>
        <a:p>
          <a:endParaRPr lang="en-GB"/>
        </a:p>
      </dgm:t>
    </dgm:pt>
    <dgm:pt modelId="{26C70D1D-36CC-4AC3-BAA9-FCA0F723AB13}">
      <dgm:prSet phldrT="[Text]" custT="1"/>
      <dgm:spPr/>
      <dgm:t>
        <a:bodyPr/>
        <a:lstStyle/>
        <a:p>
          <a:r>
            <a:rPr lang="en-GB" sz="1200" b="1"/>
            <a:t>Engagement Implementation</a:t>
          </a:r>
        </a:p>
        <a:p>
          <a:r>
            <a:rPr lang="en-GB" sz="1100" b="0">
              <a:latin typeface="Arial" panose="020B0604020202020204" pitchFamily="34" charset="0"/>
              <a:cs typeface="Arial" panose="020B0604020202020204" pitchFamily="34" charset="0"/>
            </a:rPr>
            <a:t>Engagement takes place through official reporting, co-design sessions, workshops, regular meetings, and collaborative software platforms like Jira. The project uses an Agile methodology, using sprint cycles to collect iterative stakeholder feedback.</a:t>
          </a:r>
        </a:p>
      </dgm:t>
    </dgm:pt>
    <dgm:pt modelId="{6960FDA9-7E61-4E3F-AE77-4B61F80F5459}" type="parTrans" cxnId="{BD49C9AC-4014-46FF-8D61-F3237AD1E72D}">
      <dgm:prSet/>
      <dgm:spPr/>
      <dgm:t>
        <a:bodyPr/>
        <a:lstStyle/>
        <a:p>
          <a:endParaRPr lang="en-GB"/>
        </a:p>
      </dgm:t>
    </dgm:pt>
    <dgm:pt modelId="{C8375341-D3F9-4DF3-BA2F-81A371678062}" type="sibTrans" cxnId="{BD49C9AC-4014-46FF-8D61-F3237AD1E72D}">
      <dgm:prSet/>
      <dgm:spPr/>
      <dgm:t>
        <a:bodyPr/>
        <a:lstStyle/>
        <a:p>
          <a:endParaRPr lang="en-GB"/>
        </a:p>
      </dgm:t>
    </dgm:pt>
    <dgm:pt modelId="{0F566BA0-1D80-4949-BF08-5D405330D258}">
      <dgm:prSet phldrT="[Text]" custT="1"/>
      <dgm:spPr/>
      <dgm:t>
        <a:bodyPr/>
        <a:lstStyle/>
        <a:p>
          <a:r>
            <a:rPr lang="en-GB" sz="1300" b="1"/>
            <a:t>Monitoring and Conflict Mitigation</a:t>
          </a:r>
        </a:p>
        <a:p>
          <a:r>
            <a:rPr lang="en-GB" sz="1100" b="0">
              <a:latin typeface="Arial" panose="020B0604020202020204" pitchFamily="34" charset="0"/>
              <a:cs typeface="Arial" panose="020B0604020202020204" pitchFamily="34" charset="0"/>
            </a:rPr>
            <a:t>KPIs, feedback loops, and escalation procedures are employed to track interaction effectiveness over time. When disagreements arise, the 4Cs methodology is applied.</a:t>
          </a:r>
        </a:p>
      </dgm:t>
    </dgm:pt>
    <dgm:pt modelId="{AC0EBBEA-BA28-4413-A8AA-090EF4AD8C23}" type="parTrans" cxnId="{EF234A2D-B6AA-46B9-87A8-D293BE25BA90}">
      <dgm:prSet/>
      <dgm:spPr/>
      <dgm:t>
        <a:bodyPr/>
        <a:lstStyle/>
        <a:p>
          <a:endParaRPr lang="en-GB"/>
        </a:p>
      </dgm:t>
    </dgm:pt>
    <dgm:pt modelId="{E5247688-284D-48D2-98D2-5FF7030309EE}" type="sibTrans" cxnId="{EF234A2D-B6AA-46B9-87A8-D293BE25BA90}">
      <dgm:prSet/>
      <dgm:spPr/>
      <dgm:t>
        <a:bodyPr/>
        <a:lstStyle/>
        <a:p>
          <a:endParaRPr lang="en-GB"/>
        </a:p>
      </dgm:t>
    </dgm:pt>
    <dgm:pt modelId="{9A714749-5D11-4807-BA05-A2C8DE0D92F5}" type="pres">
      <dgm:prSet presAssocID="{AFA8992B-E7DE-41A9-A69A-804ED6A040B9}" presName="diagram" presStyleCnt="0">
        <dgm:presLayoutVars>
          <dgm:dir/>
          <dgm:resizeHandles val="exact"/>
        </dgm:presLayoutVars>
      </dgm:prSet>
      <dgm:spPr/>
      <dgm:t>
        <a:bodyPr/>
        <a:lstStyle/>
        <a:p>
          <a:endParaRPr lang="en-GB"/>
        </a:p>
      </dgm:t>
    </dgm:pt>
    <dgm:pt modelId="{7607E1D3-02B7-435C-8998-26754D19AA8A}" type="pres">
      <dgm:prSet presAssocID="{974F5102-B9E4-4A95-B681-F8A2CA58B8E6}" presName="node" presStyleLbl="node1" presStyleIdx="0" presStyleCnt="5" custScaleX="123715" custScaleY="228235">
        <dgm:presLayoutVars>
          <dgm:bulletEnabled val="1"/>
        </dgm:presLayoutVars>
      </dgm:prSet>
      <dgm:spPr/>
      <dgm:t>
        <a:bodyPr/>
        <a:lstStyle/>
        <a:p>
          <a:endParaRPr lang="en-GB"/>
        </a:p>
      </dgm:t>
    </dgm:pt>
    <dgm:pt modelId="{0F5C34D6-6E4F-4A93-ACDC-D9AFAFE4481F}" type="pres">
      <dgm:prSet presAssocID="{B8F340F8-CB53-4A01-B5C2-54E154C5BBA4}" presName="sibTrans" presStyleCnt="0"/>
      <dgm:spPr/>
    </dgm:pt>
    <dgm:pt modelId="{0CA10366-2B95-4014-932B-4A3173C43747}" type="pres">
      <dgm:prSet presAssocID="{568B84F0-44A8-4877-A675-0080E577664A}" presName="node" presStyleLbl="node1" presStyleIdx="1" presStyleCnt="5" custScaleX="113259" custScaleY="227157">
        <dgm:presLayoutVars>
          <dgm:bulletEnabled val="1"/>
        </dgm:presLayoutVars>
      </dgm:prSet>
      <dgm:spPr/>
      <dgm:t>
        <a:bodyPr/>
        <a:lstStyle/>
        <a:p>
          <a:endParaRPr lang="en-GB"/>
        </a:p>
      </dgm:t>
    </dgm:pt>
    <dgm:pt modelId="{2FE98D50-74BB-4A53-9D3C-509C77AF3C12}" type="pres">
      <dgm:prSet presAssocID="{EC099A08-5D20-49A8-999B-2C8983D0B814}" presName="sibTrans" presStyleCnt="0"/>
      <dgm:spPr/>
    </dgm:pt>
    <dgm:pt modelId="{AA1B8680-C405-4ACF-A3BA-0EC2913601A8}" type="pres">
      <dgm:prSet presAssocID="{6A166F12-7E3A-42D1-9861-C1AC5D9151DD}" presName="node" presStyleLbl="node1" presStyleIdx="2" presStyleCnt="5" custScaleX="113279" custScaleY="224645">
        <dgm:presLayoutVars>
          <dgm:bulletEnabled val="1"/>
        </dgm:presLayoutVars>
      </dgm:prSet>
      <dgm:spPr/>
      <dgm:t>
        <a:bodyPr/>
        <a:lstStyle/>
        <a:p>
          <a:endParaRPr lang="en-GB"/>
        </a:p>
      </dgm:t>
    </dgm:pt>
    <dgm:pt modelId="{002E5F56-028F-49AC-A480-6812F612A97B}" type="pres">
      <dgm:prSet presAssocID="{08A078D2-4874-4507-80AA-601C12ADC88E}" presName="sibTrans" presStyleCnt="0"/>
      <dgm:spPr/>
    </dgm:pt>
    <dgm:pt modelId="{06F2C4FB-A0F6-4005-934A-B3E83C4CE557}" type="pres">
      <dgm:prSet presAssocID="{26C70D1D-36CC-4AC3-BAA9-FCA0F723AB13}" presName="node" presStyleLbl="node1" presStyleIdx="3" presStyleCnt="5" custScaleX="164646" custScaleY="153650" custLinFactNeighborX="-548" custLinFactNeighborY="108">
        <dgm:presLayoutVars>
          <dgm:bulletEnabled val="1"/>
        </dgm:presLayoutVars>
      </dgm:prSet>
      <dgm:spPr/>
      <dgm:t>
        <a:bodyPr/>
        <a:lstStyle/>
        <a:p>
          <a:endParaRPr lang="en-GB"/>
        </a:p>
      </dgm:t>
    </dgm:pt>
    <dgm:pt modelId="{0D84D80D-5F2B-4AC1-8CFC-D468EF2B64BC}" type="pres">
      <dgm:prSet presAssocID="{C8375341-D3F9-4DF3-BA2F-81A371678062}" presName="sibTrans" presStyleCnt="0"/>
      <dgm:spPr/>
    </dgm:pt>
    <dgm:pt modelId="{175FAECC-D346-4F5A-8758-50FAB7BB555F}" type="pres">
      <dgm:prSet presAssocID="{0F566BA0-1D80-4949-BF08-5D405330D258}" presName="node" presStyleLbl="node1" presStyleIdx="4" presStyleCnt="5" custScaleX="160457" custScaleY="150279">
        <dgm:presLayoutVars>
          <dgm:bulletEnabled val="1"/>
        </dgm:presLayoutVars>
      </dgm:prSet>
      <dgm:spPr/>
      <dgm:t>
        <a:bodyPr/>
        <a:lstStyle/>
        <a:p>
          <a:endParaRPr lang="en-GB"/>
        </a:p>
      </dgm:t>
    </dgm:pt>
  </dgm:ptLst>
  <dgm:cxnLst>
    <dgm:cxn modelId="{EDDFC7F5-424A-47D5-96D6-5A1B1082EB1A}" type="presOf" srcId="{974F5102-B9E4-4A95-B681-F8A2CA58B8E6}" destId="{7607E1D3-02B7-435C-8998-26754D19AA8A}" srcOrd="0" destOrd="0" presId="urn:microsoft.com/office/officeart/2005/8/layout/default"/>
    <dgm:cxn modelId="{219044AF-F9BD-4A24-AE65-734D578E0101}" type="presOf" srcId="{568B84F0-44A8-4877-A675-0080E577664A}" destId="{0CA10366-2B95-4014-932B-4A3173C43747}" srcOrd="0" destOrd="0" presId="urn:microsoft.com/office/officeart/2005/8/layout/default"/>
    <dgm:cxn modelId="{BD49C9AC-4014-46FF-8D61-F3237AD1E72D}" srcId="{AFA8992B-E7DE-41A9-A69A-804ED6A040B9}" destId="{26C70D1D-36CC-4AC3-BAA9-FCA0F723AB13}" srcOrd="3" destOrd="0" parTransId="{6960FDA9-7E61-4E3F-AE77-4B61F80F5459}" sibTransId="{C8375341-D3F9-4DF3-BA2F-81A371678062}"/>
    <dgm:cxn modelId="{EE803861-DAF6-4F15-9E79-F563A4E8F496}" type="presOf" srcId="{26C70D1D-36CC-4AC3-BAA9-FCA0F723AB13}" destId="{06F2C4FB-A0F6-4005-934A-B3E83C4CE557}" srcOrd="0" destOrd="0" presId="urn:microsoft.com/office/officeart/2005/8/layout/default"/>
    <dgm:cxn modelId="{CCF7298A-8FF9-43B8-8C54-262283ED153C}" srcId="{AFA8992B-E7DE-41A9-A69A-804ED6A040B9}" destId="{568B84F0-44A8-4877-A675-0080E577664A}" srcOrd="1" destOrd="0" parTransId="{71ED46CD-26C9-418C-A4BF-75820DA2DA99}" sibTransId="{EC099A08-5D20-49A8-999B-2C8983D0B814}"/>
    <dgm:cxn modelId="{EF234A2D-B6AA-46B9-87A8-D293BE25BA90}" srcId="{AFA8992B-E7DE-41A9-A69A-804ED6A040B9}" destId="{0F566BA0-1D80-4949-BF08-5D405330D258}" srcOrd="4" destOrd="0" parTransId="{AC0EBBEA-BA28-4413-A8AA-090EF4AD8C23}" sibTransId="{E5247688-284D-48D2-98D2-5FF7030309EE}"/>
    <dgm:cxn modelId="{970CD9F3-4A22-41B6-A9FD-C87C2A5E088A}" srcId="{AFA8992B-E7DE-41A9-A69A-804ED6A040B9}" destId="{974F5102-B9E4-4A95-B681-F8A2CA58B8E6}" srcOrd="0" destOrd="0" parTransId="{1BD01FA3-E21A-4D09-AA5B-A38E6F58BE9D}" sibTransId="{B8F340F8-CB53-4A01-B5C2-54E154C5BBA4}"/>
    <dgm:cxn modelId="{415201DD-B475-4EE0-AA32-21DBA725AC68}" type="presOf" srcId="{6A166F12-7E3A-42D1-9861-C1AC5D9151DD}" destId="{AA1B8680-C405-4ACF-A3BA-0EC2913601A8}" srcOrd="0" destOrd="0" presId="urn:microsoft.com/office/officeart/2005/8/layout/default"/>
    <dgm:cxn modelId="{3C283496-63BF-463E-86D4-A49951398721}" type="presOf" srcId="{AFA8992B-E7DE-41A9-A69A-804ED6A040B9}" destId="{9A714749-5D11-4807-BA05-A2C8DE0D92F5}" srcOrd="0" destOrd="0" presId="urn:microsoft.com/office/officeart/2005/8/layout/default"/>
    <dgm:cxn modelId="{2773DA6B-3B4C-4F36-8012-E5A0A5628B68}" srcId="{AFA8992B-E7DE-41A9-A69A-804ED6A040B9}" destId="{6A166F12-7E3A-42D1-9861-C1AC5D9151DD}" srcOrd="2" destOrd="0" parTransId="{397F0880-12F5-4449-BB1D-B9F6944AC02F}" sibTransId="{08A078D2-4874-4507-80AA-601C12ADC88E}"/>
    <dgm:cxn modelId="{580FBFF9-555B-47D6-92A4-7F4DA8A14DA2}" type="presOf" srcId="{0F566BA0-1D80-4949-BF08-5D405330D258}" destId="{175FAECC-D346-4F5A-8758-50FAB7BB555F}" srcOrd="0" destOrd="0" presId="urn:microsoft.com/office/officeart/2005/8/layout/default"/>
    <dgm:cxn modelId="{DA96E8BE-DD06-4838-ABD5-6AA18854DE72}" type="presParOf" srcId="{9A714749-5D11-4807-BA05-A2C8DE0D92F5}" destId="{7607E1D3-02B7-435C-8998-26754D19AA8A}" srcOrd="0" destOrd="0" presId="urn:microsoft.com/office/officeart/2005/8/layout/default"/>
    <dgm:cxn modelId="{8184E81F-A51B-4316-A66F-1FB69F48BB73}" type="presParOf" srcId="{9A714749-5D11-4807-BA05-A2C8DE0D92F5}" destId="{0F5C34D6-6E4F-4A93-ACDC-D9AFAFE4481F}" srcOrd="1" destOrd="0" presId="urn:microsoft.com/office/officeart/2005/8/layout/default"/>
    <dgm:cxn modelId="{B80E65F3-E767-4E83-8A13-7C23F53939F5}" type="presParOf" srcId="{9A714749-5D11-4807-BA05-A2C8DE0D92F5}" destId="{0CA10366-2B95-4014-932B-4A3173C43747}" srcOrd="2" destOrd="0" presId="urn:microsoft.com/office/officeart/2005/8/layout/default"/>
    <dgm:cxn modelId="{CC62EE7E-9ACB-47BF-9A27-AD0FE50CB81F}" type="presParOf" srcId="{9A714749-5D11-4807-BA05-A2C8DE0D92F5}" destId="{2FE98D50-74BB-4A53-9D3C-509C77AF3C12}" srcOrd="3" destOrd="0" presId="urn:microsoft.com/office/officeart/2005/8/layout/default"/>
    <dgm:cxn modelId="{5768357A-56E8-4BD2-B4F6-7F2C32DAC1A0}" type="presParOf" srcId="{9A714749-5D11-4807-BA05-A2C8DE0D92F5}" destId="{AA1B8680-C405-4ACF-A3BA-0EC2913601A8}" srcOrd="4" destOrd="0" presId="urn:microsoft.com/office/officeart/2005/8/layout/default"/>
    <dgm:cxn modelId="{E45764BB-73AB-4B86-98B0-0798CF15A7C4}" type="presParOf" srcId="{9A714749-5D11-4807-BA05-A2C8DE0D92F5}" destId="{002E5F56-028F-49AC-A480-6812F612A97B}" srcOrd="5" destOrd="0" presId="urn:microsoft.com/office/officeart/2005/8/layout/default"/>
    <dgm:cxn modelId="{26E19C40-FBE4-4910-A1F0-76CC2FF75333}" type="presParOf" srcId="{9A714749-5D11-4807-BA05-A2C8DE0D92F5}" destId="{06F2C4FB-A0F6-4005-934A-B3E83C4CE557}" srcOrd="6" destOrd="0" presId="urn:microsoft.com/office/officeart/2005/8/layout/default"/>
    <dgm:cxn modelId="{902BE94D-BF11-413E-BEDB-E15A25977418}" type="presParOf" srcId="{9A714749-5D11-4807-BA05-A2C8DE0D92F5}" destId="{0D84D80D-5F2B-4AC1-8CFC-D468EF2B64BC}" srcOrd="7" destOrd="0" presId="urn:microsoft.com/office/officeart/2005/8/layout/default"/>
    <dgm:cxn modelId="{5DE7279F-2345-460E-B2FB-8F7F56829E62}" type="presParOf" srcId="{9A714749-5D11-4807-BA05-A2C8DE0D92F5}" destId="{175FAECC-D346-4F5A-8758-50FAB7BB555F}" srcOrd="8" destOrd="0" presId="urn:microsoft.com/office/officeart/2005/8/layout/default"/>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D2B7D4AF-7FD0-46FF-9B18-DBA3E50D4703}"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D341A275-347B-4F92-9A65-07D5D2672C53}">
      <dgm:prSet phldrT="[Text]"/>
      <dgm:spPr/>
      <dgm:t>
        <a:bodyPr/>
        <a:lstStyle/>
        <a:p>
          <a:r>
            <a:rPr lang="en-GB"/>
            <a:t>Higher ratings for customer satisfaction </a:t>
          </a:r>
        </a:p>
      </dgm:t>
    </dgm:pt>
    <dgm:pt modelId="{35E9BD81-905F-4580-A5D7-7E14F6795400}" type="parTrans" cxnId="{82287E70-DD8E-4F63-BB99-FC493CBEFAC9}">
      <dgm:prSet/>
      <dgm:spPr/>
      <dgm:t>
        <a:bodyPr/>
        <a:lstStyle/>
        <a:p>
          <a:endParaRPr lang="en-GB"/>
        </a:p>
      </dgm:t>
    </dgm:pt>
    <dgm:pt modelId="{17D861C3-BF96-4444-861C-E42A6BB94649}" type="sibTrans" cxnId="{82287E70-DD8E-4F63-BB99-FC493CBEFAC9}">
      <dgm:prSet/>
      <dgm:spPr/>
      <dgm:t>
        <a:bodyPr/>
        <a:lstStyle/>
        <a:p>
          <a:endParaRPr lang="en-GB"/>
        </a:p>
      </dgm:t>
    </dgm:pt>
    <dgm:pt modelId="{65A9CBBE-66DD-42BB-81A7-91E5C64176C8}">
      <dgm:prSet phldrT="[Text]"/>
      <dgm:spPr/>
      <dgm:t>
        <a:bodyPr/>
        <a:lstStyle/>
        <a:p>
          <a:r>
            <a:rPr lang="en-GB"/>
            <a:t>Improved strategies for market penetration </a:t>
          </a:r>
        </a:p>
      </dgm:t>
    </dgm:pt>
    <dgm:pt modelId="{3F9CA354-B7C1-4B08-809F-CA37F222CE87}" type="parTrans" cxnId="{D2230FD7-8E3E-4199-A285-0B3AA59CE3A7}">
      <dgm:prSet/>
      <dgm:spPr/>
      <dgm:t>
        <a:bodyPr/>
        <a:lstStyle/>
        <a:p>
          <a:endParaRPr lang="en-GB"/>
        </a:p>
      </dgm:t>
    </dgm:pt>
    <dgm:pt modelId="{A298BA41-6A02-48C4-9B72-6454DF058AE6}" type="sibTrans" cxnId="{D2230FD7-8E3E-4199-A285-0B3AA59CE3A7}">
      <dgm:prSet/>
      <dgm:spPr/>
      <dgm:t>
        <a:bodyPr/>
        <a:lstStyle/>
        <a:p>
          <a:endParaRPr lang="en-GB"/>
        </a:p>
      </dgm:t>
    </dgm:pt>
    <dgm:pt modelId="{EC03C0BE-74DE-4C34-A61C-AFBD5BE99037}">
      <dgm:prSet phldrT="[Text]"/>
      <dgm:spPr/>
      <dgm:t>
        <a:bodyPr/>
        <a:lstStyle/>
        <a:p>
          <a:r>
            <a:rPr lang="en-GB"/>
            <a:t>A higher uptake of the product</a:t>
          </a:r>
        </a:p>
      </dgm:t>
    </dgm:pt>
    <dgm:pt modelId="{F587F704-160C-4320-8DB4-0DC77892AE2A}" type="parTrans" cxnId="{9CBF6AB1-E180-4DBD-8DFF-2B2505971174}">
      <dgm:prSet/>
      <dgm:spPr/>
      <dgm:t>
        <a:bodyPr/>
        <a:lstStyle/>
        <a:p>
          <a:endParaRPr lang="en-GB"/>
        </a:p>
      </dgm:t>
    </dgm:pt>
    <dgm:pt modelId="{449031B5-3AE2-4F21-B4ED-F527B655CDCE}" type="sibTrans" cxnId="{9CBF6AB1-E180-4DBD-8DFF-2B2505971174}">
      <dgm:prSet/>
      <dgm:spPr/>
      <dgm:t>
        <a:bodyPr/>
        <a:lstStyle/>
        <a:p>
          <a:endParaRPr lang="en-GB"/>
        </a:p>
      </dgm:t>
    </dgm:pt>
    <dgm:pt modelId="{132B8DD3-AA6B-442D-AC9B-C6AD7A7EBC62}">
      <dgm:prSet phldrT="[Text]"/>
      <dgm:spPr/>
      <dgm:t>
        <a:bodyPr/>
        <a:lstStyle/>
        <a:p>
          <a:r>
            <a:rPr lang="en-GB"/>
            <a:t>Impact</a:t>
          </a:r>
        </a:p>
      </dgm:t>
    </dgm:pt>
    <dgm:pt modelId="{58A35403-4436-4B0B-A36D-0AC720F84F41}" type="parTrans" cxnId="{18473640-7E51-431D-A2FC-46A3FAD713B9}">
      <dgm:prSet/>
      <dgm:spPr/>
      <dgm:t>
        <a:bodyPr/>
        <a:lstStyle/>
        <a:p>
          <a:endParaRPr lang="en-GB"/>
        </a:p>
      </dgm:t>
    </dgm:pt>
    <dgm:pt modelId="{38B5DEAA-DFEB-4192-A86A-482A97C655B8}" type="sibTrans" cxnId="{18473640-7E51-431D-A2FC-46A3FAD713B9}">
      <dgm:prSet custScaleX="95649"/>
      <dgm:spPr/>
      <dgm:t>
        <a:bodyPr/>
        <a:lstStyle/>
        <a:p>
          <a:endParaRPr lang="en-GB"/>
        </a:p>
      </dgm:t>
    </dgm:pt>
    <dgm:pt modelId="{F4A70E9F-D8D3-4FAB-8749-A318CC551ED4}" type="pres">
      <dgm:prSet presAssocID="{D2B7D4AF-7FD0-46FF-9B18-DBA3E50D4703}" presName="Name0" presStyleCnt="0">
        <dgm:presLayoutVars>
          <dgm:dir/>
          <dgm:resizeHandles val="exact"/>
        </dgm:presLayoutVars>
      </dgm:prSet>
      <dgm:spPr/>
      <dgm:t>
        <a:bodyPr/>
        <a:lstStyle/>
        <a:p>
          <a:endParaRPr lang="en-GB"/>
        </a:p>
      </dgm:t>
    </dgm:pt>
    <dgm:pt modelId="{5615A7D6-68D4-4841-88C2-59A10C048AD7}" type="pres">
      <dgm:prSet presAssocID="{D341A275-347B-4F92-9A65-07D5D2672C53}" presName="node" presStyleLbl="node1" presStyleIdx="0" presStyleCnt="4" custScaleX="82083" custLinFactX="41352" custLinFactNeighborX="100000" custLinFactNeighborY="2344">
        <dgm:presLayoutVars>
          <dgm:bulletEnabled val="1"/>
        </dgm:presLayoutVars>
      </dgm:prSet>
      <dgm:spPr/>
      <dgm:t>
        <a:bodyPr/>
        <a:lstStyle/>
        <a:p>
          <a:endParaRPr lang="en-GB"/>
        </a:p>
      </dgm:t>
    </dgm:pt>
    <dgm:pt modelId="{9DAB48BB-9D4F-4FDD-8B20-039AE386F652}" type="pres">
      <dgm:prSet presAssocID="{17D861C3-BF96-4444-861C-E42A6BB94649}" presName="sibTrans" presStyleLbl="sibTrans2D1" presStyleIdx="0" presStyleCnt="3" custLinFactX="-300000" custLinFactNeighborX="-357943" custLinFactNeighborY="10358"/>
      <dgm:spPr/>
      <dgm:t>
        <a:bodyPr/>
        <a:lstStyle/>
        <a:p>
          <a:endParaRPr lang="en-GB"/>
        </a:p>
      </dgm:t>
    </dgm:pt>
    <dgm:pt modelId="{55316068-6A02-48BF-8A60-E0E0045432D4}" type="pres">
      <dgm:prSet presAssocID="{17D861C3-BF96-4444-861C-E42A6BB94649}" presName="connectorText" presStyleLbl="sibTrans2D1" presStyleIdx="0" presStyleCnt="3"/>
      <dgm:spPr/>
      <dgm:t>
        <a:bodyPr/>
        <a:lstStyle/>
        <a:p>
          <a:endParaRPr lang="en-GB"/>
        </a:p>
      </dgm:t>
    </dgm:pt>
    <dgm:pt modelId="{D08BAFBF-6BCA-4B43-BA23-EF4C661058DE}" type="pres">
      <dgm:prSet presAssocID="{65A9CBBE-66DD-42BB-81A7-91E5C64176C8}" presName="node" presStyleLbl="node1" presStyleIdx="1" presStyleCnt="4" custScaleX="72038" custLinFactX="45084" custLinFactNeighborX="100000" custLinFactNeighborY="3292">
        <dgm:presLayoutVars>
          <dgm:bulletEnabled val="1"/>
        </dgm:presLayoutVars>
      </dgm:prSet>
      <dgm:spPr/>
      <dgm:t>
        <a:bodyPr/>
        <a:lstStyle/>
        <a:p>
          <a:endParaRPr lang="en-GB"/>
        </a:p>
      </dgm:t>
    </dgm:pt>
    <dgm:pt modelId="{A38FF46C-9391-445E-8F57-1DF03A405CD9}" type="pres">
      <dgm:prSet presAssocID="{A298BA41-6A02-48C4-9B72-6454DF058AE6}" presName="sibTrans" presStyleLbl="sibTrans2D1" presStyleIdx="1" presStyleCnt="3"/>
      <dgm:spPr/>
      <dgm:t>
        <a:bodyPr/>
        <a:lstStyle/>
        <a:p>
          <a:endParaRPr lang="en-GB"/>
        </a:p>
      </dgm:t>
    </dgm:pt>
    <dgm:pt modelId="{54AEF5F5-8BFF-49EB-AF0A-DD7079074495}" type="pres">
      <dgm:prSet presAssocID="{A298BA41-6A02-48C4-9B72-6454DF058AE6}" presName="connectorText" presStyleLbl="sibTrans2D1" presStyleIdx="1" presStyleCnt="3"/>
      <dgm:spPr/>
      <dgm:t>
        <a:bodyPr/>
        <a:lstStyle/>
        <a:p>
          <a:endParaRPr lang="en-GB"/>
        </a:p>
      </dgm:t>
    </dgm:pt>
    <dgm:pt modelId="{DCFC7CA4-A342-4132-BC16-B34EFBFBBF03}" type="pres">
      <dgm:prSet presAssocID="{EC03C0BE-74DE-4C34-A61C-AFBD5BE99037}" presName="node" presStyleLbl="node1" presStyleIdx="2" presStyleCnt="4" custScaleX="59381" custLinFactX="47894" custLinFactNeighborX="100000" custLinFactNeighborY="-549">
        <dgm:presLayoutVars>
          <dgm:bulletEnabled val="1"/>
        </dgm:presLayoutVars>
      </dgm:prSet>
      <dgm:spPr/>
      <dgm:t>
        <a:bodyPr/>
        <a:lstStyle/>
        <a:p>
          <a:endParaRPr lang="en-GB"/>
        </a:p>
      </dgm:t>
    </dgm:pt>
    <dgm:pt modelId="{488B96F0-2697-4078-9B2C-BE02CFC288CB}" type="pres">
      <dgm:prSet presAssocID="{449031B5-3AE2-4F21-B4ED-F527B655CDCE}" presName="sibTrans" presStyleLbl="sibTrans2D1" presStyleIdx="2" presStyleCnt="3" custFlipVert="0" custFlipHor="1" custScaleX="16832" custScaleY="78305" custLinFactNeighborX="-1951" custLinFactNeighborY="-10619"/>
      <dgm:spPr/>
      <dgm:t>
        <a:bodyPr/>
        <a:lstStyle/>
        <a:p>
          <a:endParaRPr lang="en-GB"/>
        </a:p>
      </dgm:t>
    </dgm:pt>
    <dgm:pt modelId="{2E1D4D0E-8EB9-42A6-89E1-3B26DD6C19A8}" type="pres">
      <dgm:prSet presAssocID="{449031B5-3AE2-4F21-B4ED-F527B655CDCE}" presName="connectorText" presStyleLbl="sibTrans2D1" presStyleIdx="2" presStyleCnt="3"/>
      <dgm:spPr/>
      <dgm:t>
        <a:bodyPr/>
        <a:lstStyle/>
        <a:p>
          <a:endParaRPr lang="en-GB"/>
        </a:p>
      </dgm:t>
    </dgm:pt>
    <dgm:pt modelId="{C26DC938-4E23-4B57-9F6A-5FB6EC8AC5EC}" type="pres">
      <dgm:prSet presAssocID="{132B8DD3-AA6B-442D-AC9B-C6AD7A7EBC62}" presName="node" presStyleLbl="node1" presStyleIdx="3" presStyleCnt="4" custScaleX="52542" custLinFactX="-200000" custLinFactNeighborX="-201676" custLinFactNeighborY="2717">
        <dgm:presLayoutVars>
          <dgm:bulletEnabled val="1"/>
        </dgm:presLayoutVars>
      </dgm:prSet>
      <dgm:spPr/>
      <dgm:t>
        <a:bodyPr/>
        <a:lstStyle/>
        <a:p>
          <a:endParaRPr lang="en-GB"/>
        </a:p>
      </dgm:t>
    </dgm:pt>
  </dgm:ptLst>
  <dgm:cxnLst>
    <dgm:cxn modelId="{18473640-7E51-431D-A2FC-46A3FAD713B9}" srcId="{D2B7D4AF-7FD0-46FF-9B18-DBA3E50D4703}" destId="{132B8DD3-AA6B-442D-AC9B-C6AD7A7EBC62}" srcOrd="3" destOrd="0" parTransId="{58A35403-4436-4B0B-A36D-0AC720F84F41}" sibTransId="{38B5DEAA-DFEB-4192-A86A-482A97C655B8}"/>
    <dgm:cxn modelId="{2C6370B9-8056-452F-A27B-5329BB045316}" type="presOf" srcId="{17D861C3-BF96-4444-861C-E42A6BB94649}" destId="{9DAB48BB-9D4F-4FDD-8B20-039AE386F652}" srcOrd="0" destOrd="0" presId="urn:microsoft.com/office/officeart/2005/8/layout/process1"/>
    <dgm:cxn modelId="{F2EFBB75-9C57-4A2A-8D93-EF6122CC7B35}" type="presOf" srcId="{449031B5-3AE2-4F21-B4ED-F527B655CDCE}" destId="{2E1D4D0E-8EB9-42A6-89E1-3B26DD6C19A8}" srcOrd="1" destOrd="0" presId="urn:microsoft.com/office/officeart/2005/8/layout/process1"/>
    <dgm:cxn modelId="{82287E70-DD8E-4F63-BB99-FC493CBEFAC9}" srcId="{D2B7D4AF-7FD0-46FF-9B18-DBA3E50D4703}" destId="{D341A275-347B-4F92-9A65-07D5D2672C53}" srcOrd="0" destOrd="0" parTransId="{35E9BD81-905F-4580-A5D7-7E14F6795400}" sibTransId="{17D861C3-BF96-4444-861C-E42A6BB94649}"/>
    <dgm:cxn modelId="{8F61855D-22E4-4FBB-BFD4-09162E1B8830}" type="presOf" srcId="{EC03C0BE-74DE-4C34-A61C-AFBD5BE99037}" destId="{DCFC7CA4-A342-4132-BC16-B34EFBFBBF03}" srcOrd="0" destOrd="0" presId="urn:microsoft.com/office/officeart/2005/8/layout/process1"/>
    <dgm:cxn modelId="{4D6AF8BD-0F90-494D-B8BC-D72BFBAD05F9}" type="presOf" srcId="{D2B7D4AF-7FD0-46FF-9B18-DBA3E50D4703}" destId="{F4A70E9F-D8D3-4FAB-8749-A318CC551ED4}" srcOrd="0" destOrd="0" presId="urn:microsoft.com/office/officeart/2005/8/layout/process1"/>
    <dgm:cxn modelId="{4815B3E2-B9F9-4F03-B0A8-46B94FB17CD4}" type="presOf" srcId="{65A9CBBE-66DD-42BB-81A7-91E5C64176C8}" destId="{D08BAFBF-6BCA-4B43-BA23-EF4C661058DE}" srcOrd="0" destOrd="0" presId="urn:microsoft.com/office/officeart/2005/8/layout/process1"/>
    <dgm:cxn modelId="{5988EAB8-CDE4-4897-9EA5-B2B4CF90A9AB}" type="presOf" srcId="{449031B5-3AE2-4F21-B4ED-F527B655CDCE}" destId="{488B96F0-2697-4078-9B2C-BE02CFC288CB}" srcOrd="0" destOrd="0" presId="urn:microsoft.com/office/officeart/2005/8/layout/process1"/>
    <dgm:cxn modelId="{D2230FD7-8E3E-4199-A285-0B3AA59CE3A7}" srcId="{D2B7D4AF-7FD0-46FF-9B18-DBA3E50D4703}" destId="{65A9CBBE-66DD-42BB-81A7-91E5C64176C8}" srcOrd="1" destOrd="0" parTransId="{3F9CA354-B7C1-4B08-809F-CA37F222CE87}" sibTransId="{A298BA41-6A02-48C4-9B72-6454DF058AE6}"/>
    <dgm:cxn modelId="{BEB3EDE1-4BE1-4F78-8EA8-D6D9FE234149}" type="presOf" srcId="{17D861C3-BF96-4444-861C-E42A6BB94649}" destId="{55316068-6A02-48BF-8A60-E0E0045432D4}" srcOrd="1" destOrd="0" presId="urn:microsoft.com/office/officeart/2005/8/layout/process1"/>
    <dgm:cxn modelId="{6387BA2F-81B0-4114-A622-9969A2BDEA9D}" type="presOf" srcId="{132B8DD3-AA6B-442D-AC9B-C6AD7A7EBC62}" destId="{C26DC938-4E23-4B57-9F6A-5FB6EC8AC5EC}" srcOrd="0" destOrd="0" presId="urn:microsoft.com/office/officeart/2005/8/layout/process1"/>
    <dgm:cxn modelId="{A0D66993-1265-4258-A189-0847BB69C21C}" type="presOf" srcId="{A298BA41-6A02-48C4-9B72-6454DF058AE6}" destId="{54AEF5F5-8BFF-49EB-AF0A-DD7079074495}" srcOrd="1" destOrd="0" presId="urn:microsoft.com/office/officeart/2005/8/layout/process1"/>
    <dgm:cxn modelId="{BDF7B48D-E940-43E9-BF41-561A0B01525D}" type="presOf" srcId="{D341A275-347B-4F92-9A65-07D5D2672C53}" destId="{5615A7D6-68D4-4841-88C2-59A10C048AD7}" srcOrd="0" destOrd="0" presId="urn:microsoft.com/office/officeart/2005/8/layout/process1"/>
    <dgm:cxn modelId="{4BA30625-AA85-432F-818F-7785EA46DAC8}" type="presOf" srcId="{A298BA41-6A02-48C4-9B72-6454DF058AE6}" destId="{A38FF46C-9391-445E-8F57-1DF03A405CD9}" srcOrd="0" destOrd="0" presId="urn:microsoft.com/office/officeart/2005/8/layout/process1"/>
    <dgm:cxn modelId="{9CBF6AB1-E180-4DBD-8DFF-2B2505971174}" srcId="{D2B7D4AF-7FD0-46FF-9B18-DBA3E50D4703}" destId="{EC03C0BE-74DE-4C34-A61C-AFBD5BE99037}" srcOrd="2" destOrd="0" parTransId="{F587F704-160C-4320-8DB4-0DC77892AE2A}" sibTransId="{449031B5-3AE2-4F21-B4ED-F527B655CDCE}"/>
    <dgm:cxn modelId="{58218391-B936-42F0-A7F7-CCA412C5EDBB}" type="presParOf" srcId="{F4A70E9F-D8D3-4FAB-8749-A318CC551ED4}" destId="{5615A7D6-68D4-4841-88C2-59A10C048AD7}" srcOrd="0" destOrd="0" presId="urn:microsoft.com/office/officeart/2005/8/layout/process1"/>
    <dgm:cxn modelId="{2450C5D9-D936-4B42-9FCB-2A86FF0F380B}" type="presParOf" srcId="{F4A70E9F-D8D3-4FAB-8749-A318CC551ED4}" destId="{9DAB48BB-9D4F-4FDD-8B20-039AE386F652}" srcOrd="1" destOrd="0" presId="urn:microsoft.com/office/officeart/2005/8/layout/process1"/>
    <dgm:cxn modelId="{3FF981C1-B131-4717-A07D-8D5DFAD9A773}" type="presParOf" srcId="{9DAB48BB-9D4F-4FDD-8B20-039AE386F652}" destId="{55316068-6A02-48BF-8A60-E0E0045432D4}" srcOrd="0" destOrd="0" presId="urn:microsoft.com/office/officeart/2005/8/layout/process1"/>
    <dgm:cxn modelId="{CF529E0C-AEEC-4D75-8945-BF60A29B9E7A}" type="presParOf" srcId="{F4A70E9F-D8D3-4FAB-8749-A318CC551ED4}" destId="{D08BAFBF-6BCA-4B43-BA23-EF4C661058DE}" srcOrd="2" destOrd="0" presId="urn:microsoft.com/office/officeart/2005/8/layout/process1"/>
    <dgm:cxn modelId="{927D8E09-A5DA-482A-956F-F5356226D937}" type="presParOf" srcId="{F4A70E9F-D8D3-4FAB-8749-A318CC551ED4}" destId="{A38FF46C-9391-445E-8F57-1DF03A405CD9}" srcOrd="3" destOrd="0" presId="urn:microsoft.com/office/officeart/2005/8/layout/process1"/>
    <dgm:cxn modelId="{C32801C0-4A54-45AA-B981-E16D0E2B298F}" type="presParOf" srcId="{A38FF46C-9391-445E-8F57-1DF03A405CD9}" destId="{54AEF5F5-8BFF-49EB-AF0A-DD7079074495}" srcOrd="0" destOrd="0" presId="urn:microsoft.com/office/officeart/2005/8/layout/process1"/>
    <dgm:cxn modelId="{D47FF135-765E-4C64-A3CC-1559024F7E74}" type="presParOf" srcId="{F4A70E9F-D8D3-4FAB-8749-A318CC551ED4}" destId="{DCFC7CA4-A342-4132-BC16-B34EFBFBBF03}" srcOrd="4" destOrd="0" presId="urn:microsoft.com/office/officeart/2005/8/layout/process1"/>
    <dgm:cxn modelId="{6E7B51CC-37CC-48B2-AA38-0E566D8814BC}" type="presParOf" srcId="{F4A70E9F-D8D3-4FAB-8749-A318CC551ED4}" destId="{488B96F0-2697-4078-9B2C-BE02CFC288CB}" srcOrd="5" destOrd="0" presId="urn:microsoft.com/office/officeart/2005/8/layout/process1"/>
    <dgm:cxn modelId="{51B93824-11C0-416F-96D5-CCD139E6F71B}" type="presParOf" srcId="{488B96F0-2697-4078-9B2C-BE02CFC288CB}" destId="{2E1D4D0E-8EB9-42A6-89E1-3B26DD6C19A8}" srcOrd="0" destOrd="0" presId="urn:microsoft.com/office/officeart/2005/8/layout/process1"/>
    <dgm:cxn modelId="{991E785F-1BB5-40D4-9530-681045C1932C}" type="presParOf" srcId="{F4A70E9F-D8D3-4FAB-8749-A318CC551ED4}" destId="{C26DC938-4E23-4B57-9F6A-5FB6EC8AC5EC}" srcOrd="6" destOrd="0" presId="urn:microsoft.com/office/officeart/2005/8/layout/process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4F5FF9DA-DF02-4A5C-83C0-A56E87BB8485}"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00A0C7AF-B15C-4103-AAB0-ADF41C37F875}">
      <dgm:prSet phldrT="[Text]"/>
      <dgm:spPr/>
      <dgm:t>
        <a:bodyPr/>
        <a:lstStyle/>
        <a:p>
          <a:r>
            <a:rPr lang="en-GB"/>
            <a:t>Impact</a:t>
          </a:r>
        </a:p>
      </dgm:t>
    </dgm:pt>
    <dgm:pt modelId="{E3D36BF8-7040-4C52-85B5-70707EAFDAA0}" type="parTrans" cxnId="{DFB62CEA-462B-41BF-8E79-BE4EA563E986}">
      <dgm:prSet/>
      <dgm:spPr/>
      <dgm:t>
        <a:bodyPr/>
        <a:lstStyle/>
        <a:p>
          <a:endParaRPr lang="en-GB"/>
        </a:p>
      </dgm:t>
    </dgm:pt>
    <dgm:pt modelId="{F5838814-4BFA-4786-A21B-A6E3B1553DC7}" type="sibTrans" cxnId="{DFB62CEA-462B-41BF-8E79-BE4EA563E986}">
      <dgm:prSet/>
      <dgm:spPr/>
      <dgm:t>
        <a:bodyPr/>
        <a:lstStyle/>
        <a:p>
          <a:endParaRPr lang="en-GB"/>
        </a:p>
      </dgm:t>
    </dgm:pt>
    <dgm:pt modelId="{250ECFFC-89D6-4457-BD5F-2C21B2894D58}">
      <dgm:prSet phldrT="[Text]"/>
      <dgm:spPr/>
      <dgm:t>
        <a:bodyPr/>
        <a:lstStyle/>
        <a:p>
          <a:r>
            <a:rPr lang="en-GB"/>
            <a:t>Reduced likelihood of launch delays </a:t>
          </a:r>
        </a:p>
      </dgm:t>
    </dgm:pt>
    <dgm:pt modelId="{7F82C21B-3834-44D9-940D-8CA8D663A43E}" type="parTrans" cxnId="{2BFE745C-7E5E-4175-81DC-C7E5CFB46492}">
      <dgm:prSet/>
      <dgm:spPr/>
      <dgm:t>
        <a:bodyPr/>
        <a:lstStyle/>
        <a:p>
          <a:endParaRPr lang="en-GB"/>
        </a:p>
      </dgm:t>
    </dgm:pt>
    <dgm:pt modelId="{06CA0856-4C65-47BE-BD3E-B64B98CAF5F3}" type="sibTrans" cxnId="{2BFE745C-7E5E-4175-81DC-C7E5CFB46492}">
      <dgm:prSet/>
      <dgm:spPr/>
      <dgm:t>
        <a:bodyPr/>
        <a:lstStyle/>
        <a:p>
          <a:endParaRPr lang="en-GB"/>
        </a:p>
      </dgm:t>
    </dgm:pt>
    <dgm:pt modelId="{646AB5A9-0C61-4EBE-9DB9-E3CC680936BB}">
      <dgm:prSet phldrT="[Text]"/>
      <dgm:spPr/>
      <dgm:t>
        <a:bodyPr/>
        <a:lstStyle/>
        <a:p>
          <a:r>
            <a:rPr lang="en-GB"/>
            <a:t>Enhanced product safety compliance </a:t>
          </a:r>
        </a:p>
      </dgm:t>
    </dgm:pt>
    <dgm:pt modelId="{6FE2009C-7A1C-493E-8130-694635AD3560}" type="parTrans" cxnId="{2D757B4E-BD5D-49C4-B3DB-CC24C2168708}">
      <dgm:prSet/>
      <dgm:spPr/>
      <dgm:t>
        <a:bodyPr/>
        <a:lstStyle/>
        <a:p>
          <a:endParaRPr lang="en-GB"/>
        </a:p>
      </dgm:t>
    </dgm:pt>
    <dgm:pt modelId="{C7325E6A-7F61-4648-9D26-A5C38941D793}" type="sibTrans" cxnId="{2D757B4E-BD5D-49C4-B3DB-CC24C2168708}">
      <dgm:prSet/>
      <dgm:spPr/>
      <dgm:t>
        <a:bodyPr/>
        <a:lstStyle/>
        <a:p>
          <a:endParaRPr lang="en-GB"/>
        </a:p>
      </dgm:t>
    </dgm:pt>
    <dgm:pt modelId="{9B160B50-11EF-4285-8B9B-DE931F331D94}">
      <dgm:prSet/>
      <dgm:spPr/>
      <dgm:t>
        <a:bodyPr/>
        <a:lstStyle/>
        <a:p>
          <a:r>
            <a:rPr lang="en-GB"/>
            <a:t>Decreased regulatory risk</a:t>
          </a:r>
        </a:p>
      </dgm:t>
    </dgm:pt>
    <dgm:pt modelId="{34878FB1-32E9-4208-8004-41326576B016}" type="parTrans" cxnId="{0DC58CA3-EA15-47B8-B338-A345E91EDA91}">
      <dgm:prSet/>
      <dgm:spPr/>
      <dgm:t>
        <a:bodyPr/>
        <a:lstStyle/>
        <a:p>
          <a:endParaRPr lang="en-GB"/>
        </a:p>
      </dgm:t>
    </dgm:pt>
    <dgm:pt modelId="{D50B25D0-33D2-4EB7-B1C5-0B24BB12F308}" type="sibTrans" cxnId="{0DC58CA3-EA15-47B8-B338-A345E91EDA91}">
      <dgm:prSet/>
      <dgm:spPr/>
      <dgm:t>
        <a:bodyPr/>
        <a:lstStyle/>
        <a:p>
          <a:endParaRPr lang="en-GB"/>
        </a:p>
      </dgm:t>
    </dgm:pt>
    <dgm:pt modelId="{8815BB8F-4BB7-4C9C-B31B-0725BADB027A}" type="pres">
      <dgm:prSet presAssocID="{4F5FF9DA-DF02-4A5C-83C0-A56E87BB8485}" presName="Name0" presStyleCnt="0">
        <dgm:presLayoutVars>
          <dgm:dir/>
          <dgm:resizeHandles val="exact"/>
        </dgm:presLayoutVars>
      </dgm:prSet>
      <dgm:spPr/>
      <dgm:t>
        <a:bodyPr/>
        <a:lstStyle/>
        <a:p>
          <a:endParaRPr lang="en-GB"/>
        </a:p>
      </dgm:t>
    </dgm:pt>
    <dgm:pt modelId="{06AE0F4D-B423-43C4-B89C-026B758816FE}" type="pres">
      <dgm:prSet presAssocID="{00A0C7AF-B15C-4103-AAB0-ADF41C37F875}" presName="node" presStyleLbl="node1" presStyleIdx="0" presStyleCnt="4" custScaleX="52542" custLinFactNeighborX="13810" custLinFactNeighborY="-575">
        <dgm:presLayoutVars>
          <dgm:bulletEnabled val="1"/>
        </dgm:presLayoutVars>
      </dgm:prSet>
      <dgm:spPr/>
      <dgm:t>
        <a:bodyPr/>
        <a:lstStyle/>
        <a:p>
          <a:endParaRPr lang="en-GB"/>
        </a:p>
      </dgm:t>
    </dgm:pt>
    <dgm:pt modelId="{80403F8F-86B8-4CCA-8639-9CFACACFCB9E}" type="pres">
      <dgm:prSet presAssocID="{F5838814-4BFA-4786-A21B-A6E3B1553DC7}" presName="sibTrans" presStyleLbl="sibTrans2D1" presStyleIdx="0" presStyleCnt="3" custScaleX="95649"/>
      <dgm:spPr/>
      <dgm:t>
        <a:bodyPr/>
        <a:lstStyle/>
        <a:p>
          <a:endParaRPr lang="en-GB"/>
        </a:p>
      </dgm:t>
    </dgm:pt>
    <dgm:pt modelId="{1C506881-5DB1-405A-8E82-51579F81610E}" type="pres">
      <dgm:prSet presAssocID="{F5838814-4BFA-4786-A21B-A6E3B1553DC7}" presName="connectorText" presStyleLbl="sibTrans2D1" presStyleIdx="0" presStyleCnt="3"/>
      <dgm:spPr/>
      <dgm:t>
        <a:bodyPr/>
        <a:lstStyle/>
        <a:p>
          <a:endParaRPr lang="en-GB"/>
        </a:p>
      </dgm:t>
    </dgm:pt>
    <dgm:pt modelId="{1458A7AC-920F-4BF8-A26D-BB1782B687E9}" type="pres">
      <dgm:prSet presAssocID="{250ECFFC-89D6-4457-BD5F-2C21B2894D58}" presName="node" presStyleLbl="node1" presStyleIdx="1" presStyleCnt="4" custScaleX="71839" custLinFactNeighborX="-7251" custLinFactNeighborY="1886">
        <dgm:presLayoutVars>
          <dgm:bulletEnabled val="1"/>
        </dgm:presLayoutVars>
      </dgm:prSet>
      <dgm:spPr/>
      <dgm:t>
        <a:bodyPr/>
        <a:lstStyle/>
        <a:p>
          <a:endParaRPr lang="en-GB"/>
        </a:p>
      </dgm:t>
    </dgm:pt>
    <dgm:pt modelId="{7B4EBE57-356E-4E66-B062-D5696FB6582F}" type="pres">
      <dgm:prSet presAssocID="{06CA0856-4C65-47BE-BD3E-B64B98CAF5F3}" presName="sibTrans" presStyleLbl="sibTrans2D1" presStyleIdx="1" presStyleCnt="3"/>
      <dgm:spPr/>
      <dgm:t>
        <a:bodyPr/>
        <a:lstStyle/>
        <a:p>
          <a:endParaRPr lang="en-GB"/>
        </a:p>
      </dgm:t>
    </dgm:pt>
    <dgm:pt modelId="{C4C1408B-BED9-444F-A143-9D282E8C5564}" type="pres">
      <dgm:prSet presAssocID="{06CA0856-4C65-47BE-BD3E-B64B98CAF5F3}" presName="connectorText" presStyleLbl="sibTrans2D1" presStyleIdx="1" presStyleCnt="3"/>
      <dgm:spPr/>
      <dgm:t>
        <a:bodyPr/>
        <a:lstStyle/>
        <a:p>
          <a:endParaRPr lang="en-GB"/>
        </a:p>
      </dgm:t>
    </dgm:pt>
    <dgm:pt modelId="{62A0BC8A-7D3E-4051-AF9F-BE1C5A54F35A}" type="pres">
      <dgm:prSet presAssocID="{646AB5A9-0C61-4EBE-9DB9-E3CC680936BB}" presName="node" presStyleLbl="node1" presStyleIdx="2" presStyleCnt="4" custScaleX="79446" custLinFactNeighborX="-48031" custLinFactNeighborY="1204">
        <dgm:presLayoutVars>
          <dgm:bulletEnabled val="1"/>
        </dgm:presLayoutVars>
      </dgm:prSet>
      <dgm:spPr/>
      <dgm:t>
        <a:bodyPr/>
        <a:lstStyle/>
        <a:p>
          <a:endParaRPr lang="en-GB"/>
        </a:p>
      </dgm:t>
    </dgm:pt>
    <dgm:pt modelId="{93703346-A230-4461-A9DC-B7CF3BDF0900}" type="pres">
      <dgm:prSet presAssocID="{C7325E6A-7F61-4648-9D26-A5C38941D793}" presName="sibTrans" presStyleLbl="sibTrans2D1" presStyleIdx="2" presStyleCnt="3" custScaleY="77200"/>
      <dgm:spPr/>
      <dgm:t>
        <a:bodyPr/>
        <a:lstStyle/>
        <a:p>
          <a:endParaRPr lang="en-GB"/>
        </a:p>
      </dgm:t>
    </dgm:pt>
    <dgm:pt modelId="{E456F2F1-ECC5-4671-8FDB-5ED9F65B803C}" type="pres">
      <dgm:prSet presAssocID="{C7325E6A-7F61-4648-9D26-A5C38941D793}" presName="connectorText" presStyleLbl="sibTrans2D1" presStyleIdx="2" presStyleCnt="3"/>
      <dgm:spPr/>
      <dgm:t>
        <a:bodyPr/>
        <a:lstStyle/>
        <a:p>
          <a:endParaRPr lang="en-GB"/>
        </a:p>
      </dgm:t>
    </dgm:pt>
    <dgm:pt modelId="{AB7FB19A-DBDE-4C08-8D1A-891FC76F2A30}" type="pres">
      <dgm:prSet presAssocID="{9B160B50-11EF-4285-8B9B-DE931F331D94}" presName="node" presStyleLbl="node1" presStyleIdx="3" presStyleCnt="4" custScaleX="70653" custLinFactNeighborX="-72493" custLinFactNeighborY="638">
        <dgm:presLayoutVars>
          <dgm:bulletEnabled val="1"/>
        </dgm:presLayoutVars>
      </dgm:prSet>
      <dgm:spPr/>
      <dgm:t>
        <a:bodyPr/>
        <a:lstStyle/>
        <a:p>
          <a:endParaRPr lang="en-GB"/>
        </a:p>
      </dgm:t>
    </dgm:pt>
  </dgm:ptLst>
  <dgm:cxnLst>
    <dgm:cxn modelId="{5EBD3311-00E2-4ADD-BF3E-B0234FA86213}" type="presOf" srcId="{9B160B50-11EF-4285-8B9B-DE931F331D94}" destId="{AB7FB19A-DBDE-4C08-8D1A-891FC76F2A30}" srcOrd="0" destOrd="0" presId="urn:microsoft.com/office/officeart/2005/8/layout/process1"/>
    <dgm:cxn modelId="{0DC58CA3-EA15-47B8-B338-A345E91EDA91}" srcId="{4F5FF9DA-DF02-4A5C-83C0-A56E87BB8485}" destId="{9B160B50-11EF-4285-8B9B-DE931F331D94}" srcOrd="3" destOrd="0" parTransId="{34878FB1-32E9-4208-8004-41326576B016}" sibTransId="{D50B25D0-33D2-4EB7-B1C5-0B24BB12F308}"/>
    <dgm:cxn modelId="{CC11495A-E0DE-4162-A820-E49A3DD543BD}" type="presOf" srcId="{C7325E6A-7F61-4648-9D26-A5C38941D793}" destId="{E456F2F1-ECC5-4671-8FDB-5ED9F65B803C}" srcOrd="1" destOrd="0" presId="urn:microsoft.com/office/officeart/2005/8/layout/process1"/>
    <dgm:cxn modelId="{749B0B00-64B1-40FF-8922-F1B071B2187B}" type="presOf" srcId="{4F5FF9DA-DF02-4A5C-83C0-A56E87BB8485}" destId="{8815BB8F-4BB7-4C9C-B31B-0725BADB027A}" srcOrd="0" destOrd="0" presId="urn:microsoft.com/office/officeart/2005/8/layout/process1"/>
    <dgm:cxn modelId="{B872E6F4-8484-4128-AD60-AEE9A5DAD157}" type="presOf" srcId="{06CA0856-4C65-47BE-BD3E-B64B98CAF5F3}" destId="{C4C1408B-BED9-444F-A143-9D282E8C5564}" srcOrd="1" destOrd="0" presId="urn:microsoft.com/office/officeart/2005/8/layout/process1"/>
    <dgm:cxn modelId="{2BFE745C-7E5E-4175-81DC-C7E5CFB46492}" srcId="{4F5FF9DA-DF02-4A5C-83C0-A56E87BB8485}" destId="{250ECFFC-89D6-4457-BD5F-2C21B2894D58}" srcOrd="1" destOrd="0" parTransId="{7F82C21B-3834-44D9-940D-8CA8D663A43E}" sibTransId="{06CA0856-4C65-47BE-BD3E-B64B98CAF5F3}"/>
    <dgm:cxn modelId="{927BB440-B91C-4079-B02E-823F051FFDDA}" type="presOf" srcId="{C7325E6A-7F61-4648-9D26-A5C38941D793}" destId="{93703346-A230-4461-A9DC-B7CF3BDF0900}" srcOrd="0" destOrd="0" presId="urn:microsoft.com/office/officeart/2005/8/layout/process1"/>
    <dgm:cxn modelId="{2D757B4E-BD5D-49C4-B3DB-CC24C2168708}" srcId="{4F5FF9DA-DF02-4A5C-83C0-A56E87BB8485}" destId="{646AB5A9-0C61-4EBE-9DB9-E3CC680936BB}" srcOrd="2" destOrd="0" parTransId="{6FE2009C-7A1C-493E-8130-694635AD3560}" sibTransId="{C7325E6A-7F61-4648-9D26-A5C38941D793}"/>
    <dgm:cxn modelId="{2E30D69D-E598-42D4-8AE6-AE16AA03126C}" type="presOf" srcId="{06CA0856-4C65-47BE-BD3E-B64B98CAF5F3}" destId="{7B4EBE57-356E-4E66-B062-D5696FB6582F}" srcOrd="0" destOrd="0" presId="urn:microsoft.com/office/officeart/2005/8/layout/process1"/>
    <dgm:cxn modelId="{80E7E2C5-C240-494D-8981-A9961EC58B01}" type="presOf" srcId="{646AB5A9-0C61-4EBE-9DB9-E3CC680936BB}" destId="{62A0BC8A-7D3E-4051-AF9F-BE1C5A54F35A}" srcOrd="0" destOrd="0" presId="urn:microsoft.com/office/officeart/2005/8/layout/process1"/>
    <dgm:cxn modelId="{AF1F52E3-E7B8-4099-9430-0FE168831C60}" type="presOf" srcId="{00A0C7AF-B15C-4103-AAB0-ADF41C37F875}" destId="{06AE0F4D-B423-43C4-B89C-026B758816FE}" srcOrd="0" destOrd="0" presId="urn:microsoft.com/office/officeart/2005/8/layout/process1"/>
    <dgm:cxn modelId="{DFB62CEA-462B-41BF-8E79-BE4EA563E986}" srcId="{4F5FF9DA-DF02-4A5C-83C0-A56E87BB8485}" destId="{00A0C7AF-B15C-4103-AAB0-ADF41C37F875}" srcOrd="0" destOrd="0" parTransId="{E3D36BF8-7040-4C52-85B5-70707EAFDAA0}" sibTransId="{F5838814-4BFA-4786-A21B-A6E3B1553DC7}"/>
    <dgm:cxn modelId="{041EB1B0-FF60-4BAE-B1F5-C30C0F9018AE}" type="presOf" srcId="{250ECFFC-89D6-4457-BD5F-2C21B2894D58}" destId="{1458A7AC-920F-4BF8-A26D-BB1782B687E9}" srcOrd="0" destOrd="0" presId="urn:microsoft.com/office/officeart/2005/8/layout/process1"/>
    <dgm:cxn modelId="{FBDBBC56-8427-4F20-BE9E-C2E097455CD7}" type="presOf" srcId="{F5838814-4BFA-4786-A21B-A6E3B1553DC7}" destId="{1C506881-5DB1-405A-8E82-51579F81610E}" srcOrd="1" destOrd="0" presId="urn:microsoft.com/office/officeart/2005/8/layout/process1"/>
    <dgm:cxn modelId="{99028D78-2E28-41FB-B9CE-6509DACD1F12}" type="presOf" srcId="{F5838814-4BFA-4786-A21B-A6E3B1553DC7}" destId="{80403F8F-86B8-4CCA-8639-9CFACACFCB9E}" srcOrd="0" destOrd="0" presId="urn:microsoft.com/office/officeart/2005/8/layout/process1"/>
    <dgm:cxn modelId="{C0083F06-A3C6-4D53-9974-9E5E5D3F88BF}" type="presParOf" srcId="{8815BB8F-4BB7-4C9C-B31B-0725BADB027A}" destId="{06AE0F4D-B423-43C4-B89C-026B758816FE}" srcOrd="0" destOrd="0" presId="urn:microsoft.com/office/officeart/2005/8/layout/process1"/>
    <dgm:cxn modelId="{BCA8DAE0-2F19-45D1-B1C8-D7665DF53121}" type="presParOf" srcId="{8815BB8F-4BB7-4C9C-B31B-0725BADB027A}" destId="{80403F8F-86B8-4CCA-8639-9CFACACFCB9E}" srcOrd="1" destOrd="0" presId="urn:microsoft.com/office/officeart/2005/8/layout/process1"/>
    <dgm:cxn modelId="{FC189281-1A98-4C7F-A5A8-7381647F0821}" type="presParOf" srcId="{80403F8F-86B8-4CCA-8639-9CFACACFCB9E}" destId="{1C506881-5DB1-405A-8E82-51579F81610E}" srcOrd="0" destOrd="0" presId="urn:microsoft.com/office/officeart/2005/8/layout/process1"/>
    <dgm:cxn modelId="{673B9114-3B4D-4503-B333-C5D725F226B8}" type="presParOf" srcId="{8815BB8F-4BB7-4C9C-B31B-0725BADB027A}" destId="{1458A7AC-920F-4BF8-A26D-BB1782B687E9}" srcOrd="2" destOrd="0" presId="urn:microsoft.com/office/officeart/2005/8/layout/process1"/>
    <dgm:cxn modelId="{D5019161-4B29-4107-9628-5D6EAB0ACEF3}" type="presParOf" srcId="{8815BB8F-4BB7-4C9C-B31B-0725BADB027A}" destId="{7B4EBE57-356E-4E66-B062-D5696FB6582F}" srcOrd="3" destOrd="0" presId="urn:microsoft.com/office/officeart/2005/8/layout/process1"/>
    <dgm:cxn modelId="{220F1C26-2CE6-4797-A2B5-D033B8A96561}" type="presParOf" srcId="{7B4EBE57-356E-4E66-B062-D5696FB6582F}" destId="{C4C1408B-BED9-444F-A143-9D282E8C5564}" srcOrd="0" destOrd="0" presId="urn:microsoft.com/office/officeart/2005/8/layout/process1"/>
    <dgm:cxn modelId="{700D05ED-BE3D-4C77-99CD-6D8D3FAF2BCE}" type="presParOf" srcId="{8815BB8F-4BB7-4C9C-B31B-0725BADB027A}" destId="{62A0BC8A-7D3E-4051-AF9F-BE1C5A54F35A}" srcOrd="4" destOrd="0" presId="urn:microsoft.com/office/officeart/2005/8/layout/process1"/>
    <dgm:cxn modelId="{1874CB14-C875-4715-9B70-30B460E46A84}" type="presParOf" srcId="{8815BB8F-4BB7-4C9C-B31B-0725BADB027A}" destId="{93703346-A230-4461-A9DC-B7CF3BDF0900}" srcOrd="5" destOrd="0" presId="urn:microsoft.com/office/officeart/2005/8/layout/process1"/>
    <dgm:cxn modelId="{1556C618-10F7-442D-A1A4-0B5E7C874067}" type="presParOf" srcId="{93703346-A230-4461-A9DC-B7CF3BDF0900}" destId="{E456F2F1-ECC5-4671-8FDB-5ED9F65B803C}" srcOrd="0" destOrd="0" presId="urn:microsoft.com/office/officeart/2005/8/layout/process1"/>
    <dgm:cxn modelId="{22395723-8D1E-424B-ADD5-435484BCC8BA}" type="presParOf" srcId="{8815BB8F-4BB7-4C9C-B31B-0725BADB027A}" destId="{AB7FB19A-DBDE-4C08-8D1A-891FC76F2A30}" srcOrd="6" destOrd="0" presId="urn:microsoft.com/office/officeart/2005/8/layout/process1"/>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6E7BF3-8EE2-47C2-A4A1-F0308D24A1EF}">
      <dsp:nvSpPr>
        <dsp:cNvPr id="0" name=""/>
        <dsp:cNvSpPr/>
      </dsp:nvSpPr>
      <dsp:spPr>
        <a:xfrm>
          <a:off x="0" y="106211"/>
          <a:ext cx="1301848" cy="20710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Arial" panose="020B0604020202020204" pitchFamily="34" charset="0"/>
              <a:cs typeface="Arial" panose="020B0604020202020204" pitchFamily="34" charset="0"/>
            </a:rPr>
            <a:t>Strengths</a:t>
          </a:r>
          <a:endParaRPr lang="en-GB" sz="1200" b="1" kern="1200">
            <a:solidFill>
              <a:srgbClr val="FF0000"/>
            </a:solidFill>
            <a:latin typeface="Arial" panose="020B0604020202020204" pitchFamily="34" charset="0"/>
            <a:cs typeface="Arial" panose="020B0604020202020204" pitchFamily="34" charset="0"/>
          </a:endParaRPr>
        </a:p>
        <a:p>
          <a:pPr lvl="0" algn="ctr" defTabSz="6223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 </a:t>
          </a:r>
          <a:r>
            <a:rPr lang="en-GB" sz="1100" b="1" kern="1200">
              <a:latin typeface="Arial" panose="020B0604020202020204" pitchFamily="34" charset="0"/>
              <a:cs typeface="Arial" panose="020B0604020202020204" pitchFamily="34" charset="0"/>
            </a:rPr>
            <a:t>strong market share in wearable technology and a recognisable brand </a:t>
          </a:r>
        </a:p>
        <a:p>
          <a:pPr lvl="0" algn="ctr" defTabSz="622300">
            <a:lnSpc>
              <a:spcPct val="90000"/>
            </a:lnSpc>
            <a:spcBef>
              <a:spcPct val="0"/>
            </a:spcBef>
            <a:spcAft>
              <a:spcPct val="35000"/>
            </a:spcAft>
          </a:pPr>
          <a:r>
            <a:rPr lang="en-GB" sz="1100" b="1" kern="1200">
              <a:latin typeface="Arial" panose="020B0604020202020204" pitchFamily="34" charset="0"/>
              <a:cs typeface="Arial" panose="020B0604020202020204" pitchFamily="34" charset="0"/>
            </a:rPr>
            <a:t>Google Health Data Systems connectivity</a:t>
          </a:r>
          <a:endParaRPr lang="en-GB" sz="1100" kern="1200">
            <a:latin typeface="Arial" panose="020B0604020202020204" pitchFamily="34" charset="0"/>
            <a:cs typeface="Arial" panose="020B0604020202020204" pitchFamily="34" charset="0"/>
          </a:endParaRPr>
        </a:p>
      </dsp:txBody>
      <dsp:txXfrm>
        <a:off x="0" y="106211"/>
        <a:ext cx="1301848" cy="2071080"/>
      </dsp:txXfrm>
    </dsp:sp>
    <dsp:sp modelId="{AF888E57-7116-4A79-808D-5E9E5E459619}">
      <dsp:nvSpPr>
        <dsp:cNvPr id="0" name=""/>
        <dsp:cNvSpPr/>
      </dsp:nvSpPr>
      <dsp:spPr>
        <a:xfrm>
          <a:off x="1369854" y="100824"/>
          <a:ext cx="1367512" cy="206415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Arial" panose="020B0604020202020204" pitchFamily="34" charset="0"/>
              <a:cs typeface="Arial" panose="020B0604020202020204" pitchFamily="34" charset="0"/>
            </a:rPr>
            <a:t>Weaknesses</a:t>
          </a:r>
        </a:p>
        <a:p>
          <a:pPr lvl="0" algn="ctr" defTabSz="622300">
            <a:lnSpc>
              <a:spcPct val="90000"/>
            </a:lnSpc>
            <a:spcBef>
              <a:spcPct val="0"/>
            </a:spcBef>
            <a:spcAft>
              <a:spcPct val="35000"/>
            </a:spcAft>
          </a:pPr>
          <a:endParaRPr lang="en-GB" sz="1400" b="1" kern="1200">
            <a:solidFill>
              <a:srgbClr val="FF0000"/>
            </a:solidFill>
            <a:latin typeface="Arial" panose="020B0604020202020204" pitchFamily="34" charset="0"/>
            <a:cs typeface="Arial" panose="020B0604020202020204" pitchFamily="34" charset="0"/>
          </a:endParaRPr>
        </a:p>
        <a:p>
          <a:pPr lvl="0" algn="ctr" defTabSz="622300">
            <a:lnSpc>
              <a:spcPct val="90000"/>
            </a:lnSpc>
            <a:spcBef>
              <a:spcPct val="0"/>
            </a:spcBef>
            <a:spcAft>
              <a:spcPct val="35000"/>
            </a:spcAft>
          </a:pPr>
          <a:r>
            <a:rPr lang="en-GB" sz="1100" b="1" kern="1200">
              <a:latin typeface="Arial" panose="020B0604020202020204" pitchFamily="34" charset="0"/>
              <a:cs typeface="Arial" panose="020B0604020202020204" pitchFamily="34" charset="0"/>
            </a:rPr>
            <a:t>heavy reliance on outside suppliers </a:t>
          </a:r>
        </a:p>
        <a:p>
          <a:pPr lvl="0" algn="ctr" defTabSz="622300">
            <a:lnSpc>
              <a:spcPct val="90000"/>
            </a:lnSpc>
            <a:spcBef>
              <a:spcPct val="0"/>
            </a:spcBef>
            <a:spcAft>
              <a:spcPct val="35000"/>
            </a:spcAft>
          </a:pPr>
          <a:r>
            <a:rPr lang="en-GB" sz="1100" b="1" kern="1200">
              <a:latin typeface="Arial" panose="020B0604020202020204" pitchFamily="34" charset="0"/>
              <a:cs typeface="Arial" panose="020B0604020202020204" pitchFamily="34" charset="0"/>
            </a:rPr>
            <a:t>limited manufacturing flexibility</a:t>
          </a:r>
        </a:p>
        <a:p>
          <a:pPr lvl="0" algn="ctr" defTabSz="622300">
            <a:lnSpc>
              <a:spcPct val="90000"/>
            </a:lnSpc>
            <a:spcBef>
              <a:spcPct val="0"/>
            </a:spcBef>
            <a:spcAft>
              <a:spcPct val="35000"/>
            </a:spcAft>
          </a:pPr>
          <a:r>
            <a:rPr lang="en-GB" sz="1100" b="1" kern="1200">
              <a:latin typeface="Arial" panose="020B0604020202020204" pitchFamily="34" charset="0"/>
              <a:cs typeface="Arial" panose="020B0604020202020204" pitchFamily="34" charset="0"/>
            </a:rPr>
            <a:t>Potential abuse of data analytics</a:t>
          </a:r>
          <a:endParaRPr lang="en-GB" sz="1100" kern="1200">
            <a:latin typeface="Arial" panose="020B0604020202020204" pitchFamily="34" charset="0"/>
            <a:cs typeface="Arial" panose="020B0604020202020204" pitchFamily="34" charset="0"/>
          </a:endParaRPr>
        </a:p>
      </dsp:txBody>
      <dsp:txXfrm>
        <a:off x="1369854" y="100824"/>
        <a:ext cx="1367512" cy="2064155"/>
      </dsp:txXfrm>
    </dsp:sp>
    <dsp:sp modelId="{8386E727-EEAB-4094-9981-57BB9121C34B}">
      <dsp:nvSpPr>
        <dsp:cNvPr id="0" name=""/>
        <dsp:cNvSpPr/>
      </dsp:nvSpPr>
      <dsp:spPr>
        <a:xfrm>
          <a:off x="2841094" y="88412"/>
          <a:ext cx="1351424" cy="206923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Arial" panose="020B0604020202020204" pitchFamily="34" charset="0"/>
              <a:cs typeface="Arial" panose="020B0604020202020204" pitchFamily="34" charset="0"/>
            </a:rPr>
            <a:t>Opportunities</a:t>
          </a:r>
          <a:endParaRPr lang="en-GB" sz="1200" b="1" kern="1200">
            <a:solidFill>
              <a:srgbClr val="FF0000"/>
            </a:solidFill>
            <a:latin typeface="Arial" panose="020B0604020202020204" pitchFamily="34" charset="0"/>
            <a:cs typeface="Arial" panose="020B0604020202020204" pitchFamily="34" charset="0"/>
          </a:endParaRPr>
        </a:p>
        <a:p>
          <a:pPr lvl="0" algn="ctr" defTabSz="6223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 </a:t>
          </a:r>
          <a:r>
            <a:rPr lang="en-GB" sz="1100" b="0" kern="1200">
              <a:latin typeface="Arial" panose="020B0604020202020204" pitchFamily="34" charset="0"/>
              <a:cs typeface="Arial" panose="020B0604020202020204" pitchFamily="34" charset="0"/>
            </a:rPr>
            <a:t>The market for digital health devices is expanding. </a:t>
          </a:r>
        </a:p>
        <a:p>
          <a:pPr lvl="0" algn="ctr" defTabSz="6223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Partnerships with the NHS on preventative care and consumer adoption of remote health monitoring</a:t>
          </a:r>
        </a:p>
      </dsp:txBody>
      <dsp:txXfrm>
        <a:off x="2841094" y="88412"/>
        <a:ext cx="1351424" cy="2069237"/>
      </dsp:txXfrm>
    </dsp:sp>
    <dsp:sp modelId="{C6E16200-637D-4EA0-83FF-5265445B355A}">
      <dsp:nvSpPr>
        <dsp:cNvPr id="0" name=""/>
        <dsp:cNvSpPr/>
      </dsp:nvSpPr>
      <dsp:spPr>
        <a:xfrm>
          <a:off x="4281411" y="84674"/>
          <a:ext cx="1211932" cy="203896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rgbClr val="FF0000"/>
              </a:solidFill>
              <a:latin typeface="Arial" panose="020B0604020202020204" pitchFamily="34" charset="0"/>
              <a:cs typeface="Arial" panose="020B0604020202020204" pitchFamily="34" charset="0"/>
            </a:rPr>
            <a:t>Threats</a:t>
          </a:r>
          <a:r>
            <a:rPr lang="en-GB" sz="1400" b="1" kern="1200">
              <a:latin typeface="Arial" panose="020B0604020202020204" pitchFamily="34" charset="0"/>
              <a:cs typeface="Arial" panose="020B0604020202020204" pitchFamily="34" charset="0"/>
            </a:rPr>
            <a:t> </a:t>
          </a:r>
        </a:p>
        <a:p>
          <a:pPr lvl="0" algn="ctr" defTabSz="6223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Garmin and Apple are fierce rivals. Medical device regulations in the UK are stringent. </a:t>
          </a:r>
        </a:p>
        <a:p>
          <a:pPr lvl="0" algn="ctr" defTabSz="6223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Cybersecurity and data privacy risks</a:t>
          </a:r>
        </a:p>
      </dsp:txBody>
      <dsp:txXfrm>
        <a:off x="4281411" y="84674"/>
        <a:ext cx="1211932" cy="203896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22C7DD-C235-4EA3-B5BB-1BB76F377A80}">
      <dsp:nvSpPr>
        <dsp:cNvPr id="0" name=""/>
        <dsp:cNvSpPr/>
      </dsp:nvSpPr>
      <dsp:spPr>
        <a:xfrm>
          <a:off x="1931" y="6755"/>
          <a:ext cx="1882810"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lvl="0" algn="ctr" defTabSz="666750">
            <a:lnSpc>
              <a:spcPct val="90000"/>
            </a:lnSpc>
            <a:spcBef>
              <a:spcPct val="0"/>
            </a:spcBef>
            <a:spcAft>
              <a:spcPct val="35000"/>
            </a:spcAft>
          </a:pPr>
          <a:r>
            <a:rPr lang="en-GB" sz="1500" b="1" kern="1200"/>
            <a:t>Political</a:t>
          </a:r>
          <a:endParaRPr lang="en-GB" sz="1500" kern="1200"/>
        </a:p>
      </dsp:txBody>
      <dsp:txXfrm>
        <a:off x="1931" y="6755"/>
        <a:ext cx="1882810" cy="432000"/>
      </dsp:txXfrm>
    </dsp:sp>
    <dsp:sp modelId="{C116165F-0BC8-4432-8F90-8260DE7ED642}">
      <dsp:nvSpPr>
        <dsp:cNvPr id="0" name=""/>
        <dsp:cNvSpPr/>
      </dsp:nvSpPr>
      <dsp:spPr>
        <a:xfrm>
          <a:off x="1931" y="438755"/>
          <a:ext cx="1882810" cy="14823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GB" sz="1500" kern="1200"/>
            <a:t>requirements for medical compliance with the UK MHRA (alignment of regulations following Brexit). </a:t>
          </a:r>
        </a:p>
      </dsp:txBody>
      <dsp:txXfrm>
        <a:off x="1931" y="438755"/>
        <a:ext cx="1882810" cy="1482300"/>
      </dsp:txXfrm>
    </dsp:sp>
    <dsp:sp modelId="{63262B93-33C8-427D-96F8-2E807EEB27AF}">
      <dsp:nvSpPr>
        <dsp:cNvPr id="0" name=""/>
        <dsp:cNvSpPr/>
      </dsp:nvSpPr>
      <dsp:spPr>
        <a:xfrm>
          <a:off x="2148335" y="6755"/>
          <a:ext cx="1882810"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lvl="0" algn="ctr" defTabSz="666750">
            <a:lnSpc>
              <a:spcPct val="90000"/>
            </a:lnSpc>
            <a:spcBef>
              <a:spcPct val="0"/>
            </a:spcBef>
            <a:spcAft>
              <a:spcPct val="35000"/>
            </a:spcAft>
          </a:pPr>
          <a:r>
            <a:rPr lang="en-GB" sz="1500" b="1" kern="1200"/>
            <a:t>Economic</a:t>
          </a:r>
          <a:endParaRPr lang="en-GB" sz="1500" kern="1200"/>
        </a:p>
      </dsp:txBody>
      <dsp:txXfrm>
        <a:off x="2148335" y="6755"/>
        <a:ext cx="1882810" cy="432000"/>
      </dsp:txXfrm>
    </dsp:sp>
    <dsp:sp modelId="{CC9249BE-0F79-414E-8078-AD79CA6BD5FD}">
      <dsp:nvSpPr>
        <dsp:cNvPr id="0" name=""/>
        <dsp:cNvSpPr/>
      </dsp:nvSpPr>
      <dsp:spPr>
        <a:xfrm>
          <a:off x="2148335" y="438755"/>
          <a:ext cx="1882810" cy="14823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GB" sz="1500" kern="1200"/>
            <a:t>Digital health boom following the pandemic and growing cost pressures</a:t>
          </a:r>
        </a:p>
      </dsp:txBody>
      <dsp:txXfrm>
        <a:off x="2148335" y="438755"/>
        <a:ext cx="1882810" cy="1482300"/>
      </dsp:txXfrm>
    </dsp:sp>
    <dsp:sp modelId="{D622E87D-BAA4-4C21-A2D8-B981A6ADD7A2}">
      <dsp:nvSpPr>
        <dsp:cNvPr id="0" name=""/>
        <dsp:cNvSpPr/>
      </dsp:nvSpPr>
      <dsp:spPr>
        <a:xfrm>
          <a:off x="4294739" y="6755"/>
          <a:ext cx="1882810"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lvl="0" algn="ctr" defTabSz="666750">
            <a:lnSpc>
              <a:spcPct val="90000"/>
            </a:lnSpc>
            <a:spcBef>
              <a:spcPct val="0"/>
            </a:spcBef>
            <a:spcAft>
              <a:spcPct val="35000"/>
            </a:spcAft>
          </a:pPr>
          <a:r>
            <a:rPr lang="en-GB" sz="1500" b="1" kern="1200"/>
            <a:t>Social</a:t>
          </a:r>
          <a:endParaRPr lang="en-GB" sz="1500" kern="1200"/>
        </a:p>
      </dsp:txBody>
      <dsp:txXfrm>
        <a:off x="4294739" y="6755"/>
        <a:ext cx="1882810" cy="432000"/>
      </dsp:txXfrm>
    </dsp:sp>
    <dsp:sp modelId="{FD09E989-C051-4B32-B5C8-E00612DE62A4}">
      <dsp:nvSpPr>
        <dsp:cNvPr id="0" name=""/>
        <dsp:cNvSpPr/>
      </dsp:nvSpPr>
      <dsp:spPr>
        <a:xfrm>
          <a:off x="4294739" y="438755"/>
          <a:ext cx="1882810" cy="148230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GB" sz="1500" kern="1200"/>
            <a:t>Increasing awareness of physical activity and preventive medicine</a:t>
          </a:r>
        </a:p>
      </dsp:txBody>
      <dsp:txXfrm>
        <a:off x="4294739" y="438755"/>
        <a:ext cx="1882810" cy="14823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1C94D-9BA7-4964-BB38-A1698AA375F3}">
      <dsp:nvSpPr>
        <dsp:cNvPr id="0" name=""/>
        <dsp:cNvSpPr/>
      </dsp:nvSpPr>
      <dsp:spPr>
        <a:xfrm>
          <a:off x="1954" y="135507"/>
          <a:ext cx="1905879" cy="4608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GB" sz="1600" b="1" kern="1200"/>
            <a:t>Technological</a:t>
          </a:r>
          <a:endParaRPr lang="en-GB" sz="1600" kern="1200"/>
        </a:p>
      </dsp:txBody>
      <dsp:txXfrm>
        <a:off x="1954" y="135507"/>
        <a:ext cx="1905879" cy="460800"/>
      </dsp:txXfrm>
    </dsp:sp>
    <dsp:sp modelId="{002A411E-75AB-4055-8B98-D7F17590CFF1}">
      <dsp:nvSpPr>
        <dsp:cNvPr id="0" name=""/>
        <dsp:cNvSpPr/>
      </dsp:nvSpPr>
      <dsp:spPr>
        <a:xfrm>
          <a:off x="1954" y="596307"/>
          <a:ext cx="1905879" cy="132995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t>Advances in biosensor technology and AI data modelling</a:t>
          </a:r>
        </a:p>
      </dsp:txBody>
      <dsp:txXfrm>
        <a:off x="1954" y="596307"/>
        <a:ext cx="1905879" cy="1329952"/>
      </dsp:txXfrm>
    </dsp:sp>
    <dsp:sp modelId="{EC09641D-F055-488D-8817-9214A18F55E1}">
      <dsp:nvSpPr>
        <dsp:cNvPr id="0" name=""/>
        <dsp:cNvSpPr/>
      </dsp:nvSpPr>
      <dsp:spPr>
        <a:xfrm>
          <a:off x="2174657" y="135507"/>
          <a:ext cx="1905879" cy="4608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GB" sz="1600" b="1" kern="1200"/>
            <a:t>Legal</a:t>
          </a:r>
          <a:endParaRPr lang="en-GB" sz="1600" kern="1200"/>
        </a:p>
      </dsp:txBody>
      <dsp:txXfrm>
        <a:off x="2174657" y="135507"/>
        <a:ext cx="1905879" cy="460800"/>
      </dsp:txXfrm>
    </dsp:sp>
    <dsp:sp modelId="{DF128002-49E4-4FA0-BFE5-1D5258C4A9F0}">
      <dsp:nvSpPr>
        <dsp:cNvPr id="0" name=""/>
        <dsp:cNvSpPr/>
      </dsp:nvSpPr>
      <dsp:spPr>
        <a:xfrm>
          <a:off x="2174657" y="596307"/>
          <a:ext cx="1905879" cy="132995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t>GDPR and MDR data protection regulations in the UK. </a:t>
          </a:r>
        </a:p>
      </dsp:txBody>
      <dsp:txXfrm>
        <a:off x="2174657" y="596307"/>
        <a:ext cx="1905879" cy="1329952"/>
      </dsp:txXfrm>
    </dsp:sp>
    <dsp:sp modelId="{9B40E07D-A318-4A0E-B101-18C64180D038}">
      <dsp:nvSpPr>
        <dsp:cNvPr id="0" name=""/>
        <dsp:cNvSpPr/>
      </dsp:nvSpPr>
      <dsp:spPr>
        <a:xfrm>
          <a:off x="4347360" y="135507"/>
          <a:ext cx="1905879" cy="4608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65024" rIns="113792" bIns="65024" numCol="1" spcCol="1270" anchor="ctr" anchorCtr="0">
          <a:noAutofit/>
        </a:bodyPr>
        <a:lstStyle/>
        <a:p>
          <a:pPr lvl="0" algn="ctr" defTabSz="711200">
            <a:lnSpc>
              <a:spcPct val="90000"/>
            </a:lnSpc>
            <a:spcBef>
              <a:spcPct val="0"/>
            </a:spcBef>
            <a:spcAft>
              <a:spcPct val="35000"/>
            </a:spcAft>
          </a:pPr>
          <a:r>
            <a:rPr lang="en-GB" sz="1600" b="1" kern="1200"/>
            <a:t>Environmental</a:t>
          </a:r>
          <a:endParaRPr lang="en-GB" sz="1600" kern="1200"/>
        </a:p>
      </dsp:txBody>
      <dsp:txXfrm>
        <a:off x="4347360" y="135507"/>
        <a:ext cx="1905879" cy="460800"/>
      </dsp:txXfrm>
    </dsp:sp>
    <dsp:sp modelId="{D8458401-14BA-4D53-A019-12EFDBF481C0}">
      <dsp:nvSpPr>
        <dsp:cNvPr id="0" name=""/>
        <dsp:cNvSpPr/>
      </dsp:nvSpPr>
      <dsp:spPr>
        <a:xfrm>
          <a:off x="4347360" y="596307"/>
          <a:ext cx="1905879" cy="1329952"/>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85344" rIns="113792" bIns="128016" numCol="1" spcCol="1270" anchor="t" anchorCtr="0">
          <a:noAutofit/>
        </a:bodyPr>
        <a:lstStyle/>
        <a:p>
          <a:pPr marL="171450" lvl="1" indent="-171450" algn="l" defTabSz="711200">
            <a:lnSpc>
              <a:spcPct val="90000"/>
            </a:lnSpc>
            <a:spcBef>
              <a:spcPct val="0"/>
            </a:spcBef>
            <a:spcAft>
              <a:spcPct val="15000"/>
            </a:spcAft>
            <a:buChar char="••"/>
          </a:pPr>
          <a:r>
            <a:rPr lang="en-GB" sz="1600" kern="1200"/>
            <a:t>An increase in the demand for sustainable production and electrical recycling</a:t>
          </a:r>
        </a:p>
      </dsp:txBody>
      <dsp:txXfrm>
        <a:off x="4347360" y="596307"/>
        <a:ext cx="1905879" cy="132995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95A510-C1A6-4AD0-9DD2-9930FBC92464}">
      <dsp:nvSpPr>
        <dsp:cNvPr id="0" name=""/>
        <dsp:cNvSpPr/>
      </dsp:nvSpPr>
      <dsp:spPr>
        <a:xfrm>
          <a:off x="0" y="108967"/>
          <a:ext cx="5987281"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GB" sz="1400" b="1" kern="1200"/>
            <a:t>Objective</a:t>
          </a:r>
          <a:endParaRPr lang="en-GB" sz="1400" kern="1200"/>
        </a:p>
      </dsp:txBody>
      <dsp:txXfrm>
        <a:off x="16392" y="125359"/>
        <a:ext cx="5954497" cy="303006"/>
      </dsp:txXfrm>
    </dsp:sp>
    <dsp:sp modelId="{E86E0D7F-2A98-4DC5-8477-541497910599}">
      <dsp:nvSpPr>
        <dsp:cNvPr id="0" name=""/>
        <dsp:cNvSpPr/>
      </dsp:nvSpPr>
      <dsp:spPr>
        <a:xfrm>
          <a:off x="0" y="444757"/>
          <a:ext cx="5987281" cy="1333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96" tIns="17780" rIns="99568" bIns="17780" numCol="1" spcCol="1270" anchor="t" anchorCtr="0">
          <a:noAutofit/>
        </a:bodyPr>
        <a:lstStyle/>
        <a:p>
          <a:pPr marL="57150" lvl="1" indent="-57150" algn="l" defTabSz="488950">
            <a:lnSpc>
              <a:spcPct val="90000"/>
            </a:lnSpc>
            <a:spcBef>
              <a:spcPct val="0"/>
            </a:spcBef>
            <a:spcAft>
              <a:spcPct val="20000"/>
            </a:spcAft>
            <a:buChar char="••"/>
          </a:pPr>
          <a:r>
            <a:rPr lang="en-GB" sz="1100" b="1" kern="1200"/>
            <a:t>Full product development</a:t>
          </a:r>
        </a:p>
        <a:p>
          <a:pPr marL="57150" lvl="1" indent="-57150" algn="l" defTabSz="488950">
            <a:lnSpc>
              <a:spcPct val="90000"/>
            </a:lnSpc>
            <a:spcBef>
              <a:spcPct val="0"/>
            </a:spcBef>
            <a:spcAft>
              <a:spcPct val="20000"/>
            </a:spcAft>
            <a:buChar char="••"/>
          </a:pPr>
          <a:endParaRPr lang="en-GB" sz="1100" b="1" kern="1200"/>
        </a:p>
        <a:p>
          <a:pPr marL="57150" lvl="1" indent="-57150" algn="l" defTabSz="488950">
            <a:lnSpc>
              <a:spcPct val="90000"/>
            </a:lnSpc>
            <a:spcBef>
              <a:spcPct val="0"/>
            </a:spcBef>
            <a:spcAft>
              <a:spcPct val="20000"/>
            </a:spcAft>
            <a:buChar char="••"/>
          </a:pPr>
          <a:r>
            <a:rPr lang="en-GB" sz="1100" b="1" kern="1200"/>
            <a:t>Reach a device accuracy of 95%.</a:t>
          </a:r>
        </a:p>
        <a:p>
          <a:pPr marL="57150" lvl="1" indent="-57150" algn="l" defTabSz="488950">
            <a:lnSpc>
              <a:spcPct val="90000"/>
            </a:lnSpc>
            <a:spcBef>
              <a:spcPct val="0"/>
            </a:spcBef>
            <a:spcAft>
              <a:spcPct val="20000"/>
            </a:spcAft>
            <a:buChar char="••"/>
          </a:pPr>
          <a:endParaRPr lang="en-GB" sz="1100" b="1" kern="1200"/>
        </a:p>
        <a:p>
          <a:pPr marL="57150" lvl="1" indent="-57150" algn="l" defTabSz="488950">
            <a:lnSpc>
              <a:spcPct val="90000"/>
            </a:lnSpc>
            <a:spcBef>
              <a:spcPct val="0"/>
            </a:spcBef>
            <a:spcAft>
              <a:spcPct val="20000"/>
            </a:spcAft>
            <a:buChar char="••"/>
          </a:pPr>
          <a:r>
            <a:rPr lang="en-GB" sz="1100" b="1" kern="1200"/>
            <a:t>Obtain MHRA approval</a:t>
          </a:r>
        </a:p>
        <a:p>
          <a:pPr marL="57150" lvl="1" indent="-57150" algn="l" defTabSz="488950">
            <a:lnSpc>
              <a:spcPct val="90000"/>
            </a:lnSpc>
            <a:spcBef>
              <a:spcPct val="0"/>
            </a:spcBef>
            <a:spcAft>
              <a:spcPct val="20000"/>
            </a:spcAft>
            <a:buChar char="••"/>
          </a:pPr>
          <a:endParaRPr lang="en-GB" sz="1100" b="1" kern="1200"/>
        </a:p>
        <a:p>
          <a:pPr marL="57150" lvl="1" indent="-57150" algn="l" defTabSz="488950">
            <a:lnSpc>
              <a:spcPct val="90000"/>
            </a:lnSpc>
            <a:spcBef>
              <a:spcPct val="0"/>
            </a:spcBef>
            <a:spcAft>
              <a:spcPct val="20000"/>
            </a:spcAft>
            <a:buChar char="••"/>
          </a:pPr>
          <a:r>
            <a:rPr lang="en-GB" sz="1100" b="1" kern="1200"/>
            <a:t>Regularly involve stakeholders</a:t>
          </a:r>
        </a:p>
      </dsp:txBody>
      <dsp:txXfrm>
        <a:off x="0" y="444757"/>
        <a:ext cx="5987281" cy="1333080"/>
      </dsp:txXfrm>
    </dsp:sp>
    <dsp:sp modelId="{FDD8D98C-731B-4721-B85A-ACDEE198AA3A}">
      <dsp:nvSpPr>
        <dsp:cNvPr id="0" name=""/>
        <dsp:cNvSpPr/>
      </dsp:nvSpPr>
      <dsp:spPr>
        <a:xfrm>
          <a:off x="0" y="1777838"/>
          <a:ext cx="5987281" cy="3357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GB" sz="1400" b="1" kern="1200"/>
            <a:t>SMART Criteria</a:t>
          </a:r>
          <a:endParaRPr lang="en-GB" sz="1400" kern="1200"/>
        </a:p>
      </dsp:txBody>
      <dsp:txXfrm>
        <a:off x="16392" y="1794230"/>
        <a:ext cx="5954497" cy="303006"/>
      </dsp:txXfrm>
    </dsp:sp>
    <dsp:sp modelId="{71BB956F-5CA0-4774-8896-B3529E348932}">
      <dsp:nvSpPr>
        <dsp:cNvPr id="0" name=""/>
        <dsp:cNvSpPr/>
      </dsp:nvSpPr>
      <dsp:spPr>
        <a:xfrm>
          <a:off x="0" y="2113628"/>
          <a:ext cx="5987281" cy="13330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96" tIns="17780" rIns="99568" bIns="17780" numCol="1" spcCol="1270" anchor="t" anchorCtr="0">
          <a:noAutofit/>
        </a:bodyPr>
        <a:lstStyle/>
        <a:p>
          <a:pPr marL="57150" lvl="1" indent="-57150" algn="l" defTabSz="488950">
            <a:lnSpc>
              <a:spcPct val="90000"/>
            </a:lnSpc>
            <a:spcBef>
              <a:spcPct val="0"/>
            </a:spcBef>
            <a:spcAft>
              <a:spcPct val="20000"/>
            </a:spcAft>
            <a:buChar char="••"/>
          </a:pPr>
          <a:r>
            <a:rPr lang="en-GB" sz="1100" b="1" kern="1200"/>
            <a:t>S: Release in six months → T: Based on a timeline</a:t>
          </a:r>
          <a:endParaRPr lang="en-GB" sz="1100" kern="1200"/>
        </a:p>
        <a:p>
          <a:pPr marL="57150" lvl="1" indent="-57150" algn="l" defTabSz="488950">
            <a:lnSpc>
              <a:spcPct val="90000"/>
            </a:lnSpc>
            <a:spcBef>
              <a:spcPct val="0"/>
            </a:spcBef>
            <a:spcAft>
              <a:spcPct val="20000"/>
            </a:spcAft>
            <a:buChar char="••"/>
          </a:pPr>
          <a:endParaRPr lang="en-GB" sz="1100" kern="1200"/>
        </a:p>
        <a:p>
          <a:pPr marL="57150" lvl="1" indent="-57150" algn="l" defTabSz="488950">
            <a:lnSpc>
              <a:spcPct val="90000"/>
            </a:lnSpc>
            <a:spcBef>
              <a:spcPct val="0"/>
            </a:spcBef>
            <a:spcAft>
              <a:spcPct val="20000"/>
            </a:spcAft>
            <a:buChar char="••"/>
          </a:pPr>
          <a:r>
            <a:rPr lang="en-GB" sz="1100" b="1" kern="1200"/>
            <a:t>M: Validation of data A: Within the scope of R&amp;D</a:t>
          </a:r>
          <a:endParaRPr lang="en-GB" sz="1100" kern="1200"/>
        </a:p>
        <a:p>
          <a:pPr marL="57150" lvl="1" indent="-57150" algn="l" defTabSz="488950">
            <a:lnSpc>
              <a:spcPct val="90000"/>
            </a:lnSpc>
            <a:spcBef>
              <a:spcPct val="0"/>
            </a:spcBef>
            <a:spcAft>
              <a:spcPct val="20000"/>
            </a:spcAft>
            <a:buChar char="••"/>
          </a:pPr>
          <a:endParaRPr lang="en-GB" sz="1100" kern="1200"/>
        </a:p>
        <a:p>
          <a:pPr marL="57150" lvl="1" indent="-57150" algn="l" defTabSz="488950">
            <a:lnSpc>
              <a:spcPct val="90000"/>
            </a:lnSpc>
            <a:spcBef>
              <a:spcPct val="0"/>
            </a:spcBef>
            <a:spcAft>
              <a:spcPct val="20000"/>
            </a:spcAft>
            <a:buChar char="••"/>
          </a:pPr>
          <a:r>
            <a:rPr lang="en-GB" sz="1100" b="1" kern="1200"/>
            <a:t>R: Applicable to the UK market → T: In five months</a:t>
          </a:r>
          <a:endParaRPr lang="en-GB" sz="1100" kern="1200"/>
        </a:p>
        <a:p>
          <a:pPr marL="57150" lvl="1" indent="-57150" algn="l" defTabSz="488950">
            <a:lnSpc>
              <a:spcPct val="90000"/>
            </a:lnSpc>
            <a:spcBef>
              <a:spcPct val="0"/>
            </a:spcBef>
            <a:spcAft>
              <a:spcPct val="20000"/>
            </a:spcAft>
            <a:buChar char="••"/>
          </a:pPr>
          <a:endParaRPr lang="en-GB" sz="1100" kern="1200"/>
        </a:p>
        <a:p>
          <a:pPr marL="57150" lvl="1" indent="-57150" algn="l" defTabSz="488950">
            <a:lnSpc>
              <a:spcPct val="90000"/>
            </a:lnSpc>
            <a:spcBef>
              <a:spcPct val="0"/>
            </a:spcBef>
            <a:spcAft>
              <a:spcPct val="20000"/>
            </a:spcAft>
            <a:buChar char="••"/>
          </a:pPr>
          <a:r>
            <a:rPr lang="en-GB" sz="1100" b="1" kern="1200"/>
            <a:t>S: Meetings every two weeks → M: Reports on progress</a:t>
          </a:r>
          <a:endParaRPr lang="en-GB" sz="1100" kern="1200"/>
        </a:p>
      </dsp:txBody>
      <dsp:txXfrm>
        <a:off x="0" y="2113628"/>
        <a:ext cx="5987281" cy="133308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3BDAFB-F8C8-438B-8A87-CF9B05978058}">
      <dsp:nvSpPr>
        <dsp:cNvPr id="0" name=""/>
        <dsp:cNvSpPr/>
      </dsp:nvSpPr>
      <dsp:spPr>
        <a:xfrm>
          <a:off x="4597" y="12988"/>
          <a:ext cx="1615273" cy="510254"/>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lvl="0" algn="ctr" defTabSz="622300">
            <a:lnSpc>
              <a:spcPct val="90000"/>
            </a:lnSpc>
            <a:spcBef>
              <a:spcPct val="0"/>
            </a:spcBef>
            <a:spcAft>
              <a:spcPct val="35000"/>
            </a:spcAft>
          </a:pPr>
          <a:r>
            <a:rPr lang="en-GB" sz="1400" b="1" kern="1200"/>
            <a:t>Power/Interest</a:t>
          </a:r>
        </a:p>
      </dsp:txBody>
      <dsp:txXfrm>
        <a:off x="4597" y="12988"/>
        <a:ext cx="1615273" cy="510254"/>
      </dsp:txXfrm>
    </dsp:sp>
    <dsp:sp modelId="{37A62DBC-0F50-413B-99BA-89773762EF7D}">
      <dsp:nvSpPr>
        <dsp:cNvPr id="0" name=""/>
        <dsp:cNvSpPr/>
      </dsp:nvSpPr>
      <dsp:spPr>
        <a:xfrm>
          <a:off x="4597" y="523242"/>
          <a:ext cx="1615273" cy="296993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b="1" kern="1200"/>
            <a:t>High Power / High Interest</a:t>
          </a: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b="1" kern="1200"/>
            <a:t>High Power / Low Interest</a:t>
          </a: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b="1" kern="1200"/>
            <a:t>Low Power / High Interest</a:t>
          </a: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b="1" kern="1200"/>
            <a:t>Low Power / Low Interest</a:t>
          </a:r>
          <a:endParaRPr lang="en-GB" sz="1300" kern="1200"/>
        </a:p>
        <a:p>
          <a:pPr marL="114300" lvl="1" indent="-114300" algn="l" defTabSz="577850">
            <a:lnSpc>
              <a:spcPct val="90000"/>
            </a:lnSpc>
            <a:spcBef>
              <a:spcPct val="0"/>
            </a:spcBef>
            <a:spcAft>
              <a:spcPct val="15000"/>
            </a:spcAft>
            <a:buChar char="••"/>
          </a:pPr>
          <a:endParaRPr lang="en-GB" sz="1300" kern="1200"/>
        </a:p>
      </dsp:txBody>
      <dsp:txXfrm>
        <a:off x="4597" y="523242"/>
        <a:ext cx="1615273" cy="2969939"/>
      </dsp:txXfrm>
    </dsp:sp>
    <dsp:sp modelId="{DFCAED2A-ED5E-4345-BCC7-0CA93FE7A2E5}">
      <dsp:nvSpPr>
        <dsp:cNvPr id="0" name=""/>
        <dsp:cNvSpPr/>
      </dsp:nvSpPr>
      <dsp:spPr>
        <a:xfrm>
          <a:off x="1846009" y="12988"/>
          <a:ext cx="1615273" cy="510254"/>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lvl="0" algn="ctr" defTabSz="622300">
            <a:lnSpc>
              <a:spcPct val="90000"/>
            </a:lnSpc>
            <a:spcBef>
              <a:spcPct val="0"/>
            </a:spcBef>
            <a:spcAft>
              <a:spcPct val="35000"/>
            </a:spcAft>
          </a:pPr>
          <a:r>
            <a:rPr lang="en-GB" sz="1400" b="1" kern="1200"/>
            <a:t>Engagement</a:t>
          </a:r>
          <a:r>
            <a:rPr lang="en-GB" sz="1300" b="1" kern="1200"/>
            <a:t> </a:t>
          </a:r>
          <a:r>
            <a:rPr lang="en-GB" sz="1400" b="1" kern="1200"/>
            <a:t>Strategy</a:t>
          </a:r>
          <a:endParaRPr lang="en-GB" sz="1400" kern="1200"/>
        </a:p>
      </dsp:txBody>
      <dsp:txXfrm>
        <a:off x="1846009" y="12988"/>
        <a:ext cx="1615273" cy="510254"/>
      </dsp:txXfrm>
    </dsp:sp>
    <dsp:sp modelId="{A70523A4-8124-4D49-8E90-75734DBBBBE3}">
      <dsp:nvSpPr>
        <dsp:cNvPr id="0" name=""/>
        <dsp:cNvSpPr/>
      </dsp:nvSpPr>
      <dsp:spPr>
        <a:xfrm>
          <a:off x="1852098" y="523242"/>
          <a:ext cx="1603094" cy="296993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Closely manage</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Keep satisfied</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Keep informed</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Monitor</a:t>
          </a:r>
        </a:p>
      </dsp:txBody>
      <dsp:txXfrm>
        <a:off x="1852098" y="523242"/>
        <a:ext cx="1603094" cy="2969939"/>
      </dsp:txXfrm>
    </dsp:sp>
    <dsp:sp modelId="{B57F2137-C409-4323-85F4-940F41D96E96}">
      <dsp:nvSpPr>
        <dsp:cNvPr id="0" name=""/>
        <dsp:cNvSpPr/>
      </dsp:nvSpPr>
      <dsp:spPr>
        <a:xfrm>
          <a:off x="3692549" y="12988"/>
          <a:ext cx="2598829" cy="510254"/>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lvl="0" algn="ctr" defTabSz="622300">
            <a:lnSpc>
              <a:spcPct val="90000"/>
            </a:lnSpc>
            <a:spcBef>
              <a:spcPct val="0"/>
            </a:spcBef>
            <a:spcAft>
              <a:spcPct val="35000"/>
            </a:spcAft>
          </a:pPr>
          <a:r>
            <a:rPr lang="en-GB" sz="1400" b="1" kern="1200"/>
            <a:t>Example Stakeholders</a:t>
          </a:r>
          <a:endParaRPr lang="en-GB" sz="1400" kern="1200"/>
        </a:p>
      </dsp:txBody>
      <dsp:txXfrm>
        <a:off x="3692549" y="12988"/>
        <a:ext cx="2598829" cy="510254"/>
      </dsp:txXfrm>
    </dsp:sp>
    <dsp:sp modelId="{4804AB9C-D27B-4A88-8AA5-B6C559CAB530}">
      <dsp:nvSpPr>
        <dsp:cNvPr id="0" name=""/>
        <dsp:cNvSpPr/>
      </dsp:nvSpPr>
      <dsp:spPr>
        <a:xfrm>
          <a:off x="3687420" y="523242"/>
          <a:ext cx="2609086" cy="296993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Senior Leadership, Regulatory Bodies (MHRA), Project Manager</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Suppliers, Investors </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Marketing Team, Customers</a:t>
          </a:r>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endParaRPr lang="en-GB" sz="1300" kern="1200"/>
        </a:p>
        <a:p>
          <a:pPr marL="114300" lvl="1" indent="-114300" algn="l" defTabSz="577850">
            <a:lnSpc>
              <a:spcPct val="90000"/>
            </a:lnSpc>
            <a:spcBef>
              <a:spcPct val="0"/>
            </a:spcBef>
            <a:spcAft>
              <a:spcPct val="15000"/>
            </a:spcAft>
            <a:buChar char="••"/>
          </a:pPr>
          <a:r>
            <a:rPr lang="en-GB" sz="1300" kern="1200"/>
            <a:t>External retailers</a:t>
          </a:r>
        </a:p>
      </dsp:txBody>
      <dsp:txXfrm>
        <a:off x="3687420" y="523242"/>
        <a:ext cx="2609086" cy="296993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07E1D3-02B7-435C-8998-26754D19AA8A}">
      <dsp:nvSpPr>
        <dsp:cNvPr id="0" name=""/>
        <dsp:cNvSpPr/>
      </dsp:nvSpPr>
      <dsp:spPr>
        <a:xfrm>
          <a:off x="221677" y="770"/>
          <a:ext cx="1945676" cy="215368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Stakeholder Identification</a:t>
          </a:r>
        </a:p>
        <a:p>
          <a:pPr lvl="0" algn="ctr" defTabSz="5334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Finding the individuals and organisations that the project might impact or be impacted by is necessary for this. Stakeholders in this process were prioritised using Mendelow's Power-Interest Matrix (1991). The R&amp;D team, senior leadership, regulatory agencies, and outside vendors were among the key stakeholders that were given top priority. </a:t>
          </a:r>
        </a:p>
      </dsp:txBody>
      <dsp:txXfrm>
        <a:off x="221677" y="770"/>
        <a:ext cx="1945676" cy="2153683"/>
      </dsp:txXfrm>
    </dsp:sp>
    <dsp:sp modelId="{0CA10366-2B95-4014-932B-4A3173C43747}">
      <dsp:nvSpPr>
        <dsp:cNvPr id="0" name=""/>
        <dsp:cNvSpPr/>
      </dsp:nvSpPr>
      <dsp:spPr>
        <a:xfrm>
          <a:off x="2324625" y="5856"/>
          <a:ext cx="1781234" cy="214351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Stakeholder Analysis</a:t>
          </a:r>
        </a:p>
        <a:p>
          <a:pPr lvl="0" algn="ctr" defTabSz="5334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Freeman's Stakeholder Theory (1984) was used to evaluate stakeholder interests, influence levels, and potential effects on decision-making. Among the difficulties that were pre-evaluated were supplier reliance risks and regulatory delays.</a:t>
          </a:r>
        </a:p>
      </dsp:txBody>
      <dsp:txXfrm>
        <a:off x="2324625" y="5856"/>
        <a:ext cx="1781234" cy="2143511"/>
      </dsp:txXfrm>
    </dsp:sp>
    <dsp:sp modelId="{AA1B8680-C405-4ACF-A3BA-0EC2913601A8}">
      <dsp:nvSpPr>
        <dsp:cNvPr id="0" name=""/>
        <dsp:cNvSpPr/>
      </dsp:nvSpPr>
      <dsp:spPr>
        <a:xfrm>
          <a:off x="4263131" y="17708"/>
          <a:ext cx="1781549" cy="21198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Engagement Planning</a:t>
          </a:r>
        </a:p>
        <a:p>
          <a:pPr lvl="0" algn="ctr" defTabSz="5334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An engagement plan detailed the communication channels, frequency, and level of involvement specific to each stakeholder. For example, the R&amp;D team scheduled technical evaluations every two weeks, and MHRA established monthly compliance </a:t>
          </a:r>
          <a:r>
            <a:rPr lang="en-GB" sz="1200" b="1" kern="1200"/>
            <a:t>checkpoints.</a:t>
          </a:r>
          <a:endParaRPr lang="en-GB" sz="1100" kern="1200"/>
        </a:p>
      </dsp:txBody>
      <dsp:txXfrm>
        <a:off x="4263131" y="17708"/>
        <a:ext cx="1781549" cy="2119807"/>
      </dsp:txXfrm>
    </dsp:sp>
    <dsp:sp modelId="{06F2C4FB-A0F6-4005-934A-B3E83C4CE557}">
      <dsp:nvSpPr>
        <dsp:cNvPr id="0" name=""/>
        <dsp:cNvSpPr/>
      </dsp:nvSpPr>
      <dsp:spPr>
        <a:xfrm>
          <a:off x="489463" y="2312494"/>
          <a:ext cx="2589402" cy="144988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t>Engagement Implementation</a:t>
          </a:r>
        </a:p>
        <a:p>
          <a:pPr lvl="0" algn="ctr" defTabSz="53340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Engagement takes place through official reporting, co-design sessions, workshops, regular meetings, and collaborative software platforms like Jira. The project uses an Agile methodology, using sprint cycles to collect iterative stakeholder feedback.</a:t>
          </a:r>
        </a:p>
      </dsp:txBody>
      <dsp:txXfrm>
        <a:off x="489463" y="2312494"/>
        <a:ext cx="2589402" cy="1449880"/>
      </dsp:txXfrm>
    </dsp:sp>
    <dsp:sp modelId="{175FAECC-D346-4F5A-8758-50FAB7BB555F}">
      <dsp:nvSpPr>
        <dsp:cNvPr id="0" name=""/>
        <dsp:cNvSpPr/>
      </dsp:nvSpPr>
      <dsp:spPr>
        <a:xfrm>
          <a:off x="3244754" y="2327629"/>
          <a:ext cx="2523521" cy="14180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b="1" kern="1200"/>
            <a:t>Monitoring and Conflict Mitigation</a:t>
          </a:r>
        </a:p>
        <a:p>
          <a:pPr lvl="0" algn="ctr" defTabSz="577850">
            <a:lnSpc>
              <a:spcPct val="90000"/>
            </a:lnSpc>
            <a:spcBef>
              <a:spcPct val="0"/>
            </a:spcBef>
            <a:spcAft>
              <a:spcPct val="35000"/>
            </a:spcAft>
          </a:pPr>
          <a:r>
            <a:rPr lang="en-GB" sz="1100" b="0" kern="1200">
              <a:latin typeface="Arial" panose="020B0604020202020204" pitchFamily="34" charset="0"/>
              <a:cs typeface="Arial" panose="020B0604020202020204" pitchFamily="34" charset="0"/>
            </a:rPr>
            <a:t>KPIs, feedback loops, and escalation procedures are employed to track interaction effectiveness over time. When disagreements arise, the 4Cs methodology is applied.</a:t>
          </a:r>
        </a:p>
      </dsp:txBody>
      <dsp:txXfrm>
        <a:off x="3244754" y="2327629"/>
        <a:ext cx="2523521" cy="141807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15A7D6-68D4-4841-88C2-59A10C048AD7}">
      <dsp:nvSpPr>
        <dsp:cNvPr id="0" name=""/>
        <dsp:cNvSpPr/>
      </dsp:nvSpPr>
      <dsp:spPr>
        <a:xfrm>
          <a:off x="1292872" y="231820"/>
          <a:ext cx="1301521" cy="10405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Higher ratings for customer satisfaction </a:t>
          </a:r>
        </a:p>
      </dsp:txBody>
      <dsp:txXfrm>
        <a:off x="1323349" y="262297"/>
        <a:ext cx="1240567" cy="979606"/>
      </dsp:txXfrm>
    </dsp:sp>
    <dsp:sp modelId="{9DAB48BB-9D4F-4FDD-8B20-039AE386F652}">
      <dsp:nvSpPr>
        <dsp:cNvPr id="0" name=""/>
        <dsp:cNvSpPr/>
      </dsp:nvSpPr>
      <dsp:spPr>
        <a:xfrm rot="17705">
          <a:off x="349685" y="601406"/>
          <a:ext cx="367518" cy="393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a:off x="349686" y="679768"/>
        <a:ext cx="257263" cy="235940"/>
      </dsp:txXfrm>
    </dsp:sp>
    <dsp:sp modelId="{D08BAFBF-6BCA-4B43-BA23-EF4C661058DE}">
      <dsp:nvSpPr>
        <dsp:cNvPr id="0" name=""/>
        <dsp:cNvSpPr/>
      </dsp:nvSpPr>
      <dsp:spPr>
        <a:xfrm>
          <a:off x="3287816" y="241684"/>
          <a:ext cx="1142246" cy="10405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Improved strategies for market penetration </a:t>
          </a:r>
        </a:p>
      </dsp:txBody>
      <dsp:txXfrm>
        <a:off x="3318293" y="272161"/>
        <a:ext cx="1081292" cy="979606"/>
      </dsp:txXfrm>
    </dsp:sp>
    <dsp:sp modelId="{A38FF46C-9391-445E-8F57-1DF03A405CD9}">
      <dsp:nvSpPr>
        <dsp:cNvPr id="0" name=""/>
        <dsp:cNvSpPr/>
      </dsp:nvSpPr>
      <dsp:spPr>
        <a:xfrm rot="21523567">
          <a:off x="4618874" y="543997"/>
          <a:ext cx="400484" cy="39323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a:off x="4618889" y="623954"/>
        <a:ext cx="282514" cy="235940"/>
      </dsp:txXfrm>
    </dsp:sp>
    <dsp:sp modelId="{DCFC7CA4-A342-4132-BC16-B34EFBFBBF03}">
      <dsp:nvSpPr>
        <dsp:cNvPr id="0" name=""/>
        <dsp:cNvSpPr/>
      </dsp:nvSpPr>
      <dsp:spPr>
        <a:xfrm>
          <a:off x="5185506" y="201716"/>
          <a:ext cx="941555" cy="10405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A higher uptake of the product</a:t>
          </a:r>
        </a:p>
      </dsp:txBody>
      <dsp:txXfrm>
        <a:off x="5213083" y="229293"/>
        <a:ext cx="886401" cy="985406"/>
      </dsp:txXfrm>
    </dsp:sp>
    <dsp:sp modelId="{488B96F0-2697-4078-9B2C-BE02CFC288CB}">
      <dsp:nvSpPr>
        <dsp:cNvPr id="0" name=""/>
        <dsp:cNvSpPr/>
      </dsp:nvSpPr>
      <dsp:spPr>
        <a:xfrm rot="10822297" flipH="1">
          <a:off x="2704877" y="543871"/>
          <a:ext cx="388283" cy="3079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rot="10800000">
        <a:off x="2704878" y="605155"/>
        <a:ext cx="295907" cy="184753"/>
      </dsp:txXfrm>
    </dsp:sp>
    <dsp:sp modelId="{C26DC938-4E23-4B57-9F6A-5FB6EC8AC5EC}">
      <dsp:nvSpPr>
        <dsp:cNvPr id="0" name=""/>
        <dsp:cNvSpPr/>
      </dsp:nvSpPr>
      <dsp:spPr>
        <a:xfrm>
          <a:off x="0" y="235701"/>
          <a:ext cx="833114" cy="10405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Impact</a:t>
          </a:r>
        </a:p>
      </dsp:txBody>
      <dsp:txXfrm>
        <a:off x="24401" y="260102"/>
        <a:ext cx="784312" cy="991758"/>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AE0F4D-B423-43C4-B89C-026B758816FE}">
      <dsp:nvSpPr>
        <dsp:cNvPr id="0" name=""/>
        <dsp:cNvSpPr/>
      </dsp:nvSpPr>
      <dsp:spPr>
        <a:xfrm>
          <a:off x="100028" y="614691"/>
          <a:ext cx="900290" cy="10762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Impact</a:t>
          </a:r>
        </a:p>
      </dsp:txBody>
      <dsp:txXfrm>
        <a:off x="126397" y="641060"/>
        <a:ext cx="847552" cy="1023534"/>
      </dsp:txXfrm>
    </dsp:sp>
    <dsp:sp modelId="{80403F8F-86B8-4CCA-8639-9CFACACFCB9E}">
      <dsp:nvSpPr>
        <dsp:cNvPr id="0" name=""/>
        <dsp:cNvSpPr/>
      </dsp:nvSpPr>
      <dsp:spPr>
        <a:xfrm rot="56821">
          <a:off x="1140672" y="952368"/>
          <a:ext cx="272128" cy="4249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a:off x="1140678" y="1036681"/>
        <a:ext cx="190490" cy="254964"/>
      </dsp:txXfrm>
    </dsp:sp>
    <dsp:sp modelId="{1458A7AC-920F-4BF8-A26D-BB1782B687E9}">
      <dsp:nvSpPr>
        <dsp:cNvPr id="0" name=""/>
        <dsp:cNvSpPr/>
      </dsp:nvSpPr>
      <dsp:spPr>
        <a:xfrm>
          <a:off x="1537051" y="641178"/>
          <a:ext cx="1230938" cy="10762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Reduced likelihood of launch delays </a:t>
          </a:r>
        </a:p>
      </dsp:txBody>
      <dsp:txXfrm>
        <a:off x="1568574" y="672701"/>
        <a:ext cx="1167892" cy="1013226"/>
      </dsp:txXfrm>
    </dsp:sp>
    <dsp:sp modelId="{7B4EBE57-356E-4E66-B062-D5696FB6582F}">
      <dsp:nvSpPr>
        <dsp:cNvPr id="0" name=""/>
        <dsp:cNvSpPr/>
      </dsp:nvSpPr>
      <dsp:spPr>
        <a:xfrm rot="21585174">
          <a:off x="2869460" y="963289"/>
          <a:ext cx="215121" cy="42494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a:off x="2869460" y="1048416"/>
        <a:ext cx="150585" cy="254964"/>
      </dsp:txXfrm>
    </dsp:sp>
    <dsp:sp modelId="{62A0BC8A-7D3E-4051-AF9F-BE1C5A54F35A}">
      <dsp:nvSpPr>
        <dsp:cNvPr id="0" name=""/>
        <dsp:cNvSpPr/>
      </dsp:nvSpPr>
      <dsp:spPr>
        <a:xfrm>
          <a:off x="3173875" y="633838"/>
          <a:ext cx="1361281" cy="10762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Enhanced product safety compliance </a:t>
          </a:r>
        </a:p>
      </dsp:txBody>
      <dsp:txXfrm>
        <a:off x="3205398" y="665361"/>
        <a:ext cx="1298235" cy="1013226"/>
      </dsp:txXfrm>
    </dsp:sp>
    <dsp:sp modelId="{93703346-A230-4461-A9DC-B7CF3BDF0900}">
      <dsp:nvSpPr>
        <dsp:cNvPr id="0" name=""/>
        <dsp:cNvSpPr/>
      </dsp:nvSpPr>
      <dsp:spPr>
        <a:xfrm rot="21588389">
          <a:off x="4664588" y="1004748"/>
          <a:ext cx="274397" cy="32805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p>
      </dsp:txBody>
      <dsp:txXfrm>
        <a:off x="4664588" y="1070498"/>
        <a:ext cx="192078" cy="196831"/>
      </dsp:txXfrm>
    </dsp:sp>
    <dsp:sp modelId="{AB7FB19A-DBDE-4C08-8D1A-891FC76F2A30}">
      <dsp:nvSpPr>
        <dsp:cNvPr id="0" name=""/>
        <dsp:cNvSpPr/>
      </dsp:nvSpPr>
      <dsp:spPr>
        <a:xfrm>
          <a:off x="5052885" y="627747"/>
          <a:ext cx="1210616" cy="10762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kern="1200"/>
            <a:t>Decreased regulatory risk</a:t>
          </a:r>
        </a:p>
      </dsp:txBody>
      <dsp:txXfrm>
        <a:off x="5084408" y="659270"/>
        <a:ext cx="1147570" cy="101322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24</Pages>
  <Words>5012</Words>
  <Characters>28572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18</cp:revision>
  <dcterms:created xsi:type="dcterms:W3CDTF">2025-11-30T10:45:00Z</dcterms:created>
  <dcterms:modified xsi:type="dcterms:W3CDTF">2025-12-02T19:27:00Z</dcterms:modified>
</cp:coreProperties>
</file>