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03CB44" w14:textId="77777777" w:rsidR="003109C4" w:rsidRDefault="003109C4" w:rsidP="009C1F9C">
      <w:pPr>
        <w:jc w:val="center"/>
        <w:rPr>
          <w:sz w:val="40"/>
          <w:szCs w:val="40"/>
        </w:rPr>
      </w:pPr>
      <w:r>
        <w:rPr>
          <w:noProof/>
        </w:rPr>
        <w:drawing>
          <wp:inline distT="0" distB="0" distL="0" distR="0" wp14:anchorId="0AD69A3F" wp14:editId="65E81E01">
            <wp:extent cx="1809750" cy="723900"/>
            <wp:effectExtent l="0" t="0" r="0" b="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officeArt object" descr="Discover University of Wales Trinity Saint David"/>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inline>
        </w:drawing>
      </w:r>
    </w:p>
    <w:p w14:paraId="763E5714" w14:textId="77777777" w:rsidR="003109C4" w:rsidRDefault="003109C4" w:rsidP="009C1F9C">
      <w:pPr>
        <w:jc w:val="center"/>
        <w:rPr>
          <w:sz w:val="40"/>
          <w:szCs w:val="40"/>
        </w:rPr>
      </w:pPr>
    </w:p>
    <w:p w14:paraId="6AC732E0" w14:textId="2732D139" w:rsidR="00F725BF" w:rsidRDefault="00F725BF" w:rsidP="009C1F9C">
      <w:pPr>
        <w:jc w:val="center"/>
        <w:rPr>
          <w:sz w:val="40"/>
          <w:szCs w:val="40"/>
        </w:rPr>
      </w:pPr>
      <w:r w:rsidRPr="003B1423">
        <w:rPr>
          <w:sz w:val="40"/>
          <w:szCs w:val="40"/>
        </w:rPr>
        <w:t>AI-Driven Financial Risk Management and Regulatory Compliance in Global Banking: A Comparative Analysis of the UK and the United States</w:t>
      </w:r>
    </w:p>
    <w:p w14:paraId="63913AFE" w14:textId="6712C5EF" w:rsidR="003109C4" w:rsidRDefault="003109C4" w:rsidP="003109C4"/>
    <w:p w14:paraId="56405E47" w14:textId="77777777" w:rsidR="003109C4" w:rsidRPr="003B1423" w:rsidRDefault="003109C4" w:rsidP="003109C4"/>
    <w:p w14:paraId="0BF3D90E" w14:textId="001B163C" w:rsidR="003109C4" w:rsidRPr="003109C4" w:rsidRDefault="003109C4" w:rsidP="003109C4">
      <w:pPr>
        <w:rPr>
          <w:sz w:val="32"/>
          <w:szCs w:val="32"/>
        </w:rPr>
      </w:pPr>
      <w:r w:rsidRPr="003109C4">
        <w:rPr>
          <w:sz w:val="32"/>
          <w:szCs w:val="32"/>
        </w:rPr>
        <w:t>Module:</w:t>
      </w:r>
      <w:r w:rsidRPr="003109C4">
        <w:rPr>
          <w:sz w:val="32"/>
          <w:szCs w:val="32"/>
        </w:rPr>
        <w:t xml:space="preserve"> </w:t>
      </w:r>
      <w:r w:rsidRPr="003109C4">
        <w:rPr>
          <w:sz w:val="32"/>
          <w:szCs w:val="32"/>
        </w:rPr>
        <w:t>Global Business Challenges</w:t>
      </w:r>
    </w:p>
    <w:p w14:paraId="33490864" w14:textId="75D61C0E" w:rsidR="003109C4" w:rsidRPr="003109C4" w:rsidRDefault="003109C4" w:rsidP="003109C4">
      <w:pPr>
        <w:rPr>
          <w:sz w:val="32"/>
          <w:szCs w:val="32"/>
        </w:rPr>
      </w:pPr>
      <w:r w:rsidRPr="003109C4">
        <w:rPr>
          <w:sz w:val="32"/>
          <w:szCs w:val="32"/>
        </w:rPr>
        <w:t>Module code: BMMB7006</w:t>
      </w:r>
    </w:p>
    <w:p w14:paraId="31FF3807" w14:textId="27153099" w:rsidR="003109C4" w:rsidRPr="003109C4" w:rsidRDefault="003109C4" w:rsidP="003109C4">
      <w:pPr>
        <w:rPr>
          <w:sz w:val="32"/>
          <w:szCs w:val="32"/>
        </w:rPr>
      </w:pPr>
    </w:p>
    <w:p w14:paraId="3103320E" w14:textId="76278184" w:rsidR="003109C4" w:rsidRPr="003109C4" w:rsidRDefault="003109C4" w:rsidP="003109C4">
      <w:pPr>
        <w:rPr>
          <w:sz w:val="32"/>
          <w:szCs w:val="32"/>
        </w:rPr>
      </w:pPr>
      <w:r w:rsidRPr="003109C4">
        <w:rPr>
          <w:sz w:val="32"/>
          <w:szCs w:val="32"/>
        </w:rPr>
        <w:t xml:space="preserve">Student Name: </w:t>
      </w:r>
      <w:proofErr w:type="spellStart"/>
      <w:r w:rsidRPr="003109C4">
        <w:rPr>
          <w:sz w:val="32"/>
          <w:szCs w:val="32"/>
        </w:rPr>
        <w:t>Foyez</w:t>
      </w:r>
      <w:proofErr w:type="spellEnd"/>
      <w:r w:rsidRPr="003109C4">
        <w:rPr>
          <w:sz w:val="32"/>
          <w:szCs w:val="32"/>
        </w:rPr>
        <w:t xml:space="preserve"> Ahmed </w:t>
      </w:r>
    </w:p>
    <w:p w14:paraId="72F61F11" w14:textId="134DF6D6" w:rsidR="003109C4" w:rsidRPr="003109C4" w:rsidRDefault="003109C4" w:rsidP="003109C4">
      <w:pPr>
        <w:rPr>
          <w:sz w:val="32"/>
          <w:szCs w:val="32"/>
        </w:rPr>
      </w:pPr>
      <w:r w:rsidRPr="003109C4">
        <w:rPr>
          <w:sz w:val="32"/>
          <w:szCs w:val="32"/>
        </w:rPr>
        <w:t>ID: 2439525</w:t>
      </w:r>
    </w:p>
    <w:p w14:paraId="36CB6EB5" w14:textId="77777777" w:rsidR="003109C4" w:rsidRDefault="003109C4" w:rsidP="003109C4"/>
    <w:p w14:paraId="3A92A78E" w14:textId="77777777" w:rsidR="003109C4" w:rsidRDefault="003109C4" w:rsidP="009C1F9C">
      <w:pPr>
        <w:jc w:val="center"/>
      </w:pPr>
    </w:p>
    <w:p w14:paraId="7C09B7AE" w14:textId="13D3ACA3" w:rsidR="003B1423" w:rsidRDefault="003B1423" w:rsidP="009C1F9C">
      <w:pPr>
        <w:jc w:val="center"/>
      </w:pPr>
      <w:r>
        <w:br w:type="page"/>
      </w:r>
    </w:p>
    <w:p w14:paraId="6617F11B" w14:textId="5BD77C73" w:rsidR="00F725BF" w:rsidRPr="00F725BF" w:rsidRDefault="00F725BF" w:rsidP="000427F9">
      <w:pPr>
        <w:pStyle w:val="Heading1"/>
        <w:numPr>
          <w:ilvl w:val="0"/>
          <w:numId w:val="0"/>
        </w:numPr>
        <w:ind w:left="432" w:hanging="432"/>
        <w:jc w:val="both"/>
      </w:pPr>
      <w:bookmarkStart w:id="0" w:name="_Toc227977794"/>
      <w:r w:rsidRPr="00F725BF">
        <w:lastRenderedPageBreak/>
        <w:t>Executive Summary</w:t>
      </w:r>
      <w:bookmarkEnd w:id="0"/>
    </w:p>
    <w:p w14:paraId="2376B388" w14:textId="0BCF98B8" w:rsidR="00F725BF" w:rsidRPr="00F725BF" w:rsidRDefault="00C66E37" w:rsidP="000427F9">
      <w:pPr>
        <w:jc w:val="both"/>
      </w:pPr>
      <w:r w:rsidRPr="00C66E37">
        <w:t xml:space="preserve">JPMorgan Chase and Co. is a globally active yet systemically relevant financial institution that deploys artificial intelligence in credit risk, fraud detection, anti-money laundering compliance, and customer engagement on </w:t>
      </w:r>
      <w:r w:rsidR="007578BF">
        <w:t xml:space="preserve">an </w:t>
      </w:r>
      <w:r w:rsidRPr="00C66E37">
        <w:t xml:space="preserve">enterprise scale. Being established in more than 60 countries, the firm is offered rather dissimilar regulatory frameworks in the United Kingdom and the United States, where the former establishes different degrees of explainability, fairness and accountability in AI-powered decision-making. This report identifies three key findings. Firstly, the principles-based regulatory framework in </w:t>
      </w:r>
      <w:r w:rsidR="007578BF">
        <w:t>the UK and the consumer protection-oriented structure in the US present</w:t>
      </w:r>
      <w:r w:rsidRPr="00C66E37">
        <w:t xml:space="preserve"> a structural compliance tension to an institution of global integration. Second, explainability, algorithmic bias and macroeconomic model risk expose AI governance at JPMorgan Chase to technical potential lagging. Third, voluntary ethical systems can barely be said to be full-fledged since they are not supported by laws</w:t>
      </w:r>
      <w:r w:rsidR="007578BF">
        <w:t>,</w:t>
      </w:r>
      <w:r w:rsidRPr="00C66E37">
        <w:t xml:space="preserve"> and the company can be faced with reputational and legal liability in both jurisdictions. There are three key recommendations. JPMorgan </w:t>
      </w:r>
      <w:r w:rsidR="007578BF">
        <w:t>Chase is compelled to urgently develop an</w:t>
      </w:r>
      <w:r w:rsidRPr="00C66E37">
        <w:t xml:space="preserve"> AI governance infrastructure, which will comply with the NIST AI Risk Management Framework and the ICO standards. The company should develop macroeconomic stress-testing processes </w:t>
      </w:r>
      <w:r w:rsidR="007578BF">
        <w:t>that</w:t>
      </w:r>
      <w:r w:rsidRPr="00C66E37">
        <w:t xml:space="preserve"> are specific to AI credit models that operate within rate cycle regimes. The company will need to include </w:t>
      </w:r>
      <w:r w:rsidR="007578BF">
        <w:t xml:space="preserve">a </w:t>
      </w:r>
      <w:r w:rsidRPr="00C66E37">
        <w:t>binding internal Responsible AI Charter, which is more than a voluntary commitment and is audited by a third party. The consequences of not taking action are dire. Continued use of opaque AI models</w:t>
      </w:r>
      <w:r w:rsidR="007578BF">
        <w:t>, which lack regulatory-grade explainability,</w:t>
      </w:r>
      <w:r w:rsidRPr="00C66E37">
        <w:t xml:space="preserve"> exposes JPMorgan Chase to being subject to enforcement by the Equal Credit Opportunity Act, ICO intervention under the UK GDPR and reputational harm that, as history has shown, takes years to recover once it has been lost due to a lack of consumer trust.</w:t>
      </w:r>
    </w:p>
    <w:p w14:paraId="4233D362" w14:textId="77777777" w:rsidR="003B1423" w:rsidRDefault="003B1423" w:rsidP="000427F9">
      <w:pPr>
        <w:jc w:val="both"/>
      </w:pPr>
      <w:r>
        <w:br w:type="page"/>
      </w:r>
    </w:p>
    <w:sdt>
      <w:sdtPr>
        <w:rPr>
          <w:rFonts w:ascii="Times New Roman" w:eastAsiaTheme="minorHAnsi" w:hAnsi="Times New Roman" w:cstheme="minorBidi"/>
          <w:color w:val="auto"/>
          <w:kern w:val="2"/>
          <w:sz w:val="24"/>
          <w:szCs w:val="24"/>
          <w:lang w:val="en-GB"/>
          <w14:ligatures w14:val="standardContextual"/>
        </w:rPr>
        <w:id w:val="-1407847660"/>
        <w:docPartObj>
          <w:docPartGallery w:val="Table of Contents"/>
          <w:docPartUnique/>
        </w:docPartObj>
      </w:sdtPr>
      <w:sdtEndPr>
        <w:rPr>
          <w:b/>
          <w:bCs/>
          <w:noProof/>
        </w:rPr>
      </w:sdtEndPr>
      <w:sdtContent>
        <w:p w14:paraId="6F3BC14F" w14:textId="178EA2DE" w:rsidR="003B1423" w:rsidRPr="003B1423" w:rsidRDefault="003B1423" w:rsidP="000427F9">
          <w:pPr>
            <w:pStyle w:val="TOCHeading"/>
            <w:jc w:val="both"/>
            <w:rPr>
              <w:rFonts w:ascii="Times New Roman" w:hAnsi="Times New Roman" w:cs="Times New Roman"/>
              <w:b/>
              <w:bCs/>
            </w:rPr>
          </w:pPr>
          <w:r w:rsidRPr="003B1423">
            <w:rPr>
              <w:rFonts w:ascii="Times New Roman" w:hAnsi="Times New Roman" w:cs="Times New Roman"/>
              <w:b/>
              <w:bCs/>
            </w:rPr>
            <w:t>Table of Contents</w:t>
          </w:r>
        </w:p>
        <w:p w14:paraId="5802F2FE" w14:textId="27441105" w:rsidR="009C1F9C" w:rsidRDefault="003B1423">
          <w:pPr>
            <w:pStyle w:val="TOC1"/>
            <w:tabs>
              <w:tab w:val="right" w:leader="dot" w:pos="9350"/>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227977794" w:history="1">
            <w:r w:rsidR="009C1F9C" w:rsidRPr="00AB0716">
              <w:rPr>
                <w:rStyle w:val="Hyperlink"/>
                <w:noProof/>
              </w:rPr>
              <w:t>Executive Summary</w:t>
            </w:r>
            <w:r w:rsidR="009C1F9C">
              <w:rPr>
                <w:noProof/>
                <w:webHidden/>
              </w:rPr>
              <w:tab/>
            </w:r>
            <w:r w:rsidR="009C1F9C">
              <w:rPr>
                <w:noProof/>
                <w:webHidden/>
              </w:rPr>
              <w:fldChar w:fldCharType="begin"/>
            </w:r>
            <w:r w:rsidR="009C1F9C">
              <w:rPr>
                <w:noProof/>
                <w:webHidden/>
              </w:rPr>
              <w:instrText xml:space="preserve"> PAGEREF _Toc227977794 \h </w:instrText>
            </w:r>
            <w:r w:rsidR="009C1F9C">
              <w:rPr>
                <w:noProof/>
                <w:webHidden/>
              </w:rPr>
            </w:r>
            <w:r w:rsidR="009C1F9C">
              <w:rPr>
                <w:noProof/>
                <w:webHidden/>
              </w:rPr>
              <w:fldChar w:fldCharType="separate"/>
            </w:r>
            <w:r w:rsidR="009C1F9C">
              <w:rPr>
                <w:noProof/>
                <w:webHidden/>
              </w:rPr>
              <w:t>2</w:t>
            </w:r>
            <w:r w:rsidR="009C1F9C">
              <w:rPr>
                <w:noProof/>
                <w:webHidden/>
              </w:rPr>
              <w:fldChar w:fldCharType="end"/>
            </w:r>
          </w:hyperlink>
        </w:p>
        <w:p w14:paraId="0430D8D6" w14:textId="354149EF" w:rsidR="009C1F9C" w:rsidRDefault="002A60C0">
          <w:pPr>
            <w:pStyle w:val="TOC1"/>
            <w:tabs>
              <w:tab w:val="left" w:pos="480"/>
              <w:tab w:val="right" w:leader="dot" w:pos="9350"/>
            </w:tabs>
            <w:rPr>
              <w:rFonts w:asciiTheme="minorHAnsi" w:eastAsiaTheme="minorEastAsia" w:hAnsiTheme="minorHAnsi"/>
              <w:noProof/>
              <w:lang w:eastAsia="en-GB"/>
            </w:rPr>
          </w:pPr>
          <w:hyperlink w:anchor="_Toc227977795" w:history="1">
            <w:r w:rsidR="009C1F9C" w:rsidRPr="00AB0716">
              <w:rPr>
                <w:rStyle w:val="Hyperlink"/>
                <w:noProof/>
              </w:rPr>
              <w:t>1.</w:t>
            </w:r>
            <w:r w:rsidR="009C1F9C">
              <w:rPr>
                <w:rFonts w:asciiTheme="minorHAnsi" w:eastAsiaTheme="minorEastAsia" w:hAnsiTheme="minorHAnsi"/>
                <w:noProof/>
                <w:lang w:eastAsia="en-GB"/>
              </w:rPr>
              <w:tab/>
            </w:r>
            <w:r w:rsidR="009C1F9C" w:rsidRPr="00AB0716">
              <w:rPr>
                <w:rStyle w:val="Hyperlink"/>
                <w:noProof/>
              </w:rPr>
              <w:t>Introduction</w:t>
            </w:r>
            <w:r w:rsidR="009C1F9C">
              <w:rPr>
                <w:noProof/>
                <w:webHidden/>
              </w:rPr>
              <w:tab/>
            </w:r>
            <w:r w:rsidR="009C1F9C">
              <w:rPr>
                <w:noProof/>
                <w:webHidden/>
              </w:rPr>
              <w:fldChar w:fldCharType="begin"/>
            </w:r>
            <w:r w:rsidR="009C1F9C">
              <w:rPr>
                <w:noProof/>
                <w:webHidden/>
              </w:rPr>
              <w:instrText xml:space="preserve"> PAGEREF _Toc227977795 \h </w:instrText>
            </w:r>
            <w:r w:rsidR="009C1F9C">
              <w:rPr>
                <w:noProof/>
                <w:webHidden/>
              </w:rPr>
            </w:r>
            <w:r w:rsidR="009C1F9C">
              <w:rPr>
                <w:noProof/>
                <w:webHidden/>
              </w:rPr>
              <w:fldChar w:fldCharType="separate"/>
            </w:r>
            <w:r w:rsidR="009C1F9C">
              <w:rPr>
                <w:noProof/>
                <w:webHidden/>
              </w:rPr>
              <w:t>4</w:t>
            </w:r>
            <w:r w:rsidR="009C1F9C">
              <w:rPr>
                <w:noProof/>
                <w:webHidden/>
              </w:rPr>
              <w:fldChar w:fldCharType="end"/>
            </w:r>
          </w:hyperlink>
        </w:p>
        <w:p w14:paraId="60FB460F" w14:textId="2AFE8F0F" w:rsidR="009C1F9C" w:rsidRDefault="002A60C0">
          <w:pPr>
            <w:pStyle w:val="TOC1"/>
            <w:tabs>
              <w:tab w:val="left" w:pos="480"/>
              <w:tab w:val="right" w:leader="dot" w:pos="9350"/>
            </w:tabs>
            <w:rPr>
              <w:rFonts w:asciiTheme="minorHAnsi" w:eastAsiaTheme="minorEastAsia" w:hAnsiTheme="minorHAnsi"/>
              <w:noProof/>
              <w:lang w:eastAsia="en-GB"/>
            </w:rPr>
          </w:pPr>
          <w:hyperlink w:anchor="_Toc227977796" w:history="1">
            <w:r w:rsidR="009C1F9C" w:rsidRPr="00AB0716">
              <w:rPr>
                <w:rStyle w:val="Hyperlink"/>
                <w:noProof/>
              </w:rPr>
              <w:t>2.</w:t>
            </w:r>
            <w:r w:rsidR="009C1F9C">
              <w:rPr>
                <w:rFonts w:asciiTheme="minorHAnsi" w:eastAsiaTheme="minorEastAsia" w:hAnsiTheme="minorHAnsi"/>
                <w:noProof/>
                <w:lang w:eastAsia="en-GB"/>
              </w:rPr>
              <w:tab/>
            </w:r>
            <w:r w:rsidR="009C1F9C" w:rsidRPr="00AB0716">
              <w:rPr>
                <w:rStyle w:val="Hyperlink"/>
                <w:noProof/>
              </w:rPr>
              <w:t>Main Findings</w:t>
            </w:r>
            <w:r w:rsidR="009C1F9C">
              <w:rPr>
                <w:noProof/>
                <w:webHidden/>
              </w:rPr>
              <w:tab/>
            </w:r>
            <w:r w:rsidR="009C1F9C">
              <w:rPr>
                <w:noProof/>
                <w:webHidden/>
              </w:rPr>
              <w:fldChar w:fldCharType="begin"/>
            </w:r>
            <w:r w:rsidR="009C1F9C">
              <w:rPr>
                <w:noProof/>
                <w:webHidden/>
              </w:rPr>
              <w:instrText xml:space="preserve"> PAGEREF _Toc227977796 \h </w:instrText>
            </w:r>
            <w:r w:rsidR="009C1F9C">
              <w:rPr>
                <w:noProof/>
                <w:webHidden/>
              </w:rPr>
            </w:r>
            <w:r w:rsidR="009C1F9C">
              <w:rPr>
                <w:noProof/>
                <w:webHidden/>
              </w:rPr>
              <w:fldChar w:fldCharType="separate"/>
            </w:r>
            <w:r w:rsidR="009C1F9C">
              <w:rPr>
                <w:noProof/>
                <w:webHidden/>
              </w:rPr>
              <w:t>4</w:t>
            </w:r>
            <w:r w:rsidR="009C1F9C">
              <w:rPr>
                <w:noProof/>
                <w:webHidden/>
              </w:rPr>
              <w:fldChar w:fldCharType="end"/>
            </w:r>
          </w:hyperlink>
        </w:p>
        <w:p w14:paraId="22BB8FC2" w14:textId="0C292DAF"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797" w:history="1">
            <w:r w:rsidR="009C1F9C" w:rsidRPr="00AB0716">
              <w:rPr>
                <w:rStyle w:val="Hyperlink"/>
                <w:noProof/>
              </w:rPr>
              <w:t>2.1</w:t>
            </w:r>
            <w:r w:rsidR="009C1F9C">
              <w:rPr>
                <w:rFonts w:asciiTheme="minorHAnsi" w:eastAsiaTheme="minorEastAsia" w:hAnsiTheme="minorHAnsi"/>
                <w:noProof/>
                <w:lang w:eastAsia="en-GB"/>
              </w:rPr>
              <w:tab/>
            </w:r>
            <w:r w:rsidR="009C1F9C" w:rsidRPr="00AB0716">
              <w:rPr>
                <w:rStyle w:val="Hyperlink"/>
                <w:noProof/>
              </w:rPr>
              <w:t>PESTLE Analysis</w:t>
            </w:r>
            <w:r w:rsidR="009C1F9C">
              <w:rPr>
                <w:noProof/>
                <w:webHidden/>
              </w:rPr>
              <w:tab/>
            </w:r>
            <w:r w:rsidR="009C1F9C">
              <w:rPr>
                <w:noProof/>
                <w:webHidden/>
              </w:rPr>
              <w:fldChar w:fldCharType="begin"/>
            </w:r>
            <w:r w:rsidR="009C1F9C">
              <w:rPr>
                <w:noProof/>
                <w:webHidden/>
              </w:rPr>
              <w:instrText xml:space="preserve"> PAGEREF _Toc227977797 \h </w:instrText>
            </w:r>
            <w:r w:rsidR="009C1F9C">
              <w:rPr>
                <w:noProof/>
                <w:webHidden/>
              </w:rPr>
            </w:r>
            <w:r w:rsidR="009C1F9C">
              <w:rPr>
                <w:noProof/>
                <w:webHidden/>
              </w:rPr>
              <w:fldChar w:fldCharType="separate"/>
            </w:r>
            <w:r w:rsidR="009C1F9C">
              <w:rPr>
                <w:noProof/>
                <w:webHidden/>
              </w:rPr>
              <w:t>4</w:t>
            </w:r>
            <w:r w:rsidR="009C1F9C">
              <w:rPr>
                <w:noProof/>
                <w:webHidden/>
              </w:rPr>
              <w:fldChar w:fldCharType="end"/>
            </w:r>
          </w:hyperlink>
        </w:p>
        <w:p w14:paraId="1086C4F2" w14:textId="45C8BF8F"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798" w:history="1">
            <w:r w:rsidR="009C1F9C" w:rsidRPr="00AB0716">
              <w:rPr>
                <w:rStyle w:val="Hyperlink"/>
                <w:noProof/>
              </w:rPr>
              <w:t>2.2</w:t>
            </w:r>
            <w:r w:rsidR="009C1F9C">
              <w:rPr>
                <w:rFonts w:asciiTheme="minorHAnsi" w:eastAsiaTheme="minorEastAsia" w:hAnsiTheme="minorHAnsi"/>
                <w:noProof/>
                <w:lang w:eastAsia="en-GB"/>
              </w:rPr>
              <w:tab/>
            </w:r>
            <w:r w:rsidR="009C1F9C" w:rsidRPr="00AB0716">
              <w:rPr>
                <w:rStyle w:val="Hyperlink"/>
                <w:noProof/>
              </w:rPr>
              <w:t>Porter’s Five Forces Analysis</w:t>
            </w:r>
            <w:r w:rsidR="009C1F9C">
              <w:rPr>
                <w:noProof/>
                <w:webHidden/>
              </w:rPr>
              <w:tab/>
            </w:r>
            <w:r w:rsidR="009C1F9C">
              <w:rPr>
                <w:noProof/>
                <w:webHidden/>
              </w:rPr>
              <w:fldChar w:fldCharType="begin"/>
            </w:r>
            <w:r w:rsidR="009C1F9C">
              <w:rPr>
                <w:noProof/>
                <w:webHidden/>
              </w:rPr>
              <w:instrText xml:space="preserve"> PAGEREF _Toc227977798 \h </w:instrText>
            </w:r>
            <w:r w:rsidR="009C1F9C">
              <w:rPr>
                <w:noProof/>
                <w:webHidden/>
              </w:rPr>
            </w:r>
            <w:r w:rsidR="009C1F9C">
              <w:rPr>
                <w:noProof/>
                <w:webHidden/>
              </w:rPr>
              <w:fldChar w:fldCharType="separate"/>
            </w:r>
            <w:r w:rsidR="009C1F9C">
              <w:rPr>
                <w:noProof/>
                <w:webHidden/>
              </w:rPr>
              <w:t>6</w:t>
            </w:r>
            <w:r w:rsidR="009C1F9C">
              <w:rPr>
                <w:noProof/>
                <w:webHidden/>
              </w:rPr>
              <w:fldChar w:fldCharType="end"/>
            </w:r>
          </w:hyperlink>
        </w:p>
        <w:p w14:paraId="1D3E259F" w14:textId="0EE21C7C"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799" w:history="1">
            <w:r w:rsidR="009C1F9C" w:rsidRPr="00AB0716">
              <w:rPr>
                <w:rStyle w:val="Hyperlink"/>
                <w:noProof/>
              </w:rPr>
              <w:t>2.3</w:t>
            </w:r>
            <w:r w:rsidR="009C1F9C">
              <w:rPr>
                <w:rFonts w:asciiTheme="minorHAnsi" w:eastAsiaTheme="minorEastAsia" w:hAnsiTheme="minorHAnsi"/>
                <w:noProof/>
                <w:lang w:eastAsia="en-GB"/>
              </w:rPr>
              <w:tab/>
            </w:r>
            <w:r w:rsidR="009C1F9C" w:rsidRPr="00AB0716">
              <w:rPr>
                <w:rStyle w:val="Hyperlink"/>
                <w:noProof/>
              </w:rPr>
              <w:t>AI and Risk Management at JPMorgan Chase</w:t>
            </w:r>
            <w:r w:rsidR="009C1F9C">
              <w:rPr>
                <w:noProof/>
                <w:webHidden/>
              </w:rPr>
              <w:tab/>
            </w:r>
            <w:r w:rsidR="009C1F9C">
              <w:rPr>
                <w:noProof/>
                <w:webHidden/>
              </w:rPr>
              <w:fldChar w:fldCharType="begin"/>
            </w:r>
            <w:r w:rsidR="009C1F9C">
              <w:rPr>
                <w:noProof/>
                <w:webHidden/>
              </w:rPr>
              <w:instrText xml:space="preserve"> PAGEREF _Toc227977799 \h </w:instrText>
            </w:r>
            <w:r w:rsidR="009C1F9C">
              <w:rPr>
                <w:noProof/>
                <w:webHidden/>
              </w:rPr>
            </w:r>
            <w:r w:rsidR="009C1F9C">
              <w:rPr>
                <w:noProof/>
                <w:webHidden/>
              </w:rPr>
              <w:fldChar w:fldCharType="separate"/>
            </w:r>
            <w:r w:rsidR="009C1F9C">
              <w:rPr>
                <w:noProof/>
                <w:webHidden/>
              </w:rPr>
              <w:t>7</w:t>
            </w:r>
            <w:r w:rsidR="009C1F9C">
              <w:rPr>
                <w:noProof/>
                <w:webHidden/>
              </w:rPr>
              <w:fldChar w:fldCharType="end"/>
            </w:r>
          </w:hyperlink>
        </w:p>
        <w:p w14:paraId="743616F5" w14:textId="1FDD2243"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0" w:history="1">
            <w:r w:rsidR="009C1F9C" w:rsidRPr="00AB0716">
              <w:rPr>
                <w:rStyle w:val="Hyperlink"/>
                <w:noProof/>
              </w:rPr>
              <w:t>2.4</w:t>
            </w:r>
            <w:r w:rsidR="009C1F9C">
              <w:rPr>
                <w:rFonts w:asciiTheme="minorHAnsi" w:eastAsiaTheme="minorEastAsia" w:hAnsiTheme="minorHAnsi"/>
                <w:noProof/>
                <w:lang w:eastAsia="en-GB"/>
              </w:rPr>
              <w:tab/>
            </w:r>
            <w:r w:rsidR="009C1F9C" w:rsidRPr="00AB0716">
              <w:rPr>
                <w:rStyle w:val="Hyperlink"/>
                <w:noProof/>
              </w:rPr>
              <w:t>Data Governance and Algorithmic Transparency</w:t>
            </w:r>
            <w:r w:rsidR="009C1F9C">
              <w:rPr>
                <w:noProof/>
                <w:webHidden/>
              </w:rPr>
              <w:tab/>
            </w:r>
            <w:r w:rsidR="009C1F9C">
              <w:rPr>
                <w:noProof/>
                <w:webHidden/>
              </w:rPr>
              <w:fldChar w:fldCharType="begin"/>
            </w:r>
            <w:r w:rsidR="009C1F9C">
              <w:rPr>
                <w:noProof/>
                <w:webHidden/>
              </w:rPr>
              <w:instrText xml:space="preserve"> PAGEREF _Toc227977800 \h </w:instrText>
            </w:r>
            <w:r w:rsidR="009C1F9C">
              <w:rPr>
                <w:noProof/>
                <w:webHidden/>
              </w:rPr>
            </w:r>
            <w:r w:rsidR="009C1F9C">
              <w:rPr>
                <w:noProof/>
                <w:webHidden/>
              </w:rPr>
              <w:fldChar w:fldCharType="separate"/>
            </w:r>
            <w:r w:rsidR="009C1F9C">
              <w:rPr>
                <w:noProof/>
                <w:webHidden/>
              </w:rPr>
              <w:t>8</w:t>
            </w:r>
            <w:r w:rsidR="009C1F9C">
              <w:rPr>
                <w:noProof/>
                <w:webHidden/>
              </w:rPr>
              <w:fldChar w:fldCharType="end"/>
            </w:r>
          </w:hyperlink>
        </w:p>
        <w:p w14:paraId="5A1B98CF" w14:textId="7B2A5112"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1" w:history="1">
            <w:r w:rsidR="009C1F9C" w:rsidRPr="00AB0716">
              <w:rPr>
                <w:rStyle w:val="Hyperlink"/>
                <w:noProof/>
              </w:rPr>
              <w:t>2.5</w:t>
            </w:r>
            <w:r w:rsidR="009C1F9C">
              <w:rPr>
                <w:rFonts w:asciiTheme="minorHAnsi" w:eastAsiaTheme="minorEastAsia" w:hAnsiTheme="minorHAnsi"/>
                <w:noProof/>
                <w:lang w:eastAsia="en-GB"/>
              </w:rPr>
              <w:tab/>
            </w:r>
            <w:r w:rsidR="009C1F9C" w:rsidRPr="00AB0716">
              <w:rPr>
                <w:rStyle w:val="Hyperlink"/>
                <w:noProof/>
              </w:rPr>
              <w:t>Ethical AI Governance</w:t>
            </w:r>
            <w:r w:rsidR="009C1F9C">
              <w:rPr>
                <w:noProof/>
                <w:webHidden/>
              </w:rPr>
              <w:tab/>
            </w:r>
            <w:r w:rsidR="009C1F9C">
              <w:rPr>
                <w:noProof/>
                <w:webHidden/>
              </w:rPr>
              <w:fldChar w:fldCharType="begin"/>
            </w:r>
            <w:r w:rsidR="009C1F9C">
              <w:rPr>
                <w:noProof/>
                <w:webHidden/>
              </w:rPr>
              <w:instrText xml:space="preserve"> PAGEREF _Toc227977801 \h </w:instrText>
            </w:r>
            <w:r w:rsidR="009C1F9C">
              <w:rPr>
                <w:noProof/>
                <w:webHidden/>
              </w:rPr>
            </w:r>
            <w:r w:rsidR="009C1F9C">
              <w:rPr>
                <w:noProof/>
                <w:webHidden/>
              </w:rPr>
              <w:fldChar w:fldCharType="separate"/>
            </w:r>
            <w:r w:rsidR="009C1F9C">
              <w:rPr>
                <w:noProof/>
                <w:webHidden/>
              </w:rPr>
              <w:t>9</w:t>
            </w:r>
            <w:r w:rsidR="009C1F9C">
              <w:rPr>
                <w:noProof/>
                <w:webHidden/>
              </w:rPr>
              <w:fldChar w:fldCharType="end"/>
            </w:r>
          </w:hyperlink>
        </w:p>
        <w:p w14:paraId="6FC214F0" w14:textId="26524DAC"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2" w:history="1">
            <w:r w:rsidR="009C1F9C" w:rsidRPr="00AB0716">
              <w:rPr>
                <w:rStyle w:val="Hyperlink"/>
                <w:noProof/>
              </w:rPr>
              <w:t>2.6</w:t>
            </w:r>
            <w:r w:rsidR="009C1F9C">
              <w:rPr>
                <w:rFonts w:asciiTheme="minorHAnsi" w:eastAsiaTheme="minorEastAsia" w:hAnsiTheme="minorHAnsi"/>
                <w:noProof/>
                <w:lang w:eastAsia="en-GB"/>
              </w:rPr>
              <w:tab/>
            </w:r>
            <w:r w:rsidR="009C1F9C" w:rsidRPr="00AB0716">
              <w:rPr>
                <w:rStyle w:val="Hyperlink"/>
                <w:noProof/>
              </w:rPr>
              <w:t>Macroeconomic Policy and AI Risk</w:t>
            </w:r>
            <w:r w:rsidR="009C1F9C">
              <w:rPr>
                <w:noProof/>
                <w:webHidden/>
              </w:rPr>
              <w:tab/>
            </w:r>
            <w:r w:rsidR="009C1F9C">
              <w:rPr>
                <w:noProof/>
                <w:webHidden/>
              </w:rPr>
              <w:fldChar w:fldCharType="begin"/>
            </w:r>
            <w:r w:rsidR="009C1F9C">
              <w:rPr>
                <w:noProof/>
                <w:webHidden/>
              </w:rPr>
              <w:instrText xml:space="preserve"> PAGEREF _Toc227977802 \h </w:instrText>
            </w:r>
            <w:r w:rsidR="009C1F9C">
              <w:rPr>
                <w:noProof/>
                <w:webHidden/>
              </w:rPr>
            </w:r>
            <w:r w:rsidR="009C1F9C">
              <w:rPr>
                <w:noProof/>
                <w:webHidden/>
              </w:rPr>
              <w:fldChar w:fldCharType="separate"/>
            </w:r>
            <w:r w:rsidR="009C1F9C">
              <w:rPr>
                <w:noProof/>
                <w:webHidden/>
              </w:rPr>
              <w:t>11</w:t>
            </w:r>
            <w:r w:rsidR="009C1F9C">
              <w:rPr>
                <w:noProof/>
                <w:webHidden/>
              </w:rPr>
              <w:fldChar w:fldCharType="end"/>
            </w:r>
          </w:hyperlink>
        </w:p>
        <w:p w14:paraId="03AA2FEE" w14:textId="7D53999C"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3" w:history="1">
            <w:r w:rsidR="009C1F9C" w:rsidRPr="00AB0716">
              <w:rPr>
                <w:rStyle w:val="Hyperlink"/>
                <w:noProof/>
              </w:rPr>
              <w:t>2.7</w:t>
            </w:r>
            <w:r w:rsidR="009C1F9C">
              <w:rPr>
                <w:rFonts w:asciiTheme="minorHAnsi" w:eastAsiaTheme="minorEastAsia" w:hAnsiTheme="minorHAnsi"/>
                <w:noProof/>
                <w:lang w:eastAsia="en-GB"/>
              </w:rPr>
              <w:tab/>
            </w:r>
            <w:r w:rsidR="009C1F9C" w:rsidRPr="00AB0716">
              <w:rPr>
                <w:rStyle w:val="Hyperlink"/>
                <w:noProof/>
              </w:rPr>
              <w:t>Regulatory Compliance: UK and US Comparative Analysis</w:t>
            </w:r>
            <w:r w:rsidR="009C1F9C">
              <w:rPr>
                <w:noProof/>
                <w:webHidden/>
              </w:rPr>
              <w:tab/>
            </w:r>
            <w:r w:rsidR="009C1F9C">
              <w:rPr>
                <w:noProof/>
                <w:webHidden/>
              </w:rPr>
              <w:fldChar w:fldCharType="begin"/>
            </w:r>
            <w:r w:rsidR="009C1F9C">
              <w:rPr>
                <w:noProof/>
                <w:webHidden/>
              </w:rPr>
              <w:instrText xml:space="preserve"> PAGEREF _Toc227977803 \h </w:instrText>
            </w:r>
            <w:r w:rsidR="009C1F9C">
              <w:rPr>
                <w:noProof/>
                <w:webHidden/>
              </w:rPr>
            </w:r>
            <w:r w:rsidR="009C1F9C">
              <w:rPr>
                <w:noProof/>
                <w:webHidden/>
              </w:rPr>
              <w:fldChar w:fldCharType="separate"/>
            </w:r>
            <w:r w:rsidR="009C1F9C">
              <w:rPr>
                <w:noProof/>
                <w:webHidden/>
              </w:rPr>
              <w:t>13</w:t>
            </w:r>
            <w:r w:rsidR="009C1F9C">
              <w:rPr>
                <w:noProof/>
                <w:webHidden/>
              </w:rPr>
              <w:fldChar w:fldCharType="end"/>
            </w:r>
          </w:hyperlink>
        </w:p>
        <w:p w14:paraId="32FD70F0" w14:textId="2293CBAE"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4" w:history="1">
            <w:r w:rsidR="009C1F9C" w:rsidRPr="00AB0716">
              <w:rPr>
                <w:rStyle w:val="Hyperlink"/>
                <w:noProof/>
              </w:rPr>
              <w:t>2.8</w:t>
            </w:r>
            <w:r w:rsidR="009C1F9C">
              <w:rPr>
                <w:rFonts w:asciiTheme="minorHAnsi" w:eastAsiaTheme="minorEastAsia" w:hAnsiTheme="minorHAnsi"/>
                <w:noProof/>
                <w:lang w:eastAsia="en-GB"/>
              </w:rPr>
              <w:tab/>
            </w:r>
            <w:r w:rsidR="009C1F9C" w:rsidRPr="00AB0716">
              <w:rPr>
                <w:rStyle w:val="Hyperlink"/>
                <w:noProof/>
              </w:rPr>
              <w:t>Regulatory Futures 2026 to 2030</w:t>
            </w:r>
            <w:r w:rsidR="009C1F9C">
              <w:rPr>
                <w:noProof/>
                <w:webHidden/>
              </w:rPr>
              <w:tab/>
            </w:r>
            <w:r w:rsidR="009C1F9C">
              <w:rPr>
                <w:noProof/>
                <w:webHidden/>
              </w:rPr>
              <w:fldChar w:fldCharType="begin"/>
            </w:r>
            <w:r w:rsidR="009C1F9C">
              <w:rPr>
                <w:noProof/>
                <w:webHidden/>
              </w:rPr>
              <w:instrText xml:space="preserve"> PAGEREF _Toc227977804 \h </w:instrText>
            </w:r>
            <w:r w:rsidR="009C1F9C">
              <w:rPr>
                <w:noProof/>
                <w:webHidden/>
              </w:rPr>
            </w:r>
            <w:r w:rsidR="009C1F9C">
              <w:rPr>
                <w:noProof/>
                <w:webHidden/>
              </w:rPr>
              <w:fldChar w:fldCharType="separate"/>
            </w:r>
            <w:r w:rsidR="009C1F9C">
              <w:rPr>
                <w:noProof/>
                <w:webHidden/>
              </w:rPr>
              <w:t>14</w:t>
            </w:r>
            <w:r w:rsidR="009C1F9C">
              <w:rPr>
                <w:noProof/>
                <w:webHidden/>
              </w:rPr>
              <w:fldChar w:fldCharType="end"/>
            </w:r>
          </w:hyperlink>
        </w:p>
        <w:p w14:paraId="3FE278DC" w14:textId="736A8D02" w:rsidR="009C1F9C" w:rsidRDefault="002A60C0">
          <w:pPr>
            <w:pStyle w:val="TOC2"/>
            <w:tabs>
              <w:tab w:val="left" w:pos="960"/>
              <w:tab w:val="right" w:leader="dot" w:pos="9350"/>
            </w:tabs>
            <w:rPr>
              <w:rFonts w:asciiTheme="minorHAnsi" w:eastAsiaTheme="minorEastAsia" w:hAnsiTheme="minorHAnsi"/>
              <w:noProof/>
              <w:lang w:eastAsia="en-GB"/>
            </w:rPr>
          </w:pPr>
          <w:hyperlink w:anchor="_Toc227977805" w:history="1">
            <w:r w:rsidR="009C1F9C" w:rsidRPr="00AB0716">
              <w:rPr>
                <w:rStyle w:val="Hyperlink"/>
                <w:noProof/>
              </w:rPr>
              <w:t>2.9</w:t>
            </w:r>
            <w:r w:rsidR="009C1F9C">
              <w:rPr>
                <w:rFonts w:asciiTheme="minorHAnsi" w:eastAsiaTheme="minorEastAsia" w:hAnsiTheme="minorHAnsi"/>
                <w:noProof/>
                <w:lang w:eastAsia="en-GB"/>
              </w:rPr>
              <w:tab/>
            </w:r>
            <w:r w:rsidR="009C1F9C" w:rsidRPr="00AB0716">
              <w:rPr>
                <w:rStyle w:val="Hyperlink"/>
                <w:noProof/>
              </w:rPr>
              <w:t>Customer Trust and Reputational Risk</w:t>
            </w:r>
            <w:r w:rsidR="009C1F9C">
              <w:rPr>
                <w:noProof/>
                <w:webHidden/>
              </w:rPr>
              <w:tab/>
            </w:r>
            <w:r w:rsidR="009C1F9C">
              <w:rPr>
                <w:noProof/>
                <w:webHidden/>
              </w:rPr>
              <w:fldChar w:fldCharType="begin"/>
            </w:r>
            <w:r w:rsidR="009C1F9C">
              <w:rPr>
                <w:noProof/>
                <w:webHidden/>
              </w:rPr>
              <w:instrText xml:space="preserve"> PAGEREF _Toc227977805 \h </w:instrText>
            </w:r>
            <w:r w:rsidR="009C1F9C">
              <w:rPr>
                <w:noProof/>
                <w:webHidden/>
              </w:rPr>
            </w:r>
            <w:r w:rsidR="009C1F9C">
              <w:rPr>
                <w:noProof/>
                <w:webHidden/>
              </w:rPr>
              <w:fldChar w:fldCharType="separate"/>
            </w:r>
            <w:r w:rsidR="009C1F9C">
              <w:rPr>
                <w:noProof/>
                <w:webHidden/>
              </w:rPr>
              <w:t>15</w:t>
            </w:r>
            <w:r w:rsidR="009C1F9C">
              <w:rPr>
                <w:noProof/>
                <w:webHidden/>
              </w:rPr>
              <w:fldChar w:fldCharType="end"/>
            </w:r>
          </w:hyperlink>
        </w:p>
        <w:p w14:paraId="6E43694F" w14:textId="6456A9E6" w:rsidR="009C1F9C" w:rsidRDefault="002A60C0">
          <w:pPr>
            <w:pStyle w:val="TOC1"/>
            <w:tabs>
              <w:tab w:val="left" w:pos="480"/>
              <w:tab w:val="right" w:leader="dot" w:pos="9350"/>
            </w:tabs>
            <w:rPr>
              <w:rFonts w:asciiTheme="minorHAnsi" w:eastAsiaTheme="minorEastAsia" w:hAnsiTheme="minorHAnsi"/>
              <w:noProof/>
              <w:lang w:eastAsia="en-GB"/>
            </w:rPr>
          </w:pPr>
          <w:hyperlink w:anchor="_Toc227977806" w:history="1">
            <w:r w:rsidR="009C1F9C" w:rsidRPr="00AB0716">
              <w:rPr>
                <w:rStyle w:val="Hyperlink"/>
                <w:noProof/>
              </w:rPr>
              <w:t>3.</w:t>
            </w:r>
            <w:r w:rsidR="009C1F9C">
              <w:rPr>
                <w:rFonts w:asciiTheme="minorHAnsi" w:eastAsiaTheme="minorEastAsia" w:hAnsiTheme="minorHAnsi"/>
                <w:noProof/>
                <w:lang w:eastAsia="en-GB"/>
              </w:rPr>
              <w:tab/>
            </w:r>
            <w:r w:rsidR="009C1F9C" w:rsidRPr="00AB0716">
              <w:rPr>
                <w:rStyle w:val="Hyperlink"/>
                <w:noProof/>
              </w:rPr>
              <w:t>Implementation Plan</w:t>
            </w:r>
            <w:r w:rsidR="009C1F9C">
              <w:rPr>
                <w:noProof/>
                <w:webHidden/>
              </w:rPr>
              <w:tab/>
            </w:r>
            <w:r w:rsidR="009C1F9C">
              <w:rPr>
                <w:noProof/>
                <w:webHidden/>
              </w:rPr>
              <w:fldChar w:fldCharType="begin"/>
            </w:r>
            <w:r w:rsidR="009C1F9C">
              <w:rPr>
                <w:noProof/>
                <w:webHidden/>
              </w:rPr>
              <w:instrText xml:space="preserve"> PAGEREF _Toc227977806 \h </w:instrText>
            </w:r>
            <w:r w:rsidR="009C1F9C">
              <w:rPr>
                <w:noProof/>
                <w:webHidden/>
              </w:rPr>
            </w:r>
            <w:r w:rsidR="009C1F9C">
              <w:rPr>
                <w:noProof/>
                <w:webHidden/>
              </w:rPr>
              <w:fldChar w:fldCharType="separate"/>
            </w:r>
            <w:r w:rsidR="009C1F9C">
              <w:rPr>
                <w:noProof/>
                <w:webHidden/>
              </w:rPr>
              <w:t>16</w:t>
            </w:r>
            <w:r w:rsidR="009C1F9C">
              <w:rPr>
                <w:noProof/>
                <w:webHidden/>
              </w:rPr>
              <w:fldChar w:fldCharType="end"/>
            </w:r>
          </w:hyperlink>
        </w:p>
        <w:p w14:paraId="2B2BF04A" w14:textId="5CDF9E51" w:rsidR="009C1F9C" w:rsidRDefault="002A60C0">
          <w:pPr>
            <w:pStyle w:val="TOC1"/>
            <w:tabs>
              <w:tab w:val="left" w:pos="480"/>
              <w:tab w:val="right" w:leader="dot" w:pos="9350"/>
            </w:tabs>
            <w:rPr>
              <w:rFonts w:asciiTheme="minorHAnsi" w:eastAsiaTheme="minorEastAsia" w:hAnsiTheme="minorHAnsi"/>
              <w:noProof/>
              <w:lang w:eastAsia="en-GB"/>
            </w:rPr>
          </w:pPr>
          <w:hyperlink w:anchor="_Toc227977807" w:history="1">
            <w:r w:rsidR="009C1F9C" w:rsidRPr="00AB0716">
              <w:rPr>
                <w:rStyle w:val="Hyperlink"/>
                <w:noProof/>
              </w:rPr>
              <w:t>4.</w:t>
            </w:r>
            <w:r w:rsidR="009C1F9C">
              <w:rPr>
                <w:rFonts w:asciiTheme="minorHAnsi" w:eastAsiaTheme="minorEastAsia" w:hAnsiTheme="minorHAnsi"/>
                <w:noProof/>
                <w:lang w:eastAsia="en-GB"/>
              </w:rPr>
              <w:tab/>
            </w:r>
            <w:r w:rsidR="009C1F9C" w:rsidRPr="00AB0716">
              <w:rPr>
                <w:rStyle w:val="Hyperlink"/>
                <w:noProof/>
              </w:rPr>
              <w:t>Conclusion</w:t>
            </w:r>
            <w:r w:rsidR="009C1F9C">
              <w:rPr>
                <w:noProof/>
                <w:webHidden/>
              </w:rPr>
              <w:tab/>
            </w:r>
            <w:r w:rsidR="009C1F9C">
              <w:rPr>
                <w:noProof/>
                <w:webHidden/>
              </w:rPr>
              <w:fldChar w:fldCharType="begin"/>
            </w:r>
            <w:r w:rsidR="009C1F9C">
              <w:rPr>
                <w:noProof/>
                <w:webHidden/>
              </w:rPr>
              <w:instrText xml:space="preserve"> PAGEREF _Toc227977807 \h </w:instrText>
            </w:r>
            <w:r w:rsidR="009C1F9C">
              <w:rPr>
                <w:noProof/>
                <w:webHidden/>
              </w:rPr>
            </w:r>
            <w:r w:rsidR="009C1F9C">
              <w:rPr>
                <w:noProof/>
                <w:webHidden/>
              </w:rPr>
              <w:fldChar w:fldCharType="separate"/>
            </w:r>
            <w:r w:rsidR="009C1F9C">
              <w:rPr>
                <w:noProof/>
                <w:webHidden/>
              </w:rPr>
              <w:t>17</w:t>
            </w:r>
            <w:r w:rsidR="009C1F9C">
              <w:rPr>
                <w:noProof/>
                <w:webHidden/>
              </w:rPr>
              <w:fldChar w:fldCharType="end"/>
            </w:r>
          </w:hyperlink>
        </w:p>
        <w:p w14:paraId="4FAE12A2" w14:textId="0FE622E0" w:rsidR="009C1F9C" w:rsidRDefault="002A60C0">
          <w:pPr>
            <w:pStyle w:val="TOC1"/>
            <w:tabs>
              <w:tab w:val="left" w:pos="480"/>
              <w:tab w:val="right" w:leader="dot" w:pos="9350"/>
            </w:tabs>
            <w:rPr>
              <w:rFonts w:asciiTheme="minorHAnsi" w:eastAsiaTheme="minorEastAsia" w:hAnsiTheme="minorHAnsi"/>
              <w:noProof/>
              <w:lang w:eastAsia="en-GB"/>
            </w:rPr>
          </w:pPr>
          <w:hyperlink w:anchor="_Toc227977808" w:history="1">
            <w:r w:rsidR="009C1F9C" w:rsidRPr="00AB0716">
              <w:rPr>
                <w:rStyle w:val="Hyperlink"/>
                <w:noProof/>
              </w:rPr>
              <w:t>5.</w:t>
            </w:r>
            <w:r w:rsidR="009C1F9C">
              <w:rPr>
                <w:rFonts w:asciiTheme="minorHAnsi" w:eastAsiaTheme="minorEastAsia" w:hAnsiTheme="minorHAnsi"/>
                <w:noProof/>
                <w:lang w:eastAsia="en-GB"/>
              </w:rPr>
              <w:tab/>
            </w:r>
            <w:r w:rsidR="009C1F9C" w:rsidRPr="00AB0716">
              <w:rPr>
                <w:rStyle w:val="Hyperlink"/>
                <w:noProof/>
              </w:rPr>
              <w:t>Reference List</w:t>
            </w:r>
            <w:r w:rsidR="009C1F9C">
              <w:rPr>
                <w:noProof/>
                <w:webHidden/>
              </w:rPr>
              <w:tab/>
            </w:r>
            <w:r w:rsidR="009C1F9C">
              <w:rPr>
                <w:noProof/>
                <w:webHidden/>
              </w:rPr>
              <w:fldChar w:fldCharType="begin"/>
            </w:r>
            <w:r w:rsidR="009C1F9C">
              <w:rPr>
                <w:noProof/>
                <w:webHidden/>
              </w:rPr>
              <w:instrText xml:space="preserve"> PAGEREF _Toc227977808 \h </w:instrText>
            </w:r>
            <w:r w:rsidR="009C1F9C">
              <w:rPr>
                <w:noProof/>
                <w:webHidden/>
              </w:rPr>
            </w:r>
            <w:r w:rsidR="009C1F9C">
              <w:rPr>
                <w:noProof/>
                <w:webHidden/>
              </w:rPr>
              <w:fldChar w:fldCharType="separate"/>
            </w:r>
            <w:r w:rsidR="009C1F9C">
              <w:rPr>
                <w:noProof/>
                <w:webHidden/>
              </w:rPr>
              <w:t>19</w:t>
            </w:r>
            <w:r w:rsidR="009C1F9C">
              <w:rPr>
                <w:noProof/>
                <w:webHidden/>
              </w:rPr>
              <w:fldChar w:fldCharType="end"/>
            </w:r>
          </w:hyperlink>
        </w:p>
        <w:p w14:paraId="6273F001" w14:textId="640DC331" w:rsidR="003B1423" w:rsidRDefault="003B1423" w:rsidP="000427F9">
          <w:pPr>
            <w:jc w:val="both"/>
          </w:pPr>
          <w:r>
            <w:rPr>
              <w:b/>
              <w:bCs/>
              <w:noProof/>
            </w:rPr>
            <w:fldChar w:fldCharType="end"/>
          </w:r>
        </w:p>
      </w:sdtContent>
    </w:sdt>
    <w:p w14:paraId="3F9772DA" w14:textId="77777777" w:rsidR="003B1423" w:rsidRDefault="003B1423" w:rsidP="000427F9">
      <w:pPr>
        <w:jc w:val="both"/>
      </w:pPr>
      <w:r>
        <w:br w:type="page"/>
      </w:r>
    </w:p>
    <w:p w14:paraId="1BD224E0" w14:textId="745D6FD0" w:rsidR="00F725BF" w:rsidRPr="00F725BF" w:rsidRDefault="00F725BF" w:rsidP="000427F9">
      <w:pPr>
        <w:pStyle w:val="Heading1"/>
        <w:jc w:val="both"/>
      </w:pPr>
      <w:bookmarkStart w:id="1" w:name="_Toc227977795"/>
      <w:r w:rsidRPr="00F725BF">
        <w:lastRenderedPageBreak/>
        <w:t>Introduction</w:t>
      </w:r>
      <w:bookmarkEnd w:id="1"/>
    </w:p>
    <w:p w14:paraId="3501EE33" w14:textId="62FC7DB4" w:rsidR="00F725BF" w:rsidRPr="00F725BF" w:rsidRDefault="00251C68" w:rsidP="000427F9">
      <w:pPr>
        <w:jc w:val="both"/>
      </w:pPr>
      <w:r w:rsidRPr="00251C68">
        <w:t>JPMorgan Chase and Co. has made artificial intelligence one of its key strategic pillars in its international business</w:t>
      </w:r>
      <w:r w:rsidR="007578BF">
        <w:t>,</w:t>
      </w:r>
      <w:r w:rsidRPr="00251C68">
        <w:t xml:space="preserve"> which includes credit assessment, market risk modelling, compliance automation, and customer interaction. The magnitude and intensity of this implementation make the company a model of AI innovation in financial services as well as a study of the governance issues that come with it. This analysis focuses on two jurisdictions: the United Kingdom, where a philosophy of regulation based on principles has been dominant, and the United States, where consumer protection agencies have assumed increasingly prescriptive positions towards algorithmic decision-making. This report recommends the way JPMorgan Chase should handle the convergence of AI risk, ethical responsibility, macroeconomic volatility, and regulatory divergence to RFD Global. The PESTLE framing, theory of ethical governance, macroeconomic transmission analysis and scenario planning are employed in the analysis to provide a future-proofed</w:t>
      </w:r>
      <w:r w:rsidR="007578BF">
        <w:t>,</w:t>
      </w:r>
      <w:r w:rsidRPr="00251C68">
        <w:t xml:space="preserve"> actionable advisory.</w:t>
      </w:r>
    </w:p>
    <w:p w14:paraId="261BEF59" w14:textId="190AF350" w:rsidR="00F725BF" w:rsidRPr="00F725BF" w:rsidRDefault="00F725BF" w:rsidP="000427F9">
      <w:pPr>
        <w:pStyle w:val="Heading1"/>
        <w:jc w:val="both"/>
      </w:pPr>
      <w:bookmarkStart w:id="2" w:name="_Toc227977796"/>
      <w:r w:rsidRPr="00F725BF">
        <w:t>Main Findings</w:t>
      </w:r>
      <w:bookmarkEnd w:id="2"/>
    </w:p>
    <w:p w14:paraId="18B9F47D" w14:textId="4EAC39CA" w:rsidR="00F725BF" w:rsidRPr="00F725BF" w:rsidRDefault="00F725BF" w:rsidP="000427F9">
      <w:pPr>
        <w:pStyle w:val="Heading2"/>
      </w:pPr>
      <w:bookmarkStart w:id="3" w:name="_Toc227977797"/>
      <w:r w:rsidRPr="00F725BF">
        <w:t>PESTLE Analysis</w:t>
      </w:r>
      <w:bookmarkEnd w:id="3"/>
    </w:p>
    <w:p w14:paraId="2FABF89D" w14:textId="7FB9BA5A" w:rsidR="0021737A" w:rsidRDefault="0021737A" w:rsidP="0021737A">
      <w:pPr>
        <w:jc w:val="both"/>
      </w:pPr>
      <w:r>
        <w:t xml:space="preserve">The government of the United Kingdom has taken a rather non-legislative approach to the regulation of artificial intelligence. The Department for Science, Innovation and Technology (2023) presented five cross-sectoral principles, i.e. safety, transparency, fairness, accountability and contestability, which are to be applied by sector-specific regulators within the existing institutional structures. It was stated in the following response to the consultation that it would be premature to give statutory obligations to regulators at this point in time (Department for Science, Innovation and Technology, 2024). Subsequent advice also made it clear that financial regulators should develop strategic AI plans that are in line with these principles (UK Government, 2026). As a reaction, the Financial Conduct Authority has developed specific AI guidance, </w:t>
      </w:r>
      <w:r w:rsidR="007578BF">
        <w:t>prioritising</w:t>
      </w:r>
      <w:r>
        <w:t xml:space="preserve"> responsible innovation and systemic risk management (FCA, 2025a; FCA, 2025b). Such a strategy is indicative of a </w:t>
      </w:r>
      <w:r w:rsidR="002C4A03">
        <w:t>favour</w:t>
      </w:r>
      <w:r>
        <w:t xml:space="preserve"> towards regulatory flexibility, but can result in some ambiguity in operational enforcement in the long run.</w:t>
      </w:r>
    </w:p>
    <w:p w14:paraId="736D7C2B" w14:textId="3852D380" w:rsidR="0021737A" w:rsidRDefault="0021737A" w:rsidP="0021737A">
      <w:pPr>
        <w:jc w:val="both"/>
      </w:pPr>
      <w:r>
        <w:t xml:space="preserve">Conversely, the US regulatory regime seems to be more interventionist in some aspects. In 2023, the Consumer Financial Protection Bureau released a guideline on AI-based credit decisions that explicitly declares that even complex systems do not eliminate the duties of lenders to present clear and specific reasons supporting </w:t>
      </w:r>
      <w:r w:rsidR="002C4A03">
        <w:t>unfavourable</w:t>
      </w:r>
      <w:r>
        <w:t xml:space="preserve"> credit decisions (Consumer Financial Protection Bureau, 2023). Such requirements were already </w:t>
      </w:r>
      <w:r>
        <w:lastRenderedPageBreak/>
        <w:t>operationalised by an earlier circular as per the Equal Credit Opportunity Act (CFPB, 2022). Moreover, algorithmic bias is defined as one of the major supervisory priorities of the CFPB 2023 fair lending annual report (CFPB, 2024), which implies a growth in regulatory emphasis on fairness and accountability in automated decision-making processes.</w:t>
      </w:r>
    </w:p>
    <w:p w14:paraId="1EF73C58" w14:textId="2E2CFB00" w:rsidR="00452836" w:rsidRDefault="0021737A" w:rsidP="0021737A">
      <w:pPr>
        <w:jc w:val="both"/>
      </w:pPr>
      <w:r>
        <w:t xml:space="preserve">Technologically, Shi et al. (2022) showed that, at least in terms of predictive accuracy, more sophisticated machine learning setups have a tendency to be more effective than traditional credit evaluation models, but at the cost of interpretability. In a similar fashion, the authors of the study by Najem et al. (2025) discovered that the real-time data integration and generative AI use </w:t>
      </w:r>
      <w:r w:rsidR="0040389F">
        <w:t>are</w:t>
      </w:r>
      <w:r>
        <w:t xml:space="preserve"> fundamentally transforming the practices of financial risk assessment. In the economic aspect, </w:t>
      </w:r>
      <w:proofErr w:type="spellStart"/>
      <w:r>
        <w:t>Akanfe</w:t>
      </w:r>
      <w:proofErr w:type="spellEnd"/>
      <w:r>
        <w:t xml:space="preserve">, Bhatt and </w:t>
      </w:r>
      <w:proofErr w:type="spellStart"/>
      <w:r>
        <w:t>Lawong</w:t>
      </w:r>
      <w:proofErr w:type="spellEnd"/>
      <w:r>
        <w:t xml:space="preserve"> (2025) defined AI as a major facilitator of financial inclusion. Nevertheless, Kou and Lu (2025) have warned that, unless the right governance is implemented, biased training data can support structural exclusion, posing regulatory and reputational risks to JPMorgan Chase.</w:t>
      </w:r>
    </w:p>
    <w:p w14:paraId="7B643406" w14:textId="77777777" w:rsidR="004A2D3B" w:rsidRDefault="004A2D3B" w:rsidP="000427F9">
      <w:pPr>
        <w:keepNext/>
        <w:jc w:val="both"/>
      </w:pPr>
      <w:r w:rsidRPr="004A2D3B">
        <w:rPr>
          <w:noProof/>
        </w:rPr>
        <w:drawing>
          <wp:inline distT="0" distB="0" distL="0" distR="0" wp14:anchorId="2D8594AC" wp14:editId="5E0E383A">
            <wp:extent cx="5943600" cy="3170555"/>
            <wp:effectExtent l="0" t="0" r="0" b="0"/>
            <wp:docPr id="260722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0722761" name=""/>
                    <pic:cNvPicPr/>
                  </pic:nvPicPr>
                  <pic:blipFill>
                    <a:blip r:embed="rId8"/>
                    <a:stretch>
                      <a:fillRect/>
                    </a:stretch>
                  </pic:blipFill>
                  <pic:spPr>
                    <a:xfrm>
                      <a:off x="0" y="0"/>
                      <a:ext cx="5943600" cy="3170555"/>
                    </a:xfrm>
                    <a:prstGeom prst="rect">
                      <a:avLst/>
                    </a:prstGeom>
                  </pic:spPr>
                </pic:pic>
              </a:graphicData>
            </a:graphic>
          </wp:inline>
        </w:drawing>
      </w:r>
    </w:p>
    <w:p w14:paraId="26F4B299" w14:textId="2500BC49" w:rsidR="004A2D3B" w:rsidRPr="00452836" w:rsidRDefault="004A2D3B" w:rsidP="000427F9">
      <w:pPr>
        <w:pStyle w:val="Caption"/>
        <w:jc w:val="both"/>
      </w:pPr>
      <w:r>
        <w:t xml:space="preserve">Figure </w:t>
      </w:r>
      <w:r>
        <w:fldChar w:fldCharType="begin"/>
      </w:r>
      <w:r>
        <w:instrText xml:space="preserve"> SEQ Figure \* ARABIC </w:instrText>
      </w:r>
      <w:r>
        <w:fldChar w:fldCharType="separate"/>
      </w:r>
      <w:r w:rsidR="00522836">
        <w:rPr>
          <w:noProof/>
        </w:rPr>
        <w:t>1</w:t>
      </w:r>
      <w:r>
        <w:fldChar w:fldCharType="end"/>
      </w:r>
      <w:r>
        <w:t xml:space="preserve">: </w:t>
      </w:r>
      <w:r w:rsidRPr="001D64DC">
        <w:t>Comparative structure of UK and US AI regulation</w:t>
      </w:r>
      <w:r>
        <w:t xml:space="preserve"> (Author)</w:t>
      </w:r>
    </w:p>
    <w:p w14:paraId="2FD2B54C" w14:textId="77777777" w:rsidR="00F725BF" w:rsidRPr="003B1423" w:rsidRDefault="00F725BF" w:rsidP="000427F9">
      <w:pPr>
        <w:jc w:val="both"/>
        <w:rPr>
          <w:b/>
          <w:bCs/>
        </w:rPr>
      </w:pPr>
      <w:r w:rsidRPr="003B1423">
        <w:rPr>
          <w:b/>
          <w:bCs/>
        </w:rPr>
        <w:t>Table 1: PESTLE Summary -- JPMorgan Chase AI Risk Environment</w:t>
      </w:r>
    </w:p>
    <w:tbl>
      <w:tblPr>
        <w:tblStyle w:val="PlainTable1"/>
        <w:tblW w:w="5000" w:type="pct"/>
        <w:tblLook w:val="04A0" w:firstRow="1" w:lastRow="0" w:firstColumn="1" w:lastColumn="0" w:noHBand="0" w:noVBand="1"/>
      </w:tblPr>
      <w:tblGrid>
        <w:gridCol w:w="1759"/>
        <w:gridCol w:w="3750"/>
        <w:gridCol w:w="3507"/>
      </w:tblGrid>
      <w:tr w:rsidR="00F725BF" w:rsidRPr="00F725BF" w14:paraId="34DFF2B9" w14:textId="77777777" w:rsidTr="00452836">
        <w:trPr>
          <w:cnfStyle w:val="100000000000" w:firstRow="1" w:lastRow="0" w:firstColumn="0" w:lastColumn="0" w:oddVBand="0" w:evenVBand="0" w:oddHBand="0" w:evenHBand="0" w:firstRowFirstColumn="0" w:firstRowLastColumn="0" w:lastRowFirstColumn="0" w:lastRowLastColumn="0"/>
          <w:trHeight w:val="469"/>
        </w:trPr>
        <w:tc>
          <w:tcPr>
            <w:cnfStyle w:val="001000000000" w:firstRow="0" w:lastRow="0" w:firstColumn="1" w:lastColumn="0" w:oddVBand="0" w:evenVBand="0" w:oddHBand="0" w:evenHBand="0" w:firstRowFirstColumn="0" w:firstRowLastColumn="0" w:lastRowFirstColumn="0" w:lastRowLastColumn="0"/>
            <w:tcW w:w="941" w:type="pct"/>
            <w:hideMark/>
          </w:tcPr>
          <w:p w14:paraId="4181FB14" w14:textId="77777777" w:rsidR="00F725BF" w:rsidRPr="00F725BF" w:rsidRDefault="00F725BF" w:rsidP="000427F9">
            <w:pPr>
              <w:jc w:val="both"/>
            </w:pPr>
            <w:r w:rsidRPr="00F725BF">
              <w:t>Dimension</w:t>
            </w:r>
          </w:p>
        </w:tc>
        <w:tc>
          <w:tcPr>
            <w:tcW w:w="2097" w:type="pct"/>
            <w:hideMark/>
          </w:tcPr>
          <w:p w14:paraId="3289F945"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United Kingdom</w:t>
            </w:r>
          </w:p>
        </w:tc>
        <w:tc>
          <w:tcPr>
            <w:tcW w:w="1962" w:type="pct"/>
            <w:hideMark/>
          </w:tcPr>
          <w:p w14:paraId="722C9F16"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United States</w:t>
            </w:r>
          </w:p>
        </w:tc>
      </w:tr>
      <w:tr w:rsidR="00F725BF" w:rsidRPr="00F725BF" w14:paraId="4D2A7481" w14:textId="77777777" w:rsidTr="00452836">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941" w:type="pct"/>
            <w:hideMark/>
          </w:tcPr>
          <w:p w14:paraId="0E6F740F" w14:textId="77777777" w:rsidR="00F725BF" w:rsidRPr="00F725BF" w:rsidRDefault="00F725BF" w:rsidP="000427F9">
            <w:pPr>
              <w:jc w:val="both"/>
            </w:pPr>
            <w:r w:rsidRPr="00F725BF">
              <w:t>Political</w:t>
            </w:r>
          </w:p>
        </w:tc>
        <w:tc>
          <w:tcPr>
            <w:tcW w:w="2097" w:type="pct"/>
            <w:hideMark/>
          </w:tcPr>
          <w:p w14:paraId="64C4168C"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Principles-based; sector regulator-led</w:t>
            </w:r>
          </w:p>
        </w:tc>
        <w:tc>
          <w:tcPr>
            <w:tcW w:w="1962" w:type="pct"/>
            <w:hideMark/>
          </w:tcPr>
          <w:p w14:paraId="51A1F46A"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Prescriptive consumer protection; multi-agency</w:t>
            </w:r>
          </w:p>
        </w:tc>
      </w:tr>
      <w:tr w:rsidR="00F725BF" w:rsidRPr="00F725BF" w14:paraId="3358D45C" w14:textId="77777777" w:rsidTr="00452836">
        <w:trPr>
          <w:trHeight w:val="918"/>
        </w:trPr>
        <w:tc>
          <w:tcPr>
            <w:cnfStyle w:val="001000000000" w:firstRow="0" w:lastRow="0" w:firstColumn="1" w:lastColumn="0" w:oddVBand="0" w:evenVBand="0" w:oddHBand="0" w:evenHBand="0" w:firstRowFirstColumn="0" w:firstRowLastColumn="0" w:lastRowFirstColumn="0" w:lastRowLastColumn="0"/>
            <w:tcW w:w="941" w:type="pct"/>
            <w:hideMark/>
          </w:tcPr>
          <w:p w14:paraId="70C44536" w14:textId="77777777" w:rsidR="00F725BF" w:rsidRPr="00F725BF" w:rsidRDefault="00F725BF" w:rsidP="000427F9">
            <w:pPr>
              <w:jc w:val="both"/>
            </w:pPr>
            <w:r w:rsidRPr="00F725BF">
              <w:t>Economic</w:t>
            </w:r>
          </w:p>
        </w:tc>
        <w:tc>
          <w:tcPr>
            <w:tcW w:w="2097" w:type="pct"/>
            <w:hideMark/>
          </w:tcPr>
          <w:p w14:paraId="34A02C58" w14:textId="5B012179"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Financial inclusion expectations</w:t>
            </w:r>
            <w:r w:rsidR="0040389F">
              <w:t>:</w:t>
            </w:r>
            <w:r w:rsidRPr="00F725BF">
              <w:t xml:space="preserve"> post-Brexit divergence</w:t>
            </w:r>
          </w:p>
        </w:tc>
        <w:tc>
          <w:tcPr>
            <w:tcW w:w="1962" w:type="pct"/>
            <w:hideMark/>
          </w:tcPr>
          <w:p w14:paraId="7FD1EC07"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Fed and Treasury scrutiny; credit fairness standards</w:t>
            </w:r>
          </w:p>
        </w:tc>
      </w:tr>
      <w:tr w:rsidR="00F725BF" w:rsidRPr="00F725BF" w14:paraId="2DF5D20D" w14:textId="77777777" w:rsidTr="00452836">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941" w:type="pct"/>
            <w:hideMark/>
          </w:tcPr>
          <w:p w14:paraId="71D7A529" w14:textId="77777777" w:rsidR="00F725BF" w:rsidRPr="00F725BF" w:rsidRDefault="00F725BF" w:rsidP="000427F9">
            <w:pPr>
              <w:jc w:val="both"/>
            </w:pPr>
            <w:r w:rsidRPr="00F725BF">
              <w:lastRenderedPageBreak/>
              <w:t>Social</w:t>
            </w:r>
          </w:p>
        </w:tc>
        <w:tc>
          <w:tcPr>
            <w:tcW w:w="2097" w:type="pct"/>
            <w:hideMark/>
          </w:tcPr>
          <w:p w14:paraId="78E80AA1"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Algorithmic bias concern; public accountability pressure</w:t>
            </w:r>
          </w:p>
        </w:tc>
        <w:tc>
          <w:tcPr>
            <w:tcW w:w="1962" w:type="pct"/>
            <w:hideMark/>
          </w:tcPr>
          <w:p w14:paraId="78ECC2B0"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Discrimination litigation; CFPB enforcement</w:t>
            </w:r>
          </w:p>
        </w:tc>
      </w:tr>
      <w:tr w:rsidR="00F725BF" w:rsidRPr="00F725BF" w14:paraId="7EC15670" w14:textId="77777777" w:rsidTr="00452836">
        <w:trPr>
          <w:trHeight w:val="939"/>
        </w:trPr>
        <w:tc>
          <w:tcPr>
            <w:cnfStyle w:val="001000000000" w:firstRow="0" w:lastRow="0" w:firstColumn="1" w:lastColumn="0" w:oddVBand="0" w:evenVBand="0" w:oddHBand="0" w:evenHBand="0" w:firstRowFirstColumn="0" w:firstRowLastColumn="0" w:lastRowFirstColumn="0" w:lastRowLastColumn="0"/>
            <w:tcW w:w="941" w:type="pct"/>
            <w:hideMark/>
          </w:tcPr>
          <w:p w14:paraId="4A87F6CB" w14:textId="77777777" w:rsidR="00F725BF" w:rsidRPr="00F725BF" w:rsidRDefault="00F725BF" w:rsidP="000427F9">
            <w:pPr>
              <w:jc w:val="both"/>
            </w:pPr>
            <w:r w:rsidRPr="00F725BF">
              <w:t>Technological</w:t>
            </w:r>
          </w:p>
        </w:tc>
        <w:tc>
          <w:tcPr>
            <w:tcW w:w="2097" w:type="pct"/>
            <w:hideMark/>
          </w:tcPr>
          <w:p w14:paraId="5D139AD1"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 xml:space="preserve">FCA sandbox; </w:t>
            </w:r>
            <w:proofErr w:type="spellStart"/>
            <w:r w:rsidRPr="00F725BF">
              <w:t>RegTech</w:t>
            </w:r>
            <w:proofErr w:type="spellEnd"/>
            <w:r w:rsidRPr="00F725BF">
              <w:t xml:space="preserve"> expansion</w:t>
            </w:r>
          </w:p>
        </w:tc>
        <w:tc>
          <w:tcPr>
            <w:tcW w:w="1962" w:type="pct"/>
            <w:hideMark/>
          </w:tcPr>
          <w:p w14:paraId="5427324B"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NIST AI RMF; Treasury cybersecurity guidance</w:t>
            </w:r>
          </w:p>
        </w:tc>
      </w:tr>
      <w:tr w:rsidR="00F725BF" w:rsidRPr="00F725BF" w14:paraId="6A6079B6" w14:textId="77777777" w:rsidTr="00452836">
        <w:trPr>
          <w:cnfStyle w:val="000000100000" w:firstRow="0" w:lastRow="0" w:firstColumn="0" w:lastColumn="0" w:oddVBand="0" w:evenVBand="0" w:oddHBand="1" w:evenHBand="0" w:firstRowFirstColumn="0" w:firstRowLastColumn="0" w:lastRowFirstColumn="0" w:lastRowLastColumn="0"/>
          <w:trHeight w:val="939"/>
        </w:trPr>
        <w:tc>
          <w:tcPr>
            <w:cnfStyle w:val="001000000000" w:firstRow="0" w:lastRow="0" w:firstColumn="1" w:lastColumn="0" w:oddVBand="0" w:evenVBand="0" w:oddHBand="0" w:evenHBand="0" w:firstRowFirstColumn="0" w:firstRowLastColumn="0" w:lastRowFirstColumn="0" w:lastRowLastColumn="0"/>
            <w:tcW w:w="941" w:type="pct"/>
            <w:hideMark/>
          </w:tcPr>
          <w:p w14:paraId="5A1DF5CE" w14:textId="77777777" w:rsidR="00F725BF" w:rsidRPr="00F725BF" w:rsidRDefault="00F725BF" w:rsidP="000427F9">
            <w:pPr>
              <w:jc w:val="both"/>
            </w:pPr>
            <w:r w:rsidRPr="00F725BF">
              <w:t>Legal</w:t>
            </w:r>
          </w:p>
        </w:tc>
        <w:tc>
          <w:tcPr>
            <w:tcW w:w="2097" w:type="pct"/>
            <w:hideMark/>
          </w:tcPr>
          <w:p w14:paraId="4A6BC810"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UK GDPR; ICO AI guidance; FCA conduct rules</w:t>
            </w:r>
          </w:p>
        </w:tc>
        <w:tc>
          <w:tcPr>
            <w:tcW w:w="1962" w:type="pct"/>
            <w:hideMark/>
          </w:tcPr>
          <w:p w14:paraId="23E6DAB1"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ECOA; Fair Housing Act; state AI legislation</w:t>
            </w:r>
          </w:p>
        </w:tc>
      </w:tr>
      <w:tr w:rsidR="00F725BF" w:rsidRPr="00F725BF" w14:paraId="19A5D7F3" w14:textId="77777777" w:rsidTr="00452836">
        <w:trPr>
          <w:trHeight w:val="939"/>
        </w:trPr>
        <w:tc>
          <w:tcPr>
            <w:cnfStyle w:val="001000000000" w:firstRow="0" w:lastRow="0" w:firstColumn="1" w:lastColumn="0" w:oddVBand="0" w:evenVBand="0" w:oddHBand="0" w:evenHBand="0" w:firstRowFirstColumn="0" w:firstRowLastColumn="0" w:lastRowFirstColumn="0" w:lastRowLastColumn="0"/>
            <w:tcW w:w="941" w:type="pct"/>
            <w:hideMark/>
          </w:tcPr>
          <w:p w14:paraId="122A2AEA" w14:textId="77777777" w:rsidR="00F725BF" w:rsidRPr="00F725BF" w:rsidRDefault="00F725BF" w:rsidP="000427F9">
            <w:pPr>
              <w:jc w:val="both"/>
            </w:pPr>
            <w:r w:rsidRPr="00F725BF">
              <w:t>Environmental</w:t>
            </w:r>
          </w:p>
        </w:tc>
        <w:tc>
          <w:tcPr>
            <w:tcW w:w="2097" w:type="pct"/>
            <w:hideMark/>
          </w:tcPr>
          <w:p w14:paraId="76BD06C8"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ESG-linked AI in green finance</w:t>
            </w:r>
          </w:p>
        </w:tc>
        <w:tc>
          <w:tcPr>
            <w:tcW w:w="1962" w:type="pct"/>
            <w:hideMark/>
          </w:tcPr>
          <w:p w14:paraId="4CBA1433"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ESG disclosure intersecting AI-driven analysis</w:t>
            </w:r>
          </w:p>
        </w:tc>
      </w:tr>
    </w:tbl>
    <w:p w14:paraId="23B4D9D8" w14:textId="49469B43" w:rsidR="00173693" w:rsidRDefault="000427F9" w:rsidP="000427F9">
      <w:pPr>
        <w:pStyle w:val="Heading2"/>
      </w:pPr>
      <w:bookmarkStart w:id="4" w:name="_Toc227977798"/>
      <w:r w:rsidRPr="000427F9">
        <w:rPr>
          <w:lang w:val="en-GB"/>
        </w:rPr>
        <w:t>Porter’s Five Forces Analysis</w:t>
      </w:r>
      <w:bookmarkEnd w:id="4"/>
    </w:p>
    <w:p w14:paraId="14EFC1D5" w14:textId="3354EF35" w:rsidR="000427F9" w:rsidRDefault="00BE7B2A" w:rsidP="000427F9">
      <w:pPr>
        <w:jc w:val="both"/>
      </w:pPr>
      <w:r w:rsidRPr="00BE7B2A">
        <w:t xml:space="preserve">The Five Forces model by Porter is applicable to this report because it reveals how AI-based risk management is not merely a compliance concern to JPMorgan Chase but also a competitive positioning factor in the worldwide banking industry. The risk of new entrants is moderate. Despite the ability of fintech companies and AI-native lenders to access particular market segments with less expense on digital infrastructure, JPMorgan Chase enjoys the advantages of scale, experience in regulating, depth of customer data, and capital strength. This benefit, however, can be diminished by the fact that agile fintech competitors can offer explainable AI to provide their lending decisions faster and more transparently. Customer bargaining power is on the rise. New customers (retail and corporate) demand individual, equitable, and quick financial services. When AI credit decisions seem opaque or discriminatory, customers are likely to be attracted to competitors that provide more transparent explanations and greater digital trust. This relates to the issue of reputational risk and consumer confidence that the report is concerned about. The </w:t>
      </w:r>
      <w:r w:rsidR="0040389F">
        <w:t>supplier's</w:t>
      </w:r>
      <w:r w:rsidRPr="00BE7B2A">
        <w:t xml:space="preserve"> bargaining power is also substantial since JPMorgan Chase relies on cloud providers, AI vendors, data security experts, and data infrastructure companies. The reliance on third-party AI systems might lead to higher operational and compliance risk, especially in instances where the logic of the model is not auditable. Fintech </w:t>
      </w:r>
      <w:r w:rsidR="0040389F">
        <w:t>platforms</w:t>
      </w:r>
      <w:r w:rsidRPr="00BE7B2A">
        <w:t xml:space="preserve">, digital wallets, decentralised finance, and non-bank lending providers are increasing the threat of substitutes. Such options can appeal to the customers who are not satisfied with the traditional banking procedures. Lastly, the rivalry in the market is fierce with large banks starting to compete based on AI-powered fraud detection, credit modelling, compliance automation, and customer analytics. Thus, responsible AI governance should be considered as a strategic differentiator, rather than a regulatory mandate, by JPMorgan Chase. In general, the model of AI governance by Porter explains the commercial necessity of the investment in the </w:t>
      </w:r>
      <w:r w:rsidRPr="00BE7B2A">
        <w:lastRenderedPageBreak/>
        <w:t xml:space="preserve">firm: the absence of explainability or low ethical standards may decrease </w:t>
      </w:r>
      <w:r w:rsidR="0040389F">
        <w:t xml:space="preserve">competitiveness, and effective governance may safeguard trust and enhance </w:t>
      </w:r>
      <w:r w:rsidRPr="00BE7B2A">
        <w:t>market leadership.</w:t>
      </w:r>
    </w:p>
    <w:p w14:paraId="42D2AF31" w14:textId="3C794F9B" w:rsidR="00F725BF" w:rsidRPr="00F725BF" w:rsidRDefault="00F725BF" w:rsidP="000427F9">
      <w:pPr>
        <w:pStyle w:val="Heading2"/>
      </w:pPr>
      <w:bookmarkStart w:id="5" w:name="_Toc227977799"/>
      <w:r w:rsidRPr="00F725BF">
        <w:t>AI and Risk Management at JPMorgan Chase</w:t>
      </w:r>
      <w:bookmarkEnd w:id="5"/>
    </w:p>
    <w:p w14:paraId="75F77765" w14:textId="7A14AC90" w:rsidR="00A93149" w:rsidRDefault="00BE7B2A" w:rsidP="00A93149">
      <w:pPr>
        <w:jc w:val="both"/>
      </w:pPr>
      <w:r>
        <w:t xml:space="preserve">According to the 2024 annual report published by JPMorgan Chase, the company is implementing artificial intelligence on an enterprise scale in its investment banking, markets, and consumer </w:t>
      </w:r>
      <w:r w:rsidR="0040389F">
        <w:t>segments</w:t>
      </w:r>
      <w:r>
        <w:t xml:space="preserve">, and the use of AI is explicitly stated as a key component of the competitive strategy (JPMorgan Chase and Co., 2024). </w:t>
      </w:r>
      <w:r w:rsidR="00A93149">
        <w:t xml:space="preserve">This mass introduction implies a strong institutional following, even at the expense of additional complexity of operation and governance. The neural network-based fuzzy inference systems, as depicted by Ahmed, Mehdi and Mohamed (2023), are able to significantly enhance the precision of risk indices in banking, particularly in dynamic macroeconomic environments. However, these enhancements are paid </w:t>
      </w:r>
      <w:r w:rsidR="0040389F">
        <w:t>for by a huge investment in a robust model validation infrastructure, which</w:t>
      </w:r>
      <w:r w:rsidR="00A93149">
        <w:t xml:space="preserve"> may contribute to the cost and overhead of implementation.</w:t>
      </w:r>
    </w:p>
    <w:p w14:paraId="06DAFE1B" w14:textId="422419F7" w:rsidR="00BE7B2A" w:rsidRDefault="00A93149" w:rsidP="00A93149">
      <w:pPr>
        <w:jc w:val="both"/>
      </w:pPr>
      <w:r>
        <w:t xml:space="preserve">The literature on AI risk management found by </w:t>
      </w:r>
      <w:proofErr w:type="spellStart"/>
      <w:r>
        <w:t>Bernardelli</w:t>
      </w:r>
      <w:proofErr w:type="spellEnd"/>
      <w:r>
        <w:t xml:space="preserve"> and </w:t>
      </w:r>
      <w:proofErr w:type="spellStart"/>
      <w:r>
        <w:t>Giudici</w:t>
      </w:r>
      <w:proofErr w:type="spellEnd"/>
      <w:r>
        <w:t xml:space="preserve"> (2025) identified three issues of challenges that are interrelated, and they are model opacities, governance of data quality, and cross-institutional systemic spillovers. The challenges at the operational level of JPMorgan Chase are more likely to be more acute because the interdependence of systems and the amount of data can significantly increase the risks. Likewise, </w:t>
      </w:r>
      <w:proofErr w:type="spellStart"/>
      <w:r>
        <w:t>Ispas</w:t>
      </w:r>
      <w:proofErr w:type="spellEnd"/>
      <w:r>
        <w:t xml:space="preserve"> et al. (2025) also found that the risk management frameworks of organisations that deploy better AI systems are aligned with the ISO 31000, without including that the failure of the algorithms should also be defined clearly</w:t>
      </w:r>
      <w:r w:rsidR="0040389F">
        <w:t>,</w:t>
      </w:r>
      <w:r>
        <w:t xml:space="preserve"> in addition to other traditional types of operational risk.</w:t>
      </w:r>
    </w:p>
    <w:p w14:paraId="393307B7" w14:textId="705693EA" w:rsidR="00452836" w:rsidRPr="00452836" w:rsidRDefault="0040389F" w:rsidP="00BE7B2A">
      <w:pPr>
        <w:jc w:val="both"/>
      </w:pPr>
      <w:r>
        <w:t>From an</w:t>
      </w:r>
      <w:r w:rsidR="00501E0E" w:rsidRPr="00501E0E">
        <w:t xml:space="preserve"> application perspective, Hafez et al. (2025) found that deep learning-based fraud detection models tend to have higher predictive accuracy compared to rule-based systems. Nonetheless, they also have </w:t>
      </w:r>
      <w:r>
        <w:t xml:space="preserve">issues such </w:t>
      </w:r>
      <w:r w:rsidR="00501E0E" w:rsidRPr="00501E0E">
        <w:t>as model drift and higher false positive rates, which means that they need constant retraining and monitoring guidelines. The fact that real-time fraud detection systems need to factor in the adaptation of adversaries</w:t>
      </w:r>
      <w:r>
        <w:t xml:space="preserve">, also highlighted by </w:t>
      </w:r>
      <w:proofErr w:type="spellStart"/>
      <w:r>
        <w:t>Papasavva</w:t>
      </w:r>
      <w:proofErr w:type="spellEnd"/>
      <w:r>
        <w:t xml:space="preserve"> et al. (2025),</w:t>
      </w:r>
      <w:r w:rsidR="00501E0E" w:rsidRPr="00501E0E">
        <w:t xml:space="preserve"> gives rise to the need to add the dynamic governance factor to an otherwise strictly technical issue.</w:t>
      </w:r>
    </w:p>
    <w:p w14:paraId="437D3315" w14:textId="3E0BA34C" w:rsidR="00F725BF" w:rsidRPr="00F725BF" w:rsidRDefault="00F725BF" w:rsidP="000427F9">
      <w:pPr>
        <w:pStyle w:val="Heading2"/>
      </w:pPr>
      <w:bookmarkStart w:id="6" w:name="_Toc227977800"/>
      <w:r w:rsidRPr="00F725BF">
        <w:t>Data Governance and Algorithmic Transparency</w:t>
      </w:r>
      <w:bookmarkEnd w:id="6"/>
    </w:p>
    <w:p w14:paraId="49C834DF" w14:textId="6E5EF5A3" w:rsidR="005061B7" w:rsidRDefault="007D2EC5" w:rsidP="005061B7">
      <w:pPr>
        <w:jc w:val="both"/>
      </w:pPr>
      <w:r w:rsidRPr="007D2EC5">
        <w:t xml:space="preserve">The most important pillars </w:t>
      </w:r>
      <w:r w:rsidR="0040389F">
        <w:t>of</w:t>
      </w:r>
      <w:r w:rsidRPr="007D2EC5">
        <w:t xml:space="preserve"> effective AI governance are the quality of information and the robustness of the explanation infrastructure that supports model outputs.</w:t>
      </w:r>
      <w:r w:rsidR="005061B7">
        <w:t xml:space="preserve"> The Information Commissioner has designed a data protection risk toolkit and guidance on explaining AI-driven </w:t>
      </w:r>
      <w:r w:rsidR="005061B7">
        <w:lastRenderedPageBreak/>
        <w:t xml:space="preserve">decisions, which, respectively, </w:t>
      </w:r>
      <w:r w:rsidR="0040389F">
        <w:t>make the requirements of UK GDPR Article 22 operational and place</w:t>
      </w:r>
      <w:r w:rsidR="005061B7">
        <w:t xml:space="preserve"> substantive obligations on organisations using automated decision-making systems (ICO, 2023a; ICO, 2023b). These frameworks suggest that compliance is not only a procedure but also technical. </w:t>
      </w:r>
      <w:proofErr w:type="spellStart"/>
      <w:r w:rsidR="005061B7">
        <w:t>Černevičienė</w:t>
      </w:r>
      <w:proofErr w:type="spellEnd"/>
      <w:r w:rsidR="005061B7">
        <w:t xml:space="preserve"> and </w:t>
      </w:r>
      <w:proofErr w:type="spellStart"/>
      <w:r w:rsidR="005061B7">
        <w:t>Kabašinskas</w:t>
      </w:r>
      <w:proofErr w:type="spellEnd"/>
      <w:r w:rsidR="005061B7">
        <w:t xml:space="preserve"> (2024) discovered that post-hoc explanation methods, including SHAP and LIME, are commonly used in the field of finance, even though their accuracy is subject to debate, especially their faithfulness to underlying model behaviour.</w:t>
      </w:r>
    </w:p>
    <w:p w14:paraId="20A12A94" w14:textId="77777777" w:rsidR="005061B7" w:rsidRDefault="005061B7" w:rsidP="005061B7">
      <w:pPr>
        <w:jc w:val="both"/>
      </w:pPr>
      <w:r>
        <w:t xml:space="preserve">Weber, Carl and Hinz (2023) have noted that the application of explainable AI in the controlled setting has not been as fast as proposed by scholarly literature, in large part because of the trade-off between model performance and interpretability, which persists. In a similar manner, Khans et al. (2025) also presented an argument that SHAP values, though popular, cannot be relied upon to satisfy regulatory explainability criteria, particularly when correlated features and complex models are involved. To overcome these constraints, </w:t>
      </w:r>
      <w:proofErr w:type="spellStart"/>
      <w:r>
        <w:t>Nallakaruppan</w:t>
      </w:r>
      <w:proofErr w:type="spellEnd"/>
      <w:r>
        <w:t xml:space="preserve"> et al. (2024) suggested a layered system architecture, which incorporates both prediction and explanation modules to deal with performance and transparency at the same time.</w:t>
      </w:r>
    </w:p>
    <w:p w14:paraId="61EB21E4" w14:textId="03960789" w:rsidR="005061B7" w:rsidRDefault="005061B7" w:rsidP="005061B7">
      <w:pPr>
        <w:jc w:val="both"/>
      </w:pPr>
      <w:r>
        <w:t xml:space="preserve">Yeo et al. (2025) furthered the idea of regulatory explainability, which is the idea that decision rationale should be explainable using only legally permissible variables, not just statistical associations. </w:t>
      </w:r>
      <w:r w:rsidR="009867DB" w:rsidRPr="009867DB">
        <w:t xml:space="preserve">Explainability should not be an accidental aspect of responsible AI deployment, but rather a requirement, as had </w:t>
      </w:r>
      <w:r w:rsidR="0040389F">
        <w:t>already been</w:t>
      </w:r>
      <w:r w:rsidR="009867DB" w:rsidRPr="009867DB">
        <w:t xml:space="preserve"> determined by Bussmann et al. (2020). Elaborating on this point, Abbas (2025) developed an information-theoretic argument, which proves that the choices in architecture </w:t>
      </w:r>
      <w:r w:rsidR="0040389F">
        <w:t>that</w:t>
      </w:r>
      <w:r w:rsidR="009867DB" w:rsidRPr="009867DB">
        <w:t xml:space="preserve"> were made during the design of the model actually pre-determine the extent of fairness and explainability. </w:t>
      </w:r>
      <w:r w:rsidR="001D3E30">
        <w:t>The primary</w:t>
      </w:r>
      <w:r w:rsidR="009867DB" w:rsidRPr="009867DB">
        <w:t xml:space="preserve"> concern is how this understanding can be applied to the way JPMorgan Chase should design and implement its credit systems.</w:t>
      </w:r>
    </w:p>
    <w:p w14:paraId="0F39DD1D" w14:textId="46A443B7" w:rsidR="00452836" w:rsidRPr="00452836" w:rsidRDefault="001D3E30" w:rsidP="005061B7">
      <w:pPr>
        <w:jc w:val="both"/>
      </w:pPr>
      <w:r>
        <w:t>From a regulatory technology point of view, Grassi and Lanfranchi (2022) emphasised that the data, technology, and regulation intersection creates</w:t>
      </w:r>
      <w:r w:rsidR="005061B7">
        <w:t xml:space="preserve"> both the governance imperatives and strategic possibilities. The authors determined that automated compliance monitoring and real-time reporting are the key applications of </w:t>
      </w:r>
      <w:proofErr w:type="spellStart"/>
      <w:r w:rsidR="005061B7">
        <w:t>RegTech</w:t>
      </w:r>
      <w:proofErr w:type="spellEnd"/>
      <w:r w:rsidR="005061B7">
        <w:t xml:space="preserve"> (Butler and O'Brien, 2018), whereas </w:t>
      </w:r>
      <w:proofErr w:type="spellStart"/>
      <w:r w:rsidR="005061B7">
        <w:t>Muganyi</w:t>
      </w:r>
      <w:proofErr w:type="spellEnd"/>
      <w:r w:rsidR="005061B7">
        <w:t xml:space="preserve"> et al. (2022) presented empirical evidence, indicating that the adoption of </w:t>
      </w:r>
      <w:proofErr w:type="spellStart"/>
      <w:r w:rsidR="005061B7">
        <w:t>RegTech</w:t>
      </w:r>
      <w:proofErr w:type="spellEnd"/>
      <w:r w:rsidR="005061B7">
        <w:t xml:space="preserve"> may decrease the severity of supervisory intervention. The article by Sunaina Kanojia, Kaur and Bhavya (2024) also supported the fact, stating that integrated </w:t>
      </w:r>
      <w:proofErr w:type="spellStart"/>
      <w:r w:rsidR="005061B7">
        <w:t>RegTech</w:t>
      </w:r>
      <w:proofErr w:type="spellEnd"/>
      <w:r w:rsidR="005061B7">
        <w:t xml:space="preserve"> infrastructures are linked to enhanced long-term resilience to compliance.</w:t>
      </w:r>
    </w:p>
    <w:p w14:paraId="4A31A387" w14:textId="0F561647" w:rsidR="00F725BF" w:rsidRPr="00F725BF" w:rsidRDefault="00F725BF" w:rsidP="000427F9">
      <w:pPr>
        <w:pStyle w:val="Heading2"/>
      </w:pPr>
      <w:bookmarkStart w:id="7" w:name="_Toc227977801"/>
      <w:r w:rsidRPr="00F725BF">
        <w:lastRenderedPageBreak/>
        <w:t>Ethical AI Governance</w:t>
      </w:r>
      <w:bookmarkEnd w:id="7"/>
    </w:p>
    <w:p w14:paraId="0E91D11D" w14:textId="55A65715" w:rsidR="00452836" w:rsidRDefault="005061B7" w:rsidP="000427F9">
      <w:pPr>
        <w:jc w:val="both"/>
      </w:pPr>
      <w:r w:rsidRPr="005061B7">
        <w:t>Ethical management of artificial intelligence in financial services is executed on two different yet mutually reliant levels, i.e. internationally acknowledged normative frameworks and institution-specific voluntary undertakings. It is a delicate knowledge of both layers, coupled with a critical assessment of their sufficiency, which is required when recommending a governance posture that is not only justifiable but also sustainable in the long term to JPMorgan Chase.</w:t>
      </w:r>
    </w:p>
    <w:p w14:paraId="34C6F1A8" w14:textId="77777777" w:rsidR="00E3327C" w:rsidRDefault="00E3327C" w:rsidP="000427F9">
      <w:pPr>
        <w:keepNext/>
        <w:jc w:val="both"/>
      </w:pPr>
      <w:r w:rsidRPr="00E3327C">
        <w:rPr>
          <w:noProof/>
        </w:rPr>
        <w:drawing>
          <wp:inline distT="0" distB="0" distL="0" distR="0" wp14:anchorId="6C08636C" wp14:editId="0E268BC8">
            <wp:extent cx="5501640" cy="3362701"/>
            <wp:effectExtent l="0" t="0" r="3810" b="9525"/>
            <wp:docPr id="19859982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5998239" name=""/>
                    <pic:cNvPicPr/>
                  </pic:nvPicPr>
                  <pic:blipFill>
                    <a:blip r:embed="rId9"/>
                    <a:stretch>
                      <a:fillRect/>
                    </a:stretch>
                  </pic:blipFill>
                  <pic:spPr>
                    <a:xfrm>
                      <a:off x="0" y="0"/>
                      <a:ext cx="5502960" cy="3363508"/>
                    </a:xfrm>
                    <a:prstGeom prst="rect">
                      <a:avLst/>
                    </a:prstGeom>
                  </pic:spPr>
                </pic:pic>
              </a:graphicData>
            </a:graphic>
          </wp:inline>
        </w:drawing>
      </w:r>
    </w:p>
    <w:p w14:paraId="4000A9F0" w14:textId="542D24AC" w:rsidR="00E3327C" w:rsidRPr="00452836" w:rsidRDefault="00E3327C" w:rsidP="0021737A">
      <w:pPr>
        <w:pStyle w:val="Caption"/>
        <w:jc w:val="center"/>
      </w:pPr>
      <w:r>
        <w:t xml:space="preserve">Figure </w:t>
      </w:r>
      <w:r>
        <w:fldChar w:fldCharType="begin"/>
      </w:r>
      <w:r>
        <w:instrText xml:space="preserve"> SEQ Figure \* ARABIC </w:instrText>
      </w:r>
      <w:r>
        <w:fldChar w:fldCharType="separate"/>
      </w:r>
      <w:r w:rsidR="00522836">
        <w:rPr>
          <w:noProof/>
        </w:rPr>
        <w:t>2</w:t>
      </w:r>
      <w:r>
        <w:fldChar w:fldCharType="end"/>
      </w:r>
      <w:r>
        <w:t xml:space="preserve">: </w:t>
      </w:r>
      <w:r w:rsidRPr="007137A8">
        <w:t>Dual-layer structure of ethical AI governance frameworks</w:t>
      </w:r>
      <w:r>
        <w:t xml:space="preserve"> (</w:t>
      </w:r>
      <w:r w:rsidR="001D3E30">
        <w:t>Self-made</w:t>
      </w:r>
      <w:r>
        <w:t>)</w:t>
      </w:r>
    </w:p>
    <w:p w14:paraId="2A706244" w14:textId="1A910AC4" w:rsidR="003565C7" w:rsidRDefault="003565C7" w:rsidP="003565C7">
      <w:pPr>
        <w:jc w:val="both"/>
      </w:pPr>
      <w:r>
        <w:t xml:space="preserve">Two frameworks have enjoyed the greatest recognition at the normative level. The IEEE Ethically Aligned Design definition proposes ethical guidelines on the responsible design of autonomous systems, prioritising human wellbeing and accountability, transparency and limiting misuse. Applied to the financial services industry, these principles become practical requirements regarding algorithmic accountability, explainability of automated decisions, and mitigating discriminatory outcomes. Simultaneously, the EU Ethics Guidelines on Trustworthy AI, drawn up by the High-Level Expert Group on Artificial Intelligence, made seven main requirements, namely human agency and oversight, technical robustness and safety, privacy and data governance, transparency, diversity and non-discrimination, societal and environmental wellbeing, and accountability. Though these guidelines were developed in an EU policy context, they have spread outside the region and have influenced </w:t>
      </w:r>
      <w:r w:rsidR="001D3E30">
        <w:t>regulatory</w:t>
      </w:r>
      <w:r>
        <w:t xml:space="preserve"> thinking, even in other jurisdictions like the United Kingdom. To take an example, the GOV.UK </w:t>
      </w:r>
      <w:r w:rsidR="00611B28">
        <w:lastRenderedPageBreak/>
        <w:t>guidelines</w:t>
      </w:r>
      <w:r>
        <w:t xml:space="preserve"> on applying the AI regulatory principles (GOV.UK, 2024) and the AI strategy of the Financial Conduct Authority (FCA, 2025a) both exhibit a significant conceptual correspondence to the EU </w:t>
      </w:r>
      <w:r w:rsidR="00611B28">
        <w:t>trustworthy</w:t>
      </w:r>
      <w:r>
        <w:t xml:space="preserve"> AI framework, despite the fact that the UK has not sought direct legislative codification.</w:t>
      </w:r>
    </w:p>
    <w:p w14:paraId="73D1ABDC" w14:textId="2699051B" w:rsidR="00EA4EB6" w:rsidRDefault="003565C7" w:rsidP="00EA4EB6">
      <w:pPr>
        <w:jc w:val="both"/>
      </w:pPr>
      <w:r>
        <w:t xml:space="preserve">At an institutional level, JPMorgan Chase has publicly demonstrated its responsible development of AI via projects like its AI and Machine Learning Centre of Excellence and its principles of model risk management. Nevertheless, </w:t>
      </w:r>
      <w:proofErr w:type="spellStart"/>
      <w:r>
        <w:t>Fundira</w:t>
      </w:r>
      <w:proofErr w:type="spellEnd"/>
      <w:r>
        <w:t xml:space="preserve"> and </w:t>
      </w:r>
      <w:proofErr w:type="spellStart"/>
      <w:r>
        <w:t>Mbohwa</w:t>
      </w:r>
      <w:proofErr w:type="spellEnd"/>
      <w:r>
        <w:t xml:space="preserve"> (2025) noted that big financial institutions tend to implement AI ethics commitments as </w:t>
      </w:r>
      <w:r w:rsidR="00611B28">
        <w:t>a</w:t>
      </w:r>
      <w:r>
        <w:t xml:space="preserve"> tool of reputational positioning. </w:t>
      </w:r>
      <w:r w:rsidR="00EA4EB6">
        <w:t xml:space="preserve">Their bibliometric search showed that there is still a gap in what is being said and what is actually going on, particularly at the </w:t>
      </w:r>
      <w:r w:rsidR="00611B28">
        <w:t>consumer-facing</w:t>
      </w:r>
      <w:r w:rsidR="00EA4EB6">
        <w:t xml:space="preserve"> applications, where the risk of harm is more immediate. Similarly, Ali et al. (2025) found that the key factors that encourage trust in AI use are regulatory transparency and institutional accountability. It means that ethical commitments merely generate a tangible commercial value when they are actually implemented in some substantive and verifiable manner</w:t>
      </w:r>
      <w:r w:rsidR="00611B28">
        <w:t>,</w:t>
      </w:r>
      <w:r w:rsidR="00EA4EB6">
        <w:t xml:space="preserve"> as compared to remaining on the rhetorical level of assurance.</w:t>
      </w:r>
    </w:p>
    <w:p w14:paraId="4DBAFB2D" w14:textId="23FA1502" w:rsidR="00EA4EB6" w:rsidRDefault="00EA4EB6" w:rsidP="00EA4EB6">
      <w:pPr>
        <w:jc w:val="both"/>
      </w:pPr>
      <w:r>
        <w:t xml:space="preserve">The issue of </w:t>
      </w:r>
      <w:r w:rsidR="00611B28">
        <w:t xml:space="preserve">the </w:t>
      </w:r>
      <w:r>
        <w:t xml:space="preserve">applicability of voluntary ethical frameworks is one of the principal aspects in this advisory because it cannot be effectively implemented in the absence of legal reinforcement. The available evidence indicates that they are not sufficient unto themselves. Ha, Le and Nguyen (2025) found that voluntary commitments made by fintech and AI-driven financial services are not necessarily effective in protecting against discriminatory practices in credit markets. The implication of this is that there is a structural tension between profit maximisation and ethics. Kalyani and Suri (2023) in another study established that AI-based banking governance improvement is more likely to be sustained in the long run when compliance-based than values-based, with the disciplining effect of enforceable regulation. This perception is consistent with the broader body of literature concerning governance that suggests that self-regulation in high-stakes sectors is more often reactive, in response to </w:t>
      </w:r>
      <w:r w:rsidR="00611B28">
        <w:t>a crisis or to a public investigation,</w:t>
      </w:r>
      <w:r>
        <w:t xml:space="preserve"> than </w:t>
      </w:r>
      <w:proofErr w:type="spellStart"/>
      <w:r>
        <w:t>prethought</w:t>
      </w:r>
      <w:proofErr w:type="spellEnd"/>
      <w:r>
        <w:t xml:space="preserve"> and </w:t>
      </w:r>
      <w:proofErr w:type="spellStart"/>
      <w:r>
        <w:t>preemptive</w:t>
      </w:r>
      <w:proofErr w:type="spellEnd"/>
      <w:r>
        <w:t xml:space="preserve"> harm.</w:t>
      </w:r>
    </w:p>
    <w:p w14:paraId="1942C8B0" w14:textId="730C45D0" w:rsidR="00EA4EB6" w:rsidRDefault="00EA4EB6" w:rsidP="00EA4EB6">
      <w:pPr>
        <w:jc w:val="both"/>
      </w:pPr>
      <w:r>
        <w:t xml:space="preserve">Together, this discussion results in a brief hypothesis that voluntary ethics are just enough and not enough conditions </w:t>
      </w:r>
      <w:r w:rsidR="001D3E30">
        <w:t>for</w:t>
      </w:r>
      <w:r>
        <w:t xml:space="preserve"> responsible AI regulation in systemically important financial institutions. Even though the frameworks, though, contribute to the development of normative standards, and provide a viable guidance on the implementation, </w:t>
      </w:r>
      <w:r w:rsidR="001D3E30">
        <w:t xml:space="preserve">they remain impractical in the sense that they are required to impose effective limitations on the behaviour in situations and </w:t>
      </w:r>
      <w:r>
        <w:t>circumstances which are characterised by commercial pressures. This is to be backed by additional governance control within the framework of JPMorgan Chase</w:t>
      </w:r>
      <w:r w:rsidR="001D3E30">
        <w:t xml:space="preserve">, i.e., internal ethical </w:t>
      </w:r>
      <w:r w:rsidR="001D3E30">
        <w:lastRenderedPageBreak/>
        <w:t>obligations should be backed by independent audit controls, board-based</w:t>
      </w:r>
      <w:r>
        <w:t xml:space="preserve"> controls and participation in the evolving regulatory trends in both the United Kingdom and the United States.</w:t>
      </w:r>
    </w:p>
    <w:p w14:paraId="238604FA" w14:textId="780A1D08" w:rsidR="00F725BF" w:rsidRPr="00F725BF" w:rsidRDefault="00EA4EB6" w:rsidP="00EA4EB6">
      <w:pPr>
        <w:jc w:val="both"/>
      </w:pPr>
      <w:r>
        <w:t xml:space="preserve">Future changes in the landscape are likely to be brought about by projected regulatory changes. The UK AI legislation that will be implemented during the 2026-2028 cycle and the future perspective of a full-scale federal AI regulation in the United States </w:t>
      </w:r>
      <w:r w:rsidR="001D3E30">
        <w:t>are</w:t>
      </w:r>
      <w:r>
        <w:t xml:space="preserve"> likely to solidify most of the principles that are now being solidified at the stage of voluntary frameworks. These institutions that consider these structures as constitutive governance infrastructure, rather than symbolic or reputational instruments, will be in a better position to adjust to the transition to formal regulation without a significant impact on operations.</w:t>
      </w:r>
    </w:p>
    <w:p w14:paraId="417DE6FA" w14:textId="1817CD8F" w:rsidR="00F725BF" w:rsidRPr="00F725BF" w:rsidRDefault="00F725BF" w:rsidP="000427F9">
      <w:pPr>
        <w:pStyle w:val="Heading2"/>
      </w:pPr>
      <w:bookmarkStart w:id="8" w:name="_Toc227977802"/>
      <w:r w:rsidRPr="00F725BF">
        <w:t>Macroeconomic Policy and AI Risk</w:t>
      </w:r>
      <w:bookmarkEnd w:id="8"/>
    </w:p>
    <w:p w14:paraId="3770D3FE" w14:textId="77777777" w:rsidR="00694CAA" w:rsidRDefault="00694CAA" w:rsidP="00694CAA">
      <w:pPr>
        <w:jc w:val="both"/>
      </w:pPr>
      <w:r>
        <w:t>The interplay of macroeconomic policy and AI-based credit framework is a relatively under-researched risk transmission pathway in the context of modern financial regulation. The AI-driven credit models are commonly trained on historic data, which inherently represent historic economic conditions. Once the monetary policy changes fast outside the statistical distribution of that training data, then the model outputs can become systematically unreliable. This non-reliability can be hard to spot with the traditional model validation methods, which typically get tuned to stable or slowly changing regimes.</w:t>
      </w:r>
    </w:p>
    <w:p w14:paraId="7E8197A1" w14:textId="3C5247B5" w:rsidR="00694CAA" w:rsidRDefault="00694CAA" w:rsidP="00694CAA">
      <w:pPr>
        <w:jc w:val="both"/>
      </w:pPr>
      <w:r>
        <w:t xml:space="preserve">The 2024 survey of AI use in the UK financial services by the Bank of England found that the robustness of the model used in different macroeconomic conditions was a significant concern </w:t>
      </w:r>
      <w:r w:rsidR="001D3E30">
        <w:t>for</w:t>
      </w:r>
      <w:r>
        <w:t xml:space="preserve"> financial institutions (Bank of England, 2024). This is an issue</w:t>
      </w:r>
      <w:r w:rsidR="001D3E30">
        <w:t xml:space="preserve"> that</w:t>
      </w:r>
      <w:r>
        <w:t xml:space="preserve"> is based on new empirical developments. In 2021-2023, both the Federal Reserve and the Bank of England </w:t>
      </w:r>
      <w:r w:rsidR="00611B28">
        <w:t>implemented the fastest sequences of interest rate tightening in about 4</w:t>
      </w:r>
      <w:r>
        <w:t xml:space="preserve"> decades. This led to a large number of AI credit models, trained mainly on data in the low-interest, low-default environment of the 2010s, effectively being calibrated to a </w:t>
      </w:r>
      <w:proofErr w:type="spellStart"/>
      <w:r>
        <w:t>nonexistent</w:t>
      </w:r>
      <w:proofErr w:type="spellEnd"/>
      <w:r>
        <w:t xml:space="preserve"> condition. Therefore, the models can underestimate the risk of default systematically when used on portfolios that have greater exposure to higher interest rates. This establishes a clear macro-to-micro transmission mechanism, </w:t>
      </w:r>
      <w:r w:rsidR="00611B28">
        <w:t xml:space="preserve">with </w:t>
      </w:r>
      <w:r>
        <w:t>direct implications on the loan loss provisioning at JPMorgan Chase, as well as its regulatory capital adequacy.</w:t>
      </w:r>
    </w:p>
    <w:p w14:paraId="4CA2EBF5" w14:textId="6B2108F7" w:rsidR="00694CAA" w:rsidRDefault="00694CAA" w:rsidP="00694CAA">
      <w:pPr>
        <w:jc w:val="both"/>
      </w:pPr>
      <w:r>
        <w:t xml:space="preserve">The current model risk governance frameworks fail to capture this dynamic. As Ahmed, Mehdi and Mohamed (2023) proved, the responsiveness of the risk indices to macroeconomic variables can be increased with the help of neural network-based architectures. Nevertheless, this can only be improved under the condition of the explicit inclusion of macroeconomic </w:t>
      </w:r>
      <w:r>
        <w:lastRenderedPageBreak/>
        <w:t xml:space="preserve">inputs with a broad enough historical variation. In its absence, models might not be able to generalise well in new economic regimes. On the same note, Gur, </w:t>
      </w:r>
      <w:proofErr w:type="spellStart"/>
      <w:r>
        <w:t>Togacar</w:t>
      </w:r>
      <w:proofErr w:type="spellEnd"/>
      <w:r>
        <w:t xml:space="preserve"> and </w:t>
      </w:r>
      <w:proofErr w:type="spellStart"/>
      <w:r>
        <w:t>Solak</w:t>
      </w:r>
      <w:proofErr w:type="spellEnd"/>
      <w:r>
        <w:t xml:space="preserve"> (2025) observed that the classification-based credit scoring models, which are usually optimised </w:t>
      </w:r>
      <w:r w:rsidR="00611B28">
        <w:t>for</w:t>
      </w:r>
      <w:r>
        <w:t xml:space="preserve"> predictive accuracy in stable environments, tend to deteriorate performance when facing macroeconomic transition periods. This directly relates to the credibility of credit decisions that are being made in the process of continuous interest rate normalisation.</w:t>
      </w:r>
    </w:p>
    <w:p w14:paraId="2142E235" w14:textId="41D69F39" w:rsidR="00694CAA" w:rsidRDefault="00694CAA" w:rsidP="00694CAA">
      <w:pPr>
        <w:jc w:val="both"/>
      </w:pPr>
      <w:r>
        <w:t xml:space="preserve">Notably, macroeconomic policy and </w:t>
      </w:r>
      <w:r w:rsidR="00611B28">
        <w:t xml:space="preserve">the </w:t>
      </w:r>
      <w:r>
        <w:t xml:space="preserve">AI credit system are connected in both ways. </w:t>
      </w:r>
      <w:r w:rsidR="00611B28">
        <w:t>The competitive</w:t>
      </w:r>
      <w:r>
        <w:t xml:space="preserve"> environment in which such models operate is also affected by the monetary policy decisions. When liquidity is lower and capital costs are increased during the period of quantitative tightening, this will encourage more conservative credit allocation policies. The long-term risk reduction benefits are possible in institutions that use more stringent AI-based credit evaluations. But it can also lead to the lock-out of potentially creditworthy borrowers who have not been overrepresented in historical training data. </w:t>
      </w:r>
      <w:proofErr w:type="spellStart"/>
      <w:r>
        <w:t>Akanfe</w:t>
      </w:r>
      <w:proofErr w:type="spellEnd"/>
      <w:r>
        <w:t xml:space="preserve">, Bhatt and </w:t>
      </w:r>
      <w:proofErr w:type="spellStart"/>
      <w:r>
        <w:t>Lawong</w:t>
      </w:r>
      <w:proofErr w:type="spellEnd"/>
      <w:r>
        <w:t xml:space="preserve"> (2025) found </w:t>
      </w:r>
      <w:r w:rsidR="00611B28">
        <w:t xml:space="preserve">that this is a risk of financial inclusion, so restrictive monetary conditions interact with biased datasets to generate disproportionately exclusionary results on the </w:t>
      </w:r>
      <w:r>
        <w:t>marginalised population.</w:t>
      </w:r>
    </w:p>
    <w:p w14:paraId="3908E2C8" w14:textId="2163A437" w:rsidR="000F1FC2" w:rsidRDefault="00694CAA" w:rsidP="000F1FC2">
      <w:pPr>
        <w:jc w:val="both"/>
      </w:pPr>
      <w:r>
        <w:t xml:space="preserve">This bi-exposure creates a compounding risk profile of JPMorgan Chase. </w:t>
      </w:r>
      <w:r w:rsidR="000F1FC2">
        <w:t xml:space="preserve">On the one hand, the institution is vulnerable to prudential risks due to the risk of miscalculating the default rates. On the other hand, it is susceptible to reputational risks </w:t>
      </w:r>
      <w:r w:rsidR="00611B28">
        <w:t>related to exclusionary lending, particularly in cases where</w:t>
      </w:r>
      <w:r w:rsidR="000F1FC2">
        <w:t xml:space="preserve"> the latter may be connected to structural biases in training data. Both of them are certain to be worsened in </w:t>
      </w:r>
      <w:r w:rsidR="00611B28">
        <w:t xml:space="preserve">the </w:t>
      </w:r>
      <w:r w:rsidR="000F1FC2">
        <w:t>case of higher macroeconomic volatility.</w:t>
      </w:r>
    </w:p>
    <w:p w14:paraId="247B95CF" w14:textId="44C564D8" w:rsidR="00452836" w:rsidRPr="00452836" w:rsidRDefault="000F1FC2" w:rsidP="000F1FC2">
      <w:pPr>
        <w:jc w:val="both"/>
      </w:pPr>
      <w:r>
        <w:t xml:space="preserve">In practice, as </w:t>
      </w:r>
      <w:r w:rsidR="00611B28">
        <w:t>analysed</w:t>
      </w:r>
      <w:r>
        <w:t xml:space="preserve"> herein, JPMorgan Chase will be forced to develop certain macroeconomic stress-testing processes that will be specifically tailored towards AI-based credit models.</w:t>
      </w:r>
      <w:r w:rsidR="0030053F" w:rsidRPr="0030053F">
        <w:t xml:space="preserve"> These protocols must go beyond the conventional methods of validation by including scenario-based testing</w:t>
      </w:r>
      <w:r w:rsidR="00611B28">
        <w:t>, which explicitly tests model behaviour</w:t>
      </w:r>
      <w:r w:rsidR="0030053F" w:rsidRPr="0030053F">
        <w:t xml:space="preserve"> in response to different settings of varying monetary policies. This would allow isolating the latent vulnerabilities that cannot be seen under the assumption of the baseline. The functions of measurement and management described in the NIST AI Risk Management Framework can serve as </w:t>
      </w:r>
      <w:r w:rsidR="00611B28">
        <w:t>a</w:t>
      </w:r>
      <w:r w:rsidR="0030053F" w:rsidRPr="0030053F">
        <w:t xml:space="preserve"> convenient structural reference point. Nevertheless, the macroeconomic scenario design and calibration should be developed internally, considering the bank-specific portfolio composition, geographic exposure, and risk-taking.</w:t>
      </w:r>
    </w:p>
    <w:p w14:paraId="4C7C607B" w14:textId="7C714A94" w:rsidR="00F725BF" w:rsidRPr="00F725BF" w:rsidRDefault="00F725BF" w:rsidP="000427F9">
      <w:pPr>
        <w:pStyle w:val="Heading2"/>
      </w:pPr>
      <w:bookmarkStart w:id="9" w:name="_Toc227977803"/>
      <w:r w:rsidRPr="00F725BF">
        <w:lastRenderedPageBreak/>
        <w:t>Regulatory Compliance: UK and US Comparative Analysis</w:t>
      </w:r>
      <w:bookmarkEnd w:id="9"/>
    </w:p>
    <w:p w14:paraId="1A64F1FA" w14:textId="00A24FD7" w:rsidR="00F725BF" w:rsidRPr="00F725BF" w:rsidRDefault="003E7A39" w:rsidP="000427F9">
      <w:pPr>
        <w:jc w:val="both"/>
      </w:pPr>
      <w:r w:rsidRPr="003E7A39">
        <w:t xml:space="preserve">The FCA supervisory approach to AI in the UK focuses more on results rather than prescriptive regulations by requiring firms to show that AI systems deliver fair, explainable, and contestable results (FCA, 2025b). The implementation of the principles of AI regulation via the GOV.UK guidance establishes a stratified compliance space with intentional interpretive freedom (GOV.UK, 2024). The NIST AI RMF is the most detailed governance architecture solution that exists in the United States, breaking down AI risk management into govern, map, measure, and manage functions (Tabassi, 2023). The NIST framework has been specifically mentioned in advice on defining adversarial AI attacks, model manipulation, and third-party AI dependency as priority cybersecurity threats by the US Treasury (U.S. Department of the Treasury, 2024; U.S. Department of </w:t>
      </w:r>
      <w:r w:rsidR="00611B28">
        <w:t xml:space="preserve">the </w:t>
      </w:r>
      <w:r w:rsidRPr="003E7A39">
        <w:t xml:space="preserve">Treasury, 2024). </w:t>
      </w:r>
      <w:proofErr w:type="spellStart"/>
      <w:r w:rsidRPr="003E7A39">
        <w:t>Turksen</w:t>
      </w:r>
      <w:proofErr w:type="spellEnd"/>
      <w:r w:rsidRPr="003E7A39">
        <w:t xml:space="preserve">, Benson and </w:t>
      </w:r>
      <w:proofErr w:type="spellStart"/>
      <w:r w:rsidRPr="003E7A39">
        <w:t>Adamyk</w:t>
      </w:r>
      <w:proofErr w:type="spellEnd"/>
      <w:r w:rsidRPr="003E7A39">
        <w:t xml:space="preserve"> (2024) found other legal </w:t>
      </w:r>
      <w:r w:rsidR="00611B28">
        <w:t>complexities in AI-based AML monitoring, whereby automated systems pose concerns on the admissibility of evidence and institutional responsibility for</w:t>
      </w:r>
      <w:r w:rsidRPr="003E7A39">
        <w:t xml:space="preserve"> a false positive. These forces form a compliance structure of JPMorgan Chase that is multi-layered, jurisdictionally divergent, and rapidly changing.</w:t>
      </w:r>
    </w:p>
    <w:p w14:paraId="2DA3B726" w14:textId="097A9AB8" w:rsidR="00F725BF" w:rsidRPr="003B1423" w:rsidRDefault="00F725BF" w:rsidP="000427F9">
      <w:pPr>
        <w:jc w:val="both"/>
        <w:rPr>
          <w:b/>
          <w:bCs/>
        </w:rPr>
      </w:pPr>
      <w:r w:rsidRPr="003B1423">
        <w:rPr>
          <w:b/>
          <w:bCs/>
        </w:rPr>
        <w:t xml:space="preserve">Table 2: Regulatory Compliance Comparison </w:t>
      </w:r>
      <w:r w:rsidR="003B1423">
        <w:rPr>
          <w:b/>
          <w:bCs/>
        </w:rPr>
        <w:t>-</w:t>
      </w:r>
      <w:r w:rsidRPr="003B1423">
        <w:rPr>
          <w:b/>
          <w:bCs/>
        </w:rPr>
        <w:t xml:space="preserve"> UK vs USA</w:t>
      </w:r>
    </w:p>
    <w:tbl>
      <w:tblPr>
        <w:tblStyle w:val="PlainTable1"/>
        <w:tblW w:w="5000" w:type="pct"/>
        <w:tblLook w:val="04A0" w:firstRow="1" w:lastRow="0" w:firstColumn="1" w:lastColumn="0" w:noHBand="0" w:noVBand="1"/>
      </w:tblPr>
      <w:tblGrid>
        <w:gridCol w:w="2248"/>
        <w:gridCol w:w="3001"/>
        <w:gridCol w:w="3767"/>
      </w:tblGrid>
      <w:tr w:rsidR="00F725BF" w:rsidRPr="00F725BF" w14:paraId="63FDB8F3" w14:textId="77777777" w:rsidTr="00452836">
        <w:trPr>
          <w:cnfStyle w:val="100000000000" w:firstRow="1" w:lastRow="0" w:firstColumn="0" w:lastColumn="0" w:oddVBand="0" w:evenVBand="0" w:oddHBand="0"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1247" w:type="pct"/>
            <w:hideMark/>
          </w:tcPr>
          <w:p w14:paraId="7CB5F089" w14:textId="77777777" w:rsidR="00F725BF" w:rsidRPr="00F725BF" w:rsidRDefault="00F725BF" w:rsidP="000427F9">
            <w:pPr>
              <w:jc w:val="both"/>
            </w:pPr>
            <w:r w:rsidRPr="00F725BF">
              <w:t>Regulatory Dimension</w:t>
            </w:r>
          </w:p>
        </w:tc>
        <w:tc>
          <w:tcPr>
            <w:tcW w:w="1664" w:type="pct"/>
            <w:hideMark/>
          </w:tcPr>
          <w:p w14:paraId="6AD9BFC3"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United Kingdom</w:t>
            </w:r>
          </w:p>
        </w:tc>
        <w:tc>
          <w:tcPr>
            <w:tcW w:w="2089" w:type="pct"/>
            <w:hideMark/>
          </w:tcPr>
          <w:p w14:paraId="3E9E8FC1"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United States</w:t>
            </w:r>
          </w:p>
        </w:tc>
      </w:tr>
      <w:tr w:rsidR="00F725BF" w:rsidRPr="00F725BF" w14:paraId="506279E6" w14:textId="77777777" w:rsidTr="0045283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1247" w:type="pct"/>
            <w:hideMark/>
          </w:tcPr>
          <w:p w14:paraId="17AD3A51" w14:textId="77777777" w:rsidR="00F725BF" w:rsidRPr="00F725BF" w:rsidRDefault="00F725BF" w:rsidP="000427F9">
            <w:pPr>
              <w:jc w:val="both"/>
            </w:pPr>
            <w:r w:rsidRPr="00F725BF">
              <w:t>Primary Regulators</w:t>
            </w:r>
          </w:p>
        </w:tc>
        <w:tc>
          <w:tcPr>
            <w:tcW w:w="1664" w:type="pct"/>
            <w:hideMark/>
          </w:tcPr>
          <w:p w14:paraId="6BA2E873"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FCA, ICO, Bank of England</w:t>
            </w:r>
          </w:p>
        </w:tc>
        <w:tc>
          <w:tcPr>
            <w:tcW w:w="2089" w:type="pct"/>
            <w:hideMark/>
          </w:tcPr>
          <w:p w14:paraId="63BC785D"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CFPB, OCC, Federal Reserve, Treasury</w:t>
            </w:r>
          </w:p>
        </w:tc>
      </w:tr>
      <w:tr w:rsidR="00F725BF" w:rsidRPr="00F725BF" w14:paraId="3D80D5C0" w14:textId="77777777" w:rsidTr="00452836">
        <w:trPr>
          <w:trHeight w:val="803"/>
        </w:trPr>
        <w:tc>
          <w:tcPr>
            <w:cnfStyle w:val="001000000000" w:firstRow="0" w:lastRow="0" w:firstColumn="1" w:lastColumn="0" w:oddVBand="0" w:evenVBand="0" w:oddHBand="0" w:evenHBand="0" w:firstRowFirstColumn="0" w:firstRowLastColumn="0" w:lastRowFirstColumn="0" w:lastRowLastColumn="0"/>
            <w:tcW w:w="1247" w:type="pct"/>
            <w:hideMark/>
          </w:tcPr>
          <w:p w14:paraId="6CEB5EE5" w14:textId="77777777" w:rsidR="00F725BF" w:rsidRPr="00F725BF" w:rsidRDefault="00F725BF" w:rsidP="000427F9">
            <w:pPr>
              <w:jc w:val="both"/>
            </w:pPr>
            <w:r w:rsidRPr="00F725BF">
              <w:t>Architecture</w:t>
            </w:r>
          </w:p>
        </w:tc>
        <w:tc>
          <w:tcPr>
            <w:tcW w:w="1664" w:type="pct"/>
            <w:hideMark/>
          </w:tcPr>
          <w:p w14:paraId="1CA45814"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Principles-based; sector-led</w:t>
            </w:r>
          </w:p>
        </w:tc>
        <w:tc>
          <w:tcPr>
            <w:tcW w:w="2089" w:type="pct"/>
            <w:hideMark/>
          </w:tcPr>
          <w:p w14:paraId="67D3A57F"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Mixed: voluntary frameworks and prescriptive rules</w:t>
            </w:r>
          </w:p>
        </w:tc>
      </w:tr>
      <w:tr w:rsidR="00F725BF" w:rsidRPr="00F725BF" w14:paraId="6CE24386" w14:textId="77777777" w:rsidTr="00452836">
        <w:trPr>
          <w:cnfStyle w:val="000000100000" w:firstRow="0" w:lastRow="0" w:firstColumn="0" w:lastColumn="0" w:oddVBand="0" w:evenVBand="0" w:oddHBand="1" w:evenHBand="0" w:firstRowFirstColumn="0" w:firstRowLastColumn="0" w:lastRowFirstColumn="0" w:lastRowLastColumn="0"/>
          <w:trHeight w:val="821"/>
        </w:trPr>
        <w:tc>
          <w:tcPr>
            <w:cnfStyle w:val="001000000000" w:firstRow="0" w:lastRow="0" w:firstColumn="1" w:lastColumn="0" w:oddVBand="0" w:evenVBand="0" w:oddHBand="0" w:evenHBand="0" w:firstRowFirstColumn="0" w:firstRowLastColumn="0" w:lastRowFirstColumn="0" w:lastRowLastColumn="0"/>
            <w:tcW w:w="1247" w:type="pct"/>
            <w:hideMark/>
          </w:tcPr>
          <w:p w14:paraId="1294EDB6" w14:textId="77777777" w:rsidR="00F725BF" w:rsidRPr="00F725BF" w:rsidRDefault="00F725BF" w:rsidP="000427F9">
            <w:pPr>
              <w:jc w:val="both"/>
            </w:pPr>
            <w:r w:rsidRPr="00F725BF">
              <w:t>Explainability Standard</w:t>
            </w:r>
          </w:p>
        </w:tc>
        <w:tc>
          <w:tcPr>
            <w:tcW w:w="1664" w:type="pct"/>
            <w:hideMark/>
          </w:tcPr>
          <w:p w14:paraId="7670131D"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UK GDPR Article 22; ICO AI guidance</w:t>
            </w:r>
          </w:p>
        </w:tc>
        <w:tc>
          <w:tcPr>
            <w:tcW w:w="2089" w:type="pct"/>
            <w:hideMark/>
          </w:tcPr>
          <w:p w14:paraId="449A41FC"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CFPB adverse action; NIST AI RMF</w:t>
            </w:r>
          </w:p>
        </w:tc>
      </w:tr>
      <w:tr w:rsidR="00F725BF" w:rsidRPr="00F725BF" w14:paraId="790A7189" w14:textId="77777777" w:rsidTr="00452836">
        <w:trPr>
          <w:trHeight w:val="821"/>
        </w:trPr>
        <w:tc>
          <w:tcPr>
            <w:cnfStyle w:val="001000000000" w:firstRow="0" w:lastRow="0" w:firstColumn="1" w:lastColumn="0" w:oddVBand="0" w:evenVBand="0" w:oddHBand="0" w:evenHBand="0" w:firstRowFirstColumn="0" w:firstRowLastColumn="0" w:lastRowFirstColumn="0" w:lastRowLastColumn="0"/>
            <w:tcW w:w="1247" w:type="pct"/>
            <w:hideMark/>
          </w:tcPr>
          <w:p w14:paraId="3F4569DC" w14:textId="77777777" w:rsidR="00F725BF" w:rsidRPr="00F725BF" w:rsidRDefault="00F725BF" w:rsidP="000427F9">
            <w:pPr>
              <w:jc w:val="both"/>
            </w:pPr>
            <w:r w:rsidRPr="00F725BF">
              <w:t>Fair Lending Oversight</w:t>
            </w:r>
          </w:p>
        </w:tc>
        <w:tc>
          <w:tcPr>
            <w:tcW w:w="1664" w:type="pct"/>
            <w:hideMark/>
          </w:tcPr>
          <w:p w14:paraId="64FAF243"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FCA conduct rules; Equality Act 2010</w:t>
            </w:r>
          </w:p>
        </w:tc>
        <w:tc>
          <w:tcPr>
            <w:tcW w:w="2089" w:type="pct"/>
            <w:hideMark/>
          </w:tcPr>
          <w:p w14:paraId="0A2CF046"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ECOA; Fair Housing Act; CFPB annual report</w:t>
            </w:r>
          </w:p>
        </w:tc>
      </w:tr>
      <w:tr w:rsidR="00F725BF" w:rsidRPr="00F725BF" w14:paraId="2F45882C" w14:textId="77777777" w:rsidTr="00452836">
        <w:trPr>
          <w:cnfStyle w:val="000000100000" w:firstRow="0" w:lastRow="0" w:firstColumn="0" w:lastColumn="0" w:oddVBand="0" w:evenVBand="0" w:oddHBand="1" w:evenHBand="0" w:firstRowFirstColumn="0" w:firstRowLastColumn="0" w:lastRowFirstColumn="0" w:lastRowLastColumn="0"/>
          <w:trHeight w:val="410"/>
        </w:trPr>
        <w:tc>
          <w:tcPr>
            <w:cnfStyle w:val="001000000000" w:firstRow="0" w:lastRow="0" w:firstColumn="1" w:lastColumn="0" w:oddVBand="0" w:evenVBand="0" w:oddHBand="0" w:evenHBand="0" w:firstRowFirstColumn="0" w:firstRowLastColumn="0" w:lastRowFirstColumn="0" w:lastRowLastColumn="0"/>
            <w:tcW w:w="1247" w:type="pct"/>
            <w:hideMark/>
          </w:tcPr>
          <w:p w14:paraId="20B2993F" w14:textId="77777777" w:rsidR="00F725BF" w:rsidRPr="00F725BF" w:rsidRDefault="00F725BF" w:rsidP="000427F9">
            <w:pPr>
              <w:jc w:val="both"/>
            </w:pPr>
            <w:r w:rsidRPr="00F725BF">
              <w:t>Systemic Risk</w:t>
            </w:r>
          </w:p>
        </w:tc>
        <w:tc>
          <w:tcPr>
            <w:tcW w:w="1664" w:type="pct"/>
            <w:hideMark/>
          </w:tcPr>
          <w:p w14:paraId="7EADBEC1"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Bank of England AI survey</w:t>
            </w:r>
          </w:p>
        </w:tc>
        <w:tc>
          <w:tcPr>
            <w:tcW w:w="2089" w:type="pct"/>
            <w:hideMark/>
          </w:tcPr>
          <w:p w14:paraId="6A7BED25"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Treasury AI cybersecurity report</w:t>
            </w:r>
          </w:p>
        </w:tc>
      </w:tr>
      <w:tr w:rsidR="00F725BF" w:rsidRPr="00F725BF" w14:paraId="45CE6C30" w14:textId="77777777" w:rsidTr="00452836">
        <w:trPr>
          <w:trHeight w:val="410"/>
        </w:trPr>
        <w:tc>
          <w:tcPr>
            <w:cnfStyle w:val="001000000000" w:firstRow="0" w:lastRow="0" w:firstColumn="1" w:lastColumn="0" w:oddVBand="0" w:evenVBand="0" w:oddHBand="0" w:evenHBand="0" w:firstRowFirstColumn="0" w:firstRowLastColumn="0" w:lastRowFirstColumn="0" w:lastRowLastColumn="0"/>
            <w:tcW w:w="1247" w:type="pct"/>
            <w:hideMark/>
          </w:tcPr>
          <w:p w14:paraId="1985D0C2" w14:textId="77777777" w:rsidR="00F725BF" w:rsidRPr="00F725BF" w:rsidRDefault="00F725BF" w:rsidP="000427F9">
            <w:pPr>
              <w:jc w:val="both"/>
            </w:pPr>
            <w:r w:rsidRPr="00F725BF">
              <w:t>AML Oversight</w:t>
            </w:r>
          </w:p>
        </w:tc>
        <w:tc>
          <w:tcPr>
            <w:tcW w:w="1664" w:type="pct"/>
            <w:hideMark/>
          </w:tcPr>
          <w:p w14:paraId="3DA674F9"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FCA; NCA</w:t>
            </w:r>
          </w:p>
        </w:tc>
        <w:tc>
          <w:tcPr>
            <w:tcW w:w="2089" w:type="pct"/>
            <w:hideMark/>
          </w:tcPr>
          <w:p w14:paraId="35E24DC6"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FinCEN; DOJ</w:t>
            </w:r>
          </w:p>
        </w:tc>
      </w:tr>
      <w:tr w:rsidR="00F725BF" w:rsidRPr="00F725BF" w14:paraId="7A3A6D04" w14:textId="77777777" w:rsidTr="00452836">
        <w:trPr>
          <w:cnfStyle w:val="000000100000" w:firstRow="0" w:lastRow="0" w:firstColumn="0" w:lastColumn="0" w:oddVBand="0" w:evenVBand="0" w:oddHBand="1" w:evenHBand="0" w:firstRowFirstColumn="0" w:firstRowLastColumn="0" w:lastRowFirstColumn="0" w:lastRowLastColumn="0"/>
          <w:trHeight w:val="803"/>
        </w:trPr>
        <w:tc>
          <w:tcPr>
            <w:cnfStyle w:val="001000000000" w:firstRow="0" w:lastRow="0" w:firstColumn="1" w:lastColumn="0" w:oddVBand="0" w:evenVBand="0" w:oddHBand="0" w:evenHBand="0" w:firstRowFirstColumn="0" w:firstRowLastColumn="0" w:lastRowFirstColumn="0" w:lastRowLastColumn="0"/>
            <w:tcW w:w="1247" w:type="pct"/>
            <w:hideMark/>
          </w:tcPr>
          <w:p w14:paraId="1B193D50" w14:textId="77777777" w:rsidR="00F725BF" w:rsidRPr="00F725BF" w:rsidRDefault="00F725BF" w:rsidP="000427F9">
            <w:pPr>
              <w:jc w:val="both"/>
            </w:pPr>
            <w:r w:rsidRPr="00F725BF">
              <w:t>Penalty Architecture</w:t>
            </w:r>
          </w:p>
        </w:tc>
        <w:tc>
          <w:tcPr>
            <w:tcW w:w="1664" w:type="pct"/>
            <w:hideMark/>
          </w:tcPr>
          <w:p w14:paraId="3251F1AB"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FCA fines; ICO enforcement</w:t>
            </w:r>
          </w:p>
        </w:tc>
        <w:tc>
          <w:tcPr>
            <w:tcW w:w="2089" w:type="pct"/>
            <w:hideMark/>
          </w:tcPr>
          <w:p w14:paraId="0CB0EB2A"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CFPB enforcement orders; DOJ consent decrees</w:t>
            </w:r>
          </w:p>
        </w:tc>
      </w:tr>
    </w:tbl>
    <w:p w14:paraId="603C5354" w14:textId="3F8E3147" w:rsidR="00F725BF" w:rsidRPr="00F725BF" w:rsidRDefault="00F725BF" w:rsidP="000427F9">
      <w:pPr>
        <w:pStyle w:val="Heading2"/>
      </w:pPr>
      <w:bookmarkStart w:id="10" w:name="_Toc227977804"/>
      <w:r w:rsidRPr="00F725BF">
        <w:lastRenderedPageBreak/>
        <w:t>Regulatory Futures 2026 to 2030</w:t>
      </w:r>
      <w:bookmarkEnd w:id="10"/>
    </w:p>
    <w:p w14:paraId="172DCDE6" w14:textId="77777777" w:rsidR="00CE7736" w:rsidRDefault="00CE7736" w:rsidP="00CE7736">
      <w:pPr>
        <w:jc w:val="both"/>
      </w:pPr>
      <w:r>
        <w:t>The compliance environment of JPMorgan Chase will have three probable regulatory paths in the medium term.</w:t>
      </w:r>
    </w:p>
    <w:p w14:paraId="53409C50" w14:textId="6F5DFBC8" w:rsidR="00CE7736" w:rsidRDefault="00CE7736" w:rsidP="00CE7736">
      <w:pPr>
        <w:jc w:val="both"/>
      </w:pPr>
      <w:r>
        <w:t xml:space="preserve">Scenario One: Convergence. Bilateral regulatory dialogue and mutual interests in systemic AI risk in financial markets gradually harmonise AI governance standards in the UK and the US. In this case, JPMorgan Chase will enjoy decreased compliance overlaps and a more coherent and stable governance. Post-Brexit UK regulatory divergence aspirations, and US legislative fragmentation at </w:t>
      </w:r>
      <w:r w:rsidR="00611B28">
        <w:t>the federal and state levels,</w:t>
      </w:r>
      <w:r>
        <w:t xml:space="preserve"> limit the likelihood of full convergence.</w:t>
      </w:r>
    </w:p>
    <w:p w14:paraId="70B985E5" w14:textId="565F6317" w:rsidR="00CE7736" w:rsidRDefault="00CE7736" w:rsidP="00CE7736">
      <w:pPr>
        <w:jc w:val="both"/>
      </w:pPr>
      <w:r>
        <w:t xml:space="preserve">Scenario Two: Fragmentation. The UK and US regulatory architectures are even more different, as the EU AI Act establishes a third, more prescriptive standard that </w:t>
      </w:r>
      <w:r w:rsidR="00611B28">
        <w:t xml:space="preserve">affects JPMorgan Chase's work in Europe, and there is a possibility that the UK regulatory evolution will be </w:t>
      </w:r>
      <w:r>
        <w:t>driven by market pressure as well. In fragmentation, the cost of compliance is much higher, and the probability of unintentional cross-jurisdictional breaches is higher. This is the most likely situation that can be seen at present due to the observed regulatory trajectories.</w:t>
      </w:r>
    </w:p>
    <w:p w14:paraId="3EF133F4" w14:textId="46855E39" w:rsidR="00F725BF" w:rsidRPr="00F725BF" w:rsidRDefault="00CE7736" w:rsidP="00CE7736">
      <w:pPr>
        <w:jc w:val="both"/>
      </w:pPr>
      <w:r>
        <w:t xml:space="preserve">Scenario Three: Harmonisation by Crisis. A major AI-related financial crisis, like a systemic model failure that led to a credit event or a high-profile action by an algorithmic discrimination enforcer on a large institution, causes emergency regulatory coordination across jurisdictions. Such a situation </w:t>
      </w:r>
      <w:r w:rsidR="00611B28">
        <w:t>could</w:t>
      </w:r>
      <w:r>
        <w:t xml:space="preserve"> result in fast, prescriptive law that eliminates </w:t>
      </w:r>
      <w:r w:rsidR="00611B28">
        <w:t>the</w:t>
      </w:r>
      <w:r>
        <w:t xml:space="preserve"> flexibility that JPMorgan Chase has enjoyed so far in principles-based systems. Those institutions that have a strong voluntary governance infrastructure will take this transition in better strides than those that have a low compliance level.</w:t>
      </w:r>
    </w:p>
    <w:p w14:paraId="4662F6B9" w14:textId="6504253D" w:rsidR="00F725BF" w:rsidRPr="00F725BF" w:rsidRDefault="00F725BF" w:rsidP="000427F9">
      <w:pPr>
        <w:pStyle w:val="Heading2"/>
      </w:pPr>
      <w:bookmarkStart w:id="11" w:name="_Toc227977805"/>
      <w:r w:rsidRPr="00F725BF">
        <w:t>Customer Trust and Reputational Risk</w:t>
      </w:r>
      <w:bookmarkEnd w:id="11"/>
    </w:p>
    <w:p w14:paraId="7D98DEB0" w14:textId="44F8A11F" w:rsidR="003B1423" w:rsidRDefault="00CE7736" w:rsidP="000427F9">
      <w:pPr>
        <w:jc w:val="both"/>
      </w:pPr>
      <w:r w:rsidRPr="00CE7736">
        <w:t xml:space="preserve">Consumer trust is both a business and a major gauge of </w:t>
      </w:r>
      <w:r w:rsidR="00611B28">
        <w:t xml:space="preserve">the </w:t>
      </w:r>
      <w:r w:rsidRPr="00CE7736">
        <w:t xml:space="preserve">quality of governance in financial institutions. In 2024, the Bank of England survey revealed that </w:t>
      </w:r>
      <w:r w:rsidR="00611B28">
        <w:t>consumer trust in AI-based financial decision-making</w:t>
      </w:r>
      <w:r w:rsidRPr="00CE7736">
        <w:t xml:space="preserve"> is conditional </w:t>
      </w:r>
      <w:r w:rsidR="00611B28">
        <w:t>on</w:t>
      </w:r>
      <w:r w:rsidRPr="00CE7736">
        <w:t xml:space="preserve"> the availability of transparent accountability frameworks and a recourse mechanism (Bank of England, 2024). This implies that trust does not come automatically when technology is adopted, but it is determined by the perceived </w:t>
      </w:r>
      <w:r w:rsidR="00611B28">
        <w:t>equity</w:t>
      </w:r>
      <w:r w:rsidRPr="00CE7736">
        <w:t xml:space="preserve"> and openness of the practice. Helmi Ayari, Pr. Pr. Ramzi Guetari. </w:t>
      </w:r>
      <w:proofErr w:type="spellStart"/>
      <w:r w:rsidRPr="00CE7736">
        <w:t>Naoufel</w:t>
      </w:r>
      <w:proofErr w:type="spellEnd"/>
      <w:r w:rsidRPr="00CE7736">
        <w:t xml:space="preserve"> </w:t>
      </w:r>
      <w:proofErr w:type="spellStart"/>
      <w:r w:rsidRPr="00CE7736">
        <w:t>Kraiem</w:t>
      </w:r>
      <w:proofErr w:type="spellEnd"/>
      <w:r w:rsidRPr="00CE7736">
        <w:t xml:space="preserve"> (2025) found </w:t>
      </w:r>
      <w:r w:rsidR="00611B28">
        <w:t>that model openness is</w:t>
      </w:r>
      <w:r w:rsidRPr="00CE7736">
        <w:t xml:space="preserve"> the key barrier to acceptance of AI-based credit scoring systems by consumers. Their results indicate that the levels of acceptance grow significantly when explanations are conveyed in a specific and actionable way, enabling people to comprehend and even dispute the results.</w:t>
      </w:r>
    </w:p>
    <w:p w14:paraId="0D1F89BF" w14:textId="77777777" w:rsidR="00522836" w:rsidRDefault="00522836" w:rsidP="000427F9">
      <w:pPr>
        <w:keepNext/>
        <w:jc w:val="both"/>
      </w:pPr>
      <w:r w:rsidRPr="00522836">
        <w:rPr>
          <w:noProof/>
        </w:rPr>
        <w:lastRenderedPageBreak/>
        <w:drawing>
          <wp:inline distT="0" distB="0" distL="0" distR="0" wp14:anchorId="24365A6C" wp14:editId="22B83BEA">
            <wp:extent cx="5943600" cy="2080260"/>
            <wp:effectExtent l="0" t="0" r="0" b="0"/>
            <wp:docPr id="1628381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8381217" name=""/>
                    <pic:cNvPicPr/>
                  </pic:nvPicPr>
                  <pic:blipFill>
                    <a:blip r:embed="rId10"/>
                    <a:stretch>
                      <a:fillRect/>
                    </a:stretch>
                  </pic:blipFill>
                  <pic:spPr>
                    <a:xfrm>
                      <a:off x="0" y="0"/>
                      <a:ext cx="5943600" cy="2080260"/>
                    </a:xfrm>
                    <a:prstGeom prst="rect">
                      <a:avLst/>
                    </a:prstGeom>
                  </pic:spPr>
                </pic:pic>
              </a:graphicData>
            </a:graphic>
          </wp:inline>
        </w:drawing>
      </w:r>
    </w:p>
    <w:p w14:paraId="56D1252E" w14:textId="6B08E2B6" w:rsidR="00522836" w:rsidRPr="003B1423" w:rsidRDefault="00522836" w:rsidP="00CE7736">
      <w:pPr>
        <w:pStyle w:val="Caption"/>
        <w:jc w:val="center"/>
      </w:pPr>
      <w:r>
        <w:t xml:space="preserve">Figure </w:t>
      </w:r>
      <w:r>
        <w:fldChar w:fldCharType="begin"/>
      </w:r>
      <w:r>
        <w:instrText xml:space="preserve"> SEQ Figure \* ARABIC </w:instrText>
      </w:r>
      <w:r>
        <w:fldChar w:fldCharType="separate"/>
      </w:r>
      <w:r>
        <w:rPr>
          <w:noProof/>
        </w:rPr>
        <w:t>3</w:t>
      </w:r>
      <w:r>
        <w:fldChar w:fldCharType="end"/>
      </w:r>
      <w:r>
        <w:t xml:space="preserve">: </w:t>
      </w:r>
      <w:r w:rsidRPr="007343AB">
        <w:t>Determinants of customer trust in AI-driven finance</w:t>
      </w:r>
      <w:r>
        <w:t xml:space="preserve"> (</w:t>
      </w:r>
      <w:r w:rsidR="00611B28">
        <w:t>Self-made</w:t>
      </w:r>
      <w:r>
        <w:t>)</w:t>
      </w:r>
    </w:p>
    <w:p w14:paraId="4A1BB06B" w14:textId="0E1B845B" w:rsidR="00D30A75" w:rsidRDefault="00D30A75" w:rsidP="00D30A75">
      <w:pPr>
        <w:jc w:val="both"/>
      </w:pPr>
      <w:r>
        <w:t xml:space="preserve">Poor trust </w:t>
      </w:r>
      <w:r w:rsidR="00611B28">
        <w:t>not only has</w:t>
      </w:r>
      <w:r>
        <w:t xml:space="preserve"> short-term consequences of customer dissatisfaction. </w:t>
      </w:r>
      <w:proofErr w:type="spellStart"/>
      <w:r>
        <w:t>Nallakaruppan</w:t>
      </w:r>
      <w:proofErr w:type="spellEnd"/>
      <w:r>
        <w:t xml:space="preserve"> et al. (2024) proved that biased credit assessment models may cause both legal and reputational ramifications, which are likely to be long-term. Trust erosion in this case is not just a </w:t>
      </w:r>
      <w:r w:rsidR="00611B28">
        <w:t>short-term commercial problem but also a long-term</w:t>
      </w:r>
      <w:r>
        <w:t xml:space="preserve"> strategic risk. In line with this opinion, Kalyani and Suri (2023) found that it takes years to overcome the loss of trust in the wake of discriminative AI-related incidents, which leaves institutions that experienced them with a long-term competitive disadvantage.</w:t>
      </w:r>
    </w:p>
    <w:p w14:paraId="6D864E10" w14:textId="0FC28270" w:rsidR="003B1423" w:rsidRPr="003B1423" w:rsidRDefault="00D30A75" w:rsidP="00D30A75">
      <w:pPr>
        <w:jc w:val="both"/>
      </w:pPr>
      <w:r>
        <w:t xml:space="preserve">Also, </w:t>
      </w:r>
      <w:proofErr w:type="spellStart"/>
      <w:r>
        <w:t>Papasavva</w:t>
      </w:r>
      <w:proofErr w:type="spellEnd"/>
      <w:r>
        <w:t xml:space="preserve"> et al. (2025) </w:t>
      </w:r>
      <w:r w:rsidR="00611B28">
        <w:t>emphasised</w:t>
      </w:r>
      <w:r>
        <w:t xml:space="preserve"> that the system of detecting fraud adds a new level of trust-related issues. False positives, especially when genuine customers are wrongly identified, are a source of friction and discontent. This means that the technical performance measures</w:t>
      </w:r>
      <w:r w:rsidR="00611B28">
        <w:t>,</w:t>
      </w:r>
      <w:r>
        <w:t xml:space="preserve"> including the detection accuracy, have to be </w:t>
      </w:r>
      <w:r w:rsidR="00611B28">
        <w:t>well-balanced</w:t>
      </w:r>
      <w:r>
        <w:t xml:space="preserve"> with the customer experience factors to ensure the consumer trust is preserved and reinforced.</w:t>
      </w:r>
    </w:p>
    <w:p w14:paraId="3602F932" w14:textId="0CBDB573" w:rsidR="00F725BF" w:rsidRPr="00F725BF" w:rsidRDefault="00F725BF" w:rsidP="000427F9">
      <w:pPr>
        <w:pStyle w:val="Heading1"/>
        <w:jc w:val="both"/>
      </w:pPr>
      <w:bookmarkStart w:id="12" w:name="_Toc227977806"/>
      <w:r w:rsidRPr="00F725BF">
        <w:t>Implementation Plan</w:t>
      </w:r>
      <w:bookmarkEnd w:id="12"/>
    </w:p>
    <w:p w14:paraId="2B1ED4F2" w14:textId="77777777" w:rsidR="00F725BF" w:rsidRPr="003B1423" w:rsidRDefault="00F725BF" w:rsidP="000427F9">
      <w:pPr>
        <w:jc w:val="both"/>
        <w:rPr>
          <w:b/>
          <w:bCs/>
        </w:rPr>
      </w:pPr>
      <w:r w:rsidRPr="003B1423">
        <w:rPr>
          <w:b/>
          <w:bCs/>
        </w:rPr>
        <w:t>Table 3: JPMorgan Chase AI Governance Transformation</w:t>
      </w:r>
    </w:p>
    <w:tbl>
      <w:tblPr>
        <w:tblStyle w:val="PlainTable1"/>
        <w:tblW w:w="5000" w:type="pct"/>
        <w:tblLook w:val="04A0" w:firstRow="1" w:lastRow="0" w:firstColumn="1" w:lastColumn="0" w:noHBand="0" w:noVBand="1"/>
      </w:tblPr>
      <w:tblGrid>
        <w:gridCol w:w="1163"/>
        <w:gridCol w:w="1358"/>
        <w:gridCol w:w="3200"/>
        <w:gridCol w:w="1407"/>
        <w:gridCol w:w="1888"/>
      </w:tblGrid>
      <w:tr w:rsidR="00452836" w:rsidRPr="00F725BF" w14:paraId="2C826DB8" w14:textId="77777777" w:rsidTr="00452836">
        <w:trPr>
          <w:cnfStyle w:val="100000000000" w:firstRow="1" w:lastRow="0" w:firstColumn="0" w:lastColumn="0" w:oddVBand="0" w:evenVBand="0" w:oddHBand="0" w:evenHBand="0" w:firstRowFirstColumn="0" w:firstRowLastColumn="0" w:lastRowFirstColumn="0" w:lastRowLastColumn="0"/>
          <w:trHeight w:val="314"/>
        </w:trPr>
        <w:tc>
          <w:tcPr>
            <w:cnfStyle w:val="001000000000" w:firstRow="0" w:lastRow="0" w:firstColumn="1" w:lastColumn="0" w:oddVBand="0" w:evenVBand="0" w:oddHBand="0" w:evenHBand="0" w:firstRowFirstColumn="0" w:firstRowLastColumn="0" w:lastRowFirstColumn="0" w:lastRowLastColumn="0"/>
            <w:tcW w:w="636" w:type="pct"/>
            <w:hideMark/>
          </w:tcPr>
          <w:p w14:paraId="58DC2353" w14:textId="77777777" w:rsidR="00F725BF" w:rsidRPr="00F725BF" w:rsidRDefault="00F725BF" w:rsidP="000427F9">
            <w:pPr>
              <w:jc w:val="both"/>
            </w:pPr>
            <w:r w:rsidRPr="00F725BF">
              <w:t>Horizon</w:t>
            </w:r>
          </w:p>
        </w:tc>
        <w:tc>
          <w:tcPr>
            <w:tcW w:w="735" w:type="pct"/>
            <w:hideMark/>
          </w:tcPr>
          <w:p w14:paraId="10441813"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Timeframe</w:t>
            </w:r>
          </w:p>
        </w:tc>
        <w:tc>
          <w:tcPr>
            <w:tcW w:w="1784" w:type="pct"/>
            <w:hideMark/>
          </w:tcPr>
          <w:p w14:paraId="1F5C3A1D"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Priority Actions</w:t>
            </w:r>
          </w:p>
        </w:tc>
        <w:tc>
          <w:tcPr>
            <w:tcW w:w="789" w:type="pct"/>
            <w:hideMark/>
          </w:tcPr>
          <w:p w14:paraId="302E40A1"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Investment</w:t>
            </w:r>
          </w:p>
        </w:tc>
        <w:tc>
          <w:tcPr>
            <w:tcW w:w="1056" w:type="pct"/>
            <w:hideMark/>
          </w:tcPr>
          <w:p w14:paraId="79722F03" w14:textId="77777777" w:rsidR="00F725BF" w:rsidRPr="00F725BF" w:rsidRDefault="00F725BF" w:rsidP="000427F9">
            <w:pPr>
              <w:jc w:val="both"/>
              <w:cnfStyle w:val="100000000000" w:firstRow="1" w:lastRow="0" w:firstColumn="0" w:lastColumn="0" w:oddVBand="0" w:evenVBand="0" w:oddHBand="0" w:evenHBand="0" w:firstRowFirstColumn="0" w:firstRowLastColumn="0" w:lastRowFirstColumn="0" w:lastRowLastColumn="0"/>
            </w:pPr>
            <w:r w:rsidRPr="00F725BF">
              <w:t>Key Metrics</w:t>
            </w:r>
          </w:p>
        </w:tc>
      </w:tr>
      <w:tr w:rsidR="00452836" w:rsidRPr="00F725BF" w14:paraId="307625E4" w14:textId="77777777" w:rsidTr="00452836">
        <w:trPr>
          <w:cnfStyle w:val="000000100000" w:firstRow="0" w:lastRow="0" w:firstColumn="0" w:lastColumn="0" w:oddVBand="0" w:evenVBand="0" w:oddHBand="1" w:evenHBand="0" w:firstRowFirstColumn="0" w:firstRowLastColumn="0" w:lastRowFirstColumn="0" w:lastRowLastColumn="0"/>
          <w:trHeight w:val="2516"/>
        </w:trPr>
        <w:tc>
          <w:tcPr>
            <w:cnfStyle w:val="001000000000" w:firstRow="0" w:lastRow="0" w:firstColumn="1" w:lastColumn="0" w:oddVBand="0" w:evenVBand="0" w:oddHBand="0" w:evenHBand="0" w:firstRowFirstColumn="0" w:firstRowLastColumn="0" w:lastRowFirstColumn="0" w:lastRowLastColumn="0"/>
            <w:tcW w:w="636" w:type="pct"/>
            <w:hideMark/>
          </w:tcPr>
          <w:p w14:paraId="22B7E76A" w14:textId="77777777" w:rsidR="00F725BF" w:rsidRPr="00F725BF" w:rsidRDefault="00F725BF" w:rsidP="000427F9">
            <w:pPr>
              <w:jc w:val="both"/>
            </w:pPr>
            <w:r w:rsidRPr="00F725BF">
              <w:t>Short-term</w:t>
            </w:r>
          </w:p>
        </w:tc>
        <w:tc>
          <w:tcPr>
            <w:tcW w:w="735" w:type="pct"/>
            <w:hideMark/>
          </w:tcPr>
          <w:p w14:paraId="0435907F"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0 to 12 months</w:t>
            </w:r>
          </w:p>
        </w:tc>
        <w:tc>
          <w:tcPr>
            <w:tcW w:w="1784" w:type="pct"/>
            <w:hideMark/>
          </w:tcPr>
          <w:p w14:paraId="15F51A73"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AI inventory audit against NIST AI RMF; establish Chief AI Risk Officer; ICO toolkit compliance across UK operations; align CFPB adverse action protocols; commission macroeconomic stress-testing framework for AI credit models</w:t>
            </w:r>
          </w:p>
        </w:tc>
        <w:tc>
          <w:tcPr>
            <w:tcW w:w="789" w:type="pct"/>
            <w:hideMark/>
          </w:tcPr>
          <w:p w14:paraId="77047E19"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USD 20 to 35 million</w:t>
            </w:r>
          </w:p>
        </w:tc>
        <w:tc>
          <w:tcPr>
            <w:tcW w:w="1056" w:type="pct"/>
            <w:hideMark/>
          </w:tcPr>
          <w:p w14:paraId="02667A80"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Inventory completeness; CFPB audit pass rate; ICO toolkit adoption</w:t>
            </w:r>
          </w:p>
        </w:tc>
      </w:tr>
      <w:tr w:rsidR="00452836" w:rsidRPr="00F725BF" w14:paraId="3A2064E7" w14:textId="77777777" w:rsidTr="00452836">
        <w:trPr>
          <w:trHeight w:val="3446"/>
        </w:trPr>
        <w:tc>
          <w:tcPr>
            <w:cnfStyle w:val="001000000000" w:firstRow="0" w:lastRow="0" w:firstColumn="1" w:lastColumn="0" w:oddVBand="0" w:evenVBand="0" w:oddHBand="0" w:evenHBand="0" w:firstRowFirstColumn="0" w:firstRowLastColumn="0" w:lastRowFirstColumn="0" w:lastRowLastColumn="0"/>
            <w:tcW w:w="636" w:type="pct"/>
            <w:hideMark/>
          </w:tcPr>
          <w:p w14:paraId="3F9867CF" w14:textId="77777777" w:rsidR="00F725BF" w:rsidRPr="00F725BF" w:rsidRDefault="00F725BF" w:rsidP="000427F9">
            <w:pPr>
              <w:jc w:val="both"/>
            </w:pPr>
            <w:r w:rsidRPr="00F725BF">
              <w:lastRenderedPageBreak/>
              <w:t>Medium-term</w:t>
            </w:r>
          </w:p>
        </w:tc>
        <w:tc>
          <w:tcPr>
            <w:tcW w:w="735" w:type="pct"/>
            <w:hideMark/>
          </w:tcPr>
          <w:p w14:paraId="54D341B8"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1 to 3 years</w:t>
            </w:r>
          </w:p>
        </w:tc>
        <w:tc>
          <w:tcPr>
            <w:tcW w:w="1784" w:type="pct"/>
            <w:hideMark/>
          </w:tcPr>
          <w:p w14:paraId="478D21A9"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 xml:space="preserve">Deploy unified </w:t>
            </w:r>
            <w:proofErr w:type="spellStart"/>
            <w:r w:rsidRPr="00F725BF">
              <w:t>RegTech</w:t>
            </w:r>
            <w:proofErr w:type="spellEnd"/>
            <w:r w:rsidRPr="00F725BF">
              <w:t xml:space="preserve"> platform; implement internal XAI standard with SHAP-based explanations and human-override capability; introduce AI macroeconomic sensitivity testing across rate-cycle scenarios; proactive FCA and CFPB engagement; bias testing aligned with Fair Lending Act and FCA conduct rules</w:t>
            </w:r>
          </w:p>
        </w:tc>
        <w:tc>
          <w:tcPr>
            <w:tcW w:w="789" w:type="pct"/>
            <w:hideMark/>
          </w:tcPr>
          <w:p w14:paraId="0C5126DE"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USD 80 to 120 million</w:t>
            </w:r>
          </w:p>
        </w:tc>
        <w:tc>
          <w:tcPr>
            <w:tcW w:w="1056" w:type="pct"/>
            <w:hideMark/>
          </w:tcPr>
          <w:p w14:paraId="204CB74A" w14:textId="77777777" w:rsidR="00F725BF" w:rsidRPr="00F725BF" w:rsidRDefault="00F725BF" w:rsidP="000427F9">
            <w:pPr>
              <w:jc w:val="both"/>
              <w:cnfStyle w:val="000000000000" w:firstRow="0" w:lastRow="0" w:firstColumn="0" w:lastColumn="0" w:oddVBand="0" w:evenVBand="0" w:oddHBand="0" w:evenHBand="0" w:firstRowFirstColumn="0" w:firstRowLastColumn="0" w:lastRowFirstColumn="0" w:lastRowLastColumn="0"/>
            </w:pPr>
            <w:r w:rsidRPr="00F725BF">
              <w:t>Explainability audit scores; bias testing coverage; model governance maturity</w:t>
            </w:r>
          </w:p>
        </w:tc>
      </w:tr>
      <w:tr w:rsidR="00452836" w:rsidRPr="00F725BF" w14:paraId="53408F55" w14:textId="77777777" w:rsidTr="00452836">
        <w:trPr>
          <w:cnfStyle w:val="000000100000" w:firstRow="0" w:lastRow="0" w:firstColumn="0" w:lastColumn="0" w:oddVBand="0" w:evenVBand="0" w:oddHBand="1" w:evenHBand="0" w:firstRowFirstColumn="0" w:firstRowLastColumn="0" w:lastRowFirstColumn="0" w:lastRowLastColumn="0"/>
          <w:trHeight w:val="3459"/>
        </w:trPr>
        <w:tc>
          <w:tcPr>
            <w:cnfStyle w:val="001000000000" w:firstRow="0" w:lastRow="0" w:firstColumn="1" w:lastColumn="0" w:oddVBand="0" w:evenVBand="0" w:oddHBand="0" w:evenHBand="0" w:firstRowFirstColumn="0" w:firstRowLastColumn="0" w:lastRowFirstColumn="0" w:lastRowLastColumn="0"/>
            <w:tcW w:w="636" w:type="pct"/>
            <w:hideMark/>
          </w:tcPr>
          <w:p w14:paraId="07CBD5A7" w14:textId="77777777" w:rsidR="00F725BF" w:rsidRPr="00F725BF" w:rsidRDefault="00F725BF" w:rsidP="000427F9">
            <w:pPr>
              <w:jc w:val="both"/>
            </w:pPr>
            <w:r w:rsidRPr="00F725BF">
              <w:t>Long-term</w:t>
            </w:r>
          </w:p>
        </w:tc>
        <w:tc>
          <w:tcPr>
            <w:tcW w:w="735" w:type="pct"/>
            <w:hideMark/>
          </w:tcPr>
          <w:p w14:paraId="31D01214"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3 to 5 years</w:t>
            </w:r>
          </w:p>
        </w:tc>
        <w:tc>
          <w:tcPr>
            <w:tcW w:w="1784" w:type="pct"/>
            <w:hideMark/>
          </w:tcPr>
          <w:p w14:paraId="16525BC4"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Publish annual AI Transparency Report; adopt binding Responsible AI Charter audited by independent external body; develop third-party AI vendor certification programme; integrate AI fairness and trust metrics into executive compensation; position firm as regulatory co-author of emerging AI standards</w:t>
            </w:r>
          </w:p>
        </w:tc>
        <w:tc>
          <w:tcPr>
            <w:tcW w:w="789" w:type="pct"/>
            <w:hideMark/>
          </w:tcPr>
          <w:p w14:paraId="70972127"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USD 40 to 60 million per annum</w:t>
            </w:r>
          </w:p>
        </w:tc>
        <w:tc>
          <w:tcPr>
            <w:tcW w:w="1056" w:type="pct"/>
            <w:hideMark/>
          </w:tcPr>
          <w:p w14:paraId="70DFC2C9" w14:textId="77777777" w:rsidR="00F725BF" w:rsidRPr="00F725BF" w:rsidRDefault="00F725BF" w:rsidP="000427F9">
            <w:pPr>
              <w:jc w:val="both"/>
              <w:cnfStyle w:val="000000100000" w:firstRow="0" w:lastRow="0" w:firstColumn="0" w:lastColumn="0" w:oddVBand="0" w:evenVBand="0" w:oddHBand="1" w:evenHBand="0" w:firstRowFirstColumn="0" w:firstRowLastColumn="0" w:lastRowFirstColumn="0" w:lastRowLastColumn="0"/>
            </w:pPr>
            <w:r w:rsidRPr="00F725BF">
              <w:t>Transparency report publication; vendor certification coverage; executive KPI alignment</w:t>
            </w:r>
          </w:p>
        </w:tc>
      </w:tr>
    </w:tbl>
    <w:p w14:paraId="57D28B78" w14:textId="0B281900" w:rsidR="00B244BF" w:rsidRPr="00B244BF" w:rsidRDefault="00B244BF" w:rsidP="00B244BF">
      <w:pPr>
        <w:jc w:val="both"/>
      </w:pPr>
      <w:r w:rsidRPr="00812ACF">
        <w:rPr>
          <w:b/>
          <w:bCs/>
        </w:rPr>
        <w:t>Short-Term Priorities:</w:t>
      </w:r>
      <w:r>
        <w:t xml:space="preserve"> </w:t>
      </w:r>
      <w:r w:rsidRPr="00B244BF">
        <w:t xml:space="preserve">The urgent task is to carry out a thorough audit of AI model inventories in all lines of business in the UK and US and map it clearly to the </w:t>
      </w:r>
      <w:r w:rsidR="00611B28">
        <w:t>governance and mapping</w:t>
      </w:r>
      <w:r w:rsidRPr="00B244BF">
        <w:t xml:space="preserve"> functions of the NIST AI Risk Management Framework. Meanwhile, specifically</w:t>
      </w:r>
      <w:r w:rsidR="00611B28">
        <w:t>,</w:t>
      </w:r>
      <w:r w:rsidRPr="00B244BF">
        <w:t xml:space="preserve"> AI-driven credit-model stress-testing protocols need to be commissioned, which would mitigate the rate-cycle transmission risk identified in Section 2.5. There is also the need to have a Chief AI Risk Officer position that will report directly to the Board Risk Committee, to enhance accountability and oversight. Simultaneously, adherence to the ICO toolkit must be regularly checked in all data processing processes in the UK to ensure </w:t>
      </w:r>
      <w:r w:rsidR="00611B28">
        <w:t>compliance with</w:t>
      </w:r>
      <w:r w:rsidRPr="00B244BF">
        <w:t xml:space="preserve"> the regulatory demands.</w:t>
      </w:r>
    </w:p>
    <w:p w14:paraId="433D6F2F" w14:textId="6547D1D8" w:rsidR="00B244BF" w:rsidRPr="00B244BF" w:rsidRDefault="00B244BF" w:rsidP="00B244BF">
      <w:pPr>
        <w:jc w:val="both"/>
      </w:pPr>
      <w:r w:rsidRPr="00812ACF">
        <w:rPr>
          <w:b/>
          <w:bCs/>
        </w:rPr>
        <w:t>Medium-Term Priorities:</w:t>
      </w:r>
      <w:r>
        <w:t xml:space="preserve"> </w:t>
      </w:r>
      <w:r w:rsidRPr="00B244BF">
        <w:t xml:space="preserve">In the medium term, it is necessary to develop a single </w:t>
      </w:r>
      <w:proofErr w:type="spellStart"/>
      <w:r w:rsidRPr="00B244BF">
        <w:t>RegTech</w:t>
      </w:r>
      <w:proofErr w:type="spellEnd"/>
      <w:r w:rsidRPr="00B244BF">
        <w:t xml:space="preserve"> platform to combine the model governance processes, audit trails, and regulatory reporting in various jurisdictions. </w:t>
      </w:r>
      <w:r w:rsidR="00611B28">
        <w:t>An internal</w:t>
      </w:r>
      <w:r w:rsidRPr="00B244BF">
        <w:t xml:space="preserve"> explainable AI standard must impose the application of SHAP-based explanations to all consumer credit decisions, with a human override mechanism to address extraordinary cases. Also, AI credit models must undergo scenario-based tests of macroeconomic sensitivity at least once a year. These must contain interest rate tightening, liquidity reduction, and recessionary environments, and some more robust testing of a </w:t>
      </w:r>
      <w:r w:rsidR="00611B28">
        <w:t>model's</w:t>
      </w:r>
      <w:r w:rsidRPr="00B244BF">
        <w:t xml:space="preserve"> performance under stress can be achieved.</w:t>
      </w:r>
    </w:p>
    <w:p w14:paraId="0197857C" w14:textId="6965BEBE" w:rsidR="00452836" w:rsidRPr="00B244BF" w:rsidRDefault="00B244BF" w:rsidP="00B244BF">
      <w:pPr>
        <w:jc w:val="both"/>
      </w:pPr>
      <w:r w:rsidRPr="00B244BF">
        <w:rPr>
          <w:b/>
          <w:bCs/>
        </w:rPr>
        <w:lastRenderedPageBreak/>
        <w:t>Long-Term Priorities:</w:t>
      </w:r>
      <w:r>
        <w:t xml:space="preserve"> </w:t>
      </w:r>
      <w:r w:rsidRPr="00B244BF">
        <w:t>Over the longer period, an annual AI Transparency Report</w:t>
      </w:r>
      <w:r w:rsidR="00611B28">
        <w:t xml:space="preserve"> and a binding Responsible AI Charter will institutionalise</w:t>
      </w:r>
      <w:r w:rsidRPr="00B244BF">
        <w:t xml:space="preserve"> the commitments and aid in converting investments in governance into long-term competitive benefits. The charter must not be self-certified but instead be audited by an external auditor, to reflect growing regulatory and institutional investor demands in ESG assessment models. </w:t>
      </w:r>
      <w:r w:rsidR="004A7052" w:rsidRPr="004A7052">
        <w:t xml:space="preserve">Additionally, the introduction of AI fairness into executive compensation schemes would ensure that the element of governance is included </w:t>
      </w:r>
      <w:r w:rsidR="00611B28">
        <w:t>at</w:t>
      </w:r>
      <w:r w:rsidR="004A7052" w:rsidRPr="004A7052">
        <w:t xml:space="preserve"> the highest level of organisational decision-making.</w:t>
      </w:r>
    </w:p>
    <w:p w14:paraId="0CE3B626" w14:textId="69AA71DC" w:rsidR="00F725BF" w:rsidRPr="00F725BF" w:rsidRDefault="00F725BF" w:rsidP="000427F9">
      <w:pPr>
        <w:pStyle w:val="Heading1"/>
        <w:jc w:val="both"/>
      </w:pPr>
      <w:bookmarkStart w:id="13" w:name="_Toc227977807"/>
      <w:r w:rsidRPr="00F725BF">
        <w:t>Conclusion</w:t>
      </w:r>
      <w:bookmarkEnd w:id="13"/>
    </w:p>
    <w:p w14:paraId="16CF87A1" w14:textId="0EEBD59D" w:rsidR="00F725BF" w:rsidRDefault="00A11978" w:rsidP="000427F9">
      <w:pPr>
        <w:jc w:val="both"/>
      </w:pPr>
      <w:r w:rsidRPr="00A11978">
        <w:t xml:space="preserve">JPMorgan Chase is on the borderline of unprecedented AI possibilities and cumulative governance </w:t>
      </w:r>
      <w:r w:rsidR="00611B28">
        <w:t>needs</w:t>
      </w:r>
      <w:r w:rsidRPr="00A11978">
        <w:t xml:space="preserve">. This report has demonstrated that material differences in the architecture and enforcement posture of the regulatory environment of the UK and the US </w:t>
      </w:r>
      <w:r w:rsidR="00611B28">
        <w:t>exist, voluntary ethical frameworks exist but are poorly enforced, and that macroeconomic policy transitions create a channel of certain and underrecognized</w:t>
      </w:r>
      <w:r w:rsidRPr="00A11978">
        <w:t xml:space="preserve"> model risk transmission that is not sufficiently addressed by the current governance standards. The three regulatory futures identified suggest that fragmentation has taken the most probable near-term route and is complicating compliance and </w:t>
      </w:r>
      <w:r w:rsidR="00611B28">
        <w:t>making</w:t>
      </w:r>
      <w:r w:rsidRPr="00A11978">
        <w:t xml:space="preserve"> proactive investment in governance more worthwhile. Firms that build responsible AI infrastructure that is genuine, such as explainable, algorithmic fairness, macroeconomic model stability, and internally audited ethical commitments</w:t>
      </w:r>
      <w:r w:rsidR="00611B28">
        <w:t>,</w:t>
      </w:r>
      <w:r w:rsidRPr="00A11978">
        <w:t xml:space="preserve"> will transform the maturity of governance into strategic differentiation in a world where AI technical expertise is becoming a commodity. The governance investments included in this report </w:t>
      </w:r>
      <w:r w:rsidR="00611B28">
        <w:t>are</w:t>
      </w:r>
      <w:r w:rsidRPr="00A11978">
        <w:t xml:space="preserve"> not a compliance cost in the case of JPMorgan Chase. They are the conditions of sustainable competitive advantage.</w:t>
      </w:r>
    </w:p>
    <w:p w14:paraId="1C0A4F66" w14:textId="0296DB92" w:rsidR="00364572" w:rsidRDefault="00364572" w:rsidP="000427F9">
      <w:pPr>
        <w:jc w:val="both"/>
      </w:pPr>
      <w:r>
        <w:br w:type="page"/>
      </w:r>
    </w:p>
    <w:p w14:paraId="7072253C" w14:textId="0CD57D44" w:rsidR="00364572" w:rsidRDefault="00364572" w:rsidP="000427F9">
      <w:pPr>
        <w:pStyle w:val="Heading1"/>
        <w:jc w:val="both"/>
      </w:pPr>
      <w:bookmarkStart w:id="14" w:name="_Toc227977808"/>
      <w:r>
        <w:lastRenderedPageBreak/>
        <w:t>Reference List</w:t>
      </w:r>
      <w:bookmarkEnd w:id="14"/>
    </w:p>
    <w:p w14:paraId="325B70D1" w14:textId="77777777" w:rsidR="004A2D3B" w:rsidRDefault="004A2D3B" w:rsidP="000427F9">
      <w:pPr>
        <w:jc w:val="both"/>
      </w:pPr>
      <w:r>
        <w:t xml:space="preserve">Abbas, S.K. (2025). Lending by Algorithm: Fair or Flawed? An Information-Theoretic View of Credit Decision Pipelines. SN Computer Science, 6(6). </w:t>
      </w:r>
      <w:proofErr w:type="spellStart"/>
      <w:r>
        <w:t>doi:https</w:t>
      </w:r>
      <w:proofErr w:type="spellEnd"/>
      <w:r>
        <w:t>://doi.org/10.1007/s42979-025-04222-8.</w:t>
      </w:r>
    </w:p>
    <w:p w14:paraId="7903E13B" w14:textId="77777777" w:rsidR="004A2D3B" w:rsidRDefault="004A2D3B" w:rsidP="000427F9">
      <w:pPr>
        <w:jc w:val="both"/>
      </w:pPr>
    </w:p>
    <w:p w14:paraId="24E49670" w14:textId="77777777" w:rsidR="004A2D3B" w:rsidRDefault="004A2D3B" w:rsidP="000427F9">
      <w:pPr>
        <w:jc w:val="both"/>
      </w:pPr>
      <w:r>
        <w:t xml:space="preserve">Ahmed, I.E., Mehdi, R. and Mohamed, E.A. (2023). The role of artificial intelligence in developing a banking risk index: an application of Adaptive Neural Network-Based Fuzzy Inference System (ANFIS). Artificial Intelligence Review. </w:t>
      </w:r>
      <w:proofErr w:type="spellStart"/>
      <w:r>
        <w:t>doi:https</w:t>
      </w:r>
      <w:proofErr w:type="spellEnd"/>
      <w:r>
        <w:t>://doi.org/10.1007/s10462-023-10473-9.</w:t>
      </w:r>
    </w:p>
    <w:p w14:paraId="706BFFDB" w14:textId="77777777" w:rsidR="004A2D3B" w:rsidRDefault="004A2D3B" w:rsidP="000427F9">
      <w:pPr>
        <w:jc w:val="both"/>
      </w:pPr>
    </w:p>
    <w:p w14:paraId="7A436519" w14:textId="77777777" w:rsidR="004A2D3B" w:rsidRDefault="004A2D3B" w:rsidP="000427F9">
      <w:pPr>
        <w:jc w:val="both"/>
      </w:pPr>
      <w:proofErr w:type="spellStart"/>
      <w:r>
        <w:t>Akanfe</w:t>
      </w:r>
      <w:proofErr w:type="spellEnd"/>
      <w:r>
        <w:t xml:space="preserve">, O., Bhatt, P. and </w:t>
      </w:r>
      <w:proofErr w:type="spellStart"/>
      <w:r>
        <w:t>Lawong</w:t>
      </w:r>
      <w:proofErr w:type="spellEnd"/>
      <w:r>
        <w:t xml:space="preserve">, D.A. (2025). Technology Advancements Shaping the Financial Inclusion Landscape: Present Interventions, Emergence of Artificial Intelligence and Future Directions. Information Systems Frontiers. </w:t>
      </w:r>
      <w:proofErr w:type="spellStart"/>
      <w:r>
        <w:t>doi:https</w:t>
      </w:r>
      <w:proofErr w:type="spellEnd"/>
      <w:r>
        <w:t>://doi.org/10.1007/s10796-025-10597-z.</w:t>
      </w:r>
    </w:p>
    <w:p w14:paraId="068A69B2" w14:textId="77777777" w:rsidR="004A2D3B" w:rsidRDefault="004A2D3B" w:rsidP="000427F9">
      <w:pPr>
        <w:jc w:val="both"/>
      </w:pPr>
    </w:p>
    <w:p w14:paraId="07057DA7" w14:textId="3E98D9C5" w:rsidR="004A2D3B" w:rsidRDefault="004A2D3B" w:rsidP="000427F9">
      <w:pPr>
        <w:jc w:val="both"/>
      </w:pPr>
      <w:r>
        <w:t xml:space="preserve">Ali, M., Leong, C.-M., Koh, H.P., Raza, S.A. and Puah, C.-H. (2025). </w:t>
      </w:r>
      <w:r w:rsidR="00611B28">
        <w:t>Revolutionising</w:t>
      </w:r>
      <w:r>
        <w:t xml:space="preserve"> banking services with ChatGPT: an integrated framework for user adoption. Financial Innovation, 11(1). </w:t>
      </w:r>
      <w:proofErr w:type="spellStart"/>
      <w:r>
        <w:t>doi:https</w:t>
      </w:r>
      <w:proofErr w:type="spellEnd"/>
      <w:r>
        <w:t>://doi.org/10.1186/s40854-025-00787-8.</w:t>
      </w:r>
    </w:p>
    <w:p w14:paraId="78B214AE" w14:textId="77777777" w:rsidR="004A2D3B" w:rsidRDefault="004A2D3B" w:rsidP="000427F9">
      <w:pPr>
        <w:jc w:val="both"/>
      </w:pPr>
    </w:p>
    <w:p w14:paraId="62D04D12" w14:textId="77777777" w:rsidR="004A2D3B" w:rsidRDefault="004A2D3B" w:rsidP="000427F9">
      <w:pPr>
        <w:jc w:val="both"/>
      </w:pPr>
      <w:r>
        <w:t>Bank of England (2024). Artificial Intelligence in UK Financial Services - 2024. [online] Bankofengland.co.uk. Available at: https://www.bankofengland.co.uk/report/2024/artificial-intelligence-in-uk-financial-services-2024.</w:t>
      </w:r>
    </w:p>
    <w:p w14:paraId="6C29A119" w14:textId="77777777" w:rsidR="004A2D3B" w:rsidRDefault="004A2D3B" w:rsidP="000427F9">
      <w:pPr>
        <w:jc w:val="both"/>
      </w:pPr>
    </w:p>
    <w:p w14:paraId="14163C10" w14:textId="2F307736" w:rsidR="004A2D3B" w:rsidRDefault="004A2D3B" w:rsidP="000427F9">
      <w:pPr>
        <w:jc w:val="both"/>
      </w:pPr>
      <w:r>
        <w:t xml:space="preserve">Bernardelli, A.E. </w:t>
      </w:r>
      <w:r w:rsidR="00611B28">
        <w:t>e</w:t>
      </w:r>
      <w:r>
        <w:t xml:space="preserve"> Giudici, P. (2025). AI Risk Management: A Bibliometric Analysis. Risks, [online] 13(7), pp.131–131. </w:t>
      </w:r>
      <w:proofErr w:type="spellStart"/>
      <w:r>
        <w:t>doi:https</w:t>
      </w:r>
      <w:proofErr w:type="spellEnd"/>
      <w:r>
        <w:t>://doi.org/10.3390/risks13070131.</w:t>
      </w:r>
    </w:p>
    <w:p w14:paraId="340AEE95" w14:textId="77777777" w:rsidR="004A2D3B" w:rsidRDefault="004A2D3B" w:rsidP="000427F9">
      <w:pPr>
        <w:jc w:val="both"/>
      </w:pPr>
    </w:p>
    <w:p w14:paraId="226F8985" w14:textId="77777777" w:rsidR="004A2D3B" w:rsidRDefault="004A2D3B" w:rsidP="000427F9">
      <w:pPr>
        <w:jc w:val="both"/>
      </w:pPr>
      <w:r>
        <w:t xml:space="preserve">Bussmann, N., Giudici, P., Marinelli, D. and </w:t>
      </w:r>
      <w:proofErr w:type="spellStart"/>
      <w:r>
        <w:t>Papenbrock</w:t>
      </w:r>
      <w:proofErr w:type="spellEnd"/>
      <w:r>
        <w:t>, J. (2020). Explainable Machine Learning in Credit Risk Management. Computational Economics, 57.</w:t>
      </w:r>
    </w:p>
    <w:p w14:paraId="2BFB806B" w14:textId="77777777" w:rsidR="004A2D3B" w:rsidRDefault="004A2D3B" w:rsidP="000427F9">
      <w:pPr>
        <w:jc w:val="both"/>
      </w:pPr>
    </w:p>
    <w:p w14:paraId="6A7A5F30" w14:textId="77777777" w:rsidR="004A2D3B" w:rsidRDefault="004A2D3B" w:rsidP="000427F9">
      <w:pPr>
        <w:jc w:val="both"/>
      </w:pPr>
      <w:r>
        <w:t xml:space="preserve">Butler, T. and O’Brien, L. (2018). Understanding </w:t>
      </w:r>
      <w:proofErr w:type="spellStart"/>
      <w:r>
        <w:t>RegTech</w:t>
      </w:r>
      <w:proofErr w:type="spellEnd"/>
      <w:r>
        <w:t xml:space="preserve"> for Digital Regulatory Compliance. Disrupting Finance, pp.85–102. </w:t>
      </w:r>
      <w:proofErr w:type="spellStart"/>
      <w:r>
        <w:t>doi:https</w:t>
      </w:r>
      <w:proofErr w:type="spellEnd"/>
      <w:r>
        <w:t>://doi.org/10.1007/978-3-030-02330-0_6.</w:t>
      </w:r>
    </w:p>
    <w:p w14:paraId="73A297DD" w14:textId="77777777" w:rsidR="004A2D3B" w:rsidRDefault="004A2D3B" w:rsidP="000427F9">
      <w:pPr>
        <w:jc w:val="both"/>
      </w:pPr>
    </w:p>
    <w:p w14:paraId="3FA8FAE9" w14:textId="77777777" w:rsidR="004A2D3B" w:rsidRDefault="004A2D3B" w:rsidP="000427F9">
      <w:pPr>
        <w:jc w:val="both"/>
      </w:pPr>
      <w:proofErr w:type="spellStart"/>
      <w:r>
        <w:lastRenderedPageBreak/>
        <w:t>Černevičienė</w:t>
      </w:r>
      <w:proofErr w:type="spellEnd"/>
      <w:r>
        <w:t xml:space="preserve">, J. and </w:t>
      </w:r>
      <w:proofErr w:type="spellStart"/>
      <w:r>
        <w:t>Kabašinskas</w:t>
      </w:r>
      <w:proofErr w:type="spellEnd"/>
      <w:r>
        <w:t xml:space="preserve">, A. (2024). Explainable artificial intelligence (XAI) in finance: a systematic literature review. Artificial Intelligence Review, [online] 57(8). </w:t>
      </w:r>
      <w:proofErr w:type="spellStart"/>
      <w:r>
        <w:t>doi:https</w:t>
      </w:r>
      <w:proofErr w:type="spellEnd"/>
      <w:r>
        <w:t>://doi.org/10.1007/s10462-024-10854-8.</w:t>
      </w:r>
    </w:p>
    <w:p w14:paraId="50AE9FC6" w14:textId="77777777" w:rsidR="004A2D3B" w:rsidRDefault="004A2D3B" w:rsidP="000427F9">
      <w:pPr>
        <w:jc w:val="both"/>
      </w:pPr>
    </w:p>
    <w:p w14:paraId="563454AE" w14:textId="77777777" w:rsidR="004A2D3B" w:rsidRDefault="004A2D3B" w:rsidP="000427F9">
      <w:pPr>
        <w:jc w:val="both"/>
      </w:pPr>
      <w:r>
        <w:t>CFPB (2022). Consumer Financial Protection Circular 2022-03: Adverse action notification requirements in connection with credit decisions based on complex algorithms. [online] Consumer Financial Protection Bureau. Available at: https://www.consumerfinance.gov/compliance/circulars/circular-2022-03-adverse-action-notification-requirements-in-connection-with-credit-decisions-based-on-complex-algorithms/.</w:t>
      </w:r>
    </w:p>
    <w:p w14:paraId="30A18AAD" w14:textId="77777777" w:rsidR="004A2D3B" w:rsidRDefault="004A2D3B" w:rsidP="000427F9">
      <w:pPr>
        <w:jc w:val="both"/>
      </w:pPr>
    </w:p>
    <w:p w14:paraId="4051E52A" w14:textId="77777777" w:rsidR="004A2D3B" w:rsidRDefault="004A2D3B" w:rsidP="000427F9">
      <w:pPr>
        <w:jc w:val="both"/>
      </w:pPr>
      <w:r>
        <w:t>CFPB (2024). Fair Lending Report of the Consumer Financial Protection Bureau 2023 | Consumer Financial Protection Bureau. [online] Consumer Financial Protection Bureau. Available at: https://www.consumerfinance.gov/data-research/research-reports/the-cfpbs-2023-fair-lending-annual-report-to-congress/.</w:t>
      </w:r>
    </w:p>
    <w:p w14:paraId="20D15FB1" w14:textId="77777777" w:rsidR="004A2D3B" w:rsidRDefault="004A2D3B" w:rsidP="000427F9">
      <w:pPr>
        <w:jc w:val="both"/>
      </w:pPr>
    </w:p>
    <w:p w14:paraId="1B50BE34" w14:textId="77777777" w:rsidR="004A2D3B" w:rsidRDefault="004A2D3B" w:rsidP="000427F9">
      <w:pPr>
        <w:jc w:val="both"/>
      </w:pPr>
      <w:r>
        <w:t>Consumer Financial Protection Bureau (2023). CFPB Issues Guidance on Credit Denials by Lenders Using Artificial Intelligence. [online] Consumer Financial Protection Bureau. Available at: https://www.consumerfinance.gov/about-us/newsroom/cfpb-issues-guidance-on-credit-denials-by-lenders-using-artificial-intelligence/.</w:t>
      </w:r>
    </w:p>
    <w:p w14:paraId="039D8D83" w14:textId="77777777" w:rsidR="004A2D3B" w:rsidRDefault="004A2D3B" w:rsidP="000427F9">
      <w:pPr>
        <w:jc w:val="both"/>
      </w:pPr>
    </w:p>
    <w:p w14:paraId="4E4A8C0B" w14:textId="77777777" w:rsidR="004A2D3B" w:rsidRDefault="004A2D3B" w:rsidP="000427F9">
      <w:pPr>
        <w:jc w:val="both"/>
      </w:pPr>
      <w:r>
        <w:t>Department for Science, Innovation &amp; Technology (2024). A pro-innovation Approach to AI regulation: Government Response. [online] GOV.UK. Available at: https://www.gov.uk/government/consultations/ai-regulation-a-pro-innovation-approach-policy-proposals/outcome/a-pro-innovation-approach-to-ai-regulation-government-response.</w:t>
      </w:r>
    </w:p>
    <w:p w14:paraId="1CEB5758" w14:textId="77777777" w:rsidR="004A2D3B" w:rsidRDefault="004A2D3B" w:rsidP="000427F9">
      <w:pPr>
        <w:jc w:val="both"/>
      </w:pPr>
    </w:p>
    <w:p w14:paraId="0B827A2D" w14:textId="77777777" w:rsidR="004A2D3B" w:rsidRDefault="004A2D3B" w:rsidP="000427F9">
      <w:pPr>
        <w:jc w:val="both"/>
      </w:pPr>
      <w:r>
        <w:t>Department for Science, Innovation and Technology (2023). AI regulation: a pro-innovation approach. [online] GOV.UK. Available at: https://www.gov.uk/government/publications/a-pro-innovation-approach-to-ai-regulation.</w:t>
      </w:r>
    </w:p>
    <w:p w14:paraId="2795D476" w14:textId="77777777" w:rsidR="004A2D3B" w:rsidRDefault="004A2D3B" w:rsidP="000427F9">
      <w:pPr>
        <w:jc w:val="both"/>
      </w:pPr>
    </w:p>
    <w:p w14:paraId="3A046A9D" w14:textId="77777777" w:rsidR="004A2D3B" w:rsidRDefault="004A2D3B" w:rsidP="000427F9">
      <w:pPr>
        <w:jc w:val="both"/>
      </w:pPr>
      <w:r>
        <w:t>FCA (2025a). AI and the FCA: our approach. [online] FCA. Available at: https://www.fca.org.uk/firms/innovation/ai-approach.</w:t>
      </w:r>
    </w:p>
    <w:p w14:paraId="567AE845" w14:textId="77777777" w:rsidR="004A2D3B" w:rsidRDefault="004A2D3B" w:rsidP="000427F9">
      <w:pPr>
        <w:jc w:val="both"/>
      </w:pPr>
    </w:p>
    <w:p w14:paraId="442D73BC" w14:textId="77777777" w:rsidR="004A2D3B" w:rsidRDefault="004A2D3B" w:rsidP="000427F9">
      <w:pPr>
        <w:jc w:val="both"/>
      </w:pPr>
      <w:r>
        <w:lastRenderedPageBreak/>
        <w:t>FCA (2025b). AI: artificial intelligence in financial services. [online] FCA. Available at: https://www.fca.org.uk/firms/ai-financial-services.</w:t>
      </w:r>
    </w:p>
    <w:p w14:paraId="1EBDD6E1" w14:textId="77777777" w:rsidR="004A2D3B" w:rsidRDefault="004A2D3B" w:rsidP="000427F9">
      <w:pPr>
        <w:jc w:val="both"/>
      </w:pPr>
    </w:p>
    <w:p w14:paraId="73E93892" w14:textId="77777777" w:rsidR="004A2D3B" w:rsidRDefault="004A2D3B" w:rsidP="000427F9">
      <w:pPr>
        <w:jc w:val="both"/>
      </w:pPr>
      <w:proofErr w:type="spellStart"/>
      <w:r>
        <w:t>Fundira</w:t>
      </w:r>
      <w:proofErr w:type="spellEnd"/>
      <w:r>
        <w:t xml:space="preserve">, M. and </w:t>
      </w:r>
      <w:proofErr w:type="spellStart"/>
      <w:r>
        <w:t>Mbohwa</w:t>
      </w:r>
      <w:proofErr w:type="spellEnd"/>
      <w:r>
        <w:t xml:space="preserve">, C. (2025). AI ethics in banking services: a systematic and bibliometric review of regulatory and consumer perspectives. Discover Artificial Intelligence, 5(1). </w:t>
      </w:r>
      <w:proofErr w:type="spellStart"/>
      <w:r>
        <w:t>doi:https</w:t>
      </w:r>
      <w:proofErr w:type="spellEnd"/>
      <w:r>
        <w:t>://doi.org/10.1007/s44163-025-00432-4.</w:t>
      </w:r>
    </w:p>
    <w:p w14:paraId="552C3A24" w14:textId="77777777" w:rsidR="004A2D3B" w:rsidRDefault="004A2D3B" w:rsidP="000427F9">
      <w:pPr>
        <w:jc w:val="both"/>
      </w:pPr>
    </w:p>
    <w:p w14:paraId="1CBF4FB9" w14:textId="77777777" w:rsidR="004A2D3B" w:rsidRDefault="004A2D3B" w:rsidP="000427F9">
      <w:pPr>
        <w:jc w:val="both"/>
      </w:pPr>
      <w:r>
        <w:t>GOV.UK (2024). Implementing the UK’s AI regulatory principles: initial guidance for regulators. [online] GOV.UK. Available at: https://www.gov.uk/government/publications/implementing-the-uks-ai-regulatory-principles-initial-guidance-for-regulators/implementing-the-uks-ai-regulatory-principles-initial-guidance-for-regulators.</w:t>
      </w:r>
    </w:p>
    <w:p w14:paraId="72621B1C" w14:textId="77777777" w:rsidR="004A2D3B" w:rsidRDefault="004A2D3B" w:rsidP="000427F9">
      <w:pPr>
        <w:jc w:val="both"/>
      </w:pPr>
    </w:p>
    <w:p w14:paraId="38B6F623" w14:textId="77777777" w:rsidR="004A2D3B" w:rsidRDefault="004A2D3B" w:rsidP="000427F9">
      <w:pPr>
        <w:jc w:val="both"/>
      </w:pPr>
      <w:r>
        <w:t xml:space="preserve">Grassi, L. and Lanfranchi, D. (2022). </w:t>
      </w:r>
      <w:proofErr w:type="spellStart"/>
      <w:r>
        <w:t>RegTech</w:t>
      </w:r>
      <w:proofErr w:type="spellEnd"/>
      <w:r>
        <w:t xml:space="preserve"> in public and private sectors: the nexus between data, technology and regulation. Journal of Industrial and Business Economics, 49. </w:t>
      </w:r>
      <w:proofErr w:type="spellStart"/>
      <w:r>
        <w:t>doi:https</w:t>
      </w:r>
      <w:proofErr w:type="spellEnd"/>
      <w:r>
        <w:t>://doi.org/10.1007/s40812-022-00226-0.</w:t>
      </w:r>
    </w:p>
    <w:p w14:paraId="5E0D6505" w14:textId="77777777" w:rsidR="004A2D3B" w:rsidRDefault="004A2D3B" w:rsidP="000427F9">
      <w:pPr>
        <w:jc w:val="both"/>
      </w:pPr>
    </w:p>
    <w:p w14:paraId="42E95585" w14:textId="77777777" w:rsidR="004A2D3B" w:rsidRDefault="004A2D3B" w:rsidP="000427F9">
      <w:pPr>
        <w:jc w:val="both"/>
      </w:pPr>
      <w:proofErr w:type="spellStart"/>
      <w:r>
        <w:t>Gür</w:t>
      </w:r>
      <w:proofErr w:type="spellEnd"/>
      <w:r>
        <w:t xml:space="preserve">, Y.E., </w:t>
      </w:r>
      <w:proofErr w:type="spellStart"/>
      <w:r>
        <w:t>Toğaçar</w:t>
      </w:r>
      <w:proofErr w:type="spellEnd"/>
      <w:r>
        <w:t xml:space="preserve">, M. and Solak, B. (2025). Integration of CNN Models and Machine Learning Methods in Credit Score Classification: 2D Image Transformation and Feature Extraction. Computational Economics. </w:t>
      </w:r>
      <w:proofErr w:type="spellStart"/>
      <w:r>
        <w:t>doi:https</w:t>
      </w:r>
      <w:proofErr w:type="spellEnd"/>
      <w:r>
        <w:t>://doi.org/10.1007/s10614-025-10893-5.</w:t>
      </w:r>
    </w:p>
    <w:p w14:paraId="0C82ADF4" w14:textId="77777777" w:rsidR="004A2D3B" w:rsidRDefault="004A2D3B" w:rsidP="000427F9">
      <w:pPr>
        <w:jc w:val="both"/>
      </w:pPr>
    </w:p>
    <w:p w14:paraId="0C582CEE" w14:textId="77777777" w:rsidR="004A2D3B" w:rsidRDefault="004A2D3B" w:rsidP="000427F9">
      <w:pPr>
        <w:jc w:val="both"/>
      </w:pPr>
      <w:r>
        <w:t xml:space="preserve">Ha, D., Le, P. and Nguyen, D.K. (2025). Financial inclusion and fintech: a state-of-the-art systematic literature review. Financial Innovation, 11(1). </w:t>
      </w:r>
      <w:proofErr w:type="spellStart"/>
      <w:r>
        <w:t>doi:https</w:t>
      </w:r>
      <w:proofErr w:type="spellEnd"/>
      <w:r>
        <w:t>://doi.org/10.1186/s40854-024-00741-0.</w:t>
      </w:r>
    </w:p>
    <w:p w14:paraId="2DC05E49" w14:textId="77777777" w:rsidR="004A2D3B" w:rsidRDefault="004A2D3B" w:rsidP="000427F9">
      <w:pPr>
        <w:jc w:val="both"/>
      </w:pPr>
    </w:p>
    <w:p w14:paraId="47EDD65C" w14:textId="77777777" w:rsidR="004A2D3B" w:rsidRDefault="004A2D3B" w:rsidP="000427F9">
      <w:pPr>
        <w:jc w:val="both"/>
      </w:pPr>
      <w:r>
        <w:t>Hafez, I.Y., Hafez, A.Y., Saleh, A., El-</w:t>
      </w:r>
      <w:proofErr w:type="spellStart"/>
      <w:r>
        <w:t>Mageed</w:t>
      </w:r>
      <w:proofErr w:type="spellEnd"/>
      <w:r>
        <w:t xml:space="preserve">, A.A.A. and </w:t>
      </w:r>
      <w:proofErr w:type="spellStart"/>
      <w:r>
        <w:t>Abohany</w:t>
      </w:r>
      <w:proofErr w:type="spellEnd"/>
      <w:r>
        <w:t xml:space="preserve">, A.A. (2025). A systematic review of AI-enhanced techniques in credit card fraud detection. Journal Of Big Data, 12(1). </w:t>
      </w:r>
      <w:proofErr w:type="spellStart"/>
      <w:r>
        <w:t>doi:https</w:t>
      </w:r>
      <w:proofErr w:type="spellEnd"/>
      <w:r>
        <w:t>://doi.org/10.1186/s40537-024-01048-8.</w:t>
      </w:r>
    </w:p>
    <w:p w14:paraId="0A4557F9" w14:textId="77777777" w:rsidR="004A2D3B" w:rsidRDefault="004A2D3B" w:rsidP="000427F9">
      <w:pPr>
        <w:jc w:val="both"/>
      </w:pPr>
    </w:p>
    <w:p w14:paraId="214CA90D" w14:textId="77777777" w:rsidR="004A2D3B" w:rsidRDefault="004A2D3B" w:rsidP="000427F9">
      <w:pPr>
        <w:jc w:val="both"/>
      </w:pPr>
      <w:r>
        <w:t xml:space="preserve">Helmi Ayari, Pr. Ramzi Guetari and Pr. Naoufel Kraïem (2025). Machine learning powered financial credit scoring: a systematic literature review. Artificial Intelligence Review, 59(1). </w:t>
      </w:r>
      <w:proofErr w:type="spellStart"/>
      <w:r>
        <w:t>doi:https</w:t>
      </w:r>
      <w:proofErr w:type="spellEnd"/>
      <w:r>
        <w:t>://doi.org/10.1007/s10462-025-11416-2.</w:t>
      </w:r>
    </w:p>
    <w:p w14:paraId="14FE170A" w14:textId="77777777" w:rsidR="004A2D3B" w:rsidRDefault="004A2D3B" w:rsidP="000427F9">
      <w:pPr>
        <w:jc w:val="both"/>
      </w:pPr>
    </w:p>
    <w:p w14:paraId="72C6A0C3" w14:textId="77777777" w:rsidR="004A2D3B" w:rsidRDefault="004A2D3B" w:rsidP="000427F9">
      <w:pPr>
        <w:jc w:val="both"/>
      </w:pPr>
      <w:r>
        <w:lastRenderedPageBreak/>
        <w:t>ICO (2023a). AI and data protection risk toolkit. [online] ico.org.uk. Available at: https://ico.org.uk/for-organisations/uk-gdpr-guidance-and-resources/artificial-intelligence/guidance-on-ai-and-data-protection/ai-and-data-protection-risk-toolkit/.</w:t>
      </w:r>
    </w:p>
    <w:p w14:paraId="491259A4" w14:textId="77777777" w:rsidR="004A2D3B" w:rsidRDefault="004A2D3B" w:rsidP="000427F9">
      <w:pPr>
        <w:jc w:val="both"/>
      </w:pPr>
    </w:p>
    <w:p w14:paraId="6005CBB5" w14:textId="77777777" w:rsidR="004A2D3B" w:rsidRDefault="004A2D3B" w:rsidP="000427F9">
      <w:pPr>
        <w:jc w:val="both"/>
      </w:pPr>
      <w:r>
        <w:t>ICO (2023b). Explaining decisions made with AI. [online] ico.org.uk. Available at: https://ico.org.uk/for-organisations/uk-gdpr-guidance-and-resources/artificial-intelligence/explaining-decisions-made-with-artificial-intelligence/.</w:t>
      </w:r>
    </w:p>
    <w:p w14:paraId="5964C481" w14:textId="77777777" w:rsidR="004A2D3B" w:rsidRDefault="004A2D3B" w:rsidP="000427F9">
      <w:pPr>
        <w:jc w:val="both"/>
      </w:pPr>
    </w:p>
    <w:p w14:paraId="09D37C55" w14:textId="77777777" w:rsidR="004A2D3B" w:rsidRDefault="004A2D3B" w:rsidP="000427F9">
      <w:pPr>
        <w:jc w:val="both"/>
      </w:pPr>
      <w:proofErr w:type="spellStart"/>
      <w:r>
        <w:t>Ispas</w:t>
      </w:r>
      <w:proofErr w:type="spellEnd"/>
      <w:r>
        <w:t xml:space="preserve">, L., </w:t>
      </w:r>
      <w:proofErr w:type="spellStart"/>
      <w:r>
        <w:t>Costel</w:t>
      </w:r>
      <w:proofErr w:type="spellEnd"/>
      <w:r>
        <w:t xml:space="preserve"> </w:t>
      </w:r>
      <w:proofErr w:type="spellStart"/>
      <w:r>
        <w:t>Mironeasa</w:t>
      </w:r>
      <w:proofErr w:type="spellEnd"/>
      <w:r>
        <w:t xml:space="preserve">, Severin, T.-L., Delia-Aurora </w:t>
      </w:r>
      <w:proofErr w:type="spellStart"/>
      <w:r>
        <w:t>Cerlincă</w:t>
      </w:r>
      <w:proofErr w:type="spellEnd"/>
      <w:r>
        <w:t xml:space="preserve"> and </w:t>
      </w:r>
      <w:proofErr w:type="spellStart"/>
      <w:r>
        <w:t>Mironeasa</w:t>
      </w:r>
      <w:proofErr w:type="spellEnd"/>
      <w:r>
        <w:t xml:space="preserve">, S. (2025). Artificial Intelligence Applications in Risk Management Within Integrated Management Systems: A Review. Systems, [online] 13(11), pp.967–967. </w:t>
      </w:r>
      <w:proofErr w:type="spellStart"/>
      <w:r>
        <w:t>doi:https</w:t>
      </w:r>
      <w:proofErr w:type="spellEnd"/>
      <w:r>
        <w:t>://doi.org/10.3390/systems13110967.</w:t>
      </w:r>
    </w:p>
    <w:p w14:paraId="115578D6" w14:textId="77777777" w:rsidR="004A2D3B" w:rsidRDefault="004A2D3B" w:rsidP="000427F9">
      <w:pPr>
        <w:jc w:val="both"/>
      </w:pPr>
    </w:p>
    <w:p w14:paraId="170966D0" w14:textId="77777777" w:rsidR="004A2D3B" w:rsidRDefault="004A2D3B" w:rsidP="000427F9">
      <w:pPr>
        <w:jc w:val="both"/>
      </w:pPr>
      <w:r>
        <w:t xml:space="preserve">JPMorgan Chase &amp; Co (2024). Letter to Shareholders from Douglas B. </w:t>
      </w:r>
      <w:proofErr w:type="spellStart"/>
      <w:r>
        <w:t>Petno</w:t>
      </w:r>
      <w:proofErr w:type="spellEnd"/>
      <w:r>
        <w:t xml:space="preserve"> and Troy </w:t>
      </w:r>
      <w:proofErr w:type="spellStart"/>
      <w:r>
        <w:t>Rohrbaugh</w:t>
      </w:r>
      <w:proofErr w:type="spellEnd"/>
      <w:r>
        <w:t xml:space="preserve">, Annual Report 2024 | </w:t>
      </w:r>
      <w:proofErr w:type="spellStart"/>
      <w:r>
        <w:t>JPMorganChase</w:t>
      </w:r>
      <w:proofErr w:type="spellEnd"/>
      <w:r>
        <w:t>. [online] Jpmorganchase.com. Available at: https://www.jpmorganchase.com/ir/annual-report/2024/ar-ceo-letter-petno-rohrbaugh.</w:t>
      </w:r>
    </w:p>
    <w:p w14:paraId="5EB9EE76" w14:textId="77777777" w:rsidR="004A2D3B" w:rsidRDefault="004A2D3B" w:rsidP="000427F9">
      <w:pPr>
        <w:jc w:val="both"/>
      </w:pPr>
    </w:p>
    <w:p w14:paraId="1DFE07DA" w14:textId="77777777" w:rsidR="004A2D3B" w:rsidRDefault="004A2D3B" w:rsidP="000427F9">
      <w:pPr>
        <w:jc w:val="both"/>
      </w:pPr>
      <w:r>
        <w:t xml:space="preserve">Kalyani, S. and Suri, J.S. (2023). Is artificial intelligence and machine learning changing the ways of banking: a systematic literature review and </w:t>
      </w:r>
      <w:proofErr w:type="spellStart"/>
      <w:r>
        <w:t>meta analysis</w:t>
      </w:r>
      <w:proofErr w:type="spellEnd"/>
      <w:r>
        <w:t xml:space="preserve">. Discover Artificial Intelligence, 3(1). </w:t>
      </w:r>
      <w:proofErr w:type="spellStart"/>
      <w:r>
        <w:t>doi:https</w:t>
      </w:r>
      <w:proofErr w:type="spellEnd"/>
      <w:r>
        <w:t>://doi.org/10.1007/s44163-023-00094-0.</w:t>
      </w:r>
    </w:p>
    <w:p w14:paraId="357FE7A6" w14:textId="77777777" w:rsidR="004A2D3B" w:rsidRDefault="004A2D3B" w:rsidP="000427F9">
      <w:pPr>
        <w:jc w:val="both"/>
      </w:pPr>
    </w:p>
    <w:p w14:paraId="06E6A0A7" w14:textId="77777777" w:rsidR="004A2D3B" w:rsidRDefault="004A2D3B" w:rsidP="000427F9">
      <w:pPr>
        <w:jc w:val="both"/>
      </w:pPr>
      <w:r>
        <w:t xml:space="preserve">Khan, F.S., Mazhar, S.S., Mazhar, K., AlSaleh, D.A. and Mazhar, A. (2025). Model-agnostic explainable artificial intelligence methods in finance: a systematic review, recent developments, limitations, challenges and future directions. Artificial Intelligence Review, 58(8). </w:t>
      </w:r>
      <w:proofErr w:type="spellStart"/>
      <w:r>
        <w:t>doi:https</w:t>
      </w:r>
      <w:proofErr w:type="spellEnd"/>
      <w:r>
        <w:t>://doi.org/10.1007/s10462-025-11215-9.</w:t>
      </w:r>
    </w:p>
    <w:p w14:paraId="58ADD5DF" w14:textId="77777777" w:rsidR="004A2D3B" w:rsidRDefault="004A2D3B" w:rsidP="000427F9">
      <w:pPr>
        <w:jc w:val="both"/>
      </w:pPr>
    </w:p>
    <w:p w14:paraId="1FF2B67D" w14:textId="77777777" w:rsidR="004A2D3B" w:rsidRDefault="004A2D3B" w:rsidP="000427F9">
      <w:pPr>
        <w:jc w:val="both"/>
      </w:pPr>
      <w:r>
        <w:t xml:space="preserve">Kou, G. and Lu, Y. (2025). FinTech: a literature review of emerging financial technologies and applications. Financial Innovation, [online] 11(1). </w:t>
      </w:r>
      <w:proofErr w:type="spellStart"/>
      <w:r>
        <w:t>doi:https</w:t>
      </w:r>
      <w:proofErr w:type="spellEnd"/>
      <w:r>
        <w:t>://doi.org/10.1186/s40854-024-00668-6.</w:t>
      </w:r>
    </w:p>
    <w:p w14:paraId="3D4F9128" w14:textId="77777777" w:rsidR="004A2D3B" w:rsidRDefault="004A2D3B" w:rsidP="000427F9">
      <w:pPr>
        <w:jc w:val="both"/>
      </w:pPr>
    </w:p>
    <w:p w14:paraId="30808AC4" w14:textId="77777777" w:rsidR="004A2D3B" w:rsidRDefault="004A2D3B" w:rsidP="000427F9">
      <w:pPr>
        <w:jc w:val="both"/>
      </w:pPr>
      <w:proofErr w:type="spellStart"/>
      <w:r>
        <w:t>Muganyi</w:t>
      </w:r>
      <w:proofErr w:type="spellEnd"/>
      <w:r>
        <w:t xml:space="preserve">, T., Yan, L., Yin, Y., Sun, H., Gong, X. and </w:t>
      </w:r>
      <w:proofErr w:type="spellStart"/>
      <w:r>
        <w:t>Taghizadeh-Hesary</w:t>
      </w:r>
      <w:proofErr w:type="spellEnd"/>
      <w:r>
        <w:t xml:space="preserve">, F. (2022). Fintech, </w:t>
      </w:r>
      <w:proofErr w:type="spellStart"/>
      <w:r>
        <w:t>regtech</w:t>
      </w:r>
      <w:proofErr w:type="spellEnd"/>
      <w:r>
        <w:t xml:space="preserve">, and financial development: evidence from China. Financial Innovation, 8(1). </w:t>
      </w:r>
      <w:proofErr w:type="spellStart"/>
      <w:r>
        <w:t>doi:https</w:t>
      </w:r>
      <w:proofErr w:type="spellEnd"/>
      <w:r>
        <w:t>://doi.org/10.1186/s40854-021-00313-6.</w:t>
      </w:r>
    </w:p>
    <w:p w14:paraId="4E5855DF" w14:textId="77777777" w:rsidR="004A2D3B" w:rsidRDefault="004A2D3B" w:rsidP="000427F9">
      <w:pPr>
        <w:jc w:val="both"/>
      </w:pPr>
    </w:p>
    <w:p w14:paraId="2DE32F98" w14:textId="77777777" w:rsidR="004A2D3B" w:rsidRDefault="004A2D3B" w:rsidP="000427F9">
      <w:pPr>
        <w:jc w:val="both"/>
      </w:pPr>
      <w:r>
        <w:lastRenderedPageBreak/>
        <w:t xml:space="preserve">Najem, R., </w:t>
      </w:r>
      <w:proofErr w:type="spellStart"/>
      <w:r>
        <w:t>Bahnasse</w:t>
      </w:r>
      <w:proofErr w:type="spellEnd"/>
      <w:r>
        <w:t xml:space="preserve">, A., Fakhouri Amr, M. and Talea, M. (2025). Advanced AI and big data techniques in E-finance: a comprehensive survey. Discover Artificial Intelligence, 5(1). </w:t>
      </w:r>
      <w:proofErr w:type="spellStart"/>
      <w:r>
        <w:t>doi:https</w:t>
      </w:r>
      <w:proofErr w:type="spellEnd"/>
      <w:r>
        <w:t>://doi.org/10.1007/s44163-025-00365-y.</w:t>
      </w:r>
    </w:p>
    <w:p w14:paraId="7FA59D0D" w14:textId="77777777" w:rsidR="004A2D3B" w:rsidRDefault="004A2D3B" w:rsidP="000427F9">
      <w:pPr>
        <w:jc w:val="both"/>
      </w:pPr>
    </w:p>
    <w:p w14:paraId="0F86FCD4" w14:textId="77777777" w:rsidR="004A2D3B" w:rsidRDefault="004A2D3B" w:rsidP="000427F9">
      <w:pPr>
        <w:jc w:val="both"/>
      </w:pPr>
      <w:proofErr w:type="spellStart"/>
      <w:r>
        <w:t>Nallakaruppan</w:t>
      </w:r>
      <w:proofErr w:type="spellEnd"/>
      <w:r>
        <w:t xml:space="preserve">, M.K., </w:t>
      </w:r>
      <w:proofErr w:type="spellStart"/>
      <w:r>
        <w:t>Balusamy</w:t>
      </w:r>
      <w:proofErr w:type="spellEnd"/>
      <w:r>
        <w:t xml:space="preserve">, B., Shri, M.L., Malathi, V. and Bhattacharyya, S. (2024). An Explainable AI framework for credit evaluation and analysis. Applied Soft Computing, [online] 153, p.111307. </w:t>
      </w:r>
      <w:proofErr w:type="spellStart"/>
      <w:r>
        <w:t>doi:https</w:t>
      </w:r>
      <w:proofErr w:type="spellEnd"/>
      <w:r>
        <w:t>://doi.org/10.1016/j.asoc.2024.111307.</w:t>
      </w:r>
    </w:p>
    <w:p w14:paraId="489E034B" w14:textId="77777777" w:rsidR="004A2D3B" w:rsidRDefault="004A2D3B" w:rsidP="000427F9">
      <w:pPr>
        <w:jc w:val="both"/>
      </w:pPr>
    </w:p>
    <w:p w14:paraId="70F12983" w14:textId="77777777" w:rsidR="004A2D3B" w:rsidRDefault="004A2D3B" w:rsidP="000427F9">
      <w:pPr>
        <w:jc w:val="both"/>
      </w:pPr>
      <w:proofErr w:type="spellStart"/>
      <w:r>
        <w:t>Papasavva</w:t>
      </w:r>
      <w:proofErr w:type="spellEnd"/>
      <w:r>
        <w:t xml:space="preserve">, A., Lundrigan, S., Lowther, E., Johnson, S., </w:t>
      </w:r>
      <w:proofErr w:type="spellStart"/>
      <w:r>
        <w:t>Mariconti</w:t>
      </w:r>
      <w:proofErr w:type="spellEnd"/>
      <w:r>
        <w:t xml:space="preserve">, E., </w:t>
      </w:r>
      <w:proofErr w:type="spellStart"/>
      <w:r>
        <w:t>Markovska</w:t>
      </w:r>
      <w:proofErr w:type="spellEnd"/>
      <w:r>
        <w:t xml:space="preserve">, A. and </w:t>
      </w:r>
      <w:proofErr w:type="spellStart"/>
      <w:r>
        <w:t>Tuptuk</w:t>
      </w:r>
      <w:proofErr w:type="spellEnd"/>
      <w:r>
        <w:t xml:space="preserve">, N. (2025). Applications of AI-Based Models for Online Fraud Detection and Analysis. Crime Science, 14(1). </w:t>
      </w:r>
      <w:proofErr w:type="spellStart"/>
      <w:r>
        <w:t>doi:https</w:t>
      </w:r>
      <w:proofErr w:type="spellEnd"/>
      <w:r>
        <w:t>://doi.org/10.1186/s40163-025-00248-8.</w:t>
      </w:r>
    </w:p>
    <w:p w14:paraId="6ED27B8D" w14:textId="77777777" w:rsidR="004A2D3B" w:rsidRDefault="004A2D3B" w:rsidP="000427F9">
      <w:pPr>
        <w:jc w:val="both"/>
      </w:pPr>
    </w:p>
    <w:p w14:paraId="1BDABEE5" w14:textId="77777777" w:rsidR="004A2D3B" w:rsidRDefault="004A2D3B" w:rsidP="000427F9">
      <w:pPr>
        <w:jc w:val="both"/>
      </w:pPr>
      <w:r>
        <w:t xml:space="preserve">Shi, S., Tse, R., Luo, W., D’Addona, S. and Pau, G. (2022). Machine learning-driven credit risk: a systemic review. Neural Computing and Applications, 34(17), pp.14327–14339. </w:t>
      </w:r>
      <w:proofErr w:type="spellStart"/>
      <w:r>
        <w:t>doi:https</w:t>
      </w:r>
      <w:proofErr w:type="spellEnd"/>
      <w:r>
        <w:t>://doi.org/10.1007/s00521-022-07472-2.</w:t>
      </w:r>
    </w:p>
    <w:p w14:paraId="31DA159C" w14:textId="77777777" w:rsidR="004A2D3B" w:rsidRDefault="004A2D3B" w:rsidP="000427F9">
      <w:pPr>
        <w:jc w:val="both"/>
      </w:pPr>
    </w:p>
    <w:p w14:paraId="167BC0EA" w14:textId="77777777" w:rsidR="004A2D3B" w:rsidRDefault="004A2D3B" w:rsidP="000427F9">
      <w:pPr>
        <w:jc w:val="both"/>
      </w:pPr>
      <w:r>
        <w:t xml:space="preserve">Sunaina Kanojia, Kaur, S. and None Bhavya (2024). Business sustainability in the era of Fintech and </w:t>
      </w:r>
      <w:proofErr w:type="spellStart"/>
      <w:r>
        <w:t>Regtech</w:t>
      </w:r>
      <w:proofErr w:type="spellEnd"/>
      <w:r>
        <w:t xml:space="preserve">: a systematic literature review. Discover Sustainability, 5(1). </w:t>
      </w:r>
      <w:proofErr w:type="spellStart"/>
      <w:r>
        <w:t>doi:https</w:t>
      </w:r>
      <w:proofErr w:type="spellEnd"/>
      <w:r>
        <w:t>://doi.org/10.1007/s43621-024-00767-5.</w:t>
      </w:r>
    </w:p>
    <w:p w14:paraId="24A4902D" w14:textId="77777777" w:rsidR="004A2D3B" w:rsidRDefault="004A2D3B" w:rsidP="000427F9">
      <w:pPr>
        <w:jc w:val="both"/>
      </w:pPr>
    </w:p>
    <w:p w14:paraId="583BC68B" w14:textId="77777777" w:rsidR="004A2D3B" w:rsidRDefault="004A2D3B" w:rsidP="000427F9">
      <w:pPr>
        <w:jc w:val="both"/>
      </w:pPr>
      <w:r>
        <w:t>Tabassi, E. (2023). Artificial Intelligence Risk Management Framework (AI RMF 1.0). NIST. [online] Available at: https://www.nist.gov/publications/artificial-intelligence-risk-management-framework-ai-rmf-10.</w:t>
      </w:r>
    </w:p>
    <w:p w14:paraId="083CA52E" w14:textId="77777777" w:rsidR="004A2D3B" w:rsidRDefault="004A2D3B" w:rsidP="000427F9">
      <w:pPr>
        <w:jc w:val="both"/>
      </w:pPr>
    </w:p>
    <w:p w14:paraId="199991A8" w14:textId="77777777" w:rsidR="004A2D3B" w:rsidRDefault="004A2D3B" w:rsidP="000427F9">
      <w:pPr>
        <w:jc w:val="both"/>
      </w:pPr>
      <w:proofErr w:type="spellStart"/>
      <w:r>
        <w:t>Turksen</w:t>
      </w:r>
      <w:proofErr w:type="spellEnd"/>
      <w:r>
        <w:t xml:space="preserve">, U., Benson, V. and </w:t>
      </w:r>
      <w:proofErr w:type="spellStart"/>
      <w:r>
        <w:t>Adamyk</w:t>
      </w:r>
      <w:proofErr w:type="spellEnd"/>
      <w:r>
        <w:t xml:space="preserve">, B. (2024). Legal implications of automated suspicious transaction monitoring: enhancing integrity of AI. Journal of Banking Regulation, 25. </w:t>
      </w:r>
      <w:proofErr w:type="spellStart"/>
      <w:r>
        <w:t>doi:https</w:t>
      </w:r>
      <w:proofErr w:type="spellEnd"/>
      <w:r>
        <w:t>://doi.org/10.1057/s41261-024-00233-2.</w:t>
      </w:r>
    </w:p>
    <w:p w14:paraId="3375997F" w14:textId="77777777" w:rsidR="004A2D3B" w:rsidRDefault="004A2D3B" w:rsidP="000427F9">
      <w:pPr>
        <w:jc w:val="both"/>
      </w:pPr>
    </w:p>
    <w:p w14:paraId="418E7135" w14:textId="77777777" w:rsidR="004A2D3B" w:rsidRDefault="004A2D3B" w:rsidP="000427F9">
      <w:pPr>
        <w:jc w:val="both"/>
      </w:pPr>
      <w:r>
        <w:t>U.S. Department of the Treasury (2024). Managing Artificial Intelligence-Specific Cybersecurity Risks in the Financial Services Sector. [online] Available at: https://home.treasury.gov/system/files/136/Managing-Artificial-Intelligence-Specific-Cybersecurity-Risks-In-The-Financial-Services-Sector.pdf.</w:t>
      </w:r>
    </w:p>
    <w:p w14:paraId="1099D074" w14:textId="77777777" w:rsidR="004A2D3B" w:rsidRDefault="004A2D3B" w:rsidP="000427F9">
      <w:pPr>
        <w:jc w:val="both"/>
      </w:pPr>
    </w:p>
    <w:p w14:paraId="77DEAF94" w14:textId="77777777" w:rsidR="004A2D3B" w:rsidRDefault="004A2D3B" w:rsidP="000427F9">
      <w:pPr>
        <w:jc w:val="both"/>
      </w:pPr>
      <w:r>
        <w:lastRenderedPageBreak/>
        <w:t>U.S. Department of Treasury (2024). Treasury Releases Report on the Uses, Opportunities, and Risks of Artificial Intelligence in Financial Services. [online] U.S. Department of the Treasury. Available at: https://home.treasury.gov/news/press-releases/jy2760.</w:t>
      </w:r>
    </w:p>
    <w:p w14:paraId="3502BEDF" w14:textId="77777777" w:rsidR="004A2D3B" w:rsidRDefault="004A2D3B" w:rsidP="000427F9">
      <w:pPr>
        <w:jc w:val="both"/>
      </w:pPr>
    </w:p>
    <w:p w14:paraId="45613F76" w14:textId="77777777" w:rsidR="004A2D3B" w:rsidRDefault="004A2D3B" w:rsidP="000427F9">
      <w:pPr>
        <w:jc w:val="both"/>
      </w:pPr>
      <w:r>
        <w:t>UK Government (2026). Regulators’ strategic approaches to AI. [online] GOV.UK. Available at: https://www.gov.uk/government/publications/regulators-strategic-approaches-to-ai.</w:t>
      </w:r>
    </w:p>
    <w:p w14:paraId="3ECC7286" w14:textId="77777777" w:rsidR="004A2D3B" w:rsidRDefault="004A2D3B" w:rsidP="000427F9">
      <w:pPr>
        <w:jc w:val="both"/>
      </w:pPr>
    </w:p>
    <w:p w14:paraId="445264A8" w14:textId="77777777" w:rsidR="004A2D3B" w:rsidRDefault="004A2D3B" w:rsidP="000427F9">
      <w:pPr>
        <w:jc w:val="both"/>
      </w:pPr>
      <w:r>
        <w:t xml:space="preserve">Weber, P., Carl, K.V. and Hinz, O. (2023). Applications of Explainable Artificial Intelligence in Finance—a Systematic Review of Finance, Information Systems, and Computer Science Literature. Management Review Quarterly, 74(2). </w:t>
      </w:r>
      <w:proofErr w:type="spellStart"/>
      <w:r>
        <w:t>doi:https</w:t>
      </w:r>
      <w:proofErr w:type="spellEnd"/>
      <w:r>
        <w:t>://doi.org/10.1007/s11301-023-00320-0.</w:t>
      </w:r>
    </w:p>
    <w:p w14:paraId="27EC630A" w14:textId="77777777" w:rsidR="004A2D3B" w:rsidRDefault="004A2D3B" w:rsidP="000427F9">
      <w:pPr>
        <w:jc w:val="both"/>
      </w:pPr>
    </w:p>
    <w:p w14:paraId="7C2E3F96" w14:textId="32A04097" w:rsidR="002B1E5F" w:rsidRDefault="004A2D3B" w:rsidP="000427F9">
      <w:pPr>
        <w:jc w:val="both"/>
      </w:pPr>
      <w:r>
        <w:t xml:space="preserve">Yeo, W.J., Der, V., Mao, R., Cambria, E., Ranjan Satapathy and Gianmarco Mengaldo (2025). A comprehensive review on financial explainable AI. Artificial Intelligence Review, 58(6). </w:t>
      </w:r>
      <w:proofErr w:type="spellStart"/>
      <w:r>
        <w:t>doi:https</w:t>
      </w:r>
      <w:proofErr w:type="spellEnd"/>
      <w:r>
        <w:t>://doi.org/10.1007/s10462-024-11077-7.</w:t>
      </w:r>
    </w:p>
    <w:sectPr w:rsidR="002B1E5F" w:rsidSect="008B19E6">
      <w:footerReference w:type="default" r:id="rId11"/>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3D8767" w14:textId="77777777" w:rsidR="002A60C0" w:rsidRDefault="002A60C0" w:rsidP="00A97246">
      <w:pPr>
        <w:spacing w:line="240" w:lineRule="auto"/>
      </w:pPr>
      <w:r>
        <w:separator/>
      </w:r>
    </w:p>
  </w:endnote>
  <w:endnote w:type="continuationSeparator" w:id="0">
    <w:p w14:paraId="17F059D6" w14:textId="77777777" w:rsidR="002A60C0" w:rsidRDefault="002A60C0" w:rsidP="00A9724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91614595"/>
      <w:docPartObj>
        <w:docPartGallery w:val="Page Numbers (Bottom of Page)"/>
        <w:docPartUnique/>
      </w:docPartObj>
    </w:sdtPr>
    <w:sdtEndPr>
      <w:rPr>
        <w:noProof/>
      </w:rPr>
    </w:sdtEndPr>
    <w:sdtContent>
      <w:p w14:paraId="2574ED4C" w14:textId="03042D9B" w:rsidR="008B19E6" w:rsidRDefault="008B19E6" w:rsidP="008B19E6">
        <w:pPr>
          <w:pStyle w:val="Footer"/>
          <w:jc w:val="right"/>
        </w:pP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60A6B4" w14:textId="77777777" w:rsidR="002A60C0" w:rsidRDefault="002A60C0" w:rsidP="00A97246">
      <w:pPr>
        <w:spacing w:line="240" w:lineRule="auto"/>
      </w:pPr>
      <w:r>
        <w:separator/>
      </w:r>
    </w:p>
  </w:footnote>
  <w:footnote w:type="continuationSeparator" w:id="0">
    <w:p w14:paraId="68D5E68D" w14:textId="77777777" w:rsidR="002A60C0" w:rsidRDefault="002A60C0" w:rsidP="00A9724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73230"/>
    <w:multiLevelType w:val="multilevel"/>
    <w:tmpl w:val="617A230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 w15:restartNumberingAfterBreak="0">
    <w:nsid w:val="153C502B"/>
    <w:multiLevelType w:val="multilevel"/>
    <w:tmpl w:val="938E145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A1A2E8F"/>
    <w:multiLevelType w:val="multilevel"/>
    <w:tmpl w:val="5A029590"/>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41593C92"/>
    <w:multiLevelType w:val="multilevel"/>
    <w:tmpl w:val="11ECDE6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4ED74933"/>
    <w:multiLevelType w:val="multilevel"/>
    <w:tmpl w:val="A6EAE954"/>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num w:numId="1">
    <w:abstractNumId w:val="0"/>
  </w:num>
  <w:num w:numId="2">
    <w:abstractNumId w:val="4"/>
  </w:num>
  <w:num w:numId="3">
    <w:abstractNumId w:val="0"/>
  </w:num>
  <w:num w:numId="4">
    <w:abstractNumId w:val="0"/>
  </w:num>
  <w:num w:numId="5">
    <w:abstractNumId w:val="0"/>
  </w:num>
  <w:num w:numId="6">
    <w:abstractNumId w:val="3"/>
  </w:num>
  <w:num w:numId="7">
    <w:abstractNumId w:val="2"/>
  </w:num>
  <w:num w:numId="8">
    <w:abstractNumId w:val="2"/>
  </w:num>
  <w:num w:numId="9">
    <w:abstractNumId w:val="2"/>
  </w:num>
  <w:num w:numId="10">
    <w:abstractNumId w:val="2"/>
  </w:num>
  <w:num w:numId="11">
    <w:abstractNumId w:val="2"/>
  </w:num>
  <w:num w:numId="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25BF"/>
    <w:rsid w:val="000427F9"/>
    <w:rsid w:val="000A6B86"/>
    <w:rsid w:val="000F1FC2"/>
    <w:rsid w:val="00104D87"/>
    <w:rsid w:val="00173693"/>
    <w:rsid w:val="001D3E30"/>
    <w:rsid w:val="001E74D0"/>
    <w:rsid w:val="0021737A"/>
    <w:rsid w:val="00251C68"/>
    <w:rsid w:val="002A60C0"/>
    <w:rsid w:val="002B1E5F"/>
    <w:rsid w:val="002C4A03"/>
    <w:rsid w:val="002D481C"/>
    <w:rsid w:val="0030053F"/>
    <w:rsid w:val="003109C4"/>
    <w:rsid w:val="003565C7"/>
    <w:rsid w:val="00364572"/>
    <w:rsid w:val="003A1AC6"/>
    <w:rsid w:val="003B1423"/>
    <w:rsid w:val="003B7ED9"/>
    <w:rsid w:val="003E7A39"/>
    <w:rsid w:val="0040389F"/>
    <w:rsid w:val="00414FFC"/>
    <w:rsid w:val="004511C6"/>
    <w:rsid w:val="00452836"/>
    <w:rsid w:val="00476A4D"/>
    <w:rsid w:val="004A2D3B"/>
    <w:rsid w:val="004A7052"/>
    <w:rsid w:val="00501E0E"/>
    <w:rsid w:val="005061B7"/>
    <w:rsid w:val="00522836"/>
    <w:rsid w:val="005B272E"/>
    <w:rsid w:val="006016DB"/>
    <w:rsid w:val="00611B28"/>
    <w:rsid w:val="00694CAA"/>
    <w:rsid w:val="006E1541"/>
    <w:rsid w:val="007578BF"/>
    <w:rsid w:val="00794B4C"/>
    <w:rsid w:val="007D2EC5"/>
    <w:rsid w:val="007D739B"/>
    <w:rsid w:val="00812ACF"/>
    <w:rsid w:val="008456B6"/>
    <w:rsid w:val="00852EFD"/>
    <w:rsid w:val="00867626"/>
    <w:rsid w:val="008B19E6"/>
    <w:rsid w:val="008D0F38"/>
    <w:rsid w:val="009867DB"/>
    <w:rsid w:val="009875A6"/>
    <w:rsid w:val="009C1F9C"/>
    <w:rsid w:val="00A11978"/>
    <w:rsid w:val="00A20099"/>
    <w:rsid w:val="00A834F1"/>
    <w:rsid w:val="00A93149"/>
    <w:rsid w:val="00A97246"/>
    <w:rsid w:val="00B244BF"/>
    <w:rsid w:val="00BC3FC7"/>
    <w:rsid w:val="00BE7B2A"/>
    <w:rsid w:val="00C27946"/>
    <w:rsid w:val="00C66E37"/>
    <w:rsid w:val="00C74D89"/>
    <w:rsid w:val="00CD5318"/>
    <w:rsid w:val="00CE7736"/>
    <w:rsid w:val="00D30A75"/>
    <w:rsid w:val="00DD1BEA"/>
    <w:rsid w:val="00E01C6E"/>
    <w:rsid w:val="00E3327C"/>
    <w:rsid w:val="00E7529A"/>
    <w:rsid w:val="00EA4EB6"/>
    <w:rsid w:val="00F725BF"/>
    <w:rsid w:val="00FD56C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CE02C3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E74D0"/>
    <w:rPr>
      <w:rFonts w:ascii="Times New Roman" w:hAnsi="Times New Roman"/>
      <w:lang w:val="en-GB"/>
    </w:rPr>
  </w:style>
  <w:style w:type="paragraph" w:styleId="Heading1">
    <w:name w:val="heading 1"/>
    <w:basedOn w:val="Normal"/>
    <w:next w:val="Normal"/>
    <w:link w:val="Heading1Char"/>
    <w:autoRedefine/>
    <w:uiPriority w:val="9"/>
    <w:qFormat/>
    <w:rsid w:val="00C27946"/>
    <w:pPr>
      <w:keepNext/>
      <w:keepLines/>
      <w:numPr>
        <w:numId w:val="11"/>
      </w:numPr>
      <w:pBdr>
        <w:top w:val="single" w:sz="4" w:space="1" w:color="auto"/>
        <w:left w:val="single" w:sz="4" w:space="4" w:color="auto"/>
        <w:bottom w:val="single" w:sz="4" w:space="1" w:color="auto"/>
        <w:right w:val="single" w:sz="4" w:space="4" w:color="auto"/>
      </w:pBdr>
      <w:shd w:val="clear" w:color="auto" w:fill="B4C6E7" w:themeFill="accent1" w:themeFillTint="66"/>
      <w:outlineLvl w:val="0"/>
    </w:pPr>
    <w:rPr>
      <w:rFonts w:eastAsiaTheme="majorEastAsia" w:cstheme="majorBidi"/>
      <w:b/>
      <w:color w:val="000000" w:themeColor="text1"/>
      <w:sz w:val="32"/>
      <w:szCs w:val="40"/>
      <w:lang w:val="en-US"/>
    </w:rPr>
  </w:style>
  <w:style w:type="paragraph" w:styleId="Heading2">
    <w:name w:val="heading 2"/>
    <w:basedOn w:val="Normal"/>
    <w:next w:val="Normal"/>
    <w:link w:val="Heading2Char"/>
    <w:autoRedefine/>
    <w:uiPriority w:val="9"/>
    <w:unhideWhenUsed/>
    <w:qFormat/>
    <w:rsid w:val="00C27946"/>
    <w:pPr>
      <w:keepNext/>
      <w:keepLines/>
      <w:numPr>
        <w:ilvl w:val="1"/>
        <w:numId w:val="11"/>
      </w:numPr>
      <w:spacing w:before="160" w:after="80"/>
      <w:jc w:val="both"/>
      <w:outlineLvl w:val="1"/>
    </w:pPr>
    <w:rPr>
      <w:rFonts w:eastAsiaTheme="majorEastAsia" w:cstheme="majorBidi"/>
      <w:b/>
      <w:color w:val="000000" w:themeColor="text1"/>
      <w:sz w:val="28"/>
      <w:szCs w:val="32"/>
      <w:lang w:val="en-US"/>
    </w:rPr>
  </w:style>
  <w:style w:type="paragraph" w:styleId="Heading3">
    <w:name w:val="heading 3"/>
    <w:basedOn w:val="Normal"/>
    <w:next w:val="Normal"/>
    <w:link w:val="Heading3Char"/>
    <w:autoRedefine/>
    <w:uiPriority w:val="9"/>
    <w:unhideWhenUsed/>
    <w:qFormat/>
    <w:rsid w:val="00C27946"/>
    <w:pPr>
      <w:keepNext/>
      <w:keepLines/>
      <w:numPr>
        <w:ilvl w:val="2"/>
        <w:numId w:val="9"/>
      </w:numPr>
      <w:spacing w:before="160" w:after="80"/>
      <w:outlineLvl w:val="2"/>
    </w:pPr>
    <w:rPr>
      <w:rFonts w:eastAsiaTheme="majorEastAsia" w:cstheme="majorBidi"/>
      <w:i/>
      <w:color w:val="000000" w:themeColor="text1"/>
      <w:szCs w:val="28"/>
      <w:lang w:val="en-US"/>
    </w:rPr>
  </w:style>
  <w:style w:type="paragraph" w:styleId="Heading4">
    <w:name w:val="heading 4"/>
    <w:basedOn w:val="Normal"/>
    <w:next w:val="Normal"/>
    <w:link w:val="Heading4Char"/>
    <w:uiPriority w:val="9"/>
    <w:semiHidden/>
    <w:unhideWhenUsed/>
    <w:qFormat/>
    <w:rsid w:val="00F725B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F725B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F725B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725B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725B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725B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099"/>
    <w:rPr>
      <w:rFonts w:ascii="Times New Roman" w:eastAsiaTheme="majorEastAsia" w:hAnsi="Times New Roman" w:cstheme="majorBidi"/>
      <w:b/>
      <w:color w:val="000000" w:themeColor="text1"/>
      <w:sz w:val="32"/>
      <w:szCs w:val="40"/>
      <w:shd w:val="clear" w:color="auto" w:fill="B4C6E7" w:themeFill="accent1" w:themeFillTint="66"/>
    </w:rPr>
  </w:style>
  <w:style w:type="character" w:customStyle="1" w:styleId="Heading2Char">
    <w:name w:val="Heading 2 Char"/>
    <w:basedOn w:val="DefaultParagraphFont"/>
    <w:link w:val="Heading2"/>
    <w:uiPriority w:val="9"/>
    <w:rsid w:val="00794B4C"/>
    <w:rPr>
      <w:rFonts w:ascii="Times New Roman" w:eastAsiaTheme="majorEastAsia" w:hAnsi="Times New Roman" w:cstheme="majorBidi"/>
      <w:b/>
      <w:color w:val="000000" w:themeColor="text1"/>
      <w:sz w:val="28"/>
      <w:szCs w:val="32"/>
    </w:rPr>
  </w:style>
  <w:style w:type="paragraph" w:styleId="Title">
    <w:name w:val="Title"/>
    <w:basedOn w:val="Normal"/>
    <w:next w:val="Normal"/>
    <w:link w:val="TitleChar"/>
    <w:uiPriority w:val="10"/>
    <w:qFormat/>
    <w:rsid w:val="006016DB"/>
    <w:pPr>
      <w:spacing w:after="80" w:line="240" w:lineRule="auto"/>
      <w:contextualSpacing/>
    </w:pPr>
    <w:rPr>
      <w:rFonts w:eastAsiaTheme="majorEastAsia" w:cstheme="majorBidi"/>
      <w:spacing w:val="-10"/>
      <w:kern w:val="28"/>
      <w:sz w:val="40"/>
      <w:szCs w:val="56"/>
    </w:rPr>
  </w:style>
  <w:style w:type="character" w:customStyle="1" w:styleId="TitleChar">
    <w:name w:val="Title Char"/>
    <w:basedOn w:val="DefaultParagraphFont"/>
    <w:link w:val="Title"/>
    <w:uiPriority w:val="10"/>
    <w:rsid w:val="006016DB"/>
    <w:rPr>
      <w:rFonts w:ascii="Times New Roman" w:eastAsiaTheme="majorEastAsia" w:hAnsi="Times New Roman" w:cstheme="majorBidi"/>
      <w:spacing w:val="-10"/>
      <w:kern w:val="28"/>
      <w:sz w:val="40"/>
      <w:szCs w:val="56"/>
      <w:lang w:val="en-GB"/>
    </w:rPr>
  </w:style>
  <w:style w:type="character" w:customStyle="1" w:styleId="Heading3Char">
    <w:name w:val="Heading 3 Char"/>
    <w:basedOn w:val="DefaultParagraphFont"/>
    <w:link w:val="Heading3"/>
    <w:uiPriority w:val="9"/>
    <w:rsid w:val="00C27946"/>
    <w:rPr>
      <w:rFonts w:ascii="Times New Roman" w:eastAsiaTheme="majorEastAsia" w:hAnsi="Times New Roman" w:cstheme="majorBidi"/>
      <w:i/>
      <w:color w:val="000000" w:themeColor="text1"/>
      <w:szCs w:val="28"/>
    </w:rPr>
  </w:style>
  <w:style w:type="character" w:customStyle="1" w:styleId="Heading4Char">
    <w:name w:val="Heading 4 Char"/>
    <w:basedOn w:val="DefaultParagraphFont"/>
    <w:link w:val="Heading4"/>
    <w:uiPriority w:val="9"/>
    <w:semiHidden/>
    <w:rsid w:val="00F725BF"/>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F725BF"/>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F725BF"/>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F725BF"/>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F725BF"/>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F725BF"/>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F725BF"/>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725BF"/>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F725BF"/>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725BF"/>
    <w:rPr>
      <w:rFonts w:ascii="Times New Roman" w:hAnsi="Times New Roman"/>
      <w:i/>
      <w:iCs/>
      <w:color w:val="404040" w:themeColor="text1" w:themeTint="BF"/>
      <w:lang w:val="en-GB"/>
    </w:rPr>
  </w:style>
  <w:style w:type="paragraph" w:styleId="ListParagraph">
    <w:name w:val="List Paragraph"/>
    <w:basedOn w:val="Normal"/>
    <w:uiPriority w:val="34"/>
    <w:qFormat/>
    <w:rsid w:val="00F725BF"/>
    <w:pPr>
      <w:ind w:left="720"/>
      <w:contextualSpacing/>
    </w:pPr>
  </w:style>
  <w:style w:type="character" w:styleId="IntenseEmphasis">
    <w:name w:val="Intense Emphasis"/>
    <w:basedOn w:val="DefaultParagraphFont"/>
    <w:uiPriority w:val="21"/>
    <w:qFormat/>
    <w:rsid w:val="00F725BF"/>
    <w:rPr>
      <w:i/>
      <w:iCs/>
      <w:color w:val="2F5496" w:themeColor="accent1" w:themeShade="BF"/>
    </w:rPr>
  </w:style>
  <w:style w:type="paragraph" w:styleId="IntenseQuote">
    <w:name w:val="Intense Quote"/>
    <w:basedOn w:val="Normal"/>
    <w:next w:val="Normal"/>
    <w:link w:val="IntenseQuoteChar"/>
    <w:uiPriority w:val="30"/>
    <w:qFormat/>
    <w:rsid w:val="00F725B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725BF"/>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F725BF"/>
    <w:rPr>
      <w:b/>
      <w:bCs/>
      <w:smallCaps/>
      <w:color w:val="2F5496" w:themeColor="accent1" w:themeShade="BF"/>
      <w:spacing w:val="5"/>
    </w:rPr>
  </w:style>
  <w:style w:type="table" w:styleId="PlainTable1">
    <w:name w:val="Plain Table 1"/>
    <w:basedOn w:val="TableNormal"/>
    <w:uiPriority w:val="41"/>
    <w:rsid w:val="00452836"/>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TOCHeading">
    <w:name w:val="TOC Heading"/>
    <w:basedOn w:val="Heading1"/>
    <w:next w:val="Normal"/>
    <w:uiPriority w:val="39"/>
    <w:unhideWhenUsed/>
    <w:qFormat/>
    <w:rsid w:val="003B1423"/>
    <w:pPr>
      <w:numPr>
        <w:numId w:val="0"/>
      </w:numPr>
      <w:pBdr>
        <w:top w:val="none" w:sz="0" w:space="0" w:color="auto"/>
        <w:left w:val="none" w:sz="0" w:space="0" w:color="auto"/>
        <w:bottom w:val="none" w:sz="0" w:space="0" w:color="auto"/>
        <w:right w:val="none" w:sz="0" w:space="0" w:color="auto"/>
      </w:pBdr>
      <w:shd w:val="clear" w:color="auto" w:fill="auto"/>
      <w:spacing w:before="240" w:line="259" w:lineRule="auto"/>
      <w:outlineLvl w:val="9"/>
    </w:pPr>
    <w:rPr>
      <w:rFonts w:asciiTheme="majorHAnsi" w:hAnsiTheme="majorHAnsi"/>
      <w:b w:val="0"/>
      <w:color w:val="2F5496" w:themeColor="accent1" w:themeShade="BF"/>
      <w:kern w:val="0"/>
      <w:szCs w:val="32"/>
      <w14:ligatures w14:val="none"/>
    </w:rPr>
  </w:style>
  <w:style w:type="paragraph" w:styleId="TOC1">
    <w:name w:val="toc 1"/>
    <w:basedOn w:val="Normal"/>
    <w:next w:val="Normal"/>
    <w:autoRedefine/>
    <w:uiPriority w:val="39"/>
    <w:unhideWhenUsed/>
    <w:rsid w:val="003B1423"/>
    <w:pPr>
      <w:spacing w:after="100"/>
    </w:pPr>
  </w:style>
  <w:style w:type="paragraph" w:styleId="TOC2">
    <w:name w:val="toc 2"/>
    <w:basedOn w:val="Normal"/>
    <w:next w:val="Normal"/>
    <w:autoRedefine/>
    <w:uiPriority w:val="39"/>
    <w:unhideWhenUsed/>
    <w:rsid w:val="003B1423"/>
    <w:pPr>
      <w:spacing w:after="100"/>
      <w:ind w:left="240"/>
    </w:pPr>
  </w:style>
  <w:style w:type="character" w:styleId="Hyperlink">
    <w:name w:val="Hyperlink"/>
    <w:basedOn w:val="DefaultParagraphFont"/>
    <w:uiPriority w:val="99"/>
    <w:unhideWhenUsed/>
    <w:rsid w:val="003B1423"/>
    <w:rPr>
      <w:color w:val="0563C1" w:themeColor="hyperlink"/>
      <w:u w:val="single"/>
    </w:rPr>
  </w:style>
  <w:style w:type="paragraph" w:customStyle="1" w:styleId="font-claude-response-body">
    <w:name w:val="font-claude-response-body"/>
    <w:basedOn w:val="Normal"/>
    <w:rsid w:val="00364572"/>
    <w:pPr>
      <w:spacing w:before="100" w:beforeAutospacing="1" w:after="100" w:afterAutospacing="1" w:line="240" w:lineRule="auto"/>
    </w:pPr>
    <w:rPr>
      <w:rFonts w:eastAsia="Times New Roman" w:cs="Times New Roman"/>
      <w:kern w:val="0"/>
      <w:lang w:eastAsia="en-GB"/>
      <w14:ligatures w14:val="none"/>
    </w:rPr>
  </w:style>
  <w:style w:type="paragraph" w:styleId="Caption">
    <w:name w:val="caption"/>
    <w:basedOn w:val="Normal"/>
    <w:next w:val="Normal"/>
    <w:uiPriority w:val="35"/>
    <w:unhideWhenUsed/>
    <w:qFormat/>
    <w:rsid w:val="004A2D3B"/>
    <w:pPr>
      <w:spacing w:after="200" w:line="240" w:lineRule="auto"/>
    </w:pPr>
    <w:rPr>
      <w:i/>
      <w:iCs/>
      <w:color w:val="44546A" w:themeColor="text2"/>
      <w:sz w:val="18"/>
      <w:szCs w:val="18"/>
    </w:rPr>
  </w:style>
  <w:style w:type="paragraph" w:styleId="Header">
    <w:name w:val="header"/>
    <w:basedOn w:val="Normal"/>
    <w:link w:val="HeaderChar"/>
    <w:uiPriority w:val="99"/>
    <w:unhideWhenUsed/>
    <w:rsid w:val="00A97246"/>
    <w:pPr>
      <w:tabs>
        <w:tab w:val="center" w:pos="4680"/>
        <w:tab w:val="right" w:pos="9360"/>
      </w:tabs>
      <w:spacing w:line="240" w:lineRule="auto"/>
    </w:pPr>
  </w:style>
  <w:style w:type="character" w:customStyle="1" w:styleId="HeaderChar">
    <w:name w:val="Header Char"/>
    <w:basedOn w:val="DefaultParagraphFont"/>
    <w:link w:val="Header"/>
    <w:uiPriority w:val="99"/>
    <w:rsid w:val="00A97246"/>
    <w:rPr>
      <w:rFonts w:ascii="Times New Roman" w:hAnsi="Times New Roman"/>
      <w:lang w:val="en-GB"/>
    </w:rPr>
  </w:style>
  <w:style w:type="paragraph" w:styleId="Footer">
    <w:name w:val="footer"/>
    <w:basedOn w:val="Normal"/>
    <w:link w:val="FooterChar"/>
    <w:uiPriority w:val="99"/>
    <w:unhideWhenUsed/>
    <w:rsid w:val="00A97246"/>
    <w:pPr>
      <w:tabs>
        <w:tab w:val="center" w:pos="4680"/>
        <w:tab w:val="right" w:pos="9360"/>
      </w:tabs>
      <w:spacing w:line="240" w:lineRule="auto"/>
    </w:pPr>
  </w:style>
  <w:style w:type="character" w:customStyle="1" w:styleId="FooterChar">
    <w:name w:val="Footer Char"/>
    <w:basedOn w:val="DefaultParagraphFont"/>
    <w:link w:val="Footer"/>
    <w:uiPriority w:val="99"/>
    <w:rsid w:val="00A97246"/>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6973</Words>
  <Characters>39750</Characters>
  <Application>Microsoft Office Word</Application>
  <DocSecurity>0</DocSecurity>
  <Lines>331</Lines>
  <Paragraphs>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2026-04-26T17:56:00Z</dcterms:created>
  <dcterms:modified xsi:type="dcterms:W3CDTF">2026-04-26T19:57:00Z</dcterms:modified>
</cp:coreProperties>
</file>