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footnotes.xml" ContentType="application/vnd.openxmlformats-officedocument.wordprocessingml.footnotes+xml"/>
  <Override PartName="/word/theme/theme1.xml" ContentType="application/vnd.openxmlformats-officedocument.theme+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rFonts w:ascii="Arial" w:hAnsi="Arial"/>
          <w:b/>
          <w:b/>
          <w:bCs/>
          <w:color w:val="000000"/>
          <w:shd w:fill="FF4000" w:val="clear"/>
        </w:rPr>
      </w:pPr>
      <w:r>
        <w:rPr>
          <w:rFonts w:ascii="Arial" w:hAnsi="Arial"/>
          <w:b/>
          <w:bCs/>
          <w:color w:val="000000"/>
          <w:shd w:fill="FF4000" w:val="clear"/>
        </w:rPr>
      </w:r>
    </w:p>
    <w:p>
      <w:pPr>
        <w:pStyle w:val="Normal"/>
        <w:spacing w:lineRule="auto" w:line="480"/>
        <w:jc w:val="center"/>
        <w:rPr>
          <w:shd w:fill="FFFFFF" w:val="clear"/>
        </w:rPr>
      </w:pPr>
      <w:r>
        <w:rPr>
          <w:rFonts w:eastAsia="Arial" w:cs="Arial" w:ascii="Arial" w:hAnsi="Arial"/>
          <w:b/>
          <w:bCs/>
          <w:color w:val="000000"/>
          <w:shd w:fill="FFFFFF" w:val="clear"/>
        </w:rPr>
        <w:t>UNIVERSITY OF WALES TRINITY SAINT DAVID</w:t>
      </w:r>
    </w:p>
    <w:p>
      <w:pPr>
        <w:pStyle w:val="Normal"/>
        <w:spacing w:lineRule="auto" w:line="480"/>
        <w:jc w:val="center"/>
        <w:rPr>
          <w:rFonts w:ascii="Arial" w:hAnsi="Arial" w:eastAsia="Arial" w:cs="Arial"/>
          <w:b/>
          <w:b/>
          <w:bCs/>
          <w:color w:val="000000"/>
          <w:shd w:fill="FF4000" w:val="clear"/>
        </w:rPr>
      </w:pPr>
      <w:r>
        <w:rPr>
          <w:rFonts w:eastAsia="Arial" w:cs="Arial" w:ascii="Arial" w:hAnsi="Arial"/>
          <w:b/>
          <w:bCs/>
          <w:color w:val="000000"/>
          <w:shd w:fill="FF4000" w:val="clear"/>
        </w:rPr>
      </w:r>
    </w:p>
    <w:p>
      <w:pPr>
        <w:pStyle w:val="Normal"/>
        <w:spacing w:lineRule="auto" w:line="480"/>
        <w:jc w:val="center"/>
        <w:rPr>
          <w:rFonts w:ascii="Arial" w:hAnsi="Arial" w:eastAsia="Arial" w:cs="Arial"/>
          <w:b/>
          <w:b/>
          <w:bCs/>
          <w:color w:val="000000"/>
          <w:shd w:fill="FF4000" w:val="clear"/>
        </w:rPr>
      </w:pPr>
      <w:r>
        <w:rPr>
          <w:rFonts w:eastAsia="Arial" w:cs="Arial" w:ascii="Arial" w:hAnsi="Arial"/>
          <w:b/>
          <w:bCs/>
          <w:color w:val="000000"/>
          <w:shd w:fill="FF4000" w:val="clear"/>
        </w:rPr>
      </w:r>
    </w:p>
    <w:p>
      <w:pPr>
        <w:pStyle w:val="Normal"/>
        <w:spacing w:lineRule="auto" w:line="480"/>
        <w:jc w:val="center"/>
        <w:rPr>
          <w:shd w:fill="FFFFFF" w:val="clear"/>
        </w:rPr>
      </w:pPr>
      <w:r>
        <w:rPr>
          <w:rFonts w:eastAsia="Arial" w:cs="Arial" w:ascii="Arial" w:hAnsi="Arial"/>
          <w:b/>
          <w:bCs/>
          <w:color w:val="000000"/>
          <w:shd w:fill="FFFFFF" w:val="clear"/>
        </w:rPr>
        <w:t>TEXTUAL ANALYSIS PORTFOLIO</w:t>
      </w:r>
    </w:p>
    <w:p>
      <w:pPr>
        <w:pStyle w:val="Normal"/>
        <w:spacing w:lineRule="auto" w:line="480"/>
        <w:jc w:val="center"/>
        <w:rPr>
          <w:rFonts w:ascii="Arial" w:hAnsi="Arial" w:eastAsia="Arial" w:cs="Arial"/>
          <w:b/>
          <w:b/>
          <w:bCs/>
          <w:color w:val="000000"/>
          <w:shd w:fill="FF4000" w:val="clear"/>
        </w:rPr>
      </w:pPr>
      <w:r>
        <w:rPr>
          <w:rFonts w:eastAsia="Arial" w:cs="Arial" w:ascii="Arial" w:hAnsi="Arial"/>
          <w:b/>
          <w:bCs/>
          <w:color w:val="000000"/>
          <w:shd w:fill="FF4000" w:val="clear"/>
        </w:rPr>
      </w:r>
    </w:p>
    <w:p>
      <w:pPr>
        <w:pStyle w:val="Normal"/>
        <w:spacing w:lineRule="auto" w:line="480"/>
        <w:jc w:val="center"/>
        <w:rPr>
          <w:rFonts w:ascii="Arial" w:hAnsi="Arial" w:eastAsia="Arial" w:cs="Arial"/>
          <w:b/>
          <w:b/>
          <w:bCs/>
          <w:color w:val="000000"/>
          <w:shd w:fill="FF4000" w:val="clear"/>
        </w:rPr>
      </w:pPr>
      <w:r>
        <w:rPr>
          <w:rFonts w:eastAsia="Arial" w:cs="Arial" w:ascii="Arial" w:hAnsi="Arial"/>
          <w:b/>
          <w:bCs/>
          <w:color w:val="000000"/>
          <w:shd w:fill="FF4000" w:val="clear"/>
        </w:rPr>
      </w:r>
    </w:p>
    <w:p>
      <w:pPr>
        <w:pStyle w:val="Normal"/>
        <w:jc w:val="center"/>
        <w:rPr>
          <w:shd w:fill="FFFFFF" w:val="clear"/>
        </w:rPr>
      </w:pPr>
      <w:r>
        <w:rPr>
          <w:rFonts w:eastAsia="Arial" w:cs="Arial" w:ascii="Arial" w:hAnsi="Arial"/>
          <w:b/>
          <w:bCs/>
          <w:color w:val="000000"/>
          <w:shd w:fill="FFFFFF" w:val="clear"/>
        </w:rPr>
        <w:t>SUBMITTED TO DR JESSICA KEADY IN PARTIAL FULFILMENT OF INTERPRETING THE HEBREW BIBLE FROM CONTEMPORARY PERSPECTIVES (HPRS6907)</w:t>
      </w:r>
    </w:p>
    <w:p>
      <w:pPr>
        <w:pStyle w:val="Normal"/>
        <w:jc w:val="center"/>
        <w:rPr>
          <w:rFonts w:ascii="Arial" w:hAnsi="Arial" w:eastAsia="Arial" w:cs="Arial"/>
          <w:b/>
          <w:b/>
          <w:bCs/>
          <w:color w:val="000000"/>
          <w:shd w:fill="FF4000" w:val="clear"/>
        </w:rPr>
      </w:pPr>
      <w:r>
        <w:rPr>
          <w:rFonts w:eastAsia="Arial" w:cs="Arial" w:ascii="Arial" w:hAnsi="Arial"/>
          <w:b/>
          <w:bCs/>
          <w:color w:val="000000"/>
          <w:shd w:fill="FF4000" w:val="clear"/>
        </w:rPr>
      </w:r>
    </w:p>
    <w:p>
      <w:pPr>
        <w:pStyle w:val="Normal"/>
        <w:spacing w:lineRule="auto" w:line="480"/>
        <w:jc w:val="center"/>
        <w:rPr>
          <w:rFonts w:ascii="Arial" w:hAnsi="Arial" w:eastAsia="Arial" w:cs="Arial"/>
          <w:b/>
          <w:b/>
          <w:bCs/>
          <w:color w:val="000000"/>
          <w:shd w:fill="FF4000" w:val="clear"/>
        </w:rPr>
      </w:pPr>
      <w:r>
        <w:rPr>
          <w:rFonts w:eastAsia="Arial" w:cs="Arial" w:ascii="Arial" w:hAnsi="Arial"/>
          <w:b/>
          <w:bCs/>
          <w:color w:val="000000"/>
          <w:shd w:fill="FF4000" w:val="clear"/>
        </w:rPr>
      </w:r>
    </w:p>
    <w:p>
      <w:pPr>
        <w:pStyle w:val="Normal"/>
        <w:spacing w:lineRule="auto" w:line="480"/>
        <w:jc w:val="center"/>
        <w:rPr>
          <w:rFonts w:ascii="Arial" w:hAnsi="Arial" w:eastAsia="Arial" w:cs="Arial"/>
          <w:b/>
          <w:b/>
          <w:bCs/>
          <w:color w:val="000000"/>
          <w:shd w:fill="FF4000" w:val="clear"/>
        </w:rPr>
      </w:pPr>
      <w:r>
        <w:rPr>
          <w:rFonts w:eastAsia="Arial" w:cs="Arial" w:ascii="Arial" w:hAnsi="Arial"/>
          <w:b/>
          <w:bCs/>
          <w:color w:val="000000"/>
          <w:shd w:fill="FF4000" w:val="clear"/>
        </w:rPr>
      </w:r>
    </w:p>
    <w:p>
      <w:pPr>
        <w:pStyle w:val="Normal"/>
        <w:jc w:val="center"/>
        <w:rPr>
          <w:shd w:fill="FF4000" w:val="clear"/>
        </w:rPr>
      </w:pPr>
      <w:r>
        <w:rPr>
          <w:rFonts w:eastAsia="Arial" w:cs="Arial" w:ascii="Arial" w:hAnsi="Arial"/>
          <w:b/>
          <w:bCs/>
          <w:color w:val="000000"/>
          <w:shd w:fill="FFFFFF" w:val="clear"/>
        </w:rPr>
        <w:t>BY</w:t>
      </w:r>
      <w:r>
        <w:rPr>
          <w:color w:val="000000"/>
          <w:shd w:fill="FF4000" w:val="clear"/>
        </w:rPr>
        <w:br/>
      </w:r>
    </w:p>
    <w:p>
      <w:pPr>
        <w:pStyle w:val="Normal"/>
        <w:jc w:val="center"/>
        <w:rPr>
          <w:shd w:fill="FF4000" w:val="clear"/>
        </w:rPr>
      </w:pPr>
      <w:r>
        <w:rPr>
          <w:shd w:fill="FF4000" w:val="clear"/>
        </w:rPr>
      </w:r>
    </w:p>
    <w:p>
      <w:pPr>
        <w:pStyle w:val="Normal"/>
        <w:jc w:val="center"/>
        <w:rPr>
          <w:shd w:fill="FF4000" w:val="clear"/>
        </w:rPr>
      </w:pPr>
      <w:r>
        <w:rPr>
          <w:rFonts w:eastAsia="Arial" w:cs="Arial" w:ascii="Arial" w:hAnsi="Arial"/>
          <w:b/>
          <w:bCs/>
          <w:color w:val="000000"/>
          <w:shd w:fill="FFFFFF" w:val="clear"/>
        </w:rPr>
        <w:t>DAVID SPEIRS (NOVEMBER 3rd, 2023)</w:t>
      </w:r>
    </w:p>
    <w:p>
      <w:pPr>
        <w:pStyle w:val="Normal"/>
        <w:spacing w:lineRule="auto" w:line="480"/>
        <w:jc w:val="center"/>
        <w:rPr>
          <w:rFonts w:ascii="Arial" w:hAnsi="Arial"/>
          <w:b/>
          <w:b/>
          <w:bCs/>
          <w:color w:val="000000"/>
          <w:shd w:fill="FF4000" w:val="clear"/>
        </w:rPr>
      </w:pPr>
      <w:r>
        <w:rPr>
          <w:rFonts w:ascii="Arial" w:hAnsi="Arial"/>
          <w:b/>
          <w:bCs/>
          <w:color w:val="000000"/>
          <w:shd w:fill="FF4000" w:val="clear"/>
        </w:rPr>
      </w:r>
    </w:p>
    <w:p>
      <w:pPr>
        <w:pStyle w:val="Normal"/>
        <w:spacing w:lineRule="auto" w:line="480"/>
        <w:jc w:val="center"/>
        <w:rPr>
          <w:rFonts w:ascii="Arial" w:hAnsi="Arial"/>
          <w:b/>
          <w:b/>
          <w:bCs/>
          <w:color w:val="000000"/>
          <w:shd w:fill="FF4000" w:val="clear"/>
        </w:rPr>
      </w:pPr>
      <w:r>
        <w:rPr>
          <w:rFonts w:ascii="Arial" w:hAnsi="Arial"/>
          <w:b/>
          <w:bCs/>
          <w:color w:val="000000"/>
          <w:shd w:fill="FF4000" w:val="clear"/>
        </w:rPr>
      </w:r>
      <w:r>
        <w:br w:type="page"/>
      </w:r>
    </w:p>
    <w:p>
      <w:pPr>
        <w:pStyle w:val="Normal"/>
        <w:spacing w:lineRule="auto" w:line="480"/>
        <w:jc w:val="center"/>
        <w:rPr>
          <w:rFonts w:ascii="Arial" w:hAnsi="Arial"/>
          <w:b/>
          <w:b/>
          <w:bCs/>
          <w:color w:val="000000"/>
          <w:shd w:fill="FF4000" w:val="clear"/>
        </w:rPr>
      </w:pPr>
      <w:r>
        <w:rPr>
          <w:rFonts w:ascii="Arial" w:hAnsi="Arial"/>
          <w:b/>
          <w:bCs/>
          <w:color w:val="000000"/>
          <w:shd w:fill="FF4000" w:val="clear"/>
        </w:rPr>
      </w:r>
    </w:p>
    <w:p>
      <w:pPr>
        <w:pStyle w:val="Normal"/>
        <w:spacing w:lineRule="auto" w:line="480"/>
        <w:jc w:val="center"/>
        <w:rPr>
          <w:shd w:fill="FFFFFF" w:val="clear"/>
        </w:rPr>
      </w:pPr>
      <w:r>
        <w:rPr>
          <w:rFonts w:eastAsia="Arial" w:cs="Arial" w:ascii="Arial" w:hAnsi="Arial"/>
          <w:b/>
          <w:bCs/>
          <w:color w:val="000000"/>
          <w:shd w:fill="FFFFFF" w:val="clear"/>
        </w:rPr>
        <w:t xml:space="preserve">TEXTUAL ANALYSIS PORTFOLIO    </w:t>
      </w:r>
    </w:p>
    <w:p>
      <w:pPr>
        <w:pStyle w:val="Normal"/>
        <w:spacing w:lineRule="auto" w:line="480"/>
        <w:jc w:val="center"/>
        <w:rPr>
          <w:shd w:fill="FFFFFF" w:val="clear"/>
        </w:rPr>
      </w:pPr>
      <w:r>
        <w:rPr>
          <w:shd w:fill="FFFFFF" w:val="clear"/>
        </w:rPr>
      </w:r>
    </w:p>
    <w:p>
      <w:pPr>
        <w:pStyle w:val="Normal"/>
        <w:spacing w:lineRule="auto" w:line="480"/>
        <w:jc w:val="center"/>
        <w:rPr>
          <w:shd w:fill="FFFFFF" w:val="clear"/>
        </w:rPr>
      </w:pPr>
      <w:r>
        <w:rPr>
          <w:rFonts w:ascii="Arial" w:hAnsi="Arial"/>
          <w:b/>
          <w:bCs/>
          <w:color w:val="000000"/>
          <w:shd w:fill="FFFFFF" w:val="clear"/>
        </w:rPr>
        <w:t xml:space="preserve">Introduction </w:t>
      </w:r>
    </w:p>
    <w:p>
      <w:pPr>
        <w:pStyle w:val="Normal"/>
        <w:spacing w:lineRule="auto" w:line="480"/>
        <w:rPr>
          <w:rFonts w:ascii="Arial" w:hAnsi="Arial" w:cs="Arial"/>
          <w:color w:val="000000"/>
          <w:shd w:fill="FFFF00" w:val="clear"/>
        </w:rPr>
      </w:pPr>
      <w:r>
        <w:rPr>
          <w:rFonts w:cs="Arial" w:ascii="Arial" w:hAnsi="Arial"/>
          <w:color w:val="000000"/>
          <w:shd w:fill="FFFFFF" w:val="clear"/>
        </w:rPr>
        <w:t xml:space="preserve">Recently, contemporary approaches </w:t>
      </w:r>
      <w:r>
        <w:rPr>
          <w:rFonts w:eastAsia="Songti SC" w:cs="Arial" w:ascii="Arial" w:hAnsi="Arial"/>
          <w:color w:val="000000"/>
          <w:shd w:fill="FFFFFF" w:val="clear"/>
        </w:rPr>
        <w:t>are being</w:t>
      </w:r>
      <w:r>
        <w:rPr>
          <w:rFonts w:cs="Arial" w:ascii="Arial" w:hAnsi="Arial"/>
          <w:color w:val="000000"/>
          <w:shd w:fill="FFFFFF" w:val="clear"/>
        </w:rPr>
        <w:t xml:space="preserve"> used to bring fresh perspectives to the bible. In this essay a textual analysis of two short passages is given while considering some of these approaches. Firstly is the creation of Eve. </w:t>
      </w:r>
      <w:r>
        <w:rPr>
          <w:rFonts w:eastAsia="Songti SC" w:cs="Arial" w:ascii="Arial" w:hAnsi="Arial"/>
          <w:color w:val="000000"/>
          <w:shd w:fill="FFFFFF" w:val="clear"/>
        </w:rPr>
        <w:t xml:space="preserve">In Genesis, </w:t>
      </w:r>
      <w:r>
        <w:rPr>
          <w:rFonts w:cs="Arial" w:ascii="Arial" w:hAnsi="Arial"/>
          <w:color w:val="000000"/>
          <w:shd w:fill="FFFFFF" w:val="clear"/>
        </w:rPr>
        <w:t>God creates the world and everything is good. It is not until the opening verse of the short passage examined here that something not good is found, that man should be alone. The first part of this essay explores how God solves this problem, and Adam’s understanding of that solution. Throughout the analysis, biblical masculinity study is considered, defined by Creanga (in Thurman) as a “study of the representation of the male gender in biblical and related literature.”</w:t>
      </w:r>
      <w:r>
        <w:rPr>
          <w:rStyle w:val="FootnoteAnchor"/>
          <w:rFonts w:cs="Arial" w:ascii="Arial" w:hAnsi="Arial"/>
          <w:color w:val="000000"/>
          <w:shd w:fill="FFFFFF" w:val="clear"/>
        </w:rPr>
        <w:footnoteReference w:id="2"/>
      </w:r>
    </w:p>
    <w:p>
      <w:pPr>
        <w:pStyle w:val="Normal"/>
        <w:spacing w:lineRule="auto" w:line="480"/>
        <w:rPr>
          <w:shd w:fill="FF4000" w:val="clear"/>
        </w:rPr>
      </w:pPr>
      <w:r>
        <w:rPr>
          <w:shd w:fill="FF4000" w:val="clear"/>
        </w:rPr>
      </w:r>
    </w:p>
    <w:p>
      <w:pPr>
        <w:pStyle w:val="Normal"/>
        <w:spacing w:lineRule="auto" w:line="480"/>
        <w:rPr>
          <w:shd w:fill="FF4000" w:val="clear"/>
        </w:rPr>
      </w:pPr>
      <w:r>
        <w:rPr>
          <w:rFonts w:ascii="Arial" w:hAnsi="Arial"/>
          <w:color w:val="000000"/>
          <w:shd w:fill="FFFFFF" w:val="clear"/>
        </w:rPr>
        <w:t>Secondly is the relationship between David and Jonathan. 1 and 2 Samuel have been compared to a great play with character studies throughout – from Hannah’s vow while barren, to David’s act of worship turning away a plague.</w:t>
      </w:r>
      <w:r>
        <w:rPr>
          <w:rStyle w:val="FootnoteAnchor"/>
          <w:rFonts w:ascii="Arial" w:hAnsi="Arial"/>
          <w:color w:val="000000"/>
          <w:shd w:fill="FFFFFF" w:val="clear"/>
        </w:rPr>
        <w:footnoteReference w:id="3"/>
      </w:r>
      <w:r>
        <w:rPr>
          <w:rFonts w:ascii="Arial" w:hAnsi="Arial"/>
          <w:color w:val="000000"/>
          <w:shd w:fill="FFFFFF" w:val="clear"/>
        </w:rPr>
        <w:t xml:space="preserve"> David proves himself as a musician who could soothe the King, and as a warrior who could defeat a giant. The opening five verses of Chapter 18 come directly after that victory and </w:t>
      </w:r>
      <w:r>
        <w:rPr>
          <w:rFonts w:eastAsia="Songti SC" w:ascii="Arial" w:hAnsi="Arial"/>
          <w:color w:val="000000"/>
          <w:shd w:fill="FFFFFF" w:val="clear"/>
        </w:rPr>
        <w:t>show</w:t>
      </w:r>
      <w:r>
        <w:rPr>
          <w:rFonts w:ascii="Arial" w:hAnsi="Arial"/>
          <w:color w:val="000000"/>
          <w:shd w:fill="FFFFFF" w:val="clear"/>
        </w:rPr>
        <w:t xml:space="preserve"> the covenant made between Jonathan and David. The second part of the essay gives a textual analysis of these verses, touching on masculinity, queer perspective and social-scientific approaches to show the different ways the relationships between David and Jonathan can be interpreted. </w:t>
      </w:r>
      <w:r>
        <w:br w:type="page"/>
      </w:r>
    </w:p>
    <w:p>
      <w:pPr>
        <w:pStyle w:val="Normal"/>
        <w:spacing w:lineRule="auto" w:line="480"/>
        <w:jc w:val="center"/>
        <w:rPr>
          <w:shd w:fill="FFFFFF" w:val="clear"/>
        </w:rPr>
      </w:pPr>
      <w:r>
        <w:rPr>
          <w:rFonts w:eastAsia="Arial" w:cs="Arial" w:ascii="Arial" w:hAnsi="Arial"/>
          <w:b/>
          <w:bCs/>
          <w:color w:val="000000"/>
          <w:shd w:fill="FFFFFF" w:val="clear"/>
        </w:rPr>
        <w:t xml:space="preserve">Part A - Genesis 2:18-25 </w:t>
      </w:r>
    </w:p>
    <w:p>
      <w:pPr>
        <w:pStyle w:val="Normal"/>
        <w:spacing w:lineRule="auto" w:line="480"/>
        <w:rPr/>
      </w:pPr>
      <w:r>
        <w:rPr>
          <w:rFonts w:cs="Arial" w:ascii="Arial" w:hAnsi="Arial"/>
          <w:color w:val="000000"/>
          <w:shd w:fill="FFFFFF" w:val="clear"/>
        </w:rPr>
        <w:t>In verse 18 God states that it is not good for man to be alone, and so a helper suitable for him is made. Walton points to the fact that “suitable helper” is a phrase that is not seen elsewhere in the bible. The word suitable is vague, and he makes up the word “counterpartner” to give the best definition of it. It is made clear though that God does not intend for the helper to be inferior, and in other parts of the Hebrew bible the word is usually used for when God is helping man.</w:t>
      </w:r>
      <w:r>
        <w:rPr>
          <w:rStyle w:val="FootnoteAnchor"/>
          <w:rFonts w:cs="Arial" w:ascii="Arial" w:hAnsi="Arial"/>
          <w:color w:val="000000"/>
          <w:shd w:fill="FFFFFF" w:val="clear"/>
        </w:rPr>
        <w:footnoteReference w:id="4"/>
      </w:r>
      <w:r>
        <w:rPr>
          <w:rFonts w:cs="Arial" w:ascii="Arial" w:hAnsi="Arial"/>
          <w:color w:val="000000"/>
          <w:shd w:fill="FFFFFF" w:val="clear"/>
        </w:rPr>
        <w:t xml:space="preserve"> The woman is someone to help and be helped by, there to deliver the man from danger or death.</w:t>
      </w:r>
      <w:r>
        <w:rPr>
          <w:rStyle w:val="FootnoteAnchor"/>
          <w:rFonts w:cs="Arial" w:ascii="Arial" w:hAnsi="Arial"/>
          <w:color w:val="000000"/>
          <w:shd w:fill="FFFFFF" w:val="clear"/>
        </w:rPr>
        <w:footnoteReference w:id="5"/>
      </w:r>
      <w:r>
        <w:rPr>
          <w:rFonts w:cs="Arial" w:ascii="Arial" w:hAnsi="Arial"/>
          <w:color w:val="000000"/>
          <w:shd w:fill="FFFFFF" w:val="clear"/>
        </w:rPr>
        <w:t xml:space="preserve"> </w:t>
      </w:r>
    </w:p>
    <w:p>
      <w:pPr>
        <w:pStyle w:val="Normal"/>
        <w:spacing w:lineRule="auto" w:line="480"/>
        <w:rPr>
          <w:rFonts w:ascii="Arial" w:hAnsi="Arial" w:cs="Arial"/>
          <w:color w:val="000000"/>
          <w:shd w:fill="FFFFFF" w:val="clear"/>
        </w:rPr>
      </w:pPr>
      <w:r>
        <w:rPr>
          <w:rFonts w:cs="Arial" w:ascii="Arial" w:hAnsi="Arial"/>
          <w:color w:val="000000"/>
          <w:shd w:fill="FFFFFF" w:val="clear"/>
        </w:rPr>
      </w:r>
    </w:p>
    <w:p>
      <w:pPr>
        <w:pStyle w:val="Normal"/>
        <w:spacing w:lineRule="auto" w:line="480"/>
        <w:rPr/>
      </w:pPr>
      <w:r>
        <w:rPr>
          <w:rFonts w:cs="Arial" w:ascii="Arial" w:hAnsi="Arial"/>
          <w:color w:val="000000"/>
          <w:shd w:fill="FFFFFF" w:val="clear"/>
        </w:rPr>
        <w:t xml:space="preserve">While there is nothing beyond Adam being made first to suggest that he is leader, Thurman critiques a devotional self-help book  “A guide to Biblical manhood”, as a common example of American evangelical literature that shows Adam being first as making him a role model for men – </w:t>
      </w:r>
      <w:r>
        <w:rPr>
          <w:rFonts w:eastAsia="Songti SC" w:cs="Arial" w:ascii="Arial" w:hAnsi="Arial"/>
          <w:color w:val="000000"/>
          <w:shd w:fill="FFFFFF" w:val="clear"/>
        </w:rPr>
        <w:t>one</w:t>
      </w:r>
      <w:r>
        <w:rPr>
          <w:rFonts w:cs="Arial" w:ascii="Arial" w:hAnsi="Arial"/>
          <w:color w:val="000000"/>
          <w:shd w:fill="FFFFFF" w:val="clear"/>
        </w:rPr>
        <w:t xml:space="preserve"> who takes on characteristerics seen as masculine, such as leader, provider and protector.</w:t>
      </w:r>
      <w:r>
        <w:rPr>
          <w:rStyle w:val="FootnoteAnchor"/>
          <w:rFonts w:cs="Arial" w:ascii="Arial" w:hAnsi="Arial"/>
          <w:color w:val="000000"/>
          <w:shd w:fill="FFFFFF" w:val="clear"/>
        </w:rPr>
        <w:footnoteReference w:id="6"/>
      </w:r>
      <w:r>
        <w:rPr>
          <w:rFonts w:cs="Arial" w:ascii="Arial" w:hAnsi="Arial"/>
          <w:color w:val="000000"/>
          <w:shd w:fill="FFFFFF" w:val="clear"/>
        </w:rPr>
        <w:t xml:space="preserve"> There is plenty of room to argue against this. Olson is one who </w:t>
      </w:r>
      <w:r>
        <w:rPr>
          <w:rFonts w:eastAsia="Songti SC" w:cs="Arial" w:ascii="Arial" w:hAnsi="Arial"/>
          <w:color w:val="000000"/>
          <w:shd w:fill="FFFFFF" w:val="clear"/>
        </w:rPr>
        <w:t>does so, stating</w:t>
      </w:r>
      <w:r>
        <w:rPr>
          <w:rFonts w:cs="Arial" w:ascii="Arial" w:hAnsi="Arial"/>
          <w:color w:val="000000"/>
          <w:shd w:fill="FFFFFF" w:val="clear"/>
        </w:rPr>
        <w:t xml:space="preserve"> that Eve is given the status of co-creator and names the animals too. The man is created to have mutual help and interdependence with a woman. That through this gender integrated community they could support each other. </w:t>
      </w:r>
      <w:r>
        <w:rPr>
          <w:rStyle w:val="FootnoteAnchor"/>
          <w:rFonts w:cs="Arial" w:ascii="Arial" w:hAnsi="Arial"/>
          <w:color w:val="000000"/>
          <w:shd w:fill="FFFFFF" w:val="clear"/>
        </w:rPr>
        <w:footnoteReference w:id="7"/>
      </w:r>
    </w:p>
    <w:p>
      <w:pPr>
        <w:pStyle w:val="Normal"/>
        <w:spacing w:lineRule="auto" w:line="480"/>
        <w:rPr>
          <w:rFonts w:ascii="Arial" w:hAnsi="Arial" w:cs="Arial"/>
          <w:color w:val="000000"/>
          <w:shd w:fill="FFFFFF" w:val="clear"/>
        </w:rPr>
      </w:pPr>
      <w:r>
        <w:rPr>
          <w:rFonts w:cs="Arial" w:ascii="Arial" w:hAnsi="Arial"/>
          <w:color w:val="000000"/>
          <w:shd w:fill="FFFFFF" w:val="clear"/>
        </w:rPr>
      </w:r>
    </w:p>
    <w:p>
      <w:pPr>
        <w:pStyle w:val="Normal"/>
        <w:spacing w:lineRule="auto" w:line="480"/>
        <w:rPr/>
      </w:pPr>
      <w:r>
        <w:rPr>
          <w:rFonts w:cs="Arial" w:ascii="Arial" w:hAnsi="Arial"/>
          <w:color w:val="000000"/>
          <w:shd w:fill="FFFFFF" w:val="clear"/>
        </w:rPr>
        <w:t>Adam is seen naming the animals before the woman is made though, and in doing so showing that he has power over the animals. Masculinity has often being intertwined with power,</w:t>
      </w:r>
      <w:r>
        <w:rPr>
          <w:rStyle w:val="FootnoteAnchor"/>
          <w:rFonts w:cs="Arial" w:ascii="Arial" w:hAnsi="Arial"/>
          <w:color w:val="000000"/>
          <w:shd w:fill="FFFFFF" w:val="clear"/>
        </w:rPr>
        <w:footnoteReference w:id="8"/>
      </w:r>
      <w:r>
        <w:rPr>
          <w:rFonts w:cs="Arial" w:ascii="Arial" w:hAnsi="Arial"/>
          <w:color w:val="000000"/>
          <w:shd w:fill="FFFFFF" w:val="clear"/>
        </w:rPr>
        <w:t xml:space="preserve"> and through verses 19 and 20 that power is exercised. There is a great fulfilment in responsibility, but temptation comes from it too. Later masculinity will also be linked with violence, but there is no sign of that yet. Also, not everything depends on the man, there is still responsibility being taken by God. While </w:t>
      </w:r>
      <w:r>
        <w:rPr>
          <w:rFonts w:eastAsia="Songti SC" w:cs="Arial" w:ascii="Arial" w:hAnsi="Arial"/>
          <w:color w:val="000000"/>
          <w:shd w:fill="FFFFFF" w:val="clear"/>
        </w:rPr>
        <w:t>the man</w:t>
      </w:r>
      <w:r>
        <w:rPr>
          <w:rFonts w:cs="Arial" w:ascii="Arial" w:hAnsi="Arial"/>
          <w:color w:val="000000"/>
          <w:shd w:fill="FFFFFF" w:val="clear"/>
        </w:rPr>
        <w:t xml:space="preserve"> has shown authority in the naming of the animals, he is passive when it comes to the creation of his helper.</w:t>
      </w:r>
    </w:p>
    <w:p>
      <w:pPr>
        <w:pStyle w:val="Normal"/>
        <w:spacing w:lineRule="auto" w:line="480"/>
        <w:rPr>
          <w:rFonts w:ascii="Arial" w:hAnsi="Arial" w:cs="Arial"/>
          <w:color w:val="000000"/>
          <w:shd w:fill="FFFFFF" w:val="clear"/>
        </w:rPr>
      </w:pPr>
      <w:r>
        <w:rPr>
          <w:rFonts w:cs="Arial" w:ascii="Arial" w:hAnsi="Arial"/>
          <w:color w:val="000000"/>
          <w:shd w:fill="FFFFFF" w:val="clear"/>
        </w:rPr>
      </w:r>
    </w:p>
    <w:p>
      <w:pPr>
        <w:pStyle w:val="Normal"/>
        <w:spacing w:lineRule="auto" w:line="480"/>
        <w:rPr>
          <w:shd w:fill="FFFFFF" w:val="clear"/>
        </w:rPr>
      </w:pPr>
      <w:r>
        <w:rPr>
          <w:rFonts w:cs="Arial" w:ascii="Arial" w:hAnsi="Arial"/>
          <w:color w:val="000000"/>
          <w:shd w:fill="FFFFFF" w:val="clear"/>
        </w:rPr>
        <w:t>There are various masculinities shown in the Hebrew bible, but God has to be the most masculine to hold the power, with Adam showing subordinate masculinity in submitting to him.</w:t>
      </w:r>
      <w:r>
        <w:rPr>
          <w:rStyle w:val="FootnoteAnchor"/>
          <w:rFonts w:cs="Arial" w:ascii="Arial" w:hAnsi="Arial"/>
          <w:color w:val="000000"/>
          <w:shd w:fill="FFFFFF" w:val="clear"/>
        </w:rPr>
        <w:footnoteReference w:id="9"/>
      </w:r>
      <w:r>
        <w:rPr>
          <w:rFonts w:cs="Arial" w:ascii="Arial" w:hAnsi="Arial"/>
          <w:color w:val="000000"/>
          <w:shd w:fill="FFFFFF" w:val="clear"/>
        </w:rPr>
        <w:t xml:space="preserve"> In verse 21 God takes control again, creating the woman that comes from Adam’s rib. Yet the word used for rib is unusual, with it being more commonly used as the side of a building or room. The idea perhaps being again that there will be support and dependence on each other.</w:t>
      </w:r>
    </w:p>
    <w:p>
      <w:pPr>
        <w:pStyle w:val="Normal"/>
        <w:spacing w:lineRule="auto" w:line="480"/>
        <w:rPr>
          <w:shd w:fill="FFFFFF" w:val="clear"/>
        </w:rPr>
      </w:pPr>
      <w:r>
        <w:rPr>
          <w:shd w:fill="FFFFFF" w:val="clear"/>
        </w:rPr>
      </w:r>
    </w:p>
    <w:p>
      <w:pPr>
        <w:pStyle w:val="Normal"/>
        <w:spacing w:lineRule="auto" w:line="480"/>
        <w:rPr>
          <w:shd w:fill="FFFFFF" w:val="clear"/>
        </w:rPr>
      </w:pPr>
      <w:r>
        <w:rPr>
          <w:rFonts w:cs="Arial" w:ascii="Arial" w:hAnsi="Arial"/>
          <w:color w:val="000000"/>
          <w:shd w:fill="FFFFFF" w:val="clear"/>
        </w:rPr>
        <w:t>Goldingay argues that verse 22 can be seen as man discovering who he is by setting himself against woman.</w:t>
      </w:r>
      <w:r>
        <w:rPr>
          <w:rStyle w:val="FootnoteAnchor"/>
          <w:rFonts w:cs="Arial" w:ascii="Arial" w:hAnsi="Arial"/>
          <w:color w:val="000000"/>
          <w:shd w:fill="FFFFFF" w:val="clear"/>
        </w:rPr>
        <w:footnoteReference w:id="10"/>
      </w:r>
      <w:r>
        <w:rPr>
          <w:rFonts w:cs="Arial" w:ascii="Arial" w:hAnsi="Arial"/>
          <w:color w:val="000000"/>
          <w:shd w:fill="FFFFFF" w:val="clear"/>
        </w:rPr>
        <w:t xml:space="preserve"> This flips the idea of femininity being contrasted with the norm, which identifies the masculine as the standard.</w:t>
      </w:r>
      <w:r>
        <w:rPr>
          <w:rStyle w:val="FootnoteAnchor"/>
          <w:rFonts w:cs="Arial" w:ascii="Arial" w:hAnsi="Arial"/>
          <w:color w:val="000000"/>
          <w:shd w:fill="FFFFFF" w:val="clear"/>
        </w:rPr>
        <w:footnoteReference w:id="11"/>
      </w:r>
      <w:r>
        <w:rPr>
          <w:rFonts w:cs="Arial" w:ascii="Arial" w:hAnsi="Arial"/>
          <w:color w:val="000000"/>
          <w:shd w:fill="FFFFFF" w:val="clear"/>
        </w:rPr>
        <w:t xml:space="preserve"> It is not directly stated that before the woman is created, Adam is man, leading to the idea that he is androgynous before the forming of the woman. Hamilton argues against this, stating it is further than the text goes. Deutshmann disagrees, suggesting that it is only when the woman </w:t>
      </w:r>
      <w:r>
        <w:rPr>
          <w:rFonts w:eastAsia="Songti SC" w:cs="Arial" w:ascii="Arial" w:hAnsi="Arial"/>
          <w:color w:val="000000"/>
          <w:shd w:fill="FFFFFF" w:val="clear"/>
        </w:rPr>
        <w:t>is made</w:t>
      </w:r>
      <w:r>
        <w:rPr>
          <w:rFonts w:cs="Arial" w:ascii="Arial" w:hAnsi="Arial"/>
          <w:color w:val="000000"/>
          <w:shd w:fill="FFFFFF" w:val="clear"/>
        </w:rPr>
        <w:t xml:space="preserve"> that difference is recognised. That although adam is masculine, grammatical gender is not sexual identity and that the being that is created has no obvious sex.</w:t>
      </w:r>
      <w:r>
        <w:rPr>
          <w:rStyle w:val="FootnoteAnchor"/>
          <w:rFonts w:cs="Arial" w:ascii="Arial" w:hAnsi="Arial"/>
          <w:color w:val="000000"/>
          <w:shd w:fill="FFFFFF" w:val="clear"/>
        </w:rPr>
        <w:footnoteReference w:id="12"/>
      </w:r>
      <w:r>
        <w:rPr>
          <w:rFonts w:cs="Arial" w:ascii="Arial" w:hAnsi="Arial"/>
          <w:color w:val="000000"/>
          <w:shd w:fill="FFFFFF" w:val="clear"/>
        </w:rPr>
        <w:t xml:space="preserve"> </w:t>
      </w:r>
    </w:p>
    <w:p>
      <w:pPr>
        <w:pStyle w:val="Normal"/>
        <w:spacing w:lineRule="auto" w:line="480"/>
        <w:rPr>
          <w:rFonts w:ascii="Arial" w:hAnsi="Arial" w:cs="Arial"/>
          <w:color w:val="000000"/>
        </w:rPr>
      </w:pPr>
      <w:r>
        <w:rPr>
          <w:rFonts w:cs="Arial" w:ascii="Arial" w:hAnsi="Arial"/>
          <w:color w:val="000000"/>
        </w:rPr>
      </w:r>
    </w:p>
    <w:p>
      <w:pPr>
        <w:pStyle w:val="Normal"/>
        <w:spacing w:lineRule="auto" w:line="480"/>
        <w:rPr>
          <w:rFonts w:ascii="Arial" w:hAnsi="Arial" w:cs="Arial"/>
          <w:color w:val="000000"/>
        </w:rPr>
      </w:pPr>
      <w:r>
        <w:rPr>
          <w:rFonts w:cs="Arial" w:ascii="Arial" w:hAnsi="Arial"/>
          <w:color w:val="000000"/>
          <w:shd w:fill="FFFFFF" w:val="clear"/>
        </w:rPr>
        <w:t>While God made the woman as a companion, it seems to be the man who decides that this is his wife in verse 23. Despite this, much of the research has taken it as given that God means Adam and Eve to be married, even though verse 18 only states that God never intends man, as a social creature, to be alone. Guzik is one who not only takes the leap of this meaning marriage, but goes further to claim that “The wildest, most violent, sociopathic men in history have always been single.”,</w:t>
      </w:r>
      <w:r>
        <w:rPr>
          <w:rStyle w:val="FootnoteAnchor"/>
          <w:rFonts w:cs="Arial" w:ascii="Arial" w:hAnsi="Arial"/>
          <w:color w:val="000000"/>
          <w:shd w:fill="FFFFFF" w:val="clear"/>
        </w:rPr>
        <w:footnoteReference w:id="13"/>
      </w:r>
      <w:r>
        <w:rPr>
          <w:rFonts w:cs="Arial" w:ascii="Arial" w:hAnsi="Arial"/>
          <w:color w:val="000000"/>
          <w:shd w:fill="FFFFFF" w:val="clear"/>
        </w:rPr>
        <w:t xml:space="preserve"> ignoring the fact that the deadliest rulers in history, such as Mao, Stalin and Hitler, were all married. As are the majority of serial killers.</w:t>
      </w:r>
      <w:r>
        <w:rPr>
          <w:rStyle w:val="FootnoteAnchor"/>
          <w:rFonts w:cs="Arial" w:ascii="Arial" w:hAnsi="Arial"/>
          <w:color w:val="000000"/>
          <w:shd w:fill="FFFFFF" w:val="clear"/>
        </w:rPr>
        <w:footnoteReference w:id="14"/>
      </w:r>
      <w:r>
        <w:rPr>
          <w:rFonts w:cs="Arial" w:ascii="Arial" w:hAnsi="Arial"/>
          <w:color w:val="000000"/>
          <w:shd w:fill="FFFFFF" w:val="clear"/>
        </w:rPr>
        <w:t xml:space="preserve"> </w:t>
      </w:r>
      <w:r>
        <w:rPr>
          <w:rFonts w:cs="Arial" w:ascii="Arial" w:hAnsi="Arial"/>
          <w:color w:val="000000"/>
        </w:rPr>
        <w:t>It is Adam therefore, not God, who declares the woman to be “bone of my bone, and flesh of my flesh.” This is the first human speech in the bible, a “triumphant song of recognition of woman and self- recognition of the man.</w:t>
      </w:r>
      <w:r>
        <w:rPr>
          <w:rStyle w:val="FootnoteAnchor"/>
          <w:rFonts w:cs="Arial" w:ascii="Arial" w:hAnsi="Arial"/>
          <w:color w:val="000000"/>
        </w:rPr>
        <w:footnoteReference w:id="15"/>
      </w:r>
      <w:r>
        <w:rPr>
          <w:rFonts w:cs="Arial" w:ascii="Arial" w:hAnsi="Arial"/>
          <w:color w:val="000000"/>
        </w:rPr>
        <w:t xml:space="preserve">” It is also Adam grabbing authority and choosing a partner. </w:t>
      </w:r>
      <w:r>
        <w:rPr>
          <w:rFonts w:cs="Arial" w:ascii="Arial" w:hAnsi="Arial"/>
          <w:color w:val="000000"/>
          <w:shd w:fill="FFFFFF" w:val="clear"/>
        </w:rPr>
        <w:t xml:space="preserve"> </w:t>
      </w:r>
      <w:r>
        <w:rPr>
          <w:rFonts w:cs="Arial" w:ascii="Arial" w:hAnsi="Arial"/>
          <w:color w:val="000000"/>
        </w:rPr>
        <w:t xml:space="preserve">Hamilton and Wenham state that </w:t>
      </w:r>
      <w:r>
        <w:rPr>
          <w:rFonts w:eastAsia="Songti SC" w:cs="Arial" w:ascii="Arial" w:hAnsi="Arial"/>
          <w:color w:val="000000"/>
        </w:rPr>
        <w:t>Adam’s speech</w:t>
      </w:r>
      <w:r>
        <w:rPr>
          <w:rFonts w:cs="Arial" w:ascii="Arial" w:hAnsi="Arial"/>
          <w:color w:val="000000"/>
        </w:rPr>
        <w:t xml:space="preserve"> suggests a covenant, a pledge of loyalty to the woman, that imperfectly mirrors God’s loyalty to Israel. </w:t>
      </w:r>
    </w:p>
    <w:p>
      <w:pPr>
        <w:pStyle w:val="Normal"/>
        <w:spacing w:lineRule="auto" w:line="480"/>
        <w:rPr>
          <w:rFonts w:ascii="Arial" w:hAnsi="Arial" w:cs="Arial"/>
          <w:color w:val="000000"/>
          <w:shd w:fill="FFFFFF" w:val="clear"/>
        </w:rPr>
      </w:pPr>
      <w:r>
        <w:rPr>
          <w:rFonts w:cs="Arial" w:ascii="Arial" w:hAnsi="Arial"/>
          <w:color w:val="000000"/>
          <w:shd w:fill="FFFFFF" w:val="clear"/>
        </w:rPr>
      </w:r>
    </w:p>
    <w:p>
      <w:pPr>
        <w:pStyle w:val="Normal"/>
        <w:spacing w:lineRule="auto" w:line="480"/>
        <w:rPr/>
      </w:pPr>
      <w:r>
        <w:rPr>
          <w:rFonts w:cs="Arial" w:ascii="Arial" w:hAnsi="Arial"/>
          <w:color w:val="000000"/>
          <w:shd w:fill="FFFFFF" w:val="clear"/>
        </w:rPr>
        <w:t>The naming of the woman by Adam mirrors his naming of the animals previously. Wenham states that this makes the woman subordinate to him. This stance is perhaps based on New Testament scripture, where the author of 1 Timothy states “Adam was formed first, then Eve” when forbidding a woman to teach a man. It is a stance more recent authors generally disagree with, Walton pointing to the vocabulary and syntax being used as different, and more in line with an equality.</w:t>
      </w:r>
      <w:r>
        <w:rPr>
          <w:rStyle w:val="FootnoteAnchor"/>
          <w:rFonts w:cs="Arial" w:ascii="Arial" w:hAnsi="Arial"/>
          <w:color w:val="000000"/>
          <w:shd w:fill="FFFFFF" w:val="clear"/>
        </w:rPr>
        <w:footnoteReference w:id="16"/>
      </w:r>
      <w:r>
        <w:rPr>
          <w:rFonts w:cs="Arial" w:ascii="Arial" w:hAnsi="Arial"/>
          <w:color w:val="000000"/>
          <w:shd w:fill="FFFFFF" w:val="clear"/>
        </w:rPr>
        <w:t xml:space="preserve"> </w:t>
      </w:r>
    </w:p>
    <w:p>
      <w:pPr>
        <w:pStyle w:val="Normal"/>
        <w:spacing w:lineRule="auto" w:line="480"/>
        <w:rPr>
          <w:rFonts w:ascii="Arial" w:hAnsi="Arial" w:cs="Arial"/>
          <w:i/>
          <w:i/>
          <w:iCs/>
          <w:color w:val="000000"/>
          <w:shd w:fill="FFFF00" w:val="clear"/>
        </w:rPr>
      </w:pPr>
      <w:r>
        <w:rPr>
          <w:rFonts w:cs="Arial" w:ascii="Arial" w:hAnsi="Arial"/>
          <w:i/>
          <w:iCs/>
          <w:color w:val="000000"/>
          <w:shd w:fill="FFFF00" w:val="clear"/>
        </w:rPr>
      </w:r>
    </w:p>
    <w:p>
      <w:pPr>
        <w:pStyle w:val="Normal"/>
        <w:spacing w:lineRule="auto" w:line="480"/>
        <w:rPr>
          <w:rFonts w:ascii="Arial" w:hAnsi="Arial" w:cs="Arial"/>
          <w:color w:val="000000"/>
        </w:rPr>
      </w:pPr>
      <w:r>
        <w:rPr>
          <w:rFonts w:cs="Arial" w:ascii="Arial" w:hAnsi="Arial"/>
          <w:color w:val="000000"/>
        </w:rPr>
        <w:t xml:space="preserve">Although Thurman states that Verse 24 shows </w:t>
      </w:r>
      <w:r>
        <w:rPr>
          <w:rFonts w:cs="Arial" w:ascii="Arial" w:hAnsi="Arial"/>
          <w:color w:val="282828"/>
          <w:shd w:fill="FFFFFF" w:val="clear"/>
        </w:rPr>
        <w:t xml:space="preserve">“God set a pattern with Adam of men taking the lead in forming new families,” </w:t>
      </w:r>
      <w:r>
        <w:rPr>
          <w:rFonts w:cs="Arial" w:ascii="Arial" w:hAnsi="Arial"/>
          <w:color w:val="000000"/>
          <w:shd w:fill="FFFFFF" w:val="clear"/>
        </w:rPr>
        <w:t>it is</w:t>
      </w:r>
      <w:r>
        <w:rPr>
          <w:rFonts w:cs="Arial" w:ascii="Arial" w:hAnsi="Arial"/>
          <w:color w:val="000000"/>
        </w:rPr>
        <w:t xml:space="preserve"> Adam that creates the pattern when he made marriage from the creation of woman. Deutchmann suggests that this making of a couple sets up a tension, where being lonely has not been solved by friendship, or group, but in a couple that may work together with good or bad results.</w:t>
      </w:r>
      <w:r>
        <w:rPr>
          <w:rStyle w:val="FootnoteAnchor"/>
          <w:rFonts w:cs="Arial" w:ascii="Arial" w:hAnsi="Arial"/>
          <w:color w:val="000000"/>
        </w:rPr>
        <w:footnoteReference w:id="17"/>
      </w:r>
      <w:r>
        <w:rPr>
          <w:rFonts w:cs="Arial" w:ascii="Arial" w:hAnsi="Arial"/>
          <w:color w:val="000000"/>
        </w:rPr>
        <w:t xml:space="preserve"> </w:t>
      </w:r>
      <w:r>
        <w:rPr>
          <w:rFonts w:eastAsia="Songti SC" w:cs="Arial" w:ascii="Arial" w:hAnsi="Arial"/>
          <w:color w:val="000000"/>
        </w:rPr>
        <w:t>From a cultural viewpoint it is unusual that</w:t>
      </w:r>
      <w:r>
        <w:rPr>
          <w:rFonts w:cs="Arial" w:ascii="Arial" w:hAnsi="Arial"/>
          <w:color w:val="000000"/>
        </w:rPr>
        <w:t xml:space="preserve"> “the man leaves his father and mother.” instead of writing that the woman becomes part of the man’s tribe, which was normal is Israelite society.</w:t>
      </w:r>
      <w:r>
        <w:rPr>
          <w:rStyle w:val="FootnoteAnchor"/>
          <w:rFonts w:cs="Arial" w:ascii="Arial" w:hAnsi="Arial"/>
          <w:color w:val="000000"/>
        </w:rPr>
        <w:footnoteReference w:id="18"/>
      </w:r>
      <w:r>
        <w:rPr>
          <w:rFonts w:cs="Arial" w:ascii="Arial" w:hAnsi="Arial"/>
          <w:color w:val="000000"/>
        </w:rPr>
        <w:t xml:space="preserve"> Wenham suggests that the answer to this is in man’s priorities, before marriage they are to his parents, after to his wife. What is given is an ideal of marriage, characterised as harmony between the partners.</w:t>
      </w:r>
      <w:r>
        <w:rPr>
          <w:rStyle w:val="FootnoteAnchor"/>
          <w:rFonts w:cs="Arial" w:ascii="Arial" w:hAnsi="Arial"/>
          <w:color w:val="000000"/>
        </w:rPr>
        <w:footnoteReference w:id="19"/>
      </w:r>
      <w:r>
        <w:rPr>
          <w:rFonts w:cs="Arial" w:ascii="Arial" w:hAnsi="Arial"/>
          <w:color w:val="000000"/>
        </w:rPr>
        <w:t xml:space="preserve"> Hamilton points to its use in Ephesians, where Paul states that this verse foretells the relationship between Christ and the church.</w:t>
      </w:r>
      <w:r>
        <w:rPr>
          <w:rStyle w:val="FootnoteAnchor"/>
          <w:rFonts w:cs="Arial" w:ascii="Arial" w:hAnsi="Arial"/>
          <w:color w:val="000000"/>
        </w:rPr>
        <w:footnoteReference w:id="20"/>
      </w:r>
    </w:p>
    <w:p>
      <w:pPr>
        <w:pStyle w:val="TextBody"/>
        <w:spacing w:lineRule="auto" w:line="480"/>
        <w:rPr>
          <w:rFonts w:ascii="TimesNewRomanPSMT" w:hAnsi="TimesNewRomanPSMT" w:cs="Arial"/>
          <w:color w:val="000000"/>
          <w:sz w:val="22"/>
          <w:shd w:fill="FFFF00" w:val="clear"/>
        </w:rPr>
      </w:pPr>
      <w:r>
        <w:rPr>
          <w:rFonts w:cs="Arial" w:ascii="TimesNewRomanPSMT" w:hAnsi="TimesNewRomanPSMT"/>
          <w:color w:val="000000"/>
          <w:sz w:val="22"/>
          <w:shd w:fill="FFFF00" w:val="clear"/>
        </w:rPr>
      </w:r>
    </w:p>
    <w:p>
      <w:pPr>
        <w:pStyle w:val="Normal"/>
        <w:spacing w:lineRule="auto" w:line="480"/>
        <w:rPr/>
      </w:pPr>
      <w:r>
        <w:rPr>
          <w:rFonts w:cs="Arial" w:ascii="Arial" w:hAnsi="Arial"/>
          <w:color w:val="000000"/>
          <w:shd w:fill="FFFFFF" w:val="clear"/>
        </w:rPr>
        <w:t xml:space="preserve">Finally in verse 25, Adam and Eve are shown as naked. Unlike other parts of the bible, this </w:t>
      </w:r>
      <w:r>
        <w:rPr>
          <w:rFonts w:eastAsia="Songti SC" w:cs="Arial" w:ascii="Arial" w:hAnsi="Arial"/>
          <w:color w:val="000000"/>
          <w:shd w:fill="FFFFFF" w:val="clear"/>
        </w:rPr>
        <w:t>does not link</w:t>
      </w:r>
      <w:r>
        <w:rPr>
          <w:rFonts w:cs="Arial" w:ascii="Arial" w:hAnsi="Arial"/>
          <w:color w:val="000000"/>
          <w:shd w:fill="FFFFFF" w:val="clear"/>
        </w:rPr>
        <w:t xml:space="preserve"> to poverty, shame or guilt.</w:t>
      </w:r>
      <w:r>
        <w:rPr>
          <w:rStyle w:val="FootnoteAnchor"/>
          <w:rFonts w:cs="Arial" w:ascii="Arial" w:hAnsi="Arial"/>
          <w:color w:val="000000"/>
          <w:shd w:fill="FFFFFF" w:val="clear"/>
        </w:rPr>
        <w:footnoteReference w:id="21"/>
      </w:r>
      <w:r>
        <w:rPr>
          <w:rFonts w:cs="Arial" w:ascii="Arial" w:hAnsi="Arial"/>
          <w:color w:val="000000"/>
          <w:shd w:fill="FFFFFF" w:val="clear"/>
        </w:rPr>
        <w:t xml:space="preserve"> They had no sin, instead Henry points to the fact that they are perfect, and therefore in no need of ornamentation, they are content with what they have.</w:t>
      </w:r>
      <w:r>
        <w:rPr>
          <w:rStyle w:val="FootnoteAnchor"/>
          <w:rFonts w:cs="Arial" w:ascii="Arial" w:hAnsi="Arial"/>
          <w:color w:val="000000"/>
          <w:shd w:fill="FFFFFF" w:val="clear"/>
        </w:rPr>
        <w:footnoteReference w:id="22"/>
      </w:r>
      <w:r>
        <w:rPr>
          <w:rFonts w:cs="Arial" w:ascii="Arial" w:hAnsi="Arial"/>
          <w:color w:val="000000"/>
          <w:shd w:fill="FFFFFF" w:val="clear"/>
        </w:rPr>
        <w:t xml:space="preserve"> It is a state of innocence that will quickly be lost in the following chapters. </w:t>
      </w:r>
    </w:p>
    <w:p>
      <w:pPr>
        <w:pStyle w:val="Normal"/>
        <w:spacing w:lineRule="auto" w:line="480"/>
        <w:jc w:val="center"/>
        <w:rPr>
          <w:shd w:fill="FFFFFF" w:val="clear"/>
        </w:rPr>
      </w:pPr>
      <w:r>
        <w:rPr>
          <w:shd w:fill="FFFFFF" w:val="clear"/>
        </w:rPr>
      </w:r>
    </w:p>
    <w:p>
      <w:pPr>
        <w:pStyle w:val="Normal"/>
        <w:spacing w:lineRule="auto" w:line="480"/>
        <w:jc w:val="center"/>
        <w:rPr>
          <w:shd w:fill="FFFFFF" w:val="clear"/>
        </w:rPr>
      </w:pPr>
      <w:r>
        <w:rPr>
          <w:shd w:fill="FFFFFF" w:val="clear"/>
        </w:rPr>
      </w:r>
    </w:p>
    <w:p>
      <w:pPr>
        <w:pStyle w:val="Normal"/>
        <w:spacing w:lineRule="auto" w:line="480"/>
        <w:jc w:val="center"/>
        <w:rPr>
          <w:shd w:fill="FFFFFF" w:val="clear"/>
        </w:rPr>
      </w:pPr>
      <w:r>
        <w:rPr>
          <w:rFonts w:eastAsia="Arial" w:cs="Arial" w:ascii="Arial" w:hAnsi="Arial"/>
          <w:b/>
          <w:bCs/>
          <w:color w:val="000000"/>
          <w:shd w:fill="FFFFFF" w:val="clear"/>
        </w:rPr>
        <w:t xml:space="preserve">Part B - 1 Samuel 18:1-5  </w:t>
      </w:r>
    </w:p>
    <w:p>
      <w:pPr>
        <w:pStyle w:val="Normal"/>
        <w:spacing w:lineRule="auto" w:line="480"/>
        <w:rPr/>
      </w:pPr>
      <w:r>
        <w:rPr>
          <w:rFonts w:ascii="Arial" w:hAnsi="Arial"/>
          <w:color w:val="000000"/>
          <w:shd w:fill="FFFFFF" w:val="clear"/>
        </w:rPr>
        <w:t>The second passage considered is from 1 Samuel. Through 1 Samuel, Saul’s suspicion of David grows. Jonathan’s love for David, on the other hand, is absolute and immediate, as seen here in verse 1. It is not stated if they knew each other from before the fight with Goliath, although it seems likely. However, as Tiemeyer points out, the love Jonathan has for David seems to come from nowhere.</w:t>
      </w:r>
      <w:r>
        <w:rPr>
          <w:rStyle w:val="FootnoteAnchor"/>
          <w:rFonts w:ascii="Arial" w:hAnsi="Arial"/>
          <w:color w:val="000000"/>
          <w:shd w:fill="FFFFFF" w:val="clear"/>
        </w:rPr>
        <w:footnoteReference w:id="23"/>
      </w:r>
      <w:r>
        <w:rPr>
          <w:rFonts w:ascii="Arial" w:hAnsi="Arial"/>
          <w:color w:val="000000"/>
          <w:shd w:fill="FFFFFF" w:val="clear"/>
        </w:rPr>
        <w:t xml:space="preserve"> There are many theories for why, and how Jonathan loves, ranging from political and personal gain to homoerotic or brotherly love.</w:t>
      </w:r>
    </w:p>
    <w:p>
      <w:pPr>
        <w:pStyle w:val="Normal"/>
        <w:spacing w:lineRule="auto" w:line="480"/>
        <w:rPr>
          <w:rFonts w:ascii="MinionPro" w:hAnsi="MinionPro"/>
          <w:color w:val="000000"/>
          <w:sz w:val="22"/>
          <w:shd w:fill="00A933" w:val="clear"/>
        </w:rPr>
      </w:pPr>
      <w:r>
        <w:rPr>
          <w:rFonts w:ascii="MinionPro" w:hAnsi="MinionPro"/>
          <w:color w:val="000000"/>
          <w:sz w:val="22"/>
          <w:shd w:fill="00A933" w:val="clear"/>
        </w:rPr>
      </w:r>
    </w:p>
    <w:p>
      <w:pPr>
        <w:pStyle w:val="Normal"/>
        <w:spacing w:lineRule="auto" w:line="480"/>
        <w:rPr/>
      </w:pPr>
      <w:r>
        <w:rPr>
          <w:rFonts w:ascii="Arial" w:hAnsi="Arial"/>
          <w:color w:val="000000"/>
          <w:shd w:fill="FFFFFF" w:val="clear"/>
        </w:rPr>
        <w:t>Firstly, whether they want it or not, politics have to be part of the relationship between the crown prince and the hero of Israel. Thompson argues that the word love (‘aheb) will be used later in political contexts, such as the King of Tyre’s love for David (1 Kings 5:1).</w:t>
      </w:r>
      <w:r>
        <w:rPr>
          <w:rStyle w:val="FootnoteAnchor"/>
          <w:rFonts w:ascii="Arial" w:hAnsi="Arial"/>
          <w:color w:val="000000"/>
          <w:shd w:fill="FFFFFF" w:val="clear"/>
        </w:rPr>
        <w:footnoteReference w:id="24"/>
      </w:r>
      <w:r>
        <w:rPr>
          <w:rFonts w:ascii="Arial" w:hAnsi="Arial"/>
          <w:color w:val="000000"/>
          <w:shd w:fill="FFFFFF" w:val="clear"/>
        </w:rPr>
        <w:t xml:space="preserve"> He adds that it is used at other points in this chapter too, to show an unfolding political drama (1 Sam. 18:16-22). Kimani suggests that it is not only political in a worldly sense, but that the opening five verses show God propelling David towards the throne. That the nature and motive of their love is secondary to God’s rejection of Saul and anointing of David as King.</w:t>
      </w:r>
      <w:r>
        <w:rPr>
          <w:rStyle w:val="FootnoteAnchor"/>
          <w:rFonts w:ascii="Arial" w:hAnsi="Arial"/>
          <w:color w:val="000000"/>
          <w:shd w:fill="FFFFFF" w:val="clear"/>
        </w:rPr>
        <w:footnoteReference w:id="25"/>
      </w:r>
      <w:r>
        <w:rPr>
          <w:rFonts w:ascii="Arial" w:hAnsi="Arial"/>
          <w:color w:val="000000"/>
          <w:shd w:fill="FFFFFF" w:val="clear"/>
        </w:rPr>
        <w:t xml:space="preserve"> Secondly, even if the friendship is based on a love and admiration for each other, both gain from it. David in the short-term through having an ally to help ward off Saul’s attacks (1 Sam. 20), while Jonathan benefits long term and indi</w:t>
      </w:r>
      <w:bookmarkStart w:id="0" w:name="en-NIV-8229"/>
      <w:bookmarkEnd w:id="0"/>
      <w:r>
        <w:rPr>
          <w:rFonts w:ascii="Arial" w:hAnsi="Arial"/>
          <w:color w:val="000000"/>
          <w:shd w:fill="FFFFFF" w:val="clear"/>
        </w:rPr>
        <w:t>rectly with David showing kindness to his son, Mephibosheth, because of the covenant they make together in verse 3 (2 Sam. 9).</w:t>
      </w:r>
    </w:p>
    <w:p>
      <w:pPr>
        <w:pStyle w:val="Normal"/>
        <w:spacing w:lineRule="auto" w:line="480"/>
        <w:rPr>
          <w:rFonts w:ascii="Arial" w:hAnsi="Arial"/>
          <w:color w:val="000000"/>
          <w:shd w:fill="FFFFFF" w:val="clear"/>
        </w:rPr>
      </w:pPr>
      <w:r>
        <w:rPr>
          <w:rFonts w:ascii="Arial" w:hAnsi="Arial"/>
          <w:color w:val="000000"/>
          <w:shd w:fill="FFFFFF" w:val="clear"/>
        </w:rPr>
      </w:r>
    </w:p>
    <w:p>
      <w:pPr>
        <w:pStyle w:val="Normal"/>
        <w:spacing w:lineRule="auto" w:line="480"/>
        <w:rPr/>
      </w:pPr>
      <w:r>
        <w:rPr>
          <w:rFonts w:ascii="Arial" w:hAnsi="Arial"/>
          <w:color w:val="000000"/>
          <w:shd w:fill="FFFFFF" w:val="clear"/>
        </w:rPr>
        <w:t>Tiemeyer reviews research that argues for a homoerotic interpretation, ignored because of heteronormative biases. Jonathan can be seen as David’s ‘significant other’ by modern readers, and as in a homoerotic relationship by ancient Mediterranean cultures, but in ancient Israel neither of these interpretations would have been understood.</w:t>
      </w:r>
      <w:r>
        <w:rPr>
          <w:rStyle w:val="FootnoteAnchor"/>
          <w:rFonts w:ascii="Arial" w:hAnsi="Arial"/>
          <w:color w:val="000000"/>
          <w:shd w:fill="FFFFFF" w:val="clear"/>
        </w:rPr>
        <w:footnoteReference w:id="26"/>
      </w:r>
      <w:r>
        <w:rPr>
          <w:rFonts w:ascii="Arial" w:hAnsi="Arial"/>
          <w:color w:val="000000"/>
          <w:shd w:fill="FFFFFF" w:val="clear"/>
        </w:rPr>
        <w:t xml:space="preserve"> Horst summarises arguments for a homoerotic relationship between them, or at least that this is their desire, but that society makes it impossible. He points out the numerous problems this causes however, not least that Jonathan’s sister Michal shares this deep love for David, and that gay appropriation of David’s love is at the expense of her. There is also a removing of the culture, ignoring the need for</w:t>
      </w:r>
      <w:r>
        <w:rPr>
          <w:shd w:fill="FFFFFF" w:val="clear"/>
        </w:rPr>
        <w:t xml:space="preserve"> ‘</w:t>
      </w:r>
      <w:r>
        <w:rPr>
          <w:rFonts w:ascii="Arial" w:hAnsi="Arial"/>
          <w:color w:val="000000"/>
          <w:shd w:fill="FFFFFF" w:val="clear"/>
        </w:rPr>
        <w:t>an inclusive society that fights against the experience of oppression and liberation’.</w:t>
      </w:r>
      <w:r>
        <w:rPr>
          <w:rStyle w:val="FootnoteAnchor"/>
          <w:rFonts w:ascii="Arial" w:hAnsi="Arial"/>
          <w:color w:val="000000"/>
          <w:shd w:fill="FFFFFF" w:val="clear"/>
        </w:rPr>
        <w:footnoteReference w:id="27"/>
      </w:r>
      <w:r>
        <w:rPr>
          <w:rFonts w:ascii="Arial" w:hAnsi="Arial"/>
          <w:color w:val="000000"/>
          <w:shd w:fill="FFFFFF" w:val="clear"/>
        </w:rPr>
        <w:t xml:space="preserve"> Within the context of the Hebrew Bible, a homoerotic relationship would be sinful. It can be argued that both David and Jonathan go against social norms in other places in 1 Samuel – Jonathan when he directly attacks the Philistines (1 Sam. 14) and David when eating consecrated bread (1 Sam. 21:6). But having no account of it does not fit with another example of David’s sinful sexual activity, with Bathsheba, that is written about in detail (2 Sam. 11). </w:t>
      </w:r>
    </w:p>
    <w:p>
      <w:pPr>
        <w:pStyle w:val="Normal"/>
        <w:spacing w:lineRule="auto" w:line="480"/>
        <w:rPr>
          <w:rFonts w:ascii="Arial" w:hAnsi="Arial"/>
          <w:color w:val="000000"/>
          <w:shd w:fill="FFFFFF" w:val="clear"/>
        </w:rPr>
      </w:pPr>
      <w:r>
        <w:rPr>
          <w:rFonts w:ascii="Arial" w:hAnsi="Arial"/>
          <w:color w:val="000000"/>
          <w:shd w:fill="FFFFFF" w:val="clear"/>
        </w:rPr>
      </w:r>
    </w:p>
    <w:p>
      <w:pPr>
        <w:pStyle w:val="Normal"/>
        <w:spacing w:lineRule="auto" w:line="480"/>
        <w:rPr/>
      </w:pPr>
      <w:r>
        <w:rPr>
          <w:rFonts w:ascii="Arial" w:hAnsi="Arial"/>
          <w:color w:val="000000"/>
          <w:shd w:fill="FFFFFF" w:val="clear"/>
        </w:rPr>
        <w:t>Connected to homoeroticism, is the theme of masculinity. Stansell argues that in David’s passiveness, Jonathan is the patron in the relationship.</w:t>
      </w:r>
      <w:r>
        <w:rPr>
          <w:rStyle w:val="FootnoteAnchor"/>
          <w:rFonts w:ascii="Arial" w:hAnsi="Arial"/>
          <w:color w:val="000000"/>
          <w:shd w:fill="FFFFFF" w:val="clear"/>
        </w:rPr>
        <w:footnoteReference w:id="28"/>
      </w:r>
      <w:r>
        <w:rPr>
          <w:rFonts w:ascii="Arial" w:hAnsi="Arial"/>
          <w:color w:val="000000"/>
          <w:shd w:fill="FFFFFF" w:val="clear"/>
        </w:rPr>
        <w:t xml:space="preserve"> It could be argued that this means David shows less masculinity. On the other hand, Arnold argues that Jonathan becomes like the women in David’s life, emptying themselves for David’s sake. This is how he is motivated to abdicate the throne.</w:t>
      </w:r>
      <w:r>
        <w:rPr>
          <w:rStyle w:val="FootnoteAnchor"/>
          <w:rFonts w:ascii="Arial" w:hAnsi="Arial"/>
          <w:color w:val="000000"/>
          <w:shd w:fill="FFFFFF" w:val="clear"/>
        </w:rPr>
        <w:footnoteReference w:id="29"/>
      </w:r>
      <w:r>
        <w:rPr>
          <w:rFonts w:ascii="Arial" w:hAnsi="Arial"/>
          <w:color w:val="000000"/>
          <w:shd w:fill="FFFFFF" w:val="clear"/>
        </w:rPr>
        <w:t xml:space="preserve"> David’s masculinity is unusual. It takes more traditional forms such as a warrior, but also can be seen through his musical skills and beauty. </w:t>
      </w:r>
      <w:r>
        <w:rPr>
          <w:rFonts w:eastAsia="Songti SC" w:ascii="Arial" w:hAnsi="Arial"/>
          <w:color w:val="000000"/>
          <w:shd w:fill="FFFFFF" w:val="clear"/>
        </w:rPr>
        <w:t>Arnold also</w:t>
      </w:r>
      <w:r>
        <w:rPr>
          <w:rFonts w:ascii="Arial" w:hAnsi="Arial"/>
          <w:color w:val="000000"/>
          <w:shd w:fill="FFFFFF" w:val="clear"/>
        </w:rPr>
        <w:t xml:space="preserve"> argues against an actual homosexual relationship though, stating that such a reading denies the right of heterosexual men to have a loving, non-sexual relationship with men. </w:t>
      </w:r>
    </w:p>
    <w:p>
      <w:pPr>
        <w:pStyle w:val="Normal"/>
        <w:spacing w:lineRule="auto" w:line="480"/>
        <w:rPr>
          <w:rFonts w:ascii="Arial" w:hAnsi="Arial"/>
          <w:color w:val="000000"/>
          <w:shd w:fill="FFFFFF" w:val="clear"/>
        </w:rPr>
      </w:pPr>
      <w:r>
        <w:rPr>
          <w:rFonts w:ascii="Arial" w:hAnsi="Arial"/>
          <w:color w:val="000000"/>
          <w:shd w:fill="FFFFFF" w:val="clear"/>
        </w:rPr>
      </w:r>
    </w:p>
    <w:p>
      <w:pPr>
        <w:pStyle w:val="Normal"/>
        <w:spacing w:lineRule="auto" w:line="480"/>
        <w:rPr/>
      </w:pPr>
      <w:r>
        <w:rPr>
          <w:rFonts w:ascii="Arial" w:hAnsi="Arial"/>
          <w:color w:val="000000"/>
          <w:shd w:fill="FFFFFF" w:val="clear"/>
        </w:rPr>
        <w:t>A final interpretation of their friendship therefore is based on brotherly love. Although Jonathan is probably a few years older than David, Guzik points to the fact that they had a lot in common. They are both bold men of action that share a real relationship with God.</w:t>
      </w:r>
      <w:r>
        <w:rPr>
          <w:rStyle w:val="FootnoteAnchor"/>
          <w:rFonts w:ascii="Arial" w:hAnsi="Arial"/>
          <w:color w:val="000000"/>
          <w:shd w:fill="FFFFFF" w:val="clear"/>
        </w:rPr>
        <w:footnoteReference w:id="30"/>
      </w:r>
      <w:r>
        <w:rPr>
          <w:rFonts w:ascii="Arial" w:hAnsi="Arial"/>
          <w:color w:val="000000"/>
          <w:shd w:fill="FFFFFF" w:val="clear"/>
        </w:rPr>
        <w:t xml:space="preserve"> In the previous chapter, David was unhappy at the Philistines defaming of God, something Jonathan recognises as a zeal that matches his own, and is of more importance to him than a threat to the throne. While David appears passive in the relationship, their souls are described in various biblical translation as being one (NIV), bound (NRSVA) and knit (NKJV). It is difficult to imagine their souls being joined in this way if the love was only from one party.</w:t>
      </w:r>
    </w:p>
    <w:p>
      <w:pPr>
        <w:pStyle w:val="Normal"/>
        <w:spacing w:lineRule="auto" w:line="480"/>
        <w:rPr>
          <w:rFonts w:ascii="Arial" w:hAnsi="Arial"/>
          <w:color w:val="000000"/>
          <w:shd w:fill="FFFFFF" w:val="clear"/>
        </w:rPr>
      </w:pPr>
      <w:r>
        <w:rPr>
          <w:rFonts w:ascii="Arial" w:hAnsi="Arial"/>
          <w:color w:val="000000"/>
          <w:shd w:fill="FFFFFF" w:val="clear"/>
        </w:rPr>
      </w:r>
    </w:p>
    <w:p>
      <w:pPr>
        <w:pStyle w:val="Normal"/>
        <w:spacing w:lineRule="auto" w:line="480"/>
        <w:rPr/>
      </w:pPr>
      <w:r>
        <w:rPr>
          <w:rFonts w:ascii="Arial" w:hAnsi="Arial"/>
          <w:color w:val="000000"/>
          <w:shd w:fill="FFFFFF" w:val="clear"/>
        </w:rPr>
        <w:t>Stansell suggests that to understand the David-Jonathan narrative properly, a social science viewpoint is helpful. He argues that friendships, despite having some constants, are very different across cultures.</w:t>
      </w:r>
      <w:r>
        <w:rPr>
          <w:rStyle w:val="FootnoteAnchor"/>
          <w:rFonts w:ascii="Arial" w:hAnsi="Arial"/>
          <w:color w:val="000000"/>
          <w:shd w:fill="FFFFFF" w:val="clear"/>
        </w:rPr>
        <w:footnoteReference w:id="31"/>
      </w:r>
      <w:r>
        <w:rPr>
          <w:rFonts w:ascii="Arial" w:hAnsi="Arial"/>
          <w:color w:val="000000"/>
          <w:shd w:fill="FFFFFF" w:val="clear"/>
        </w:rPr>
        <w:t xml:space="preserve"> That what can be romanticised in western cultures, is not the case in other cultures. Using a social-scientific model he suggests that the friendship can be described as ritualized, with oath taking and gifts given.</w:t>
      </w:r>
      <w:r>
        <w:rPr>
          <w:rStyle w:val="FootnoteAnchor"/>
          <w:rFonts w:ascii="Arial" w:hAnsi="Arial"/>
          <w:color w:val="000000"/>
          <w:shd w:fill="FFFFFF" w:val="clear"/>
        </w:rPr>
        <w:footnoteReference w:id="32"/>
      </w:r>
      <w:r>
        <w:rPr>
          <w:rFonts w:ascii="Arial" w:hAnsi="Arial"/>
          <w:color w:val="000000"/>
          <w:shd w:fill="FFFFFF" w:val="clear"/>
        </w:rPr>
        <w:t xml:space="preserve"> Gift giving is something Tyson sees as a big part of friendships across cultures, drawing connections with the Tikopia of Polynesia where the gifts represent trust, reciprocity and protection benefits.</w:t>
      </w:r>
      <w:r>
        <w:rPr>
          <w:rStyle w:val="FootnoteAnchor"/>
          <w:rFonts w:ascii="Arial" w:hAnsi="Arial"/>
          <w:color w:val="000000"/>
          <w:shd w:fill="FFFFFF" w:val="clear"/>
        </w:rPr>
        <w:footnoteReference w:id="33"/>
      </w:r>
      <w:r>
        <w:rPr>
          <w:rFonts w:ascii="Arial" w:hAnsi="Arial"/>
          <w:color w:val="000000"/>
          <w:shd w:fill="FFFFFF" w:val="clear"/>
        </w:rPr>
        <w:t xml:space="preserve"> Stansell also argues that the word love (‘aheb) has a deeply familial, kinship aspect to it, that it is used for Jacob’s love of Benjamin (Gen. 44:30).</w:t>
      </w:r>
      <w:r>
        <w:rPr>
          <w:rStyle w:val="FootnoteAnchor"/>
          <w:rFonts w:ascii="Arial" w:hAnsi="Arial"/>
          <w:color w:val="000000"/>
          <w:shd w:fill="FFFFFF" w:val="clear"/>
        </w:rPr>
        <w:footnoteReference w:id="34"/>
      </w:r>
      <w:r>
        <w:rPr>
          <w:rFonts w:ascii="Arial" w:hAnsi="Arial"/>
          <w:color w:val="000000"/>
          <w:shd w:fill="FFFFFF" w:val="clear"/>
        </w:rPr>
        <w:t xml:space="preserve"> While there is support for a political and personal friendship, again there is nothing in the cross-cultural model of friendship that supports a homoerotic connection. Tyson </w:t>
      </w:r>
      <w:r>
        <w:rPr>
          <w:rFonts w:eastAsia="Songti SC" w:ascii="Arial" w:hAnsi="Arial"/>
          <w:color w:val="000000"/>
          <w:shd w:fill="FFFFFF" w:val="clear"/>
        </w:rPr>
        <w:t>suggests it</w:t>
      </w:r>
      <w:r>
        <w:rPr>
          <w:rFonts w:ascii="Arial" w:hAnsi="Arial"/>
          <w:color w:val="000000"/>
          <w:shd w:fill="FFFFFF" w:val="clear"/>
        </w:rPr>
        <w:t xml:space="preserve"> is most akin to the Chinese concept of ‘guanxi’, where affective and instrumental aspects of friendship are incorporated.</w:t>
      </w:r>
      <w:r>
        <w:rPr>
          <w:rStyle w:val="FootnoteAnchor"/>
          <w:rFonts w:ascii="Arial" w:hAnsi="Arial"/>
          <w:color w:val="000000"/>
          <w:shd w:fill="FFFFFF" w:val="clear"/>
        </w:rPr>
        <w:footnoteReference w:id="35"/>
      </w:r>
      <w:r>
        <w:rPr>
          <w:rFonts w:ascii="Arial" w:hAnsi="Arial"/>
          <w:color w:val="000000"/>
          <w:shd w:fill="FFFFFF" w:val="clear"/>
        </w:rPr>
        <w:t xml:space="preserve"> </w:t>
      </w:r>
    </w:p>
    <w:p>
      <w:pPr>
        <w:pStyle w:val="TextBody"/>
        <w:spacing w:lineRule="auto" w:line="480"/>
        <w:rPr>
          <w:rFonts w:ascii="Arial" w:hAnsi="Arial"/>
          <w:color w:val="000000"/>
          <w:sz w:val="22"/>
          <w:szCs w:val="22"/>
          <w:shd w:fill="F7D1D5" w:val="clear"/>
        </w:rPr>
      </w:pPr>
      <w:r>
        <w:rPr>
          <w:rFonts w:ascii="Arial" w:hAnsi="Arial"/>
          <w:color w:val="000000"/>
          <w:sz w:val="22"/>
          <w:szCs w:val="22"/>
          <w:shd w:fill="F7D1D5" w:val="clear"/>
        </w:rPr>
      </w:r>
    </w:p>
    <w:p>
      <w:pPr>
        <w:pStyle w:val="TextBody"/>
        <w:spacing w:lineRule="auto" w:line="480"/>
        <w:rPr>
          <w:shd w:fill="FFFFFF" w:val="clear"/>
        </w:rPr>
      </w:pPr>
      <w:r>
        <w:rPr>
          <w:rFonts w:ascii="Arial" w:hAnsi="Arial"/>
          <w:color w:val="000000"/>
          <w:shd w:fill="FFFFFF" w:val="clear"/>
        </w:rPr>
        <w:t>The second verse shows Saul’s reaction to David after the fight with Goliath, forbidding him to return to his family. It is unclear if this is meant to be positive, negative, or somewhere in between. Being part of the King’s household is a jump in status to the youngest son of a shepherd, but the wording is unpromising. As Kimani states, the negative form of the phrase ‘Did not allow him’ at least hints at a tension between Saul and David.</w:t>
      </w:r>
      <w:r>
        <w:rPr>
          <w:rStyle w:val="FootnoteAnchor"/>
          <w:rFonts w:ascii="Arial" w:hAnsi="Arial"/>
          <w:color w:val="000000"/>
          <w:shd w:fill="FFFFFF" w:val="clear"/>
        </w:rPr>
        <w:footnoteReference w:id="36"/>
      </w:r>
      <w:r>
        <w:rPr>
          <w:rFonts w:ascii="Arial" w:hAnsi="Arial"/>
          <w:color w:val="000000"/>
          <w:shd w:fill="FFFFFF" w:val="clear"/>
        </w:rPr>
        <w:t xml:space="preserve"> </w:t>
      </w:r>
    </w:p>
    <w:p>
      <w:pPr>
        <w:pStyle w:val="TextBody"/>
        <w:spacing w:lineRule="auto" w:line="480"/>
        <w:rPr>
          <w:rFonts w:ascii="Arial" w:hAnsi="Arial"/>
          <w:color w:val="000000"/>
          <w:shd w:fill="FFFFFF" w:val="clear"/>
        </w:rPr>
      </w:pPr>
      <w:r>
        <w:rPr>
          <w:rFonts w:ascii="Arial" w:hAnsi="Arial"/>
          <w:color w:val="000000"/>
          <w:shd w:fill="FFFFFF" w:val="clear"/>
        </w:rPr>
      </w:r>
    </w:p>
    <w:p>
      <w:pPr>
        <w:pStyle w:val="TextBody"/>
        <w:spacing w:lineRule="auto" w:line="480"/>
        <w:rPr/>
      </w:pPr>
      <w:r>
        <w:rPr>
          <w:rFonts w:ascii="Arial" w:hAnsi="Arial"/>
          <w:color w:val="000000"/>
          <w:shd w:fill="FFFFFF" w:val="clear"/>
        </w:rPr>
        <w:t>The third verse reiterates the love that Jonathan has for David, and that this leads to a covenant between them. The covenant endures not just between David and Jonathan, but as stated earlier, to Jonathan’s descendants too. The immediate outcome of it is seen in verse 4. Multiple authors state that as Jonathan hands over his garments, he hands over his right to the throne too, committing an act of faith in God to become lesser than David.</w:t>
      </w:r>
      <w:r>
        <w:rPr>
          <w:rStyle w:val="FootnoteAnchor"/>
          <w:rFonts w:ascii="Arial" w:hAnsi="Arial"/>
          <w:color w:val="000000"/>
          <w:shd w:fill="FFFFFF" w:val="clear"/>
        </w:rPr>
        <w:footnoteReference w:id="37"/>
      </w:r>
      <w:r>
        <w:rPr>
          <w:rFonts w:ascii="Arial" w:hAnsi="Arial"/>
          <w:color w:val="000000"/>
          <w:shd w:fill="FFFFFF" w:val="clear"/>
        </w:rPr>
        <w:t xml:space="preserve"> </w:t>
      </w:r>
      <w:r>
        <w:rPr>
          <w:rStyle w:val="FootnoteAnchor"/>
          <w:rFonts w:ascii="Arial" w:hAnsi="Arial"/>
          <w:color w:val="000000"/>
          <w:shd w:fill="FFFFFF" w:val="clear"/>
        </w:rPr>
        <w:footnoteReference w:id="38"/>
      </w:r>
      <w:r>
        <w:rPr>
          <w:rFonts w:ascii="Arial" w:hAnsi="Arial"/>
          <w:color w:val="000000"/>
          <w:shd w:fill="FFFFFF" w:val="clear"/>
        </w:rPr>
        <w:t xml:space="preserve"> Although there is still another twenty years until David actually becomes King.</w:t>
      </w:r>
      <w:r>
        <w:rPr>
          <w:rStyle w:val="FootnoteAnchor"/>
          <w:rFonts w:ascii="Arial" w:hAnsi="Arial"/>
          <w:color w:val="000000"/>
          <w:shd w:fill="FFFFFF" w:val="clear"/>
        </w:rPr>
        <w:footnoteReference w:id="39"/>
      </w:r>
      <w:r>
        <w:rPr>
          <w:rFonts w:ascii="Arial" w:hAnsi="Arial"/>
          <w:color w:val="000000"/>
          <w:shd w:fill="FFFFFF" w:val="clear"/>
        </w:rPr>
        <w:t xml:space="preserve">  Prouser also notes that David gaining these garments is part of a pattern where he gains clothing (1 Sam. 17:38, 18:4) while Saul continually loses his (1 Sam. 15:28, 17:38, 24:4, 31:9), and that this is a sign of God’s approval and disapproval.</w:t>
      </w:r>
      <w:r>
        <w:rPr>
          <w:rStyle w:val="FootnoteAnchor"/>
          <w:rFonts w:ascii="Arial" w:hAnsi="Arial"/>
          <w:color w:val="000000"/>
          <w:shd w:fill="FFFFFF" w:val="clear"/>
        </w:rPr>
        <w:footnoteReference w:id="40"/>
      </w:r>
      <w:r>
        <w:rPr>
          <w:rFonts w:ascii="Arial" w:hAnsi="Arial"/>
          <w:color w:val="000000"/>
          <w:shd w:fill="FFFFFF" w:val="clear"/>
        </w:rPr>
        <w:t xml:space="preserve"> Henry adds that the gift of armour from Jonathan means that David can now dress as a soldier.</w:t>
      </w:r>
      <w:r>
        <w:rPr>
          <w:rStyle w:val="FootnoteAnchor"/>
          <w:rFonts w:ascii="Arial" w:hAnsi="Arial"/>
          <w:color w:val="000000"/>
          <w:shd w:fill="FFFFFF" w:val="clear"/>
        </w:rPr>
        <w:footnoteReference w:id="41"/>
      </w:r>
    </w:p>
    <w:p>
      <w:pPr>
        <w:pStyle w:val="TextBody"/>
        <w:spacing w:lineRule="auto" w:line="480"/>
        <w:rPr>
          <w:rFonts w:ascii="Arial" w:hAnsi="Arial"/>
          <w:color w:val="000000"/>
          <w:shd w:fill="FFFF00" w:val="clear"/>
        </w:rPr>
      </w:pPr>
      <w:r>
        <w:rPr>
          <w:rFonts w:ascii="Arial" w:hAnsi="Arial"/>
          <w:color w:val="000000"/>
          <w:shd w:fill="FFFF00" w:val="clear"/>
        </w:rPr>
      </w:r>
    </w:p>
    <w:p>
      <w:pPr>
        <w:pStyle w:val="TextBody"/>
        <w:spacing w:lineRule="auto" w:line="480"/>
        <w:rPr/>
      </w:pPr>
      <w:r>
        <w:rPr>
          <w:rFonts w:ascii="Arial" w:hAnsi="Arial"/>
          <w:color w:val="000000"/>
          <w:shd w:fill="FFFFFF" w:val="clear"/>
        </w:rPr>
        <w:t xml:space="preserve">With David now being proven, and dressed, as a soldier, in verse 5 Saul sends him on many missions.  He meets such success that he gains approval from the soldiers, other officers and initially Saul too. They admire his military and musical talent. However, for Saul it quickly turns to jealousy. </w:t>
      </w:r>
    </w:p>
    <w:p>
      <w:pPr>
        <w:pStyle w:val="TextBody"/>
        <w:spacing w:lineRule="auto" w:line="480"/>
        <w:rPr>
          <w:rFonts w:ascii="Arial" w:hAnsi="Arial"/>
          <w:color w:val="000000"/>
          <w:shd w:fill="FFFFFF" w:val="clear"/>
        </w:rPr>
      </w:pPr>
      <w:r>
        <w:rPr>
          <w:rFonts w:ascii="Arial" w:hAnsi="Arial"/>
          <w:color w:val="000000"/>
          <w:shd w:fill="FFFFFF" w:val="clear"/>
        </w:rPr>
      </w:r>
    </w:p>
    <w:p>
      <w:pPr>
        <w:pStyle w:val="TextBody"/>
        <w:spacing w:lineRule="auto" w:line="480"/>
        <w:jc w:val="center"/>
        <w:rPr/>
      </w:pPr>
      <w:r>
        <w:rPr>
          <w:rFonts w:ascii="Arial" w:hAnsi="Arial"/>
          <w:b/>
          <w:bCs/>
          <w:color w:val="000000"/>
          <w:shd w:fill="FFFFFF" w:val="clear"/>
        </w:rPr>
        <w:t>Conclusion</w:t>
      </w:r>
    </w:p>
    <w:p>
      <w:pPr>
        <w:pStyle w:val="Normal"/>
        <w:spacing w:lineRule="auto" w:line="480"/>
        <w:rPr>
          <w:shd w:fill="FFFFFF" w:val="clear"/>
        </w:rPr>
      </w:pPr>
      <w:r>
        <w:rPr>
          <w:rFonts w:ascii="Arial" w:hAnsi="Arial"/>
          <w:color w:val="000000"/>
          <w:shd w:fill="FFFFFF" w:val="clear"/>
        </w:rPr>
        <w:t xml:space="preserve">Both passages look at the dynamics of a relationship. The first shows the various interpretations Adam’s masculinity in his relationship with Eve. The relationship between Jonathan and David dominates the </w:t>
      </w:r>
      <w:r>
        <w:rPr>
          <w:rFonts w:eastAsia="Songti SC" w:ascii="Arial" w:hAnsi="Arial"/>
          <w:color w:val="000000"/>
          <w:shd w:fill="FFFFFF" w:val="clear"/>
        </w:rPr>
        <w:t>second</w:t>
      </w:r>
      <w:r>
        <w:rPr>
          <w:rFonts w:ascii="Arial" w:hAnsi="Arial"/>
          <w:color w:val="000000"/>
          <w:shd w:fill="FFFFFF" w:val="clear"/>
        </w:rPr>
        <w:t xml:space="preserve"> passage examined, with the most likely description of it being a mixture of friendship and politics. There is more to the story than just one friendship. It is a relationship will decide the next King of Israel, and ultimately the nation’s future. For Adam and Eve the stakes are even higher, their relationship not only is used as a model for marriage, but will even be used as an example of Christ and the church.</w:t>
      </w:r>
    </w:p>
    <w:p>
      <w:pPr>
        <w:pStyle w:val="Normal"/>
        <w:spacing w:lineRule="auto" w:line="480"/>
        <w:rPr>
          <w:shd w:fill="FFFFFF" w:val="clear"/>
        </w:rPr>
      </w:pPr>
      <w:r>
        <w:rPr>
          <w:shd w:fill="FFFFFF" w:val="clear"/>
        </w:rPr>
      </w:r>
    </w:p>
    <w:p>
      <w:pPr>
        <w:pStyle w:val="Normal"/>
        <w:spacing w:lineRule="auto" w:line="480"/>
        <w:jc w:val="center"/>
        <w:rPr/>
      </w:pPr>
      <w:r>
        <w:rPr>
          <w:rFonts w:cs="Arial" w:ascii="Arial" w:hAnsi="Arial"/>
          <w:b/>
          <w:bCs/>
          <w:color w:val="000000"/>
          <w:shd w:fill="FFFFFF" w:val="clear"/>
        </w:rPr>
        <w:t xml:space="preserve">Bibliography </w:t>
      </w:r>
    </w:p>
    <w:p>
      <w:pPr>
        <w:pStyle w:val="Normal"/>
        <w:rPr>
          <w:shd w:fill="FFFFFF" w:val="clear"/>
        </w:rPr>
      </w:pPr>
      <w:r>
        <w:rPr>
          <w:rFonts w:ascii="Arial" w:hAnsi="Arial"/>
          <w:color w:val="000000"/>
          <w:shd w:fill="FFFFFF" w:val="clear"/>
        </w:rPr>
        <w:t xml:space="preserve">Arnold, Bill T., </w:t>
      </w:r>
      <w:r>
        <w:rPr>
          <w:rFonts w:ascii="Arial" w:hAnsi="Arial"/>
          <w:i/>
          <w:iCs/>
          <w:color w:val="000000"/>
          <w:shd w:fill="FFFFFF" w:val="clear"/>
        </w:rPr>
        <w:t>1 and 2 Samuel</w:t>
      </w:r>
      <w:r>
        <w:rPr>
          <w:rFonts w:ascii="Arial" w:hAnsi="Arial"/>
          <w:color w:val="000000"/>
          <w:shd w:fill="FFFFFF" w:val="clear"/>
        </w:rPr>
        <w:t xml:space="preserve"> (Zondervan Academic:GrandRapids, 2003).</w:t>
      </w:r>
    </w:p>
    <w:p>
      <w:pPr>
        <w:pStyle w:val="Normal"/>
        <w:rPr>
          <w:rFonts w:ascii="Arial" w:hAnsi="Arial"/>
          <w:color w:val="000000"/>
          <w:shd w:fill="FFFFFF" w:val="clear"/>
        </w:rPr>
      </w:pPr>
      <w:r>
        <w:rPr>
          <w:rFonts w:ascii="Arial" w:hAnsi="Arial"/>
          <w:color w:val="000000"/>
          <w:shd w:fill="FFFFFF" w:val="clear"/>
        </w:rPr>
      </w:r>
    </w:p>
    <w:p>
      <w:pPr>
        <w:pStyle w:val="Normal"/>
        <w:rPr>
          <w:rFonts w:ascii="Arial" w:hAnsi="Arial"/>
          <w:color w:val="000000"/>
          <w:shd w:fill="FFFFFF" w:val="clear"/>
        </w:rPr>
      </w:pPr>
      <w:r>
        <w:rPr>
          <w:rFonts w:ascii="Arial" w:hAnsi="Arial"/>
          <w:color w:val="000000"/>
          <w:shd w:fill="FFFFFF" w:val="clear"/>
        </w:rPr>
        <w:t>Bonn, Scott, ‘5 Myths about serial killers and why they persist’, https://www.scientificamerican.com/article/5-myths-about-serial-killers-and-why-they-persist-excerpt/, 31 October 2023.</w:t>
      </w:r>
    </w:p>
    <w:p>
      <w:pPr>
        <w:pStyle w:val="Normal"/>
        <w:rPr>
          <w:rFonts w:ascii="Arial" w:hAnsi="Arial"/>
          <w:color w:val="000000"/>
          <w:shd w:fill="FFFFFF" w:val="clear"/>
        </w:rPr>
      </w:pPr>
      <w:r>
        <w:rPr>
          <w:rFonts w:ascii="Arial" w:hAnsi="Arial"/>
          <w:color w:val="000000"/>
          <w:shd w:fill="FFFFFF" w:val="clear"/>
        </w:rPr>
      </w:r>
    </w:p>
    <w:p>
      <w:pPr>
        <w:pStyle w:val="Normal"/>
        <w:rPr>
          <w:shd w:fill="FFFFFF" w:val="clear"/>
        </w:rPr>
      </w:pPr>
      <w:r>
        <w:rPr>
          <w:rFonts w:ascii="Arial" w:hAnsi="Arial"/>
          <w:color w:val="000000"/>
          <w:shd w:fill="FFFFFF" w:val="clear"/>
        </w:rPr>
        <w:t xml:space="preserve">Davis, Dale Ralph, </w:t>
      </w:r>
      <w:r>
        <w:rPr>
          <w:rFonts w:ascii="Arial" w:hAnsi="Arial"/>
          <w:i/>
          <w:iCs/>
          <w:color w:val="000000"/>
          <w:shd w:fill="FFFFFF" w:val="clear"/>
        </w:rPr>
        <w:t>1 Samuel: Looking on the Heart</w:t>
      </w:r>
      <w:r>
        <w:rPr>
          <w:rFonts w:ascii="Arial" w:hAnsi="Arial"/>
          <w:color w:val="000000"/>
          <w:shd w:fill="FFFFFF" w:val="clear"/>
        </w:rPr>
        <w:t xml:space="preserve"> (Christian Focus Publishings: Ross-shire, 2000).</w:t>
      </w:r>
    </w:p>
    <w:p>
      <w:pPr>
        <w:pStyle w:val="Normal"/>
        <w:rPr>
          <w:rFonts w:ascii="Arial" w:hAnsi="Arial"/>
          <w:color w:val="000000"/>
          <w:shd w:fill="FFFFFF" w:val="clear"/>
        </w:rPr>
      </w:pPr>
      <w:r>
        <w:rPr>
          <w:rFonts w:ascii="Arial" w:hAnsi="Arial"/>
          <w:color w:val="000000"/>
          <w:shd w:fill="FFFFFF" w:val="clear"/>
        </w:rPr>
      </w:r>
    </w:p>
    <w:p>
      <w:pPr>
        <w:pStyle w:val="Normal"/>
        <w:rPr>
          <w:shd w:fill="FFFFFF" w:val="clear"/>
        </w:rPr>
      </w:pPr>
      <w:r>
        <w:rPr>
          <w:rFonts w:ascii="Arial" w:hAnsi="Arial"/>
          <w:color w:val="000000"/>
          <w:shd w:fill="FFFFFF" w:val="clear"/>
        </w:rPr>
        <w:t xml:space="preserve">Deutschmann, Barbara, </w:t>
      </w:r>
      <w:r>
        <w:rPr>
          <w:rFonts w:ascii="Arial" w:hAnsi="Arial"/>
          <w:i/>
          <w:iCs/>
          <w:color w:val="000000"/>
          <w:shd w:fill="FFFFFF" w:val="clear"/>
        </w:rPr>
        <w:t>Creating gender in the garden: the inconstant partnership of Eve and Adam</w:t>
      </w:r>
      <w:r>
        <w:rPr>
          <w:rFonts w:ascii="Arial" w:hAnsi="Arial"/>
          <w:color w:val="000000"/>
          <w:shd w:fill="FFFFFF" w:val="clear"/>
        </w:rPr>
        <w:t xml:space="preserve"> (Bloomsbury Publishing, 2022).</w:t>
      </w:r>
    </w:p>
    <w:p>
      <w:pPr>
        <w:pStyle w:val="Normal"/>
        <w:rPr>
          <w:rFonts w:ascii="Arial" w:hAnsi="Arial"/>
          <w:color w:val="000000"/>
        </w:rPr>
      </w:pPr>
      <w:r>
        <w:rPr>
          <w:rFonts w:ascii="Arial" w:hAnsi="Arial"/>
          <w:color w:val="000000"/>
        </w:rPr>
      </w:r>
    </w:p>
    <w:p>
      <w:pPr>
        <w:pStyle w:val="Normal"/>
        <w:rPr>
          <w:shd w:fill="FFFFFF" w:val="clear"/>
        </w:rPr>
      </w:pPr>
      <w:r>
        <w:rPr>
          <w:rFonts w:ascii="Arial" w:hAnsi="Arial"/>
          <w:color w:val="000000"/>
          <w:shd w:fill="FFFFFF" w:val="clear"/>
        </w:rPr>
        <w:t xml:space="preserve">Goldingay, John, ‘Hosea 1-3, Genesis 1-4, and Masculist Interpretation.' </w:t>
      </w:r>
      <w:r>
        <w:rPr>
          <w:rFonts w:ascii="Arial" w:hAnsi="Arial"/>
          <w:i/>
          <w:iCs/>
          <w:color w:val="000000"/>
          <w:shd w:fill="FFFFFF" w:val="clear"/>
        </w:rPr>
        <w:t>Horizons in biblical theology</w:t>
      </w:r>
      <w:r>
        <w:rPr>
          <w:rFonts w:ascii="Arial" w:hAnsi="Arial"/>
          <w:color w:val="000000"/>
          <w:shd w:fill="FFFFFF" w:val="clear"/>
        </w:rPr>
        <w:t xml:space="preserve"> 17, no. 1 (1995), pp. 37-44.</w:t>
      </w:r>
    </w:p>
    <w:p>
      <w:pPr>
        <w:pStyle w:val="Normal"/>
        <w:rPr>
          <w:rFonts w:ascii="Arial" w:hAnsi="Arial"/>
          <w:color w:val="000000"/>
        </w:rPr>
      </w:pPr>
      <w:r>
        <w:rPr>
          <w:rFonts w:ascii="Arial" w:hAnsi="Arial"/>
          <w:color w:val="000000"/>
        </w:rPr>
      </w:r>
    </w:p>
    <w:p>
      <w:pPr>
        <w:pStyle w:val="Normal"/>
        <w:rPr>
          <w:rFonts w:ascii="Arial" w:hAnsi="Arial"/>
          <w:color w:val="000000"/>
          <w:shd w:fill="FFFFFF" w:val="clear"/>
        </w:rPr>
      </w:pPr>
      <w:r>
        <w:rPr>
          <w:rFonts w:ascii="Arial" w:hAnsi="Arial"/>
          <w:color w:val="000000"/>
          <w:shd w:fill="FFFFFF" w:val="clear"/>
        </w:rPr>
        <w:t>Guzik, David, ‘Genesis 2 – Creation Completed; Adam in the Garden of Eden’, https://enduringword.com/bible-commentary/genesis-2/, 28 October 2023.</w:t>
      </w:r>
    </w:p>
    <w:p>
      <w:pPr>
        <w:pStyle w:val="Normal"/>
        <w:rPr>
          <w:rFonts w:ascii="Arial" w:hAnsi="Arial"/>
          <w:color w:val="000000"/>
          <w:shd w:fill="FFFFFF" w:val="clear"/>
        </w:rPr>
      </w:pPr>
      <w:r>
        <w:rPr>
          <w:rFonts w:ascii="Arial" w:hAnsi="Arial"/>
          <w:color w:val="000000"/>
          <w:shd w:fill="FFFFFF" w:val="clear"/>
        </w:rPr>
      </w:r>
    </w:p>
    <w:p>
      <w:pPr>
        <w:pStyle w:val="Normal"/>
        <w:rPr>
          <w:shd w:fill="FFFFFF" w:val="clear"/>
        </w:rPr>
      </w:pPr>
      <w:r>
        <w:rPr>
          <w:rFonts w:ascii="Arial" w:hAnsi="Arial"/>
          <w:color w:val="000000"/>
          <w:shd w:fill="FFFFFF" w:val="clear"/>
        </w:rPr>
        <w:t>Guzik, David, ‘1 Samuel 18 – Conflict between Saul and David’, https://enduringword.com/bible-commentary/1-samuel-18/, 16 October 2023.</w:t>
      </w:r>
    </w:p>
    <w:p>
      <w:pPr>
        <w:pStyle w:val="Normal"/>
        <w:rPr>
          <w:rFonts w:ascii="Arial" w:hAnsi="Arial"/>
          <w:color w:val="000000"/>
        </w:rPr>
      </w:pPr>
      <w:r>
        <w:rPr>
          <w:rFonts w:ascii="Arial" w:hAnsi="Arial"/>
          <w:color w:val="000000"/>
        </w:rPr>
      </w:r>
    </w:p>
    <w:p>
      <w:pPr>
        <w:pStyle w:val="Normal"/>
        <w:rPr>
          <w:shd w:fill="FFFFFF" w:val="clear"/>
        </w:rPr>
      </w:pPr>
      <w:r>
        <w:rPr>
          <w:rFonts w:ascii="Arial" w:hAnsi="Arial"/>
          <w:color w:val="000000"/>
          <w:shd w:fill="FFFFFF" w:val="clear"/>
        </w:rPr>
        <w:t xml:space="preserve">Haddox, Susan E., ‘Masculinity Studies of the Hebrew Bible: The First Two Decades’ </w:t>
      </w:r>
      <w:r>
        <w:rPr>
          <w:rFonts w:ascii="Arial" w:hAnsi="Arial"/>
          <w:i/>
          <w:iCs/>
          <w:color w:val="000000"/>
          <w:shd w:fill="FFFFFF" w:val="clear"/>
        </w:rPr>
        <w:t>Currents in Biblical Research</w:t>
      </w:r>
      <w:r>
        <w:rPr>
          <w:rFonts w:ascii="Arial" w:hAnsi="Arial"/>
          <w:color w:val="000000"/>
          <w:shd w:fill="FFFFFF" w:val="clear"/>
        </w:rPr>
        <w:t xml:space="preserve"> 14, no. 2 (2016), pp. 176-206.</w:t>
      </w:r>
    </w:p>
    <w:p>
      <w:pPr>
        <w:pStyle w:val="Normal"/>
        <w:rPr>
          <w:rFonts w:ascii="Arial" w:hAnsi="Arial"/>
          <w:color w:val="000000"/>
        </w:rPr>
      </w:pPr>
      <w:r>
        <w:rPr>
          <w:rFonts w:ascii="Arial" w:hAnsi="Arial"/>
          <w:color w:val="000000"/>
        </w:rPr>
      </w:r>
    </w:p>
    <w:p>
      <w:pPr>
        <w:pStyle w:val="Normal"/>
        <w:rPr>
          <w:shd w:fill="FFFFFF" w:val="clear"/>
        </w:rPr>
      </w:pPr>
      <w:r>
        <w:rPr>
          <w:rFonts w:ascii="Arial" w:hAnsi="Arial"/>
          <w:color w:val="000000"/>
          <w:shd w:fill="FFFFFF" w:val="clear"/>
        </w:rPr>
        <w:t xml:space="preserve">Hamilton, Victor P., </w:t>
      </w:r>
      <w:r>
        <w:rPr>
          <w:rFonts w:ascii="Arial" w:hAnsi="Arial"/>
          <w:i/>
          <w:iCs/>
          <w:color w:val="000000"/>
          <w:shd w:fill="FFFFFF" w:val="clear"/>
        </w:rPr>
        <w:t>The Book of Genesis, Chapters 1:17</w:t>
      </w:r>
      <w:r>
        <w:rPr>
          <w:rFonts w:ascii="Arial" w:hAnsi="Arial"/>
          <w:color w:val="000000"/>
          <w:shd w:fill="FFFFFF" w:val="clear"/>
        </w:rPr>
        <w:t xml:space="preserve"> (Eerdmann:Grand Rapids, 1990).</w:t>
      </w:r>
    </w:p>
    <w:p>
      <w:pPr>
        <w:pStyle w:val="Normal"/>
        <w:rPr>
          <w:color w:val="000000"/>
          <w:shd w:fill="FFFF00" w:val="clear"/>
        </w:rPr>
      </w:pPr>
      <w:r>
        <w:rPr>
          <w:color w:val="000000"/>
          <w:shd w:fill="FFFF00" w:val="clear"/>
        </w:rPr>
      </w:r>
    </w:p>
    <w:p>
      <w:pPr>
        <w:pStyle w:val="Normal"/>
        <w:rPr>
          <w:rFonts w:ascii="Arial" w:hAnsi="Arial"/>
          <w:color w:val="000000"/>
          <w:shd w:fill="FFFFFF" w:val="clear"/>
        </w:rPr>
      </w:pPr>
      <w:r>
        <w:rPr>
          <w:rFonts w:ascii="Arial" w:hAnsi="Arial"/>
          <w:color w:val="000000"/>
          <w:shd w:fill="FFFFFF" w:val="clear"/>
        </w:rPr>
        <w:t>Henry, Matthew, ‘Commentary on Genesis 2’, https://www.blueletterbible.org/Comm/mhc/Gen/Gen_002.cfm, 28 October 2023.</w:t>
      </w:r>
    </w:p>
    <w:p>
      <w:pPr>
        <w:pStyle w:val="Normal"/>
        <w:rPr>
          <w:rFonts w:ascii="Arial" w:hAnsi="Arial"/>
          <w:color w:val="000000"/>
          <w:shd w:fill="FFFFFF" w:val="clear"/>
        </w:rPr>
      </w:pPr>
      <w:r>
        <w:rPr>
          <w:rFonts w:ascii="Arial" w:hAnsi="Arial"/>
          <w:color w:val="000000"/>
          <w:shd w:fill="FFFFFF" w:val="clear"/>
        </w:rPr>
      </w:r>
    </w:p>
    <w:p>
      <w:pPr>
        <w:pStyle w:val="Normal"/>
        <w:rPr>
          <w:rFonts w:ascii="Arial" w:hAnsi="Arial"/>
          <w:color w:val="000000"/>
          <w:shd w:fill="FFFFFF" w:val="clear"/>
        </w:rPr>
      </w:pPr>
      <w:r>
        <w:rPr>
          <w:rFonts w:ascii="Arial" w:hAnsi="Arial"/>
          <w:color w:val="000000"/>
          <w:shd w:fill="FFFFFF" w:val="clear"/>
        </w:rPr>
        <w:t>Henry, Matthew, ‘Commentary on 1 Samuel 18’,</w:t>
      </w:r>
      <w:r>
        <w:rPr>
          <w:rFonts w:ascii="Arial" w:hAnsi="Arial"/>
          <w:color w:val="000000"/>
          <w:shd w:fill="FF4000" w:val="clear"/>
        </w:rPr>
        <w:t xml:space="preserve"> </w:t>
      </w:r>
      <w:r>
        <w:rPr>
          <w:rFonts w:ascii="Arial" w:hAnsi="Arial"/>
          <w:color w:val="000000"/>
          <w:shd w:fill="FFFFFF" w:val="clear"/>
        </w:rPr>
        <w:t>https://www.blueletterbible.org/Comm/mhc/1Sa/1Sa_018.cfm, 16 October 2023.</w:t>
      </w:r>
    </w:p>
    <w:p>
      <w:pPr>
        <w:pStyle w:val="Normal"/>
        <w:rPr>
          <w:rFonts w:ascii="Arial" w:hAnsi="Arial"/>
          <w:color w:val="000000"/>
          <w:shd w:fill="FFFFFF" w:val="clear"/>
        </w:rPr>
      </w:pPr>
      <w:r>
        <w:rPr>
          <w:rFonts w:ascii="Arial" w:hAnsi="Arial"/>
          <w:color w:val="000000"/>
          <w:shd w:fill="FFFFFF" w:val="clear"/>
        </w:rPr>
      </w:r>
    </w:p>
    <w:p>
      <w:pPr>
        <w:pStyle w:val="Normal"/>
        <w:rPr>
          <w:shd w:fill="FFFFFF" w:val="clear"/>
        </w:rPr>
      </w:pPr>
      <w:r>
        <w:rPr>
          <w:rFonts w:ascii="Arial" w:hAnsi="Arial"/>
          <w:color w:val="000000"/>
          <w:shd w:fill="FFFFFF" w:val="clear"/>
        </w:rPr>
        <w:t xml:space="preserve">Horst, Dirk von der, </w:t>
      </w:r>
      <w:r>
        <w:rPr>
          <w:rFonts w:ascii="Arial" w:hAnsi="Arial"/>
          <w:i/>
          <w:iCs/>
          <w:color w:val="000000"/>
          <w:shd w:fill="FFFFFF" w:val="clear"/>
        </w:rPr>
        <w:t>Jonathan’s Loves, David’s Laments: Gay Theology, Musical Desires, and Historical Difference</w:t>
      </w:r>
      <w:r>
        <w:rPr>
          <w:rFonts w:ascii="Arial" w:hAnsi="Arial"/>
          <w:color w:val="000000"/>
          <w:shd w:fill="FFFFFF" w:val="clear"/>
        </w:rPr>
        <w:t xml:space="preserve"> (Pickwick Publications:Eugene,Oregon, 2017).</w:t>
      </w:r>
    </w:p>
    <w:p>
      <w:pPr>
        <w:pStyle w:val="Normal"/>
        <w:rPr>
          <w:color w:val="000000"/>
          <w:shd w:fill="FF4000" w:val="clear"/>
        </w:rPr>
      </w:pPr>
      <w:r>
        <w:rPr>
          <w:color w:val="000000"/>
          <w:shd w:fill="FF4000" w:val="clear"/>
        </w:rPr>
      </w:r>
    </w:p>
    <w:p>
      <w:pPr>
        <w:pStyle w:val="Normal"/>
        <w:rPr>
          <w:shd w:fill="FFFFFF" w:val="clear"/>
        </w:rPr>
      </w:pPr>
      <w:r>
        <w:rPr>
          <w:rFonts w:ascii="Arial" w:hAnsi="Arial"/>
          <w:color w:val="000000"/>
          <w:shd w:fill="FFFFFF" w:val="clear"/>
        </w:rPr>
        <w:t xml:space="preserve">Kimani, Peter Njoroge, ‘The Nature and Motive of the Love Between Jonathan and David: An Exegesis of 1 Samuel 18:1-5.’ </w:t>
      </w:r>
      <w:r>
        <w:rPr>
          <w:rFonts w:ascii="Arial" w:hAnsi="Arial"/>
          <w:i/>
          <w:iCs/>
          <w:color w:val="000000"/>
          <w:shd w:fill="FFFFFF" w:val="clear"/>
        </w:rPr>
        <w:t xml:space="preserve">ShahidiHub International Journal of Theology and Religious Studies </w:t>
      </w:r>
      <w:r>
        <w:rPr>
          <w:rFonts w:ascii="Arial" w:hAnsi="Arial"/>
          <w:color w:val="000000"/>
          <w:shd w:fill="FFFFFF" w:val="clear"/>
        </w:rPr>
        <w:t>2</w:t>
      </w:r>
      <w:r>
        <w:rPr>
          <w:rFonts w:ascii="Arial" w:hAnsi="Arial"/>
          <w:i/>
          <w:iCs/>
          <w:color w:val="000000"/>
          <w:shd w:fill="FFFFFF" w:val="clear"/>
        </w:rPr>
        <w:t>,</w:t>
      </w:r>
      <w:r>
        <w:rPr>
          <w:rFonts w:ascii="Arial" w:hAnsi="Arial"/>
          <w:color w:val="000000"/>
          <w:shd w:fill="FFFFFF" w:val="clear"/>
        </w:rPr>
        <w:t xml:space="preserve"> no. 2 (2022), pp. 1-19.</w:t>
      </w:r>
    </w:p>
    <w:p>
      <w:pPr>
        <w:pStyle w:val="Normal"/>
        <w:rPr>
          <w:rFonts w:ascii="Arial" w:hAnsi="Arial"/>
          <w:color w:val="000000"/>
        </w:rPr>
      </w:pPr>
      <w:r>
        <w:rPr>
          <w:rFonts w:ascii="Arial" w:hAnsi="Arial"/>
          <w:color w:val="000000"/>
        </w:rPr>
      </w:r>
    </w:p>
    <w:p>
      <w:pPr>
        <w:pStyle w:val="Normal"/>
        <w:rPr>
          <w:shd w:fill="FFFFFF" w:val="clear"/>
        </w:rPr>
      </w:pPr>
      <w:r>
        <w:rPr>
          <w:rFonts w:ascii="Arial" w:hAnsi="Arial"/>
          <w:color w:val="000000"/>
          <w:shd w:fill="FFFFFF" w:val="clear"/>
        </w:rPr>
        <w:t xml:space="preserve">Klein, Ralph W., </w:t>
      </w:r>
      <w:r>
        <w:rPr>
          <w:rFonts w:ascii="Arial" w:hAnsi="Arial"/>
          <w:i/>
          <w:iCs/>
          <w:color w:val="000000"/>
          <w:shd w:fill="FFFFFF" w:val="clear"/>
        </w:rPr>
        <w:t>1 Samuel,</w:t>
      </w:r>
      <w:r>
        <w:rPr>
          <w:rFonts w:ascii="Arial" w:hAnsi="Arial"/>
          <w:color w:val="000000"/>
          <w:shd w:fill="FFFFFF" w:val="clear"/>
        </w:rPr>
        <w:t xml:space="preserve"> </w:t>
      </w:r>
      <w:r>
        <w:rPr>
          <w:rFonts w:ascii="Arial" w:hAnsi="Arial"/>
          <w:i/>
          <w:iCs/>
          <w:color w:val="000000"/>
          <w:shd w:fill="FFFFFF" w:val="clear"/>
        </w:rPr>
        <w:t>Volume 10</w:t>
      </w:r>
      <w:r>
        <w:rPr>
          <w:rFonts w:ascii="Arial" w:hAnsi="Arial"/>
          <w:color w:val="000000"/>
          <w:shd w:fill="FFFFFF" w:val="clear"/>
        </w:rPr>
        <w:t xml:space="preserve"> (Zondervan Academic:Grand Rapids, 2018).</w:t>
      </w:r>
    </w:p>
    <w:p>
      <w:pPr>
        <w:pStyle w:val="Normal"/>
        <w:rPr>
          <w:shd w:fill="FF4000" w:val="clear"/>
        </w:rPr>
      </w:pPr>
      <w:r>
        <w:rPr>
          <w:shd w:fill="FF4000" w:val="clear"/>
        </w:rPr>
      </w:r>
    </w:p>
    <w:p>
      <w:pPr>
        <w:pStyle w:val="TextBody"/>
        <w:spacing w:lineRule="auto" w:line="240" w:before="0" w:after="0"/>
        <w:rPr>
          <w:rFonts w:ascii="Arial" w:hAnsi="Arial" w:cs="Arial"/>
          <w:color w:val="000000"/>
          <w:shd w:fill="FFFFFF" w:val="clear"/>
        </w:rPr>
      </w:pPr>
      <w:r>
        <w:rPr>
          <w:rFonts w:cs="Arial" w:ascii="Arial" w:hAnsi="Arial"/>
          <w:color w:val="000000"/>
          <w:shd w:fill="FFFFFF" w:val="clear"/>
        </w:rPr>
        <w:t xml:space="preserve">Olson, Dennis T., ‘Untying the Knot? Masculinity, Violence, and the Creation-Fall Story of Genesis 2–4’, in </w:t>
      </w:r>
      <w:r>
        <w:rPr>
          <w:rFonts w:cs="Arial" w:ascii="Arial" w:hAnsi="Arial"/>
          <w:i/>
          <w:iCs/>
          <w:color w:val="000000"/>
          <w:shd w:fill="FFFFFF" w:val="clear"/>
        </w:rPr>
        <w:t>Engaging the Bible in a gendered world: An introduction to feminist biblical interpretation in honor of Katharine Doob Sekenfeld</w:t>
      </w:r>
      <w:r>
        <w:rPr>
          <w:rFonts w:cs="Arial" w:ascii="Arial" w:hAnsi="Arial"/>
          <w:color w:val="000000"/>
          <w:shd w:fill="FFFFFF" w:val="clear"/>
        </w:rPr>
        <w:t>, eds. Katharine Doob Sakenfeld (Presbyterian Publishing Corp, 2006), pp. 73-88.</w:t>
      </w:r>
    </w:p>
    <w:p>
      <w:pPr>
        <w:pStyle w:val="TextBody"/>
        <w:spacing w:lineRule="auto" w:line="240" w:before="0" w:after="0"/>
        <w:rPr>
          <w:rFonts w:ascii="Arial" w:hAnsi="Arial" w:cs="Arial"/>
          <w:color w:val="000000"/>
          <w:shd w:fill="FFFFFF" w:val="clear"/>
        </w:rPr>
      </w:pPr>
      <w:r>
        <w:rPr>
          <w:rFonts w:cs="Arial" w:ascii="Arial" w:hAnsi="Arial"/>
          <w:color w:val="000000"/>
          <w:shd w:fill="FFFFFF" w:val="clear"/>
        </w:rPr>
      </w:r>
    </w:p>
    <w:p>
      <w:pPr>
        <w:pStyle w:val="Normal"/>
        <w:rPr>
          <w:rFonts w:ascii="Arial" w:hAnsi="Arial"/>
        </w:rPr>
      </w:pPr>
      <w:r>
        <w:rPr>
          <w:rFonts w:ascii="Arial" w:hAnsi="Arial"/>
        </w:rPr>
        <w:t xml:space="preserve">Prouser, Ora Horn, ‘Suited to the throne: the symbolic use of clothing in the David and Saul narratives.’ </w:t>
      </w:r>
      <w:r>
        <w:rPr>
          <w:rFonts w:ascii="Arial" w:hAnsi="Arial"/>
          <w:i/>
          <w:iCs/>
        </w:rPr>
        <w:t>Journal for the Study of the Old Testament</w:t>
      </w:r>
      <w:r>
        <w:rPr>
          <w:rFonts w:ascii="Arial" w:hAnsi="Arial"/>
        </w:rPr>
        <w:t xml:space="preserve"> 21, no. 71 (1996), pp. 27-37.</w:t>
      </w:r>
    </w:p>
    <w:p>
      <w:pPr>
        <w:pStyle w:val="TextBody"/>
        <w:spacing w:lineRule="auto" w:line="240"/>
        <w:rPr>
          <w:color w:val="000000"/>
        </w:rPr>
      </w:pPr>
      <w:r>
        <w:rPr>
          <w:color w:val="000000"/>
        </w:rPr>
      </w:r>
    </w:p>
    <w:p>
      <w:pPr>
        <w:pStyle w:val="Normal"/>
        <w:rPr>
          <w:shd w:fill="FFFFFF" w:val="clear"/>
        </w:rPr>
      </w:pPr>
      <w:r>
        <w:rPr>
          <w:rFonts w:ascii="Arial" w:hAnsi="Arial"/>
          <w:color w:val="000000"/>
          <w:shd w:fill="FFFFFF" w:val="clear"/>
        </w:rPr>
        <w:t xml:space="preserve">Stansell, Gary, ‘David and his friends: Social-scientific perspectives on the David-Jonathan friendship.’ </w:t>
      </w:r>
      <w:r>
        <w:rPr>
          <w:rFonts w:ascii="Arial" w:hAnsi="Arial"/>
          <w:i/>
          <w:iCs/>
          <w:color w:val="000000"/>
          <w:shd w:fill="FFFFFF" w:val="clear"/>
        </w:rPr>
        <w:t xml:space="preserve">Biblical Theology Bulletin </w:t>
      </w:r>
      <w:r>
        <w:rPr>
          <w:rFonts w:ascii="Arial" w:hAnsi="Arial"/>
          <w:color w:val="000000"/>
          <w:shd w:fill="FFFFFF" w:val="clear"/>
        </w:rPr>
        <w:t>41, no. 3 (2011), pp. 115-131.</w:t>
      </w:r>
    </w:p>
    <w:p>
      <w:pPr>
        <w:pStyle w:val="Normal"/>
        <w:rPr>
          <w:rFonts w:ascii="Arial" w:hAnsi="Arial"/>
          <w:color w:val="000000"/>
        </w:rPr>
      </w:pPr>
      <w:r>
        <w:rPr>
          <w:rFonts w:ascii="Arial" w:hAnsi="Arial"/>
          <w:color w:val="000000"/>
        </w:rPr>
      </w:r>
    </w:p>
    <w:p>
      <w:pPr>
        <w:pStyle w:val="Normal"/>
        <w:rPr>
          <w:shd w:fill="FFFFFF" w:val="clear"/>
        </w:rPr>
      </w:pPr>
      <w:r>
        <w:rPr>
          <w:rFonts w:ascii="Arial" w:hAnsi="Arial"/>
          <w:color w:val="000000"/>
          <w:shd w:fill="FFFFFF" w:val="clear"/>
        </w:rPr>
        <w:t xml:space="preserve">Thompson, John A., ‘The significance of the verb love in the David-Jonathan narratives in 1 Samuel.’ </w:t>
      </w:r>
      <w:r>
        <w:rPr>
          <w:rFonts w:ascii="Arial" w:hAnsi="Arial"/>
          <w:i/>
          <w:iCs/>
          <w:color w:val="000000"/>
          <w:shd w:fill="FFFFFF" w:val="clear"/>
        </w:rPr>
        <w:t xml:space="preserve">Vetus Testamentum </w:t>
      </w:r>
      <w:r>
        <w:rPr>
          <w:rFonts w:ascii="Arial" w:hAnsi="Arial"/>
          <w:color w:val="000000"/>
          <w:shd w:fill="FFFFFF" w:val="clear"/>
        </w:rPr>
        <w:t>24, no. 3 (1974), pp. 334-338.</w:t>
      </w:r>
    </w:p>
    <w:p>
      <w:pPr>
        <w:pStyle w:val="TextBody"/>
        <w:spacing w:lineRule="auto" w:line="240" w:before="0" w:after="0"/>
        <w:rPr>
          <w:rFonts w:ascii="Arial" w:hAnsi="Arial" w:cs="Arial"/>
          <w:color w:val="000000"/>
          <w:shd w:fill="FFFFFF" w:val="clear"/>
        </w:rPr>
      </w:pPr>
      <w:r>
        <w:rPr>
          <w:rFonts w:cs="Arial" w:ascii="Arial" w:hAnsi="Arial"/>
          <w:color w:val="000000"/>
          <w:shd w:fill="FFFFFF" w:val="clear"/>
        </w:rPr>
      </w:r>
    </w:p>
    <w:p>
      <w:pPr>
        <w:pStyle w:val="TextBody"/>
        <w:spacing w:lineRule="auto" w:line="240" w:before="0" w:after="0"/>
        <w:rPr>
          <w:rFonts w:ascii="Arial" w:hAnsi="Arial" w:cs="Arial"/>
          <w:color w:val="000000"/>
          <w:shd w:fill="FFFFFF" w:val="clear"/>
        </w:rPr>
      </w:pPr>
      <w:r>
        <w:rPr>
          <w:rFonts w:cs="Arial" w:ascii="Arial" w:hAnsi="Arial"/>
          <w:color w:val="000000"/>
          <w:shd w:fill="FFFFFF" w:val="clear"/>
        </w:rPr>
        <w:t xml:space="preserve">Thurman, Eric, ‘Adam and the Making of Masculinity’, in </w:t>
      </w:r>
      <w:r>
        <w:rPr>
          <w:rFonts w:cs="Arial" w:ascii="Arial" w:hAnsi="Arial"/>
          <w:i/>
          <w:iCs/>
          <w:color w:val="000000"/>
          <w:shd w:fill="FFFFFF" w:val="clear"/>
        </w:rPr>
        <w:t>The Oxford handbook of biblical narrative</w:t>
      </w:r>
      <w:r>
        <w:rPr>
          <w:rFonts w:cs="Arial" w:ascii="Arial" w:hAnsi="Arial"/>
          <w:color w:val="000000"/>
          <w:shd w:fill="FFFFFF" w:val="clear"/>
        </w:rPr>
        <w:t>, ed. Danna Nolan Fewell (Oxford University Press, 2016), pp. 411-421.</w:t>
      </w:r>
    </w:p>
    <w:p>
      <w:pPr>
        <w:pStyle w:val="Normal"/>
        <w:rPr>
          <w:shd w:fill="FFFFFF" w:val="clear"/>
        </w:rPr>
      </w:pPr>
      <w:r>
        <w:rPr>
          <w:shd w:fill="FFFFFF" w:val="clear"/>
        </w:rPr>
      </w:r>
    </w:p>
    <w:p>
      <w:pPr>
        <w:pStyle w:val="Normal"/>
        <w:rPr>
          <w:shd w:fill="FFFFFF" w:val="clear"/>
        </w:rPr>
      </w:pPr>
      <w:r>
        <w:rPr>
          <w:rFonts w:ascii="Arial" w:hAnsi="Arial"/>
          <w:color w:val="000000"/>
          <w:shd w:fill="FFFFFF" w:val="clear"/>
        </w:rPr>
        <w:t xml:space="preserve">Tiemeyer, Lena-Sofia, </w:t>
      </w:r>
      <w:r>
        <w:rPr>
          <w:rFonts w:ascii="Arial" w:hAnsi="Arial"/>
          <w:i/>
          <w:iCs/>
          <w:color w:val="000000"/>
          <w:shd w:fill="FFFFFF" w:val="clear"/>
        </w:rPr>
        <w:t>In Search of Jonathan: Jonathan Between the Bible and Modern Fiction</w:t>
      </w:r>
      <w:r>
        <w:rPr>
          <w:rFonts w:ascii="Arial" w:hAnsi="Arial"/>
          <w:color w:val="000000"/>
          <w:shd w:fill="FFFFFF" w:val="clear"/>
        </w:rPr>
        <w:t xml:space="preserve"> (Oxford University Press, 2023).</w:t>
      </w:r>
    </w:p>
    <w:p>
      <w:pPr>
        <w:pStyle w:val="Normal"/>
        <w:rPr>
          <w:color w:val="000000"/>
          <w:shd w:fill="FFFF00" w:val="clear"/>
        </w:rPr>
      </w:pPr>
      <w:r>
        <w:rPr>
          <w:color w:val="000000"/>
          <w:shd w:fill="FFFF00" w:val="clear"/>
        </w:rPr>
      </w:r>
    </w:p>
    <w:p>
      <w:pPr>
        <w:pStyle w:val="TextBody"/>
        <w:spacing w:before="0" w:after="0"/>
        <w:rPr>
          <w:shd w:fill="FFFFFF" w:val="clear"/>
        </w:rPr>
      </w:pPr>
      <w:r>
        <w:rPr>
          <w:rFonts w:ascii="Arial" w:hAnsi="Arial"/>
          <w:shd w:fill="FFFFFF" w:val="clear"/>
        </w:rPr>
        <w:t>Tyson, Kevin CR. ‘A Cultural Study of the David and Jonathan Relationship through the Ritual in 1 Samuel 18: 1-5.’ PhD diss., Durham University, 2010.</w:t>
      </w:r>
    </w:p>
    <w:p>
      <w:pPr>
        <w:pStyle w:val="Normal"/>
        <w:rPr>
          <w:rFonts w:ascii="Arial" w:hAnsi="Arial"/>
          <w:color w:val="000000"/>
          <w:shd w:fill="FFFFFF" w:val="clear"/>
        </w:rPr>
      </w:pPr>
      <w:r>
        <w:rPr>
          <w:rFonts w:ascii="Arial" w:hAnsi="Arial"/>
          <w:color w:val="000000"/>
          <w:shd w:fill="FFFFFF" w:val="clear"/>
        </w:rPr>
      </w:r>
    </w:p>
    <w:p>
      <w:pPr>
        <w:pStyle w:val="Normal"/>
        <w:rPr>
          <w:shd w:fill="FFFFFF" w:val="clear"/>
        </w:rPr>
      </w:pPr>
      <w:r>
        <w:rPr>
          <w:rFonts w:ascii="Arial" w:hAnsi="Arial"/>
          <w:color w:val="000000"/>
          <w:shd w:fill="FFFFFF" w:val="clear"/>
        </w:rPr>
        <w:t xml:space="preserve">Walton, John H., </w:t>
      </w:r>
      <w:r>
        <w:rPr>
          <w:rFonts w:ascii="Arial" w:hAnsi="Arial"/>
          <w:i/>
          <w:iCs/>
          <w:color w:val="000000"/>
          <w:shd w:fill="FFFFFF" w:val="clear"/>
        </w:rPr>
        <w:t>The NIV Application Commentary Genesis</w:t>
      </w:r>
      <w:r>
        <w:rPr>
          <w:rFonts w:ascii="Arial" w:hAnsi="Arial"/>
          <w:color w:val="000000"/>
          <w:shd w:fill="FFFFFF" w:val="clear"/>
        </w:rPr>
        <w:t xml:space="preserve"> (Zondervan Academic:GrandRapids, 2001).</w:t>
      </w:r>
    </w:p>
    <w:p>
      <w:pPr>
        <w:pStyle w:val="Normal"/>
        <w:rPr>
          <w:rFonts w:ascii="Arial" w:hAnsi="Arial"/>
          <w:color w:val="000000"/>
        </w:rPr>
      </w:pPr>
      <w:r>
        <w:rPr>
          <w:rFonts w:ascii="Arial" w:hAnsi="Arial"/>
          <w:color w:val="000000"/>
        </w:rPr>
      </w:r>
    </w:p>
    <w:p>
      <w:pPr>
        <w:pStyle w:val="Normal"/>
        <w:rPr>
          <w:shd w:fill="FFFFFF" w:val="clear"/>
        </w:rPr>
      </w:pPr>
      <w:r>
        <w:rPr>
          <w:rFonts w:ascii="Arial" w:hAnsi="Arial"/>
          <w:color w:val="000000"/>
          <w:shd w:fill="FFFFFF" w:val="clear"/>
        </w:rPr>
        <w:t xml:space="preserve">Wenham, Gordon J., </w:t>
      </w:r>
      <w:r>
        <w:rPr>
          <w:rFonts w:ascii="Arial" w:hAnsi="Arial"/>
          <w:i/>
          <w:iCs/>
          <w:color w:val="000000"/>
          <w:shd w:fill="FFFFFF" w:val="clear"/>
        </w:rPr>
        <w:t>Word Biblical Commentary Volume 1 - Genesis 1–15</w:t>
      </w:r>
      <w:r>
        <w:rPr>
          <w:rFonts w:ascii="Arial" w:hAnsi="Arial"/>
          <w:color w:val="000000"/>
          <w:shd w:fill="FFFFFF" w:val="clear"/>
        </w:rPr>
        <w:t xml:space="preserve"> (Word Books:Dallas, 1987).</w:t>
      </w:r>
    </w:p>
    <w:p>
      <w:pPr>
        <w:pStyle w:val="Normal"/>
        <w:spacing w:lineRule="auto" w:line="480"/>
        <w:rPr/>
      </w:pPr>
      <w:r>
        <w:rPr/>
      </w:r>
    </w:p>
    <w:p>
      <w:pPr>
        <w:pStyle w:val="Normal"/>
        <w:rPr>
          <w:color w:val="000000"/>
          <w:shd w:fill="FF4000" w:val="clear"/>
        </w:rPr>
      </w:pPr>
      <w:r>
        <w:rPr>
          <w:color w:val="000000"/>
          <w:shd w:fill="FF4000" w:val="clear"/>
        </w:rPr>
      </w:r>
    </w:p>
    <w:p>
      <w:pPr>
        <w:pStyle w:val="Normal"/>
        <w:rPr>
          <w:color w:val="000000"/>
          <w:shd w:fill="FF4000" w:val="clear"/>
        </w:rPr>
      </w:pPr>
      <w:r>
        <w:rPr>
          <w:color w:val="000000"/>
          <w:shd w:fill="FF4000" w:val="clear"/>
        </w:rPr>
      </w:r>
    </w:p>
    <w:p>
      <w:pPr>
        <w:pStyle w:val="Normal"/>
        <w:rPr>
          <w:color w:val="000000"/>
          <w:shd w:fill="FF4000" w:val="clear"/>
        </w:rPr>
      </w:pPr>
      <w:r>
        <w:rPr>
          <w:color w:val="000000"/>
          <w:shd w:fill="FF4000" w:val="clear"/>
        </w:rPr>
      </w:r>
    </w:p>
    <w:p>
      <w:pPr>
        <w:pStyle w:val="Normal"/>
        <w:rPr>
          <w:shd w:fill="FF4000" w:val="clear"/>
        </w:rPr>
      </w:pPr>
      <w:r>
        <w:rPr>
          <w:shd w:fill="FF4000" w:val="clear"/>
        </w:rPr>
      </w:r>
    </w:p>
    <w:p>
      <w:pPr>
        <w:pStyle w:val="Normal"/>
        <w:rPr>
          <w:shd w:fill="FFFFFF" w:val="clear"/>
        </w:rPr>
      </w:pPr>
      <w:r>
        <w:rPr>
          <w:shd w:fill="FFFFFF" w:val="clear"/>
        </w:rPr>
      </w:r>
    </w:p>
    <w:p>
      <w:pPr>
        <w:pStyle w:val="Normal"/>
        <w:rPr>
          <w:rFonts w:ascii="Arial" w:hAnsi="Arial"/>
          <w:color w:val="000000"/>
        </w:rPr>
      </w:pPr>
      <w:r>
        <w:rPr>
          <w:rFonts w:ascii="Arial" w:hAnsi="Arial"/>
          <w:color w:val="000000"/>
        </w:rPr>
      </w:r>
    </w:p>
    <w:p>
      <w:pPr>
        <w:pStyle w:val="Normal"/>
        <w:rPr>
          <w:color w:val="000000"/>
          <w:shd w:fill="FF4000" w:val="clear"/>
        </w:rPr>
      </w:pPr>
      <w:r>
        <w:rPr>
          <w:color w:val="000000"/>
          <w:shd w:fill="FF4000" w:val="clear"/>
        </w:rPr>
      </w:r>
    </w:p>
    <w:p>
      <w:pPr>
        <w:pStyle w:val="Normal"/>
        <w:spacing w:lineRule="auto" w:line="480" w:before="0" w:after="140"/>
        <w:rPr>
          <w:shd w:fill="FFFF00" w:val="clear"/>
        </w:rPr>
      </w:pPr>
      <w:r>
        <w:rPr>
          <w:shd w:fill="FFFF00" w:val="clear"/>
        </w:rPr>
      </w:r>
    </w:p>
    <w:p>
      <w:pPr>
        <w:pStyle w:val="Normal"/>
        <w:suppressAutoHyphens w:val="false"/>
        <w:spacing w:beforeAutospacing="1" w:after="142"/>
        <w:rPr>
          <w:rFonts w:eastAsia="Times New Roman" w:cs="Times New Roman"/>
          <w:color w:val="000000"/>
          <w:kern w:val="0"/>
          <w:lang w:eastAsia="ko-KR" w:bidi="ar-SA"/>
        </w:rPr>
      </w:pPr>
      <w:r>
        <w:rPr>
          <w:rFonts w:eastAsia="Times New Roman" w:cs="Arial" w:ascii="Arial" w:hAnsi="Arial"/>
          <w:color w:val="222222"/>
          <w:kern w:val="0"/>
          <w:shd w:fill="FFFFFF" w:val="clear"/>
          <w:lang w:eastAsia="ko-KR" w:bidi="ar-SA"/>
        </w:rPr>
        <w:t>*Note that the eBook version of</w:t>
      </w:r>
      <w:r>
        <w:rPr>
          <w:rFonts w:eastAsia="Times New Roman" w:cs="Arial" w:ascii="Arial" w:hAnsi="Arial"/>
          <w:color w:val="000000"/>
          <w:kern w:val="0"/>
          <w:shd w:fill="FFFFFF" w:val="clear"/>
          <w:lang w:eastAsia="ko-KR" w:bidi="ar-SA"/>
        </w:rPr>
        <w:t xml:space="preserve"> </w:t>
      </w:r>
      <w:r>
        <w:rPr>
          <w:rFonts w:eastAsia="Times New Roman" w:cs="Arial" w:ascii="Arial" w:hAnsi="Arial"/>
          <w:i/>
          <w:iCs/>
          <w:color w:val="000000"/>
          <w:kern w:val="0"/>
          <w:shd w:fill="FFFFFF" w:val="clear"/>
          <w:lang w:eastAsia="ko-KR" w:bidi="ar-SA"/>
        </w:rPr>
        <w:t xml:space="preserve">The Book of Genesis, Chapters 1:17 </w:t>
      </w:r>
      <w:r>
        <w:rPr>
          <w:rFonts w:eastAsia="Times New Roman" w:cs="Arial" w:ascii="Arial" w:hAnsi="Arial"/>
          <w:color w:val="000000"/>
          <w:kern w:val="0"/>
          <w:shd w:fill="FFFFFF" w:val="clear"/>
          <w:lang w:eastAsia="ko-KR" w:bidi="ar-SA"/>
        </w:rPr>
        <w:t xml:space="preserve">by Victor P. Hamilton does not have page numbers. </w:t>
      </w:r>
    </w:p>
    <w:p>
      <w:pPr>
        <w:pStyle w:val="Normal"/>
        <w:spacing w:lineRule="auto" w:line="480" w:before="0" w:after="140"/>
        <w:rPr>
          <w:shd w:fill="FFFF00" w:val="clear"/>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 w:name="Arial">
    <w:charset w:val="01"/>
    <w:family w:val="roman"/>
    <w:pitch w:val="variable"/>
  </w:font>
  <w:font w:name="TimesNewRomanPSMT">
    <w:charset w:val="01"/>
    <w:family w:val="roman"/>
    <w:pitch w:val="variable"/>
  </w:font>
  <w:font w:name="MinionPro">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TextBody"/>
        <w:spacing w:lineRule="auto" w:line="240" w:before="0" w:after="0"/>
        <w:rPr>
          <w:rFonts w:ascii="Arial" w:hAnsi="Arial" w:cs="Arial"/>
          <w:color w:val="000000"/>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Eric </w:t>
      </w:r>
      <w:r>
        <w:rPr>
          <w:rFonts w:cs="Arial" w:ascii="Arial" w:hAnsi="Arial"/>
          <w:color w:val="000000"/>
          <w:sz w:val="18"/>
          <w:szCs w:val="18"/>
          <w:shd w:fill="FFFFFF" w:val="clear"/>
        </w:rPr>
        <w:t xml:space="preserve">Thurman, ‘Adam and the Making of Masculinity’, in </w:t>
      </w:r>
      <w:r>
        <w:rPr>
          <w:rFonts w:cs="Arial" w:ascii="Arial" w:hAnsi="Arial"/>
          <w:i/>
          <w:iCs/>
          <w:color w:val="000000"/>
          <w:sz w:val="18"/>
          <w:szCs w:val="18"/>
          <w:shd w:fill="FFFFFF" w:val="clear"/>
        </w:rPr>
        <w:t>The Oxford handbook of biblical narrative</w:t>
      </w:r>
      <w:r>
        <w:rPr>
          <w:rFonts w:cs="Arial" w:ascii="Arial" w:hAnsi="Arial"/>
          <w:color w:val="000000"/>
          <w:sz w:val="18"/>
          <w:szCs w:val="18"/>
          <w:shd w:fill="FFFFFF" w:val="clear"/>
        </w:rPr>
        <w:t>, ed. Danna Nolan Fewell (Oxford University Press, 2016), p. 413.</w:t>
      </w:r>
    </w:p>
  </w:footnote>
  <w:footnote w:id="3">
    <w:p>
      <w:pPr>
        <w:pStyle w:val="Footnote"/>
        <w:rPr>
          <w:rFonts w:ascii="Arial" w:hAnsi="Arial" w:cs="Arial"/>
          <w:sz w:val="18"/>
          <w:szCs w:val="18"/>
        </w:rPr>
      </w:pPr>
      <w:r>
        <w:rPr>
          <w:rStyle w:val="FootnoteCharacters"/>
        </w:rPr>
        <w:footnoteRef/>
      </w:r>
      <w:r>
        <w:rPr>
          <w:rFonts w:cs="Arial" w:ascii="Arial" w:hAnsi="Arial"/>
          <w:sz w:val="18"/>
          <w:szCs w:val="18"/>
        </w:rPr>
        <w:tab/>
        <w:t xml:space="preserve"> </w:t>
      </w:r>
      <w:r>
        <w:rPr>
          <w:rFonts w:cs="Arial" w:ascii="Arial" w:hAnsi="Arial"/>
          <w:sz w:val="18"/>
          <w:szCs w:val="18"/>
        </w:rPr>
        <w:t>Terry C. Muck ‘General Editor’s Preface’, i</w:t>
      </w:r>
      <w:r>
        <w:rPr>
          <w:rFonts w:cs="Arial" w:ascii="Arial" w:hAnsi="Arial"/>
          <w:sz w:val="18"/>
          <w:szCs w:val="18"/>
          <w:shd w:fill="FFFFFF" w:val="clear"/>
        </w:rPr>
        <w:t xml:space="preserve">n Bill T. </w:t>
      </w:r>
      <w:r>
        <w:rPr>
          <w:rFonts w:cs="Arial" w:ascii="Arial" w:hAnsi="Arial"/>
          <w:color w:val="000000"/>
          <w:sz w:val="18"/>
          <w:szCs w:val="18"/>
          <w:shd w:fill="FFFFFF" w:val="clear"/>
        </w:rPr>
        <w:t>Arnold,</w:t>
      </w:r>
      <w:r>
        <w:rPr>
          <w:rFonts w:cs="Arial" w:ascii="Arial" w:hAnsi="Arial"/>
          <w:i/>
          <w:iCs/>
          <w:color w:val="000000"/>
          <w:sz w:val="18"/>
          <w:szCs w:val="18"/>
          <w:shd w:fill="FFFFFF" w:val="clear"/>
        </w:rPr>
        <w:t>1 and 2 Samuel</w:t>
      </w:r>
      <w:r>
        <w:rPr>
          <w:rFonts w:cs="Arial" w:ascii="Arial" w:hAnsi="Arial"/>
          <w:color w:val="000000"/>
          <w:sz w:val="18"/>
          <w:szCs w:val="18"/>
          <w:shd w:fill="FFFFFF" w:val="clear"/>
        </w:rPr>
        <w:t xml:space="preserve"> (Zondervan Academic:GrandRapids, 2003), p. 34.</w:t>
      </w:r>
    </w:p>
  </w:footnote>
  <w:footnote w:id="4">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John H. </w:t>
      </w:r>
      <w:r>
        <w:rPr>
          <w:rFonts w:cs="Arial" w:ascii="Arial" w:hAnsi="Arial"/>
          <w:color w:val="000000"/>
          <w:sz w:val="18"/>
          <w:szCs w:val="18"/>
          <w:shd w:fill="FFFFFF" w:val="clear"/>
        </w:rPr>
        <w:t xml:space="preserve">Walton, </w:t>
      </w:r>
      <w:r>
        <w:rPr>
          <w:rFonts w:cs="Arial" w:ascii="Arial" w:hAnsi="Arial"/>
          <w:i/>
          <w:iCs/>
          <w:color w:val="000000"/>
          <w:sz w:val="18"/>
          <w:szCs w:val="18"/>
          <w:shd w:fill="FFFFFF" w:val="clear"/>
        </w:rPr>
        <w:t>The NIV Application Commentary Genesis</w:t>
      </w:r>
      <w:r>
        <w:rPr>
          <w:rFonts w:cs="Arial" w:ascii="Arial" w:hAnsi="Arial"/>
          <w:color w:val="000000"/>
          <w:sz w:val="18"/>
          <w:szCs w:val="18"/>
          <w:shd w:fill="FFFFFF" w:val="clear"/>
        </w:rPr>
        <w:t xml:space="preserve"> (Zondervan Academic:GrandRapids, 2001), p.177.</w:t>
      </w:r>
    </w:p>
  </w:footnote>
  <w:footnote w:id="5">
    <w:p>
      <w:pPr>
        <w:pStyle w:val="Normal"/>
        <w:rPr>
          <w:rFonts w:ascii="Arial" w:hAnsi="Arial" w:cs="Arial"/>
          <w:sz w:val="18"/>
          <w:szCs w:val="18"/>
          <w:shd w:fill="FFFFFF" w:val="clear"/>
        </w:rPr>
      </w:pPr>
      <w:r>
        <w:rPr>
          <w:rStyle w:val="FootnoteCharacters"/>
        </w:rPr>
        <w:footnoteRef/>
      </w:r>
      <w:r>
        <w:rPr>
          <w:rFonts w:cs="Arial" w:ascii="Arial" w:hAnsi="Arial"/>
          <w:color w:val="000000"/>
          <w:sz w:val="18"/>
          <w:szCs w:val="18"/>
          <w:shd w:fill="FFFFFF" w:val="clear"/>
        </w:rPr>
        <w:t xml:space="preserve"> </w:t>
      </w:r>
      <w:r>
        <w:rPr>
          <w:rFonts w:cs="Arial" w:ascii="Arial" w:hAnsi="Arial"/>
          <w:color w:val="000000"/>
          <w:sz w:val="18"/>
          <w:szCs w:val="18"/>
          <w:shd w:fill="FFFFFF" w:val="clear"/>
        </w:rPr>
        <w:t xml:space="preserve">Victor P. Hamilton, </w:t>
      </w:r>
      <w:r>
        <w:rPr>
          <w:rFonts w:cs="Arial" w:ascii="Arial" w:hAnsi="Arial"/>
          <w:i/>
          <w:iCs/>
          <w:color w:val="000000"/>
          <w:sz w:val="18"/>
          <w:szCs w:val="18"/>
          <w:shd w:fill="FFFFFF" w:val="clear"/>
        </w:rPr>
        <w:t>The Book of Genesis, Chapters 1:17</w:t>
      </w:r>
      <w:r>
        <w:rPr>
          <w:rFonts w:cs="Arial" w:ascii="Arial" w:hAnsi="Arial"/>
          <w:color w:val="000000"/>
          <w:sz w:val="18"/>
          <w:szCs w:val="18"/>
          <w:shd w:fill="FFFFFF" w:val="clear"/>
        </w:rPr>
        <w:t xml:space="preserve"> (Eerdmann:Grand Rapids, 1990), *</w:t>
      </w:r>
    </w:p>
  </w:footnote>
  <w:footnote w:id="6">
    <w:p>
      <w:pPr>
        <w:pStyle w:val="Footnote"/>
        <w:rPr/>
      </w:pPr>
      <w:r>
        <w:rPr>
          <w:rStyle w:val="FootnoteCharacters"/>
        </w:rPr>
        <w:footnoteRef/>
      </w:r>
      <w:r>
        <w:rPr/>
        <w:tab/>
        <w:t xml:space="preserve"> </w:t>
      </w:r>
      <w:r>
        <w:rPr>
          <w:rFonts w:cs="Arial" w:ascii="Arial" w:hAnsi="Arial"/>
          <w:sz w:val="18"/>
          <w:szCs w:val="18"/>
        </w:rPr>
        <w:t xml:space="preserve">Eric </w:t>
      </w:r>
      <w:r>
        <w:rPr>
          <w:rFonts w:cs="Arial" w:ascii="Arial" w:hAnsi="Arial"/>
          <w:color w:val="000000"/>
          <w:sz w:val="18"/>
          <w:szCs w:val="18"/>
          <w:shd w:fill="FFFFFF" w:val="clear"/>
        </w:rPr>
        <w:t xml:space="preserve">Thurman, ‘Adam and the Making of Masculinity’, in </w:t>
      </w:r>
      <w:r>
        <w:rPr>
          <w:rFonts w:cs="Arial" w:ascii="Arial" w:hAnsi="Arial"/>
          <w:i/>
          <w:iCs/>
          <w:color w:val="000000"/>
          <w:sz w:val="18"/>
          <w:szCs w:val="18"/>
          <w:shd w:fill="FFFFFF" w:val="clear"/>
        </w:rPr>
        <w:t>The Oxford handbook of biblical narrative</w:t>
      </w:r>
      <w:r>
        <w:rPr>
          <w:rFonts w:cs="Arial" w:ascii="Arial" w:hAnsi="Arial"/>
          <w:color w:val="000000"/>
          <w:sz w:val="18"/>
          <w:szCs w:val="18"/>
          <w:shd w:fill="FFFFFF" w:val="clear"/>
        </w:rPr>
        <w:t>, ed. Danna Nolan Fewell (Oxford University Press, 2016), p. 415.</w:t>
      </w:r>
    </w:p>
  </w:footnote>
  <w:footnote w:id="7">
    <w:p>
      <w:pPr>
        <w:pStyle w:val="TextBody"/>
        <w:spacing w:lineRule="auto" w:line="240" w:before="0" w:after="0"/>
        <w:rPr>
          <w:rFonts w:ascii="Arial" w:hAnsi="Arial" w:cs="Arial"/>
          <w:color w:val="000000"/>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Dennis T. </w:t>
      </w:r>
      <w:r>
        <w:rPr>
          <w:rFonts w:cs="Arial" w:ascii="Arial" w:hAnsi="Arial"/>
          <w:color w:val="000000"/>
          <w:sz w:val="18"/>
          <w:szCs w:val="18"/>
          <w:shd w:fill="FFFFFF" w:val="clear"/>
        </w:rPr>
        <w:t xml:space="preserve">Olson, ‘Untying the Knot? Masculinity, Violence, and the Creation-Fall Story of Genesis 2–4’, in </w:t>
      </w:r>
      <w:r>
        <w:rPr>
          <w:rFonts w:cs="Arial" w:ascii="Arial" w:hAnsi="Arial"/>
          <w:i/>
          <w:iCs/>
          <w:color w:val="000000"/>
          <w:sz w:val="18"/>
          <w:szCs w:val="18"/>
          <w:shd w:fill="FFFFFF" w:val="clear"/>
        </w:rPr>
        <w:t>Engaging the Bible in a gendered world: An introduction to feminist biblical interpretation in honor of Katharine Doob Sekenfeld</w:t>
      </w:r>
      <w:r>
        <w:rPr>
          <w:rFonts w:cs="Arial" w:ascii="Arial" w:hAnsi="Arial"/>
          <w:color w:val="000000"/>
          <w:sz w:val="18"/>
          <w:szCs w:val="18"/>
          <w:shd w:fill="FFFFFF" w:val="clear"/>
        </w:rPr>
        <w:t>, eds. Katharine Doob Sakenfeld (Presbyterian Publishing Corp, 2006), p. 78.</w:t>
      </w:r>
    </w:p>
    <w:p>
      <w:pPr>
        <w:pStyle w:val="Footnote"/>
        <w:ind w:left="0" w:hanging="0"/>
        <w:rPr>
          <w:lang w:val="en-US"/>
        </w:rPr>
      </w:pPr>
      <w:r>
        <w:rPr/>
      </w:r>
    </w:p>
  </w:footnote>
  <w:footnote w:id="8">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Susan E. </w:t>
      </w:r>
      <w:r>
        <w:rPr>
          <w:rFonts w:cs="Arial" w:ascii="Arial" w:hAnsi="Arial"/>
          <w:color w:val="000000"/>
          <w:sz w:val="18"/>
          <w:szCs w:val="18"/>
          <w:shd w:fill="FFFFFF" w:val="clear"/>
        </w:rPr>
        <w:t xml:space="preserve">Haddox, ‘Masculinity Studies of the Hebrew Bible: The First Two Decades’ </w:t>
      </w:r>
      <w:r>
        <w:rPr>
          <w:rFonts w:cs="Arial" w:ascii="Arial" w:hAnsi="Arial"/>
          <w:i/>
          <w:iCs/>
          <w:color w:val="000000"/>
          <w:sz w:val="18"/>
          <w:szCs w:val="18"/>
          <w:shd w:fill="FFFFFF" w:val="clear"/>
        </w:rPr>
        <w:t>Currents in Biblical Research</w:t>
      </w:r>
      <w:r>
        <w:rPr>
          <w:rFonts w:cs="Arial" w:ascii="Arial" w:hAnsi="Arial"/>
          <w:color w:val="000000"/>
          <w:sz w:val="18"/>
          <w:szCs w:val="18"/>
          <w:shd w:fill="FFFFFF" w:val="clear"/>
        </w:rPr>
        <w:t xml:space="preserve"> 14, no. 2 (2016), p. 179.</w:t>
      </w:r>
    </w:p>
  </w:footnote>
  <w:footnote w:id="9">
    <w:p>
      <w:pPr>
        <w:pStyle w:val="Footnote"/>
        <w:rPr/>
      </w:pPr>
      <w:r>
        <w:rPr>
          <w:rStyle w:val="FootnoteCharacters"/>
        </w:rPr>
        <w:footnoteRef/>
      </w:r>
      <w:r>
        <w:rPr/>
        <w:tab/>
        <w:t xml:space="preserve"> </w:t>
      </w:r>
      <w:r>
        <w:rPr>
          <w:rFonts w:cs="Arial" w:ascii="Arial" w:hAnsi="Arial"/>
          <w:color w:val="000000"/>
          <w:sz w:val="18"/>
          <w:szCs w:val="18"/>
          <w:shd w:fill="FFFFFF" w:val="clear"/>
        </w:rPr>
        <w:t>Haddox, ‘Masculinity Studies of the Hebrew Bible: The First Two Decades’, p. 184.</w:t>
      </w:r>
    </w:p>
  </w:footnote>
  <w:footnote w:id="10">
    <w:p>
      <w:pPr>
        <w:pStyle w:val="Footnote"/>
        <w:ind w:left="0" w:hanging="0"/>
        <w:rPr>
          <w:rFonts w:ascii="Arial" w:hAnsi="Arial" w:cs="Arial"/>
          <w:sz w:val="18"/>
          <w:szCs w:val="18"/>
          <w:lang w:val="en-US"/>
        </w:rPr>
      </w:pPr>
      <w:r>
        <w:rPr>
          <w:rStyle w:val="FootnoteCharacters"/>
        </w:rPr>
        <w:footnoteRef/>
      </w:r>
      <w:r>
        <w:rPr>
          <w:rFonts w:cs="Arial" w:ascii="Arial" w:hAnsi="Arial"/>
          <w:sz w:val="18"/>
          <w:szCs w:val="18"/>
        </w:rPr>
        <w:t xml:space="preserve"> </w:t>
      </w:r>
      <w:r>
        <w:rPr>
          <w:rFonts w:cs="Arial" w:ascii="Arial" w:hAnsi="Arial"/>
          <w:color w:val="000000"/>
          <w:sz w:val="18"/>
          <w:szCs w:val="18"/>
          <w:shd w:fill="FFFFFF" w:val="clear"/>
        </w:rPr>
        <w:t>Goldingay, ‘Hosea 1-3, Genesis 1-4, and Masculist Interpretation’, p. 38.</w:t>
      </w:r>
    </w:p>
  </w:footnote>
  <w:footnote w:id="11">
    <w:p>
      <w:pPr>
        <w:pStyle w:val="Footnote"/>
        <w:rPr>
          <w:lang w:val="en-US"/>
        </w:rPr>
      </w:pPr>
      <w:r>
        <w:rPr>
          <w:rStyle w:val="FootnoteCharacters"/>
        </w:rPr>
        <w:footnoteRef/>
      </w:r>
      <w:r>
        <w:rPr/>
        <w:tab/>
        <w:t xml:space="preserve"> </w:t>
      </w:r>
      <w:r>
        <w:rPr>
          <w:rFonts w:cs="Arial" w:ascii="Arial" w:hAnsi="Arial"/>
          <w:color w:val="000000"/>
          <w:sz w:val="18"/>
          <w:szCs w:val="18"/>
          <w:shd w:fill="FFFFFF" w:val="clear"/>
        </w:rPr>
        <w:t>Haddox, ‘Masculinity Studies of the Hebrew Bible: The First Two Decades’, p. 177.</w:t>
      </w:r>
    </w:p>
  </w:footnote>
  <w:footnote w:id="12">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Barbara </w:t>
      </w:r>
      <w:r>
        <w:rPr>
          <w:rFonts w:cs="Arial" w:ascii="Arial" w:hAnsi="Arial"/>
          <w:color w:val="000000"/>
          <w:sz w:val="18"/>
          <w:szCs w:val="18"/>
          <w:shd w:fill="FFFFFF" w:val="clear"/>
        </w:rPr>
        <w:t xml:space="preserve">Deutschmann, </w:t>
      </w:r>
      <w:r>
        <w:rPr>
          <w:rFonts w:cs="Arial" w:ascii="Arial" w:hAnsi="Arial"/>
          <w:i/>
          <w:iCs/>
          <w:color w:val="000000"/>
          <w:sz w:val="18"/>
          <w:szCs w:val="18"/>
          <w:shd w:fill="FFFFFF" w:val="clear"/>
        </w:rPr>
        <w:t>Creating gender in the garden: the inconstant partnership of Eve and Adam</w:t>
      </w:r>
      <w:r>
        <w:rPr>
          <w:rFonts w:cs="Arial" w:ascii="Arial" w:hAnsi="Arial"/>
          <w:color w:val="000000"/>
          <w:sz w:val="18"/>
          <w:szCs w:val="18"/>
          <w:shd w:fill="FFFFFF" w:val="clear"/>
        </w:rPr>
        <w:t xml:space="preserve"> (Bloomsbury Publishing, 2022), p.32.</w:t>
      </w:r>
    </w:p>
  </w:footnote>
  <w:footnote w:id="13">
    <w:p>
      <w:pPr>
        <w:pStyle w:val="Normal"/>
        <w:rPr>
          <w:rFonts w:ascii="Arial" w:hAnsi="Arial" w:cs="Arial"/>
          <w:color w:val="000000"/>
          <w:sz w:val="18"/>
          <w:szCs w:val="18"/>
          <w:shd w:fill="FFFFFF" w:val="clear"/>
        </w:rPr>
      </w:pPr>
      <w:r>
        <w:rPr>
          <w:rStyle w:val="FootnoteCharacters"/>
        </w:rPr>
        <w:footnoteRef/>
      </w:r>
      <w:r>
        <w:rPr>
          <w:rFonts w:cs="Arial" w:ascii="Arial" w:hAnsi="Arial"/>
          <w:sz w:val="18"/>
          <w:szCs w:val="18"/>
        </w:rPr>
        <w:t xml:space="preserve"> </w:t>
      </w:r>
      <w:r>
        <w:rPr>
          <w:rFonts w:cs="Arial" w:ascii="Arial" w:hAnsi="Arial"/>
          <w:color w:val="000000"/>
          <w:sz w:val="18"/>
          <w:szCs w:val="18"/>
          <w:shd w:fill="FFFFFF" w:val="clear"/>
        </w:rPr>
        <w:t>David Guzik, ‘Genesis 2 – Creation Completed; Adam in the Garden of Eden’, https://enduringword.com/bible-commentary/genesis-2/, 28 October 2023.</w:t>
      </w:r>
    </w:p>
  </w:footnote>
  <w:footnote w:id="14">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Scott </w:t>
      </w:r>
      <w:r>
        <w:rPr>
          <w:rFonts w:cs="Arial" w:ascii="Arial" w:hAnsi="Arial"/>
          <w:color w:val="000000"/>
          <w:sz w:val="18"/>
          <w:szCs w:val="18"/>
          <w:shd w:fill="FFFFFF" w:val="clear"/>
        </w:rPr>
        <w:t>Bonn, ‘5 Myths about serial killers and why they persist’, https://www.scientificamerican.com/article/5-myths-about-serial-killers-and-why-they-persist-excerpt/, 31 October 2023.</w:t>
      </w:r>
    </w:p>
  </w:footnote>
  <w:footnote w:id="15">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 xml:space="preserve">Deutschmann, </w:t>
      </w:r>
      <w:r>
        <w:rPr>
          <w:rFonts w:cs="Arial" w:ascii="Arial" w:hAnsi="Arial"/>
          <w:i/>
          <w:iCs/>
          <w:color w:val="000000"/>
          <w:sz w:val="18"/>
          <w:szCs w:val="18"/>
          <w:shd w:fill="FFFFFF" w:val="clear"/>
        </w:rPr>
        <w:t>Creating gender in the garden: the inconstant partnership of Eve and Adam</w:t>
      </w:r>
      <w:r>
        <w:rPr>
          <w:rFonts w:cs="Arial" w:ascii="Arial" w:hAnsi="Arial"/>
          <w:color w:val="000000"/>
          <w:sz w:val="18"/>
          <w:szCs w:val="18"/>
          <w:shd w:fill="FFFFFF" w:val="clear"/>
        </w:rPr>
        <w:t>, p.30.</w:t>
      </w:r>
    </w:p>
  </w:footnote>
  <w:footnote w:id="16">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 xml:space="preserve">Walton, </w:t>
      </w:r>
      <w:r>
        <w:rPr>
          <w:rFonts w:cs="Arial" w:ascii="Arial" w:hAnsi="Arial"/>
          <w:i/>
          <w:iCs/>
          <w:color w:val="000000"/>
          <w:sz w:val="18"/>
          <w:szCs w:val="18"/>
          <w:shd w:fill="FFFFFF" w:val="clear"/>
        </w:rPr>
        <w:t>The NIV Application Commentary Genesis</w:t>
      </w:r>
      <w:r>
        <w:rPr>
          <w:rFonts w:cs="Arial" w:ascii="Arial" w:hAnsi="Arial"/>
          <w:color w:val="000000"/>
          <w:sz w:val="18"/>
          <w:szCs w:val="18"/>
          <w:shd w:fill="FFFFFF" w:val="clear"/>
        </w:rPr>
        <w:t>, p.179.</w:t>
      </w:r>
    </w:p>
  </w:footnote>
  <w:footnote w:id="17">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 xml:space="preserve">Deutschmann, </w:t>
      </w:r>
      <w:r>
        <w:rPr>
          <w:rFonts w:cs="Arial" w:ascii="Arial" w:hAnsi="Arial"/>
          <w:i/>
          <w:iCs/>
          <w:color w:val="000000"/>
          <w:sz w:val="18"/>
          <w:szCs w:val="18"/>
          <w:shd w:fill="FFFFFF" w:val="clear"/>
        </w:rPr>
        <w:t>Creating gender in the garden: the inconstant partnership of Eve and Adam</w:t>
      </w:r>
      <w:r>
        <w:rPr>
          <w:rFonts w:cs="Arial" w:ascii="Arial" w:hAnsi="Arial"/>
          <w:color w:val="000000"/>
          <w:sz w:val="18"/>
          <w:szCs w:val="18"/>
          <w:shd w:fill="FFFFFF" w:val="clear"/>
        </w:rPr>
        <w:t>, p.41.</w:t>
      </w:r>
    </w:p>
  </w:footnote>
  <w:footnote w:id="18">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 xml:space="preserve">Walton, </w:t>
      </w:r>
      <w:r>
        <w:rPr>
          <w:rFonts w:cs="Arial" w:ascii="Arial" w:hAnsi="Arial"/>
          <w:i/>
          <w:iCs/>
          <w:color w:val="000000"/>
          <w:sz w:val="18"/>
          <w:szCs w:val="18"/>
          <w:shd w:fill="FFFFFF" w:val="clear"/>
        </w:rPr>
        <w:t>The NIV Application Commentary Genesis</w:t>
      </w:r>
      <w:r>
        <w:rPr>
          <w:rFonts w:cs="Arial" w:ascii="Arial" w:hAnsi="Arial"/>
          <w:color w:val="000000"/>
          <w:sz w:val="18"/>
          <w:szCs w:val="18"/>
          <w:shd w:fill="FFFFFF" w:val="clear"/>
        </w:rPr>
        <w:t>, p.179.</w:t>
      </w:r>
    </w:p>
  </w:footnote>
  <w:footnote w:id="19">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Gordon J. </w:t>
      </w:r>
      <w:r>
        <w:rPr>
          <w:rFonts w:cs="Arial" w:ascii="Arial" w:hAnsi="Arial"/>
          <w:color w:val="000000"/>
          <w:sz w:val="18"/>
          <w:szCs w:val="18"/>
          <w:shd w:fill="FFFFFF" w:val="clear"/>
        </w:rPr>
        <w:t xml:space="preserve">Wenham, </w:t>
      </w:r>
      <w:r>
        <w:rPr>
          <w:rFonts w:cs="Arial" w:ascii="Arial" w:hAnsi="Arial"/>
          <w:i/>
          <w:iCs/>
          <w:color w:val="000000"/>
          <w:sz w:val="18"/>
          <w:szCs w:val="18"/>
          <w:shd w:fill="FFFFFF" w:val="clear"/>
        </w:rPr>
        <w:t>Word Biblical Commentary Volume 1 - Genesis 1–15</w:t>
      </w:r>
      <w:r>
        <w:rPr>
          <w:rFonts w:cs="Arial" w:ascii="Arial" w:hAnsi="Arial"/>
          <w:color w:val="000000"/>
          <w:sz w:val="18"/>
          <w:szCs w:val="18"/>
          <w:shd w:fill="FFFFFF" w:val="clear"/>
        </w:rPr>
        <w:t xml:space="preserve"> (Word Books:Dallas, 1987), p.50. </w:t>
      </w:r>
    </w:p>
  </w:footnote>
  <w:footnote w:id="20">
    <w:p>
      <w:pPr>
        <w:pStyle w:val="Footnote"/>
        <w:rPr>
          <w:lang w:val="en-US"/>
        </w:rPr>
      </w:pPr>
      <w:r>
        <w:rPr>
          <w:rStyle w:val="FootnoteCharacters"/>
        </w:rPr>
        <w:footnoteRef/>
      </w:r>
      <w:r>
        <w:rPr/>
        <w:tab/>
        <w:t xml:space="preserve"> </w:t>
      </w:r>
      <w:r>
        <w:rPr>
          <w:rFonts w:cs="Arial" w:ascii="Arial" w:hAnsi="Arial"/>
          <w:color w:val="000000"/>
          <w:sz w:val="18"/>
          <w:szCs w:val="18"/>
          <w:shd w:fill="FFFFFF" w:val="clear"/>
        </w:rPr>
        <w:t xml:space="preserve">Hamilton, </w:t>
      </w:r>
      <w:r>
        <w:rPr>
          <w:rFonts w:cs="Arial" w:ascii="Arial" w:hAnsi="Arial"/>
          <w:i/>
          <w:iCs/>
          <w:color w:val="000000"/>
          <w:sz w:val="18"/>
          <w:szCs w:val="18"/>
          <w:shd w:fill="FFFFFF" w:val="clear"/>
        </w:rPr>
        <w:t>The Book of Genesis, Chapters 1:17</w:t>
      </w:r>
      <w:r>
        <w:rPr>
          <w:rFonts w:cs="Arial" w:ascii="Arial" w:hAnsi="Arial"/>
          <w:color w:val="000000"/>
          <w:sz w:val="18"/>
          <w:szCs w:val="18"/>
          <w:shd w:fill="FFFFFF" w:val="clear"/>
        </w:rPr>
        <w:t>, *</w:t>
      </w:r>
    </w:p>
  </w:footnote>
  <w:footnote w:id="21">
    <w:p>
      <w:pPr>
        <w:pStyle w:val="Footnote"/>
        <w:rPr>
          <w:lang w:val="en-US"/>
        </w:rPr>
      </w:pPr>
      <w:r>
        <w:rPr>
          <w:rStyle w:val="FootnoteCharacters"/>
        </w:rPr>
        <w:footnoteRef/>
      </w:r>
      <w:r>
        <w:rPr/>
        <w:tab/>
        <w:t xml:space="preserve"> </w:t>
      </w:r>
      <w:r>
        <w:rPr>
          <w:rFonts w:cs="Arial" w:ascii="Arial" w:hAnsi="Arial"/>
          <w:color w:val="000000"/>
          <w:sz w:val="18"/>
          <w:szCs w:val="18"/>
          <w:shd w:fill="FFFFFF" w:val="clear"/>
        </w:rPr>
        <w:t xml:space="preserve">Hamilton, </w:t>
      </w:r>
      <w:r>
        <w:rPr>
          <w:rFonts w:cs="Arial" w:ascii="Arial" w:hAnsi="Arial"/>
          <w:i/>
          <w:iCs/>
          <w:color w:val="000000"/>
          <w:sz w:val="18"/>
          <w:szCs w:val="18"/>
          <w:shd w:fill="FFFFFF" w:val="clear"/>
        </w:rPr>
        <w:t>The Book of Genesis, Chapters 1:17</w:t>
      </w:r>
      <w:r>
        <w:rPr>
          <w:rFonts w:cs="Arial" w:ascii="Arial" w:hAnsi="Arial"/>
          <w:color w:val="000000"/>
          <w:sz w:val="18"/>
          <w:szCs w:val="18"/>
          <w:shd w:fill="FFFFFF" w:val="clear"/>
        </w:rPr>
        <w:t>, *</w:t>
      </w:r>
    </w:p>
  </w:footnote>
  <w:footnote w:id="22">
    <w:p>
      <w:pPr>
        <w:pStyle w:val="Normal"/>
        <w:rPr>
          <w:rFonts w:ascii="Arial" w:hAnsi="Arial"/>
          <w:color w:val="000000"/>
          <w:shd w:fill="FFFFFF" w:val="clear"/>
        </w:rPr>
      </w:pPr>
      <w:r>
        <w:rPr>
          <w:rStyle w:val="FootnoteCharacters"/>
        </w:rPr>
        <w:footnoteRef/>
      </w:r>
      <w:r>
        <w:rPr/>
        <w:t xml:space="preserve"> </w:t>
      </w:r>
      <w:r>
        <w:rPr>
          <w:rFonts w:ascii="Arial" w:hAnsi="Arial"/>
          <w:color w:val="000000"/>
          <w:sz w:val="18"/>
          <w:szCs w:val="18"/>
          <w:shd w:fill="FFFFFF" w:val="clear"/>
        </w:rPr>
        <w:t>Matthew Henry, ‘Commentary on Genesis 2’, https://www.blueletterbible.org/Comm/mhc/Gen/Gen_002.cfm, 28 October 2023.</w:t>
      </w:r>
    </w:p>
  </w:footnote>
  <w:footnote w:id="23">
    <w:p>
      <w:pPr>
        <w:pStyle w:val="Normal"/>
        <w:rPr>
          <w:rFonts w:ascii="Arial" w:hAnsi="Arial" w:cs="Arial"/>
          <w:sz w:val="18"/>
          <w:szCs w:val="18"/>
          <w:shd w:fill="FFFFFF" w:val="clear"/>
        </w:rPr>
      </w:pPr>
      <w:r>
        <w:rPr>
          <w:rStyle w:val="FootnoteCharacters"/>
        </w:rPr>
        <w:footnoteRef/>
      </w:r>
      <w:r>
        <w:rPr>
          <w:rFonts w:cs="Arial" w:ascii="Arial" w:hAnsi="Arial"/>
          <w:sz w:val="18"/>
          <w:szCs w:val="18"/>
          <w:shd w:fill="FFFFFF" w:val="clear"/>
        </w:rPr>
        <w:t xml:space="preserve"> </w:t>
      </w:r>
      <w:r>
        <w:rPr>
          <w:rFonts w:cs="Arial" w:ascii="Arial" w:hAnsi="Arial"/>
          <w:sz w:val="18"/>
          <w:szCs w:val="18"/>
          <w:shd w:fill="FFFFFF" w:val="clear"/>
        </w:rPr>
        <w:t xml:space="preserve">Lena-Sofia </w:t>
      </w:r>
      <w:r>
        <w:rPr>
          <w:rFonts w:cs="Arial" w:ascii="Arial" w:hAnsi="Arial"/>
          <w:color w:val="000000"/>
          <w:sz w:val="18"/>
          <w:szCs w:val="18"/>
          <w:shd w:fill="FFFFFF" w:val="clear"/>
        </w:rPr>
        <w:t xml:space="preserve">Tiemeyer, </w:t>
      </w:r>
      <w:r>
        <w:rPr>
          <w:rFonts w:cs="Arial" w:ascii="Arial" w:hAnsi="Arial"/>
          <w:i/>
          <w:iCs/>
          <w:color w:val="000000"/>
          <w:sz w:val="18"/>
          <w:szCs w:val="18"/>
          <w:shd w:fill="FFFFFF" w:val="clear"/>
        </w:rPr>
        <w:t>In Search of Jonathan: Jonathan Between the Bible and Modern Fiction</w:t>
      </w:r>
      <w:r>
        <w:rPr>
          <w:rFonts w:cs="Arial" w:ascii="Arial" w:hAnsi="Arial"/>
          <w:color w:val="000000"/>
          <w:sz w:val="18"/>
          <w:szCs w:val="18"/>
          <w:shd w:fill="FFFFFF" w:val="clear"/>
        </w:rPr>
        <w:t xml:space="preserve"> (Oxford University Press, 2023), p.121.</w:t>
      </w:r>
    </w:p>
  </w:footnote>
  <w:footnote w:id="24">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John A. </w:t>
      </w:r>
      <w:r>
        <w:rPr>
          <w:rFonts w:cs="Arial" w:ascii="Arial" w:hAnsi="Arial"/>
          <w:color w:val="000000"/>
          <w:sz w:val="18"/>
          <w:szCs w:val="18"/>
          <w:shd w:fill="FFFFFF" w:val="clear"/>
        </w:rPr>
        <w:t xml:space="preserve">Thompson, ‘The significance of the verb love in the David-Jonathan narratives in 1 Samuel.’ </w:t>
      </w:r>
      <w:r>
        <w:rPr>
          <w:rFonts w:cs="Arial" w:ascii="Arial" w:hAnsi="Arial"/>
          <w:i/>
          <w:iCs/>
          <w:color w:val="000000"/>
          <w:sz w:val="18"/>
          <w:szCs w:val="18"/>
          <w:shd w:fill="FFFFFF" w:val="clear"/>
        </w:rPr>
        <w:t xml:space="preserve">Vetus Testamentum </w:t>
      </w:r>
      <w:r>
        <w:rPr>
          <w:rFonts w:cs="Arial" w:ascii="Arial" w:hAnsi="Arial"/>
          <w:color w:val="000000"/>
          <w:sz w:val="18"/>
          <w:szCs w:val="18"/>
          <w:shd w:fill="FFFFFF" w:val="clear"/>
        </w:rPr>
        <w:t>24, no. 3 (1974), p. 334.</w:t>
      </w:r>
    </w:p>
  </w:footnote>
  <w:footnote w:id="25">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Peter Njoroge </w:t>
      </w:r>
      <w:r>
        <w:rPr>
          <w:rFonts w:cs="Arial" w:ascii="Arial" w:hAnsi="Arial"/>
          <w:color w:val="000000"/>
          <w:sz w:val="18"/>
          <w:szCs w:val="18"/>
          <w:shd w:fill="FFFFFF" w:val="clear"/>
        </w:rPr>
        <w:t xml:space="preserve">Kimani, ‘The Nature and Motive of the Love Between Jonathan and David: An Exegesis of 1 Samuel 18:1-5.’ </w:t>
      </w:r>
      <w:r>
        <w:rPr>
          <w:rFonts w:cs="Arial" w:ascii="Arial" w:hAnsi="Arial"/>
          <w:i/>
          <w:iCs/>
          <w:color w:val="000000"/>
          <w:sz w:val="18"/>
          <w:szCs w:val="18"/>
          <w:shd w:fill="FFFFFF" w:val="clear"/>
        </w:rPr>
        <w:t xml:space="preserve">ShahidiHub International Journal of Theology and Religious Studies </w:t>
      </w:r>
      <w:r>
        <w:rPr>
          <w:rFonts w:cs="Arial" w:ascii="Arial" w:hAnsi="Arial"/>
          <w:color w:val="000000"/>
          <w:sz w:val="18"/>
          <w:szCs w:val="18"/>
          <w:shd w:fill="FFFFFF" w:val="clear"/>
        </w:rPr>
        <w:t>2</w:t>
      </w:r>
      <w:r>
        <w:rPr>
          <w:rFonts w:cs="Arial" w:ascii="Arial" w:hAnsi="Arial"/>
          <w:i/>
          <w:iCs/>
          <w:color w:val="000000"/>
          <w:sz w:val="18"/>
          <w:szCs w:val="18"/>
          <w:shd w:fill="FFFFFF" w:val="clear"/>
        </w:rPr>
        <w:t>,</w:t>
      </w:r>
      <w:r>
        <w:rPr>
          <w:rFonts w:cs="Arial" w:ascii="Arial" w:hAnsi="Arial"/>
          <w:color w:val="000000"/>
          <w:sz w:val="18"/>
          <w:szCs w:val="18"/>
          <w:shd w:fill="FFFFFF" w:val="clear"/>
        </w:rPr>
        <w:t xml:space="preserve"> no. 2 (2022), p. 3.</w:t>
      </w:r>
    </w:p>
  </w:footnote>
  <w:footnote w:id="26">
    <w:p>
      <w:pPr>
        <w:pStyle w:val="Footnote"/>
        <w:rPr>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 xml:space="preserve">Tiemeyer, </w:t>
      </w:r>
      <w:r>
        <w:rPr>
          <w:rFonts w:cs="Arial" w:ascii="Arial" w:hAnsi="Arial"/>
          <w:i/>
          <w:iCs/>
          <w:color w:val="000000"/>
          <w:sz w:val="18"/>
          <w:szCs w:val="18"/>
          <w:shd w:fill="FFFFFF" w:val="clear"/>
        </w:rPr>
        <w:t>In Search of Jonathan: Jonathan Between the Bible and Modern Fiction</w:t>
      </w:r>
      <w:r>
        <w:rPr>
          <w:rFonts w:cs="Arial" w:ascii="Arial" w:hAnsi="Arial"/>
          <w:color w:val="000000"/>
          <w:sz w:val="18"/>
          <w:szCs w:val="18"/>
          <w:shd w:fill="FFFFFF" w:val="clear"/>
        </w:rPr>
        <w:t>, pp.127-8.</w:t>
      </w:r>
    </w:p>
  </w:footnote>
  <w:footnote w:id="27">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color w:val="000000"/>
          <w:sz w:val="18"/>
          <w:szCs w:val="18"/>
          <w:shd w:fill="FFFFFF" w:val="clear"/>
        </w:rPr>
        <w:t xml:space="preserve">Dirk von der Horst, </w:t>
      </w:r>
      <w:r>
        <w:rPr>
          <w:rFonts w:cs="Arial" w:ascii="Arial" w:hAnsi="Arial"/>
          <w:i/>
          <w:iCs/>
          <w:color w:val="000000"/>
          <w:sz w:val="18"/>
          <w:szCs w:val="18"/>
          <w:shd w:fill="FFFFFF" w:val="clear"/>
        </w:rPr>
        <w:t>Jonathan’s Loves, David’s Laments: Gay Theology, Musical Desires, and Historical Difference</w:t>
      </w:r>
      <w:r>
        <w:rPr>
          <w:rFonts w:cs="Arial" w:ascii="Arial" w:hAnsi="Arial"/>
          <w:color w:val="000000"/>
          <w:sz w:val="18"/>
          <w:szCs w:val="18"/>
          <w:shd w:fill="FFFFFF" w:val="clear"/>
        </w:rPr>
        <w:t xml:space="preserve"> (Pickwick Publications:Eugene,Oregon, 2017), p.45.</w:t>
      </w:r>
    </w:p>
  </w:footnote>
  <w:footnote w:id="28">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Gary </w:t>
      </w:r>
      <w:r>
        <w:rPr>
          <w:rFonts w:cs="Arial" w:ascii="Arial" w:hAnsi="Arial"/>
          <w:color w:val="000000"/>
          <w:sz w:val="18"/>
          <w:szCs w:val="18"/>
          <w:shd w:fill="FFFFFF" w:val="clear"/>
        </w:rPr>
        <w:t xml:space="preserve">Stansell, ‘David and his friends: Social-scientific perspectives on the David-Jonathan friendship.’ </w:t>
      </w:r>
      <w:r>
        <w:rPr>
          <w:rFonts w:cs="Arial" w:ascii="Arial" w:hAnsi="Arial"/>
          <w:i/>
          <w:iCs/>
          <w:color w:val="000000"/>
          <w:sz w:val="18"/>
          <w:szCs w:val="18"/>
          <w:shd w:fill="FFFFFF" w:val="clear"/>
        </w:rPr>
        <w:t xml:space="preserve">Biblical Theology Bulletin </w:t>
      </w:r>
      <w:r>
        <w:rPr>
          <w:rFonts w:cs="Arial" w:ascii="Arial" w:hAnsi="Arial"/>
          <w:color w:val="000000"/>
          <w:sz w:val="18"/>
          <w:szCs w:val="18"/>
          <w:shd w:fill="FFFFFF" w:val="clear"/>
        </w:rPr>
        <w:t>41, no. 3 (2011), p. 129.</w:t>
      </w:r>
    </w:p>
  </w:footnote>
  <w:footnote w:id="29">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color w:val="000000"/>
          <w:sz w:val="18"/>
          <w:szCs w:val="18"/>
          <w:shd w:fill="FFFFFF" w:val="clear"/>
        </w:rPr>
        <w:t xml:space="preserve">Bill T. Arnold, </w:t>
      </w:r>
      <w:r>
        <w:rPr>
          <w:rFonts w:cs="Arial" w:ascii="Arial" w:hAnsi="Arial"/>
          <w:i/>
          <w:iCs/>
          <w:color w:val="000000"/>
          <w:sz w:val="18"/>
          <w:szCs w:val="18"/>
          <w:shd w:fill="FFFFFF" w:val="clear"/>
        </w:rPr>
        <w:t>1 and 2 Samuel</w:t>
      </w:r>
      <w:r>
        <w:rPr>
          <w:rFonts w:cs="Arial" w:ascii="Arial" w:hAnsi="Arial"/>
          <w:color w:val="000000"/>
          <w:sz w:val="18"/>
          <w:szCs w:val="18"/>
          <w:shd w:fill="FFFFFF" w:val="clear"/>
        </w:rPr>
        <w:t xml:space="preserve"> (Zondervan Academic:GrandRapids, 2003), p.271.</w:t>
      </w:r>
    </w:p>
  </w:footnote>
  <w:footnote w:id="30">
    <w:p>
      <w:pPr>
        <w:pStyle w:val="TextBody"/>
        <w:spacing w:lineRule="auto" w:line="240" w:before="0" w:after="0"/>
        <w:rPr>
          <w:rFonts w:ascii="Arial" w:hAnsi="Arial" w:cs="Arial"/>
          <w:color w:val="231F20"/>
          <w:sz w:val="18"/>
          <w:szCs w:val="18"/>
          <w:shd w:fill="FFFFFF" w:val="clear"/>
        </w:rPr>
      </w:pPr>
      <w:r>
        <w:rPr>
          <w:rStyle w:val="FootnoteCharacters"/>
        </w:rPr>
        <w:footnoteRef/>
      </w:r>
      <w:r>
        <w:rPr>
          <w:rFonts w:cs="Arial" w:ascii="Arial" w:hAnsi="Arial"/>
          <w:sz w:val="18"/>
          <w:szCs w:val="18"/>
        </w:rPr>
        <w:t xml:space="preserve"> </w:t>
      </w:r>
      <w:r>
        <w:rPr>
          <w:rFonts w:cs="Arial" w:ascii="Arial" w:hAnsi="Arial"/>
          <w:bCs/>
          <w:color w:val="231F20"/>
          <w:sz w:val="18"/>
          <w:szCs w:val="18"/>
          <w:shd w:fill="FFFFFF" w:val="clear"/>
        </w:rPr>
        <w:t>David Guzik, ‘1 Samuel 18 – Conflict between Saul and David’, https://enduringword.com/bible-commentary/1-samuel-18/, 16 October 2023.</w:t>
      </w:r>
    </w:p>
    <w:p>
      <w:pPr>
        <w:pStyle w:val="Footnote"/>
        <w:rPr/>
      </w:pPr>
      <w:r>
        <w:rPr/>
      </w:r>
    </w:p>
  </w:footnote>
  <w:footnote w:id="31">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Stansell, ‘David and his friends: Social-scientific perspectives on the David-Jonathan friendship.’, p. 116.</w:t>
      </w:r>
    </w:p>
  </w:footnote>
  <w:footnote w:id="32">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Stansell, ‘David and his friends: Social-scientific perspectives on the David-Jonathan friendship.’, pp. 124-5.</w:t>
      </w:r>
    </w:p>
  </w:footnote>
  <w:footnote w:id="33">
    <w:p>
      <w:pPr>
        <w:pStyle w:val="TextBody"/>
        <w:spacing w:before="0" w:after="0"/>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Kevin C.R. </w:t>
      </w:r>
      <w:r>
        <w:rPr>
          <w:rFonts w:cs="Arial" w:ascii="Arial" w:hAnsi="Arial"/>
          <w:sz w:val="18"/>
          <w:szCs w:val="18"/>
          <w:shd w:fill="FFFFFF" w:val="clear"/>
        </w:rPr>
        <w:t>Tyson, ‘A Cultural Study of the David and Jonathan Relationship through the Ritual in 1 Samuel 18: 1-5.’ PhD diss., Durham University, 2010, p. 154.</w:t>
      </w:r>
    </w:p>
  </w:footnote>
  <w:footnote w:id="34">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Stansell, ‘David and his friends: Social-scientific perspectives on the David-Jonathan friendship.’, pp. 127-8.</w:t>
      </w:r>
    </w:p>
  </w:footnote>
  <w:footnote w:id="35">
    <w:p>
      <w:pPr>
        <w:pStyle w:val="Footnote"/>
        <w:rPr>
          <w:rFonts w:ascii="Arial" w:hAnsi="Arial" w:cs="Arial"/>
          <w:sz w:val="18"/>
          <w:szCs w:val="18"/>
        </w:rPr>
      </w:pPr>
      <w:r>
        <w:rPr>
          <w:rStyle w:val="FootnoteCharacters"/>
        </w:rPr>
        <w:footnoteRef/>
      </w:r>
      <w:r>
        <w:rPr>
          <w:rFonts w:cs="Arial" w:ascii="Arial" w:hAnsi="Arial"/>
          <w:sz w:val="18"/>
          <w:szCs w:val="18"/>
        </w:rPr>
        <w:tab/>
        <w:t xml:space="preserve"> </w:t>
      </w:r>
      <w:r>
        <w:rPr>
          <w:rFonts w:cs="Arial" w:ascii="Arial" w:hAnsi="Arial"/>
          <w:sz w:val="18"/>
          <w:szCs w:val="18"/>
          <w:shd w:fill="FFFFFF" w:val="clear"/>
        </w:rPr>
        <w:t>Tyson, ‘A Cultural Study of the David and Jonathan Relationship through the Ritual in 1 Samuel 18: 1-5.’, p. 161.</w:t>
      </w:r>
    </w:p>
  </w:footnote>
  <w:footnote w:id="36">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color w:val="000000"/>
          <w:sz w:val="18"/>
          <w:szCs w:val="18"/>
          <w:shd w:fill="FFFFFF" w:val="clear"/>
        </w:rPr>
        <w:t>Kimani, ‘The Nature and Motive of the Love Between Jonathan and David: An Exegesis of 1 Samuel 18:1-5.’, p. 6.</w:t>
      </w:r>
    </w:p>
  </w:footnote>
  <w:footnote w:id="37">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Ralph W. </w:t>
      </w:r>
      <w:r>
        <w:rPr>
          <w:rFonts w:cs="Arial" w:ascii="Arial" w:hAnsi="Arial"/>
          <w:color w:val="000000"/>
          <w:sz w:val="18"/>
          <w:szCs w:val="18"/>
          <w:shd w:fill="FFFFFF" w:val="clear"/>
        </w:rPr>
        <w:t xml:space="preserve">Klein, </w:t>
      </w:r>
      <w:r>
        <w:rPr>
          <w:rFonts w:cs="Arial" w:ascii="Arial" w:hAnsi="Arial"/>
          <w:i/>
          <w:iCs/>
          <w:color w:val="000000"/>
          <w:sz w:val="18"/>
          <w:szCs w:val="18"/>
          <w:shd w:fill="FFFFFF" w:val="clear"/>
        </w:rPr>
        <w:t>1 Samuel,</w:t>
      </w:r>
      <w:r>
        <w:rPr>
          <w:rFonts w:cs="Arial" w:ascii="Arial" w:hAnsi="Arial"/>
          <w:color w:val="000000"/>
          <w:sz w:val="18"/>
          <w:szCs w:val="18"/>
          <w:shd w:fill="FFFFFF" w:val="clear"/>
        </w:rPr>
        <w:t xml:space="preserve"> </w:t>
      </w:r>
      <w:r>
        <w:rPr>
          <w:rFonts w:cs="Arial" w:ascii="Arial" w:hAnsi="Arial"/>
          <w:i/>
          <w:iCs/>
          <w:color w:val="000000"/>
          <w:sz w:val="18"/>
          <w:szCs w:val="18"/>
          <w:shd w:fill="FFFFFF" w:val="clear"/>
        </w:rPr>
        <w:t>Volume 10</w:t>
      </w:r>
      <w:r>
        <w:rPr>
          <w:rFonts w:cs="Arial" w:ascii="Arial" w:hAnsi="Arial"/>
          <w:color w:val="000000"/>
          <w:sz w:val="18"/>
          <w:szCs w:val="18"/>
          <w:shd w:fill="FFFFFF" w:val="clear"/>
        </w:rPr>
        <w:t xml:space="preserve"> (Zondervan Academic:Grand Rapids, 2018), p.182.</w:t>
      </w:r>
    </w:p>
  </w:footnote>
  <w:footnote w:id="38">
    <w:p>
      <w:pPr>
        <w:pStyle w:val="Normal"/>
        <w:rPr>
          <w:rFonts w:ascii="Arial" w:hAnsi="Arial" w:cs="Arial"/>
          <w:sz w:val="18"/>
          <w:szCs w:val="18"/>
          <w:shd w:fill="FFFFFF"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Dale Ralph </w:t>
      </w:r>
      <w:r>
        <w:rPr>
          <w:rFonts w:cs="Arial" w:ascii="Arial" w:hAnsi="Arial"/>
          <w:color w:val="000000"/>
          <w:sz w:val="18"/>
          <w:szCs w:val="18"/>
          <w:shd w:fill="FFFFFF" w:val="clear"/>
        </w:rPr>
        <w:t xml:space="preserve">Davis, </w:t>
      </w:r>
      <w:r>
        <w:rPr>
          <w:rFonts w:cs="Arial" w:ascii="Arial" w:hAnsi="Arial"/>
          <w:i/>
          <w:iCs/>
          <w:color w:val="000000"/>
          <w:sz w:val="18"/>
          <w:szCs w:val="18"/>
          <w:shd w:fill="FFFFFF" w:val="clear"/>
        </w:rPr>
        <w:t>1 Samuel: Looking on the Heart</w:t>
      </w:r>
      <w:r>
        <w:rPr>
          <w:rFonts w:cs="Arial" w:ascii="Arial" w:hAnsi="Arial"/>
          <w:color w:val="000000"/>
          <w:sz w:val="18"/>
          <w:szCs w:val="18"/>
          <w:shd w:fill="FFFFFF" w:val="clear"/>
        </w:rPr>
        <w:t xml:space="preserve"> (Christian Focus Publishings: Ross-shire, 2000), p. 191.</w:t>
      </w:r>
    </w:p>
  </w:footnote>
  <w:footnote w:id="39">
    <w:p>
      <w:pPr>
        <w:pStyle w:val="Footnote"/>
        <w:rPr>
          <w:rFonts w:ascii="Arial" w:hAnsi="Arial" w:cs="Arial"/>
          <w:sz w:val="18"/>
          <w:szCs w:val="18"/>
          <w:lang w:val="en-US"/>
        </w:rPr>
      </w:pPr>
      <w:r>
        <w:rPr>
          <w:rStyle w:val="FootnoteCharacters"/>
        </w:rPr>
        <w:footnoteRef/>
      </w:r>
      <w:r>
        <w:rPr>
          <w:rFonts w:cs="Arial" w:ascii="Arial" w:hAnsi="Arial"/>
          <w:sz w:val="18"/>
          <w:szCs w:val="18"/>
        </w:rPr>
        <w:tab/>
        <w:t xml:space="preserve"> </w:t>
      </w:r>
      <w:r>
        <w:rPr>
          <w:rFonts w:cs="Arial" w:ascii="Arial" w:hAnsi="Arial"/>
          <w:bCs/>
          <w:color w:val="231F20"/>
          <w:sz w:val="18"/>
          <w:szCs w:val="18"/>
          <w:shd w:fill="FFFFFF" w:val="clear"/>
        </w:rPr>
        <w:t>Guzik, ‘1 Samuel 18 – Conflict between Saul and David’</w:t>
      </w:r>
    </w:p>
  </w:footnote>
  <w:footnote w:id="40">
    <w:p>
      <w:pPr>
        <w:pStyle w:val="Normal"/>
        <w:rPr>
          <w:rFonts w:ascii="Arial" w:hAnsi="Arial" w:cs="Arial"/>
          <w:sz w:val="18"/>
          <w:szCs w:val="18"/>
        </w:rPr>
      </w:pPr>
      <w:r>
        <w:rPr>
          <w:rStyle w:val="FootnoteCharacters"/>
        </w:rPr>
        <w:footnoteRef/>
      </w:r>
      <w:r>
        <w:rPr>
          <w:rFonts w:cs="Arial" w:ascii="Arial" w:hAnsi="Arial"/>
          <w:sz w:val="18"/>
          <w:szCs w:val="18"/>
        </w:rPr>
        <w:t xml:space="preserve"> </w:t>
      </w:r>
      <w:r>
        <w:rPr>
          <w:rFonts w:cs="Arial" w:ascii="Arial" w:hAnsi="Arial"/>
          <w:sz w:val="18"/>
          <w:szCs w:val="18"/>
        </w:rPr>
        <w:t xml:space="preserve">Ora Horn Prouser, ‘Suited to the throne: the symbolic use of clothing in the David and Saul narratives.’ </w:t>
      </w:r>
      <w:r>
        <w:rPr>
          <w:rFonts w:cs="Arial" w:ascii="Arial" w:hAnsi="Arial"/>
          <w:i/>
          <w:iCs/>
          <w:sz w:val="18"/>
          <w:szCs w:val="18"/>
        </w:rPr>
        <w:t>Journal for the Study of the Old Testament</w:t>
      </w:r>
      <w:r>
        <w:rPr>
          <w:rFonts w:cs="Arial" w:ascii="Arial" w:hAnsi="Arial"/>
          <w:sz w:val="18"/>
          <w:szCs w:val="18"/>
        </w:rPr>
        <w:t xml:space="preserve"> 21, no. 71 (1996), p. 29.</w:t>
      </w:r>
    </w:p>
  </w:footnote>
  <w:footnote w:id="41">
    <w:p>
      <w:pPr>
        <w:pStyle w:val="Normal"/>
        <w:rPr>
          <w:rFonts w:ascii="Arial" w:hAnsi="Arial" w:cs="Arial"/>
          <w:sz w:val="18"/>
          <w:szCs w:val="18"/>
          <w:shd w:fill="FF4000" w:val="clear"/>
        </w:rPr>
      </w:pPr>
      <w:r>
        <w:rPr>
          <w:rStyle w:val="FootnoteCharacters"/>
        </w:rPr>
        <w:footnoteRef/>
      </w:r>
      <w:r>
        <w:rPr>
          <w:rFonts w:cs="Arial" w:ascii="Arial" w:hAnsi="Arial"/>
          <w:sz w:val="18"/>
          <w:szCs w:val="18"/>
        </w:rPr>
        <w:t xml:space="preserve"> </w:t>
      </w:r>
      <w:r>
        <w:rPr>
          <w:rFonts w:cs="Arial" w:ascii="Arial" w:hAnsi="Arial"/>
          <w:sz w:val="18"/>
          <w:szCs w:val="18"/>
        </w:rPr>
        <w:t xml:space="preserve">Matthew </w:t>
      </w:r>
      <w:r>
        <w:rPr>
          <w:rFonts w:cs="Arial" w:ascii="Arial" w:hAnsi="Arial"/>
          <w:color w:val="000000"/>
          <w:sz w:val="18"/>
          <w:szCs w:val="18"/>
          <w:shd w:fill="FFFFFF" w:val="clear"/>
        </w:rPr>
        <w:t>Henry, ‘Commentary on 1 Samuel 18’, https://www.blueletterbible.org/Comm/mhc/1Sa/1Sa_018.cfm, 16 October 2023.</w:t>
      </w:r>
    </w:p>
  </w:footnote>
</w:footnotes>
</file>

<file path=word/settings.xml><?xml version="1.0" encoding="utf-8"?>
<w:settings xmlns:w="http://schemas.openxmlformats.org/wordprocessingml/2006/main">
  <w:zoom w:percent="100"/>
  <w:defaultTabStop w:val="560"/>
  <w:autoHyphenation w:val="true"/>
  <w:footnotePr>
    <w:numFmt w:val="decimal"/>
    <w:footnote w:id="0"/>
    <w:footnote w:id="1"/>
  </w:footnotePr>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 w:cs="Arial Unicode MS" w:eastAsiaTheme="minorEastAsia"/>
        <w:kern w:val="2"/>
        <w:sz w:val="24"/>
        <w:szCs w:val="24"/>
        <w:lang w:val="en-GB"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Songti SC" w:cs="Arial Unicode MS"/>
      <w:color w:val="auto"/>
      <w:kern w:val="2"/>
      <w:sz w:val="24"/>
      <w:szCs w:val="24"/>
      <w:lang w:val="en-GB" w:eastAsia="zh-CN" w:bidi="hi-IN"/>
    </w:rPr>
  </w:style>
  <w:style w:type="paragraph" w:styleId="Heading1">
    <w:name w:val="Heading 1"/>
    <w:basedOn w:val="Heading"/>
    <w:next w:val="TextBody"/>
    <w:uiPriority w:val="9"/>
    <w:qFormat/>
    <w:pPr>
      <w:outlineLvl w:val="0"/>
    </w:pPr>
    <w:rPr>
      <w:rFonts w:ascii="Liberation Serif" w:hAnsi="Liberation Serif" w:eastAsia="Songti SC"/>
      <w:b/>
      <w:bCs/>
      <w:sz w:val="48"/>
      <w:szCs w:val="48"/>
    </w:rPr>
  </w:style>
  <w:style w:type="paragraph" w:styleId="Heading2">
    <w:name w:val="Heading 2"/>
    <w:basedOn w:val="Heading"/>
    <w:next w:val="TextBody"/>
    <w:uiPriority w:val="9"/>
    <w:unhideWhenUsed/>
    <w:qFormat/>
    <w:pPr>
      <w:spacing w:before="200" w:after="120"/>
      <w:outlineLvl w:val="1"/>
    </w:pPr>
    <w:rPr>
      <w:rFonts w:ascii="Liberation Serif" w:hAnsi="Liberation Serif" w:eastAsia="Songti SC"/>
      <w:b/>
      <w:bCs/>
      <w:sz w:val="36"/>
      <w:szCs w:val="36"/>
    </w:rPr>
  </w:style>
  <w:style w:type="paragraph" w:styleId="Heading3">
    <w:name w:val="Heading 3"/>
    <w:basedOn w:val="Heading"/>
    <w:next w:val="TextBody"/>
    <w:qFormat/>
    <w:pPr>
      <w:spacing w:before="140" w:after="120"/>
      <w:outlineLvl w:val="2"/>
    </w:pPr>
    <w:rPr>
      <w:rFonts w:ascii="Liberation Serif" w:hAnsi="Liberation Serif" w:eastAsia="Songti SC"/>
      <w:b/>
      <w:bCs/>
    </w:rPr>
  </w:style>
  <w:style w:type="paragraph" w:styleId="Heading4">
    <w:name w:val="Heading 4"/>
    <w:basedOn w:val="Heading"/>
    <w:next w:val="TextBody"/>
    <w:qFormat/>
    <w:pPr>
      <w:spacing w:before="120" w:after="120"/>
      <w:outlineLvl w:val="3"/>
    </w:pPr>
    <w:rPr>
      <w:rFonts w:ascii="Liberation Serif" w:hAnsi="Liberation Serif" w:eastAsia="Songti SC"/>
      <w:b/>
      <w:bCs/>
      <w:sz w:val="24"/>
      <w:szCs w:val="24"/>
    </w:rPr>
  </w:style>
  <w:style w:type="character" w:styleId="DefaultParagraphFont" w:default="1">
    <w:name w:val="Default Paragraph Font"/>
    <w:uiPriority w:val="1"/>
    <w:semiHidden/>
    <w:unhideWhenUsed/>
    <w:qFormat/>
    <w:rPr/>
  </w:style>
  <w:style w:type="character" w:styleId="InternetLink">
    <w:name w:val="Hyperlink"/>
    <w:rPr>
      <w:color w:val="000080"/>
      <w:u w:val="single"/>
    </w:rPr>
  </w:style>
  <w:style w:type="character" w:styleId="VisitedInternetLink">
    <w:name w:val="FollowedHyperlink"/>
    <w:rPr>
      <w:color w:val="800000"/>
      <w:u w:val="single"/>
    </w:rPr>
  </w:style>
  <w:style w:type="character" w:styleId="FootnoteCharacters">
    <w:name w:val="Footnote Characters"/>
    <w:basedOn w:val="DefaultParagraphFont"/>
    <w:uiPriority w:val="99"/>
    <w:semiHidden/>
    <w:unhideWhenUsed/>
    <w:qFormat/>
    <w:rsid w:val="00166b39"/>
    <w:rPr>
      <w:vertAlign w:val="superscript"/>
    </w:rPr>
  </w:style>
  <w:style w:type="character" w:styleId="FootnoteAnchor" w:customStyle="1">
    <w:name w:val="Footnote Anchor"/>
    <w:rPr>
      <w:vertAlign w:val="superscript"/>
    </w:rPr>
  </w:style>
  <w:style w:type="character" w:styleId="StrongEmphasis" w:customStyle="1">
    <w:name w:val="Strong Emphasis"/>
    <w:qFormat/>
    <w:rPr>
      <w:b/>
      <w:bCs/>
    </w:rPr>
  </w:style>
  <w:style w:type="character" w:styleId="EndnoteAnchor" w:customStyle="1">
    <w:name w:val="Endnote Anchor"/>
    <w:rPr>
      <w:vertAlign w:val="superscript"/>
    </w:rPr>
  </w:style>
  <w:style w:type="character" w:styleId="EndnoteCharacters" w:customStyle="1">
    <w:name w:val="Endnote Characters"/>
    <w:qFormat/>
    <w:rPr/>
  </w:style>
  <w:style w:type="character" w:styleId="Appleconvertedspace" w:customStyle="1">
    <w:name w:val="apple-converted-space"/>
    <w:basedOn w:val="DefaultParagraphFont"/>
    <w:qFormat/>
    <w:rsid w:val="000f75e5"/>
    <w:rPr/>
  </w:style>
  <w:style w:type="character" w:styleId="Bullets" w:customStyle="1">
    <w:name w:val="Bullets"/>
    <w:qFormat/>
    <w:rPr>
      <w:rFonts w:ascii="OpenSymbol" w:hAnsi="OpenSymbol" w:eastAsia="OpenSymbol" w:cs="OpenSymbol"/>
    </w:rPr>
  </w:style>
  <w:style w:type="character" w:styleId="NumberingSymbols" w:customStyle="1">
    <w:name w:val="Numbering Symbols"/>
    <w:qFormat/>
    <w:rPr/>
  </w:style>
  <w:style w:type="paragraph" w:styleId="Heading" w:customStyle="1">
    <w:name w:val="Heading"/>
    <w:basedOn w:val="Normal"/>
    <w:next w:val="TextBody"/>
    <w:qFormat/>
    <w:pPr>
      <w:keepNext w:val="true"/>
      <w:spacing w:before="240" w:after="120"/>
    </w:pPr>
    <w:rPr>
      <w:rFonts w:ascii="Liberation Sans" w:hAnsi="Liberation Sans" w:eastAsia="PingFang SC"/>
      <w:sz w:val="28"/>
      <w:szCs w:val="28"/>
    </w:rPr>
  </w:style>
  <w:style w:type="paragraph" w:styleId="TextBody">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Arial Unicode MS"/>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Footnote">
    <w:name w:val="Footnote Text"/>
    <w:basedOn w:val="Normal"/>
    <w:pPr>
      <w:suppressLineNumbers/>
      <w:ind w:left="339" w:hanging="339"/>
    </w:pPr>
    <w:rPr>
      <w:sz w:val="20"/>
      <w:szCs w:val="20"/>
    </w:rPr>
  </w:style>
  <w:style w:type="paragraph" w:styleId="Western" w:customStyle="1">
    <w:name w:val="western"/>
    <w:basedOn w:val="Normal"/>
    <w:qFormat/>
    <w:rsid w:val="00cc5f22"/>
    <w:pPr>
      <w:suppressAutoHyphens w:val="false"/>
      <w:spacing w:lineRule="auto" w:line="276" w:beforeAutospacing="1" w:after="142"/>
    </w:pPr>
    <w:rPr>
      <w:rFonts w:eastAsia="Times New Roman" w:cs="Times New Roman"/>
      <w:color w:val="000000"/>
      <w:kern w:val="0"/>
      <w:lang w:val="en-KR" w:eastAsia="ko-KR" w:bidi="ar-SA"/>
    </w:rPr>
  </w:style>
  <w:style w:type="paragraph" w:styleId="NormalWeb">
    <w:name w:val="Normal (Web)"/>
    <w:basedOn w:val="Normal"/>
    <w:uiPriority w:val="99"/>
    <w:semiHidden/>
    <w:unhideWhenUsed/>
    <w:qFormat/>
    <w:rsid w:val="00cd4e41"/>
    <w:pPr>
      <w:suppressAutoHyphens w:val="false"/>
      <w:spacing w:lineRule="auto" w:line="276" w:beforeAutospacing="1" w:after="142"/>
    </w:pPr>
    <w:rPr>
      <w:rFonts w:ascii="Times New Roman" w:hAnsi="Times New Roman" w:eastAsia="Times New Roman" w:cs="Times New Roman"/>
      <w:kern w:val="0"/>
      <w:lang w:val="en-KR" w:eastAsia="ko-KR"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1733</TotalTime>
  <Application>LibreOffice/7.0.2.2$MacOSX_X86_64 LibreOffice_project/8349ace3c3162073abd90d81fd06dcfb6b36b994</Application>
  <Pages>12</Pages>
  <Words>3735</Words>
  <Characters>19669</Characters>
  <CharactersWithSpaces>23379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2022-11-12T17:38:00Z</dcterms:created>
  <dc:creator/>
  <dc:description/>
  <dc:language>en-GB</dc:language>
  <cp:lastModifiedBy/>
  <dcterms:modified xsi:type="dcterms:W3CDTF">2023-11-03T11:26:22Z</dcterms:modified>
  <cp:revision>183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