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b/>
          <w:lang w:val="en-US"/>
        </w:rPr>
      </w:pPr>
      <w:r>
        <w:rPr>
          <w:rFonts w:hint="default"/>
          <w:b/>
          <w:lang w:val="en-US"/>
        </w:rPr>
        <w:t xml:space="preserve">ACCOUNTING FUNDAMENTALS </w:t>
      </w:r>
    </w:p>
    <w:p>
      <w:pPr>
        <w:jc w:val="both"/>
        <w:rPr>
          <w:rFonts w:hint="default"/>
          <w:b/>
          <w:lang w:val="en-US"/>
        </w:rPr>
      </w:pPr>
      <w:r>
        <w:rPr>
          <w:rFonts w:hint="default"/>
          <w:b/>
          <w:lang w:val="en-US"/>
        </w:rPr>
        <w:t>PETYA PETROVA ZLATKOVA</w:t>
      </w:r>
    </w:p>
    <w:p>
      <w:pPr>
        <w:jc w:val="both"/>
        <w:rPr>
          <w:rFonts w:hint="default"/>
          <w:b/>
          <w:lang w:val="en-US"/>
        </w:rPr>
      </w:pPr>
      <w:r>
        <w:rPr>
          <w:rFonts w:hint="default"/>
          <w:b/>
          <w:lang w:val="en-US"/>
        </w:rPr>
        <w:t>STUDENT ID: 2028785</w:t>
      </w:r>
    </w:p>
    <w:p>
      <w:pPr>
        <w:jc w:val="both"/>
        <w:rPr>
          <w:b/>
        </w:rPr>
      </w:pPr>
    </w:p>
    <w:p>
      <w:pPr>
        <w:jc w:val="both"/>
        <w:rPr>
          <w:b/>
        </w:rPr>
      </w:pPr>
    </w:p>
    <w:p>
      <w:pPr>
        <w:jc w:val="both"/>
        <w:rPr>
          <w:b/>
        </w:rPr>
      </w:pPr>
      <w:r>
        <w:rPr>
          <w:b/>
        </w:rPr>
        <w:t xml:space="preserve">QUESTION 1 </w:t>
      </w:r>
    </w:p>
    <w:p>
      <w:pPr>
        <w:jc w:val="both"/>
      </w:pPr>
      <w:r>
        <w:t xml:space="preserve">The following balances relate to Kedison PLC for the year ended 31st December 2020  </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15"/>
        <w:gridCol w:w="1843"/>
        <w:gridCol w:w="17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p>
        </w:tc>
        <w:tc>
          <w:tcPr>
            <w:tcW w:w="1843" w:type="dxa"/>
          </w:tcPr>
          <w:p>
            <w:pPr>
              <w:spacing w:after="0" w:line="240" w:lineRule="auto"/>
              <w:jc w:val="right"/>
            </w:pPr>
            <w:r>
              <w:t>£</w:t>
            </w:r>
          </w:p>
        </w:tc>
        <w:tc>
          <w:tcPr>
            <w:tcW w:w="1701" w:type="dxa"/>
          </w:tcPr>
          <w:p>
            <w:pPr>
              <w:spacing w:after="0" w:line="240" w:lineRule="auto"/>
              <w:jc w:val="right"/>
            </w:pPr>
            <w: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 xml:space="preserve">£1 ordinary shares  </w:t>
            </w:r>
          </w:p>
        </w:tc>
        <w:tc>
          <w:tcPr>
            <w:tcW w:w="1843" w:type="dxa"/>
          </w:tcPr>
          <w:p>
            <w:pPr>
              <w:spacing w:after="0" w:line="240" w:lineRule="auto"/>
              <w:jc w:val="right"/>
            </w:pPr>
          </w:p>
        </w:tc>
        <w:tc>
          <w:tcPr>
            <w:tcW w:w="1701" w:type="dxa"/>
          </w:tcPr>
          <w:p>
            <w:pPr>
              <w:spacing w:after="0" w:line="240" w:lineRule="auto"/>
              <w:jc w:val="right"/>
            </w:pPr>
            <w:r>
              <w:t>310,000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 xml:space="preserve">10% £1 preference shares  </w:t>
            </w:r>
          </w:p>
        </w:tc>
        <w:tc>
          <w:tcPr>
            <w:tcW w:w="1843" w:type="dxa"/>
          </w:tcPr>
          <w:p>
            <w:pPr>
              <w:spacing w:after="0" w:line="240" w:lineRule="auto"/>
              <w:jc w:val="right"/>
            </w:pPr>
          </w:p>
        </w:tc>
        <w:tc>
          <w:tcPr>
            <w:tcW w:w="1701" w:type="dxa"/>
          </w:tcPr>
          <w:p>
            <w:pPr>
              <w:spacing w:after="0" w:line="240" w:lineRule="auto"/>
              <w:jc w:val="right"/>
            </w:pPr>
            <w: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 xml:space="preserve">4% Debentures   </w:t>
            </w:r>
          </w:p>
        </w:tc>
        <w:tc>
          <w:tcPr>
            <w:tcW w:w="1843" w:type="dxa"/>
          </w:tcPr>
          <w:p>
            <w:pPr>
              <w:spacing w:after="0" w:line="240" w:lineRule="auto"/>
              <w:jc w:val="right"/>
            </w:pPr>
          </w:p>
        </w:tc>
        <w:tc>
          <w:tcPr>
            <w:tcW w:w="1701" w:type="dxa"/>
          </w:tcPr>
          <w:p>
            <w:pPr>
              <w:spacing w:after="0" w:line="240" w:lineRule="auto"/>
              <w:jc w:val="right"/>
            </w:pPr>
            <w:r>
              <w:t>100,000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Plant and equipment</w:t>
            </w:r>
          </w:p>
        </w:tc>
        <w:tc>
          <w:tcPr>
            <w:tcW w:w="1843" w:type="dxa"/>
          </w:tcPr>
          <w:p>
            <w:pPr>
              <w:spacing w:after="0" w:line="240" w:lineRule="auto"/>
              <w:jc w:val="right"/>
            </w:pPr>
            <w:r>
              <w:t xml:space="preserve">632,730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Stock at 31st December 2020</w:t>
            </w:r>
          </w:p>
        </w:tc>
        <w:tc>
          <w:tcPr>
            <w:tcW w:w="1843" w:type="dxa"/>
          </w:tcPr>
          <w:p>
            <w:pPr>
              <w:spacing w:after="0" w:line="240" w:lineRule="auto"/>
              <w:jc w:val="right"/>
            </w:pPr>
            <w:r>
              <w:t xml:space="preserve">330,600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Sales</w:t>
            </w:r>
          </w:p>
        </w:tc>
        <w:tc>
          <w:tcPr>
            <w:tcW w:w="1843" w:type="dxa"/>
          </w:tcPr>
          <w:p>
            <w:pPr>
              <w:spacing w:after="0" w:line="240" w:lineRule="auto"/>
              <w:jc w:val="right"/>
            </w:pPr>
          </w:p>
        </w:tc>
        <w:tc>
          <w:tcPr>
            <w:tcW w:w="1701" w:type="dxa"/>
          </w:tcPr>
          <w:p>
            <w:pPr>
              <w:spacing w:after="0" w:line="240" w:lineRule="auto"/>
              <w:jc w:val="right"/>
            </w:pPr>
            <w:r>
              <w:t>826,650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Cost of sales</w:t>
            </w:r>
          </w:p>
        </w:tc>
        <w:tc>
          <w:tcPr>
            <w:tcW w:w="1843" w:type="dxa"/>
          </w:tcPr>
          <w:p>
            <w:pPr>
              <w:spacing w:after="0" w:line="240" w:lineRule="auto"/>
              <w:jc w:val="right"/>
            </w:pPr>
            <w:r>
              <w:t xml:space="preserve">578,650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Debtors</w:t>
            </w:r>
          </w:p>
        </w:tc>
        <w:tc>
          <w:tcPr>
            <w:tcW w:w="1843" w:type="dxa"/>
          </w:tcPr>
          <w:p>
            <w:pPr>
              <w:spacing w:after="0" w:line="240" w:lineRule="auto"/>
              <w:jc w:val="right"/>
            </w:pPr>
            <w:r>
              <w:t xml:space="preserve">170,125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 xml:space="preserve">Trade creditors  </w:t>
            </w:r>
          </w:p>
        </w:tc>
        <w:tc>
          <w:tcPr>
            <w:tcW w:w="1843" w:type="dxa"/>
          </w:tcPr>
          <w:p>
            <w:pPr>
              <w:spacing w:after="0" w:line="240" w:lineRule="auto"/>
              <w:jc w:val="right"/>
            </w:pPr>
          </w:p>
        </w:tc>
        <w:tc>
          <w:tcPr>
            <w:tcW w:w="1701" w:type="dxa"/>
          </w:tcPr>
          <w:p>
            <w:pPr>
              <w:spacing w:after="0" w:line="240" w:lineRule="auto"/>
              <w:jc w:val="right"/>
            </w:pPr>
            <w:r>
              <w:t>171,355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Cash and bank</w:t>
            </w:r>
          </w:p>
        </w:tc>
        <w:tc>
          <w:tcPr>
            <w:tcW w:w="1843" w:type="dxa"/>
          </w:tcPr>
          <w:p>
            <w:pPr>
              <w:spacing w:after="0" w:line="240" w:lineRule="auto"/>
              <w:jc w:val="right"/>
            </w:pPr>
            <w:r>
              <w:t xml:space="preserve">12,900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Retained profits at 1st January 2020</w:t>
            </w:r>
          </w:p>
        </w:tc>
        <w:tc>
          <w:tcPr>
            <w:tcW w:w="1843" w:type="dxa"/>
          </w:tcPr>
          <w:p>
            <w:pPr>
              <w:spacing w:after="0" w:line="240" w:lineRule="auto"/>
              <w:jc w:val="right"/>
            </w:pPr>
          </w:p>
        </w:tc>
        <w:tc>
          <w:tcPr>
            <w:tcW w:w="1701" w:type="dxa"/>
          </w:tcPr>
          <w:p>
            <w:pPr>
              <w:spacing w:after="0" w:line="240" w:lineRule="auto"/>
              <w:jc w:val="right"/>
            </w:pPr>
            <w:r>
              <w:t>132,000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Ordinary dividend paid</w:t>
            </w:r>
          </w:p>
        </w:tc>
        <w:tc>
          <w:tcPr>
            <w:tcW w:w="1843" w:type="dxa"/>
          </w:tcPr>
          <w:p>
            <w:pPr>
              <w:spacing w:after="0" w:line="240" w:lineRule="auto"/>
              <w:jc w:val="right"/>
            </w:pPr>
            <w:r>
              <w:t xml:space="preserve">  20,000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Preference dividend paid</w:t>
            </w:r>
          </w:p>
        </w:tc>
        <w:tc>
          <w:tcPr>
            <w:tcW w:w="1843" w:type="dxa"/>
          </w:tcPr>
          <w:p>
            <w:pPr>
              <w:spacing w:after="0" w:line="240" w:lineRule="auto"/>
              <w:jc w:val="right"/>
            </w:pPr>
            <w:r>
              <w:t xml:space="preserve">30,000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Administrative expenses</w:t>
            </w:r>
          </w:p>
        </w:tc>
        <w:tc>
          <w:tcPr>
            <w:tcW w:w="1843" w:type="dxa"/>
          </w:tcPr>
          <w:p>
            <w:pPr>
              <w:spacing w:after="0" w:line="240" w:lineRule="auto"/>
              <w:jc w:val="right"/>
            </w:pPr>
            <w:r>
              <w:t xml:space="preserve">30,000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Interest paid</w:t>
            </w:r>
          </w:p>
        </w:tc>
        <w:tc>
          <w:tcPr>
            <w:tcW w:w="1843" w:type="dxa"/>
          </w:tcPr>
          <w:p>
            <w:pPr>
              <w:spacing w:after="0" w:line="240" w:lineRule="auto"/>
              <w:jc w:val="right"/>
            </w:pPr>
            <w:r>
              <w:t xml:space="preserve">2,000   </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Directors remuneration</w:t>
            </w:r>
          </w:p>
        </w:tc>
        <w:tc>
          <w:tcPr>
            <w:tcW w:w="1843" w:type="dxa"/>
          </w:tcPr>
          <w:p>
            <w:pPr>
              <w:spacing w:after="0" w:line="240" w:lineRule="auto"/>
              <w:jc w:val="right"/>
            </w:pPr>
            <w:r>
              <w:t>5,000</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815" w:type="dxa"/>
          </w:tcPr>
          <w:p>
            <w:pPr>
              <w:spacing w:after="0" w:line="240" w:lineRule="auto"/>
              <w:jc w:val="both"/>
            </w:pPr>
            <w:r>
              <w:t>Distribution costs</w:t>
            </w:r>
          </w:p>
        </w:tc>
        <w:tc>
          <w:tcPr>
            <w:tcW w:w="1843" w:type="dxa"/>
          </w:tcPr>
          <w:p>
            <w:pPr>
              <w:spacing w:after="0" w:line="240" w:lineRule="auto"/>
              <w:jc w:val="right"/>
            </w:pPr>
            <w:r>
              <w:t>28,000</w:t>
            </w:r>
          </w:p>
        </w:tc>
        <w:tc>
          <w:tcPr>
            <w:tcW w:w="1701"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15" w:type="dxa"/>
          </w:tcPr>
          <w:p>
            <w:pPr>
              <w:spacing w:after="0" w:line="240" w:lineRule="auto"/>
              <w:jc w:val="both"/>
            </w:pPr>
          </w:p>
        </w:tc>
        <w:tc>
          <w:tcPr>
            <w:tcW w:w="1843" w:type="dxa"/>
          </w:tcPr>
          <w:p>
            <w:pPr>
              <w:spacing w:after="0" w:line="240" w:lineRule="auto"/>
              <w:jc w:val="right"/>
              <w:rPr>
                <w:b/>
                <w:u w:val="thick"/>
              </w:rPr>
            </w:pPr>
            <w:r>
              <w:rPr>
                <w:b/>
                <w:u w:val="thick"/>
              </w:rPr>
              <w:t>1,840,005</w:t>
            </w:r>
          </w:p>
        </w:tc>
        <w:tc>
          <w:tcPr>
            <w:tcW w:w="1701" w:type="dxa"/>
          </w:tcPr>
          <w:p>
            <w:pPr>
              <w:spacing w:after="0" w:line="240" w:lineRule="auto"/>
              <w:jc w:val="right"/>
              <w:rPr>
                <w:b/>
                <w:u w:val="thick"/>
              </w:rPr>
            </w:pPr>
            <w:r>
              <w:rPr>
                <w:b/>
                <w:u w:val="thick"/>
              </w:rPr>
              <w:t>1,840,005</w:t>
            </w:r>
          </w:p>
        </w:tc>
      </w:tr>
    </w:tbl>
    <w:p>
      <w:pPr>
        <w:jc w:val="both"/>
      </w:pPr>
    </w:p>
    <w:p>
      <w:pPr>
        <w:jc w:val="both"/>
      </w:pPr>
      <w:r>
        <w:t xml:space="preserve">The following information is relevant: </w:t>
      </w:r>
    </w:p>
    <w:p>
      <w:pPr>
        <w:jc w:val="both"/>
      </w:pPr>
      <w:r>
        <w:t xml:space="preserve">1. Corporation tax for the year is estimated at £68,000. </w:t>
      </w:r>
    </w:p>
    <w:p>
      <w:pPr>
        <w:jc w:val="both"/>
      </w:pPr>
      <w:r>
        <w:t xml:space="preserve"> 2. Salesmen are owed commission of £3,000 in respect of December sales. It will be paid on 31st January 2021 and has not been recorded in the ledger accounts yet. </w:t>
      </w:r>
    </w:p>
    <w:p>
      <w:pPr>
        <w:jc w:val="both"/>
      </w:pPr>
      <w:r>
        <w:t xml:space="preserve"> 3. Goods valued at £980 were sent to customers on 31st December 2020. Payment is due on 28 February 2021. This has not been recorded in the ledger accounts yet. </w:t>
      </w:r>
    </w:p>
    <w:p>
      <w:pPr>
        <w:jc w:val="both"/>
      </w:pPr>
      <w:r>
        <w:t xml:space="preserve"> 4. The preference shares should be included within equity. </w:t>
      </w:r>
    </w:p>
    <w:p>
      <w:pPr>
        <w:jc w:val="both"/>
      </w:pPr>
      <w:r>
        <w:t xml:space="preserve"> </w:t>
      </w:r>
    </w:p>
    <w:p>
      <w:pPr>
        <w:jc w:val="both"/>
        <w:rPr>
          <w:b/>
        </w:rPr>
      </w:pPr>
      <w:r>
        <w:rPr>
          <w:b/>
        </w:rPr>
        <w:t>Required:</w:t>
      </w:r>
    </w:p>
    <w:p>
      <w:pPr>
        <w:jc w:val="both"/>
      </w:pPr>
      <w:r>
        <w:t xml:space="preserve">a) Prepare a Profit and Loss statement for the year ended 31st December 2020 for Kedison PLC and a statement of financial position as at that date.                                                                            [40 marks] </w:t>
      </w:r>
    </w:p>
    <w:p>
      <w:pPr>
        <w:jc w:val="both"/>
      </w:pPr>
      <w:r>
        <w:t>b) Why does the statement of financial position balance?                                                         [10 marks]</w:t>
      </w:r>
    </w:p>
    <w:p>
      <w:pPr>
        <w:jc w:val="both"/>
      </w:pPr>
    </w:p>
    <w:p>
      <w:pPr>
        <w:jc w:val="both"/>
      </w:pPr>
    </w:p>
    <w:p>
      <w:pPr>
        <w:jc w:val="both"/>
      </w:pPr>
    </w:p>
    <w:p>
      <w:pPr>
        <w:jc w:val="both"/>
        <w:rPr>
          <w:b/>
        </w:rPr>
      </w:pPr>
      <w:r>
        <w:rPr>
          <w:b/>
        </w:rPr>
        <w:t>ANSWER:</w:t>
      </w:r>
    </w:p>
    <w:p>
      <w:pPr>
        <w:jc w:val="both"/>
        <w:rPr>
          <w:b/>
        </w:rPr>
      </w:pPr>
      <w:r>
        <w:rPr>
          <w:b/>
        </w:rPr>
        <w:t xml:space="preserve">a)  </w:t>
      </w:r>
      <w:r>
        <w:rPr>
          <w:b/>
          <w:sz w:val="24"/>
          <w:szCs w:val="24"/>
        </w:rPr>
        <w:t>Profit and Loss statement for the year ended 31st December 2020 for Kedison PLC</w:t>
      </w:r>
    </w:p>
    <w:tbl>
      <w:tblPr>
        <w:tblStyle w:val="6"/>
        <w:tblW w:w="0" w:type="auto"/>
        <w:tblInd w:w="4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65"/>
        <w:gridCol w:w="1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p>
        </w:tc>
        <w:tc>
          <w:tcPr>
            <w:tcW w:w="1276" w:type="dxa"/>
          </w:tcPr>
          <w:p>
            <w:pPr>
              <w:spacing w:after="0" w:line="240" w:lineRule="auto"/>
              <w:jc w:val="right"/>
              <w:rPr>
                <w:b/>
              </w:rPr>
            </w:pPr>
            <w:r>
              <w:rPr>
                <w:b/>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Revenue  (826,650 + 980)</w:t>
            </w:r>
          </w:p>
        </w:tc>
        <w:tc>
          <w:tcPr>
            <w:tcW w:w="1276" w:type="dxa"/>
          </w:tcPr>
          <w:p>
            <w:pPr>
              <w:spacing w:after="0" w:line="240" w:lineRule="auto"/>
              <w:jc w:val="right"/>
            </w:pPr>
            <w:r>
              <w:t>827,630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Cost of sales</w:t>
            </w:r>
          </w:p>
        </w:tc>
        <w:tc>
          <w:tcPr>
            <w:tcW w:w="1276" w:type="dxa"/>
          </w:tcPr>
          <w:p>
            <w:pPr>
              <w:spacing w:after="0" w:line="240" w:lineRule="auto"/>
              <w:jc w:val="right"/>
              <w:rPr>
                <w:u w:val="single"/>
              </w:rPr>
            </w:pPr>
            <w:r>
              <w:rPr>
                <w:u w:val="single"/>
              </w:rPr>
              <w:t xml:space="preserve">(578,650)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Gross profit</w:t>
            </w:r>
          </w:p>
        </w:tc>
        <w:tc>
          <w:tcPr>
            <w:tcW w:w="1276" w:type="dxa"/>
          </w:tcPr>
          <w:p>
            <w:pPr>
              <w:spacing w:after="0" w:line="240" w:lineRule="auto"/>
              <w:jc w:val="right"/>
            </w:pPr>
            <w:r>
              <w:t>248,980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Distribution costs</w:t>
            </w:r>
          </w:p>
        </w:tc>
        <w:tc>
          <w:tcPr>
            <w:tcW w:w="1276" w:type="dxa"/>
          </w:tcPr>
          <w:p>
            <w:pPr>
              <w:spacing w:after="0" w:line="240" w:lineRule="auto"/>
              <w:jc w:val="right"/>
            </w:pPr>
            <w:r>
              <w:t>(28,000)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Selling costs</w:t>
            </w:r>
          </w:p>
        </w:tc>
        <w:tc>
          <w:tcPr>
            <w:tcW w:w="1276" w:type="dxa"/>
          </w:tcPr>
          <w:p>
            <w:pPr>
              <w:spacing w:after="0" w:line="240" w:lineRule="auto"/>
              <w:jc w:val="right"/>
            </w:pPr>
            <w: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Administrative expenses</w:t>
            </w:r>
          </w:p>
        </w:tc>
        <w:tc>
          <w:tcPr>
            <w:tcW w:w="1276" w:type="dxa"/>
          </w:tcPr>
          <w:p>
            <w:pPr>
              <w:spacing w:after="0" w:line="240" w:lineRule="auto"/>
              <w:jc w:val="right"/>
            </w:pPr>
            <w:r>
              <w:t xml:space="preserve">(30,000)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Directors remuneration</w:t>
            </w:r>
          </w:p>
        </w:tc>
        <w:tc>
          <w:tcPr>
            <w:tcW w:w="1276" w:type="dxa"/>
          </w:tcPr>
          <w:p>
            <w:pPr>
              <w:spacing w:after="0" w:line="240" w:lineRule="auto"/>
              <w:jc w:val="right"/>
              <w:rPr>
                <w:u w:val="single"/>
              </w:rPr>
            </w:pPr>
            <w:r>
              <w:rPr>
                <w:u w:val="single"/>
              </w:rP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Operating profit</w:t>
            </w:r>
          </w:p>
        </w:tc>
        <w:tc>
          <w:tcPr>
            <w:tcW w:w="1276" w:type="dxa"/>
          </w:tcPr>
          <w:p>
            <w:pPr>
              <w:spacing w:after="0" w:line="240" w:lineRule="auto"/>
              <w:jc w:val="right"/>
            </w:pPr>
            <w:r>
              <w:t>182,980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Interest paid</w:t>
            </w:r>
          </w:p>
        </w:tc>
        <w:tc>
          <w:tcPr>
            <w:tcW w:w="1276" w:type="dxa"/>
          </w:tcPr>
          <w:p>
            <w:pPr>
              <w:spacing w:after="0" w:line="240" w:lineRule="auto"/>
              <w:jc w:val="right"/>
              <w:rPr>
                <w:u w:val="single"/>
              </w:rPr>
            </w:pPr>
            <w:r>
              <w:rPr>
                <w:u w:val="single"/>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Profit/ (loss) before taxation</w:t>
            </w:r>
          </w:p>
        </w:tc>
        <w:tc>
          <w:tcPr>
            <w:tcW w:w="1276" w:type="dxa"/>
          </w:tcPr>
          <w:p>
            <w:pPr>
              <w:spacing w:after="0" w:line="240" w:lineRule="auto"/>
              <w:jc w:val="right"/>
            </w:pPr>
            <w:r>
              <w:t>180,980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Taxation</w:t>
            </w:r>
          </w:p>
        </w:tc>
        <w:tc>
          <w:tcPr>
            <w:tcW w:w="1276" w:type="dxa"/>
          </w:tcPr>
          <w:p>
            <w:pPr>
              <w:spacing w:after="0" w:line="240" w:lineRule="auto"/>
              <w:jc w:val="right"/>
            </w:pPr>
            <w:r>
              <w:t>(68,000)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Profit for the year</w:t>
            </w:r>
          </w:p>
        </w:tc>
        <w:tc>
          <w:tcPr>
            <w:tcW w:w="1276" w:type="dxa"/>
          </w:tcPr>
          <w:p>
            <w:pPr>
              <w:spacing w:after="0" w:line="240" w:lineRule="auto"/>
              <w:jc w:val="right"/>
              <w:rPr>
                <w:b/>
                <w:u w:val="double"/>
              </w:rPr>
            </w:pPr>
            <w:r>
              <w:rPr>
                <w:b/>
                <w:u w:val="double"/>
              </w:rPr>
              <w:t>112,980</w:t>
            </w:r>
          </w:p>
        </w:tc>
      </w:tr>
    </w:tbl>
    <w:p>
      <w:pPr>
        <w:jc w:val="both"/>
        <w:rPr>
          <w:b/>
        </w:rPr>
      </w:pPr>
    </w:p>
    <w:p>
      <w:pPr>
        <w:rPr>
          <w:b/>
          <w:sz w:val="24"/>
          <w:szCs w:val="24"/>
        </w:rPr>
      </w:pPr>
      <w:r>
        <w:rPr>
          <w:b/>
          <w:sz w:val="24"/>
          <w:szCs w:val="24"/>
        </w:rPr>
        <w:t xml:space="preserve">      Statement of Financial Position as at 31st December 2020 for Kedison PLC</w:t>
      </w:r>
    </w:p>
    <w:tbl>
      <w:tblPr>
        <w:tblStyle w:val="6"/>
        <w:tblW w:w="0" w:type="auto"/>
        <w:tblInd w:w="4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65"/>
        <w:gridCol w:w="1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p>
        </w:tc>
        <w:tc>
          <w:tcPr>
            <w:tcW w:w="1276" w:type="dxa"/>
          </w:tcPr>
          <w:p>
            <w:pPr>
              <w:spacing w:after="0" w:line="240" w:lineRule="auto"/>
              <w:jc w:val="right"/>
            </w:pPr>
            <w: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Non-Current Assets</w:t>
            </w: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Plant and equipment</w:t>
            </w:r>
          </w:p>
        </w:tc>
        <w:tc>
          <w:tcPr>
            <w:tcW w:w="1276" w:type="dxa"/>
          </w:tcPr>
          <w:p>
            <w:pPr>
              <w:spacing w:after="0" w:line="240" w:lineRule="auto"/>
              <w:jc w:val="right"/>
            </w:pPr>
            <w:r>
              <w:t xml:space="preserve">632,730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5665" w:type="dxa"/>
          </w:tcPr>
          <w:p>
            <w:pPr>
              <w:spacing w:after="0" w:line="240" w:lineRule="auto"/>
              <w:jc w:val="both"/>
              <w:rPr>
                <w:sz w:val="16"/>
                <w:szCs w:val="16"/>
              </w:rPr>
            </w:pP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Current Assets</w:t>
            </w: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Inventory</w:t>
            </w:r>
          </w:p>
        </w:tc>
        <w:tc>
          <w:tcPr>
            <w:tcW w:w="1276" w:type="dxa"/>
          </w:tcPr>
          <w:p>
            <w:pPr>
              <w:spacing w:after="0" w:line="240" w:lineRule="auto"/>
              <w:jc w:val="right"/>
            </w:pPr>
            <w:r>
              <w:t>330,600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 xml:space="preserve">Debtors (170,125 + 980)  </w:t>
            </w:r>
          </w:p>
        </w:tc>
        <w:tc>
          <w:tcPr>
            <w:tcW w:w="1276" w:type="dxa"/>
          </w:tcPr>
          <w:p>
            <w:pPr>
              <w:spacing w:after="0" w:line="240" w:lineRule="auto"/>
              <w:jc w:val="right"/>
            </w:pPr>
            <w:r>
              <w:t>171,105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Cash and bank</w:t>
            </w:r>
          </w:p>
        </w:tc>
        <w:tc>
          <w:tcPr>
            <w:tcW w:w="1276" w:type="dxa"/>
          </w:tcPr>
          <w:p>
            <w:pPr>
              <w:spacing w:after="0" w:line="240" w:lineRule="auto"/>
              <w:jc w:val="right"/>
              <w:rPr>
                <w:u w:val="single"/>
              </w:rPr>
            </w:pPr>
            <w:r>
              <w:rPr>
                <w:u w:val="single"/>
              </w:rPr>
              <w:t>12,900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p>
        </w:tc>
        <w:tc>
          <w:tcPr>
            <w:tcW w:w="1276" w:type="dxa"/>
          </w:tcPr>
          <w:p>
            <w:pPr>
              <w:spacing w:after="0" w:line="240" w:lineRule="auto"/>
              <w:jc w:val="right"/>
              <w:rPr>
                <w:u w:val="single"/>
              </w:rPr>
            </w:pPr>
            <w:r>
              <w:rPr>
                <w:u w:val="single"/>
              </w:rPr>
              <w:t>514,605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 w:hRule="atLeast"/>
        </w:trPr>
        <w:tc>
          <w:tcPr>
            <w:tcW w:w="5665" w:type="dxa"/>
          </w:tcPr>
          <w:p>
            <w:pPr>
              <w:spacing w:after="0" w:line="240" w:lineRule="auto"/>
              <w:jc w:val="both"/>
            </w:pPr>
          </w:p>
        </w:tc>
        <w:tc>
          <w:tcPr>
            <w:tcW w:w="1276" w:type="dxa"/>
          </w:tcPr>
          <w:p>
            <w:pPr>
              <w:spacing w:after="0" w:line="240" w:lineRule="auto"/>
              <w:jc w:val="right"/>
              <w:rPr>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5665" w:type="dxa"/>
          </w:tcPr>
          <w:p>
            <w:pPr>
              <w:spacing w:after="0" w:line="240" w:lineRule="auto"/>
              <w:jc w:val="both"/>
              <w:rPr>
                <w:b/>
              </w:rPr>
            </w:pPr>
            <w:r>
              <w:rPr>
                <w:b/>
              </w:rPr>
              <w:t>Total Assets</w:t>
            </w:r>
          </w:p>
        </w:tc>
        <w:tc>
          <w:tcPr>
            <w:tcW w:w="1276" w:type="dxa"/>
          </w:tcPr>
          <w:p>
            <w:pPr>
              <w:spacing w:after="0" w:line="240" w:lineRule="auto"/>
              <w:jc w:val="right"/>
              <w:rPr>
                <w:u w:val="single"/>
              </w:rPr>
            </w:pPr>
            <w:r>
              <w:rPr>
                <w:u w:val="single"/>
              </w:rPr>
              <w:t>1,147,335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sz w:val="16"/>
                <w:szCs w:val="16"/>
              </w:rPr>
            </w:pP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Current Liabilities</w:t>
            </w: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 xml:space="preserve">Trade creditors  </w:t>
            </w:r>
          </w:p>
        </w:tc>
        <w:tc>
          <w:tcPr>
            <w:tcW w:w="1276" w:type="dxa"/>
          </w:tcPr>
          <w:p>
            <w:pPr>
              <w:spacing w:after="0" w:line="240" w:lineRule="auto"/>
              <w:jc w:val="right"/>
            </w:pPr>
            <w:r>
              <w:t>(171,355)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Sales commission payables</w:t>
            </w:r>
          </w:p>
        </w:tc>
        <w:tc>
          <w:tcPr>
            <w:tcW w:w="1276" w:type="dxa"/>
          </w:tcPr>
          <w:p>
            <w:pPr>
              <w:spacing w:after="0" w:line="240" w:lineRule="auto"/>
              <w:jc w:val="right"/>
            </w:pPr>
            <w: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Taxation</w:t>
            </w:r>
          </w:p>
        </w:tc>
        <w:tc>
          <w:tcPr>
            <w:tcW w:w="1276" w:type="dxa"/>
          </w:tcPr>
          <w:p>
            <w:pPr>
              <w:spacing w:after="0" w:line="240" w:lineRule="auto"/>
              <w:jc w:val="right"/>
              <w:rPr>
                <w:u w:val="single"/>
              </w:rPr>
            </w:pPr>
            <w:r>
              <w:rPr>
                <w:u w:val="single"/>
              </w:rPr>
              <w:t>(68,000)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p>
        </w:tc>
        <w:tc>
          <w:tcPr>
            <w:tcW w:w="1276" w:type="dxa"/>
          </w:tcPr>
          <w:p>
            <w:pPr>
              <w:spacing w:after="0" w:line="240" w:lineRule="auto"/>
              <w:jc w:val="right"/>
              <w:rPr>
                <w:u w:val="single"/>
              </w:rPr>
            </w:pPr>
            <w:r>
              <w:rPr>
                <w:u w:val="single"/>
              </w:rPr>
              <w:t>(242,355)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Non-Current Liabilities</w:t>
            </w: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pPr>
            <w:r>
              <w:t xml:space="preserve">4% Debentures   </w:t>
            </w:r>
          </w:p>
        </w:tc>
        <w:tc>
          <w:tcPr>
            <w:tcW w:w="1276" w:type="dxa"/>
          </w:tcPr>
          <w:p>
            <w:pPr>
              <w:spacing w:after="0" w:line="240" w:lineRule="auto"/>
              <w:jc w:val="right"/>
              <w:rPr>
                <w:u w:val="single"/>
              </w:rPr>
            </w:pPr>
            <w:r>
              <w:rPr>
                <w:u w:val="single"/>
              </w:rPr>
              <w:t>(100,000)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Net Assets</w:t>
            </w:r>
          </w:p>
        </w:tc>
        <w:tc>
          <w:tcPr>
            <w:tcW w:w="1276" w:type="dxa"/>
          </w:tcPr>
          <w:p>
            <w:pPr>
              <w:spacing w:after="0" w:line="240" w:lineRule="auto"/>
              <w:jc w:val="right"/>
              <w:rPr>
                <w:b/>
                <w:u w:val="double"/>
              </w:rPr>
            </w:pPr>
            <w:r>
              <w:rPr>
                <w:b/>
                <w:u w:val="double"/>
              </w:rPr>
              <w:t>804,980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p>
        </w:tc>
        <w:tc>
          <w:tcPr>
            <w:tcW w:w="1276" w:type="dxa"/>
          </w:tcPr>
          <w:p>
            <w:pPr>
              <w:spacing w:after="0" w:line="240" w:lineRule="auto"/>
              <w:jc w:val="right"/>
              <w:rPr>
                <w:b/>
                <w:u w:val="singl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rPr>
                <w:b/>
              </w:rPr>
            </w:pPr>
            <w:r>
              <w:rPr>
                <w:b/>
              </w:rPr>
              <w:t>Equity</w:t>
            </w:r>
          </w:p>
        </w:tc>
        <w:tc>
          <w:tcPr>
            <w:tcW w:w="1276" w:type="dxa"/>
          </w:tcPr>
          <w:p>
            <w:pPr>
              <w:spacing w:after="0" w:line="240" w:lineRule="auto"/>
              <w:jc w:val="right"/>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 xml:space="preserve">£1 ordinary shares  </w:t>
            </w:r>
          </w:p>
        </w:tc>
        <w:tc>
          <w:tcPr>
            <w:tcW w:w="1276" w:type="dxa"/>
          </w:tcPr>
          <w:p>
            <w:pPr>
              <w:spacing w:after="0" w:line="240" w:lineRule="auto"/>
              <w:jc w:val="right"/>
            </w:pPr>
            <w:r>
              <w:t>310,000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 xml:space="preserve">10% £1 preference shares  </w:t>
            </w:r>
          </w:p>
        </w:tc>
        <w:tc>
          <w:tcPr>
            <w:tcW w:w="1276" w:type="dxa"/>
          </w:tcPr>
          <w:p>
            <w:pPr>
              <w:spacing w:after="0" w:line="240" w:lineRule="auto"/>
              <w:jc w:val="right"/>
            </w:pPr>
            <w:r>
              <w:t>300,000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r>
              <w:t>Retained earnings (112,980 + 132,000 – 20,000 – 30,000)</w:t>
            </w:r>
          </w:p>
        </w:tc>
        <w:tc>
          <w:tcPr>
            <w:tcW w:w="1276" w:type="dxa"/>
          </w:tcPr>
          <w:p>
            <w:pPr>
              <w:spacing w:after="0" w:line="240" w:lineRule="auto"/>
              <w:jc w:val="right"/>
              <w:rPr>
                <w:u w:val="single"/>
              </w:rPr>
            </w:pPr>
            <w:r>
              <w:rPr>
                <w:u w:val="single"/>
              </w:rPr>
              <w:t>194,980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665" w:type="dxa"/>
          </w:tcPr>
          <w:p>
            <w:pPr>
              <w:spacing w:after="0" w:line="240" w:lineRule="auto"/>
              <w:jc w:val="both"/>
            </w:pPr>
          </w:p>
        </w:tc>
        <w:tc>
          <w:tcPr>
            <w:tcW w:w="1276" w:type="dxa"/>
          </w:tcPr>
          <w:p>
            <w:pPr>
              <w:spacing w:after="0" w:line="240" w:lineRule="auto"/>
              <w:jc w:val="right"/>
              <w:rPr>
                <w:b/>
                <w:u w:val="double"/>
              </w:rPr>
            </w:pPr>
            <w:r>
              <w:rPr>
                <w:b/>
                <w:u w:val="double"/>
              </w:rPr>
              <w:t>804,980</w:t>
            </w:r>
          </w:p>
        </w:tc>
      </w:tr>
    </w:tbl>
    <w:p>
      <w:pPr>
        <w:spacing w:line="240" w:lineRule="auto"/>
        <w:jc w:val="both"/>
        <w:rPr>
          <w:sz w:val="24"/>
          <w:szCs w:val="24"/>
        </w:rPr>
      </w:pPr>
      <w:r>
        <w:rPr>
          <w:b/>
          <w:sz w:val="24"/>
          <w:szCs w:val="24"/>
        </w:rPr>
        <w:t>b)</w:t>
      </w:r>
      <w:r>
        <w:rPr>
          <w:sz w:val="24"/>
          <w:szCs w:val="24"/>
        </w:rPr>
        <w:t xml:space="preserve"> The statement of financial position balances because is based on the double-entry accounting principle where the total assets of the business are equal to the total of liabilities and shareholder equity (Sangster, Wood and Gordon, 2018)</w:t>
      </w:r>
    </w:p>
    <w:p>
      <w:pPr>
        <w:jc w:val="both"/>
        <w:rPr>
          <w:sz w:val="24"/>
          <w:szCs w:val="24"/>
        </w:rPr>
      </w:pPr>
      <w:r>
        <w:rPr>
          <w:sz w:val="24"/>
          <w:szCs w:val="24"/>
        </w:rPr>
        <w:t xml:space="preserve"> Assets = Liabilities + Equity</w:t>
      </w:r>
    </w:p>
    <w:p>
      <w:pPr>
        <w:jc w:val="both"/>
        <w:rPr>
          <w:sz w:val="24"/>
          <w:szCs w:val="24"/>
        </w:rPr>
      </w:pPr>
      <w:r>
        <w:rPr>
          <w:sz w:val="24"/>
          <w:szCs w:val="24"/>
        </w:rPr>
        <w:t>The assets represent what the business owns and the liabilities show what the business owe. The equity represents how much money the shareholders would have leftover if the business sold all its assets and paid off all its obligations (Sangster, Wood and Gordon, 2018).</w:t>
      </w:r>
    </w:p>
    <w:p>
      <w:pPr>
        <w:jc w:val="both"/>
        <w:rPr>
          <w:sz w:val="24"/>
          <w:szCs w:val="24"/>
        </w:rPr>
      </w:pPr>
      <w:r>
        <w:rPr>
          <w:sz w:val="24"/>
          <w:szCs w:val="24"/>
        </w:rPr>
        <w:t>Under the double-entry system, every transaction is recorded as an increase or decrease in at least two accounts in terms of debit or credit. The debit in one account will balance the credit in another account and the sum of all debits will equal the sum of all credits. The statement of financial position will balance if the below rules of debit and credit are followed for the different groups of accounts (Sangster, Wood and Gordon, 2018).</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1276"/>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sz w:val="24"/>
                <w:szCs w:val="24"/>
              </w:rPr>
            </w:pPr>
          </w:p>
        </w:tc>
        <w:tc>
          <w:tcPr>
            <w:tcW w:w="1276" w:type="dxa"/>
          </w:tcPr>
          <w:p>
            <w:pPr>
              <w:spacing w:after="0" w:line="240" w:lineRule="auto"/>
              <w:jc w:val="both"/>
              <w:rPr>
                <w:b/>
                <w:sz w:val="24"/>
                <w:szCs w:val="24"/>
              </w:rPr>
            </w:pPr>
            <w:r>
              <w:rPr>
                <w:b/>
                <w:sz w:val="24"/>
                <w:szCs w:val="24"/>
              </w:rPr>
              <w:t>Debit</w:t>
            </w:r>
          </w:p>
        </w:tc>
        <w:tc>
          <w:tcPr>
            <w:tcW w:w="1275" w:type="dxa"/>
          </w:tcPr>
          <w:p>
            <w:pPr>
              <w:spacing w:after="0" w:line="240" w:lineRule="auto"/>
              <w:jc w:val="both"/>
              <w:rPr>
                <w:b/>
                <w:sz w:val="24"/>
                <w:szCs w:val="24"/>
              </w:rPr>
            </w:pPr>
            <w:r>
              <w:rPr>
                <w:b/>
                <w:sz w:val="24"/>
                <w:szCs w:val="24"/>
              </w:rPr>
              <w:t>Credit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b/>
                <w:sz w:val="24"/>
                <w:szCs w:val="24"/>
              </w:rPr>
            </w:pPr>
            <w:r>
              <w:rPr>
                <w:b/>
                <w:sz w:val="24"/>
                <w:szCs w:val="24"/>
              </w:rPr>
              <w:t>Assets accounts</w:t>
            </w:r>
          </w:p>
        </w:tc>
        <w:tc>
          <w:tcPr>
            <w:tcW w:w="1276" w:type="dxa"/>
          </w:tcPr>
          <w:p>
            <w:pPr>
              <w:spacing w:after="0" w:line="240" w:lineRule="auto"/>
              <w:jc w:val="both"/>
              <w:rPr>
                <w:sz w:val="24"/>
                <w:szCs w:val="24"/>
              </w:rPr>
            </w:pPr>
            <w:r>
              <w:rPr>
                <w:sz w:val="24"/>
                <w:szCs w:val="24"/>
              </w:rPr>
              <w:t>increase</w:t>
            </w:r>
          </w:p>
        </w:tc>
        <w:tc>
          <w:tcPr>
            <w:tcW w:w="1275" w:type="dxa"/>
          </w:tcPr>
          <w:p>
            <w:pPr>
              <w:spacing w:after="0" w:line="240" w:lineRule="auto"/>
              <w:jc w:val="both"/>
              <w:rPr>
                <w:sz w:val="24"/>
                <w:szCs w:val="24"/>
              </w:rPr>
            </w:pPr>
            <w:r>
              <w:rPr>
                <w:sz w:val="24"/>
                <w:szCs w:val="24"/>
              </w:rPr>
              <w:t>decrease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b/>
                <w:sz w:val="24"/>
                <w:szCs w:val="24"/>
              </w:rPr>
            </w:pPr>
            <w:r>
              <w:rPr>
                <w:b/>
                <w:sz w:val="24"/>
                <w:szCs w:val="24"/>
              </w:rPr>
              <w:t>Capital accounts</w:t>
            </w:r>
          </w:p>
        </w:tc>
        <w:tc>
          <w:tcPr>
            <w:tcW w:w="1276" w:type="dxa"/>
          </w:tcPr>
          <w:p>
            <w:pPr>
              <w:spacing w:after="0" w:line="240" w:lineRule="auto"/>
              <w:jc w:val="both"/>
              <w:rPr>
                <w:sz w:val="24"/>
                <w:szCs w:val="24"/>
              </w:rPr>
            </w:pPr>
            <w:r>
              <w:rPr>
                <w:sz w:val="24"/>
                <w:szCs w:val="24"/>
              </w:rPr>
              <w:t>decrease</w:t>
            </w:r>
          </w:p>
        </w:tc>
        <w:tc>
          <w:tcPr>
            <w:tcW w:w="1275" w:type="dxa"/>
          </w:tcPr>
          <w:p>
            <w:pPr>
              <w:spacing w:after="0" w:line="240" w:lineRule="auto"/>
              <w:jc w:val="both"/>
              <w:rPr>
                <w:sz w:val="24"/>
                <w:szCs w:val="24"/>
              </w:rPr>
            </w:pPr>
            <w:r>
              <w:rPr>
                <w:sz w:val="24"/>
                <w:szCs w:val="24"/>
              </w:rPr>
              <w:t>increase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b/>
                <w:sz w:val="24"/>
                <w:szCs w:val="24"/>
              </w:rPr>
            </w:pPr>
            <w:r>
              <w:rPr>
                <w:b/>
                <w:sz w:val="24"/>
                <w:szCs w:val="24"/>
              </w:rPr>
              <w:t>Liabilities accounts</w:t>
            </w:r>
          </w:p>
        </w:tc>
        <w:tc>
          <w:tcPr>
            <w:tcW w:w="1276" w:type="dxa"/>
          </w:tcPr>
          <w:p>
            <w:pPr>
              <w:spacing w:after="0" w:line="240" w:lineRule="auto"/>
              <w:jc w:val="both"/>
              <w:rPr>
                <w:sz w:val="24"/>
                <w:szCs w:val="24"/>
              </w:rPr>
            </w:pPr>
            <w:r>
              <w:rPr>
                <w:sz w:val="24"/>
                <w:szCs w:val="24"/>
              </w:rPr>
              <w:t>decrease</w:t>
            </w:r>
          </w:p>
        </w:tc>
        <w:tc>
          <w:tcPr>
            <w:tcW w:w="1275" w:type="dxa"/>
          </w:tcPr>
          <w:p>
            <w:pPr>
              <w:spacing w:after="0" w:line="240" w:lineRule="auto"/>
              <w:jc w:val="both"/>
              <w:rPr>
                <w:sz w:val="24"/>
                <w:szCs w:val="24"/>
              </w:rPr>
            </w:pPr>
            <w:r>
              <w:rPr>
                <w:sz w:val="24"/>
                <w:szCs w:val="24"/>
              </w:rPr>
              <w:t>increase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b/>
                <w:sz w:val="24"/>
                <w:szCs w:val="24"/>
              </w:rPr>
            </w:pPr>
            <w:r>
              <w:rPr>
                <w:b/>
                <w:sz w:val="24"/>
                <w:szCs w:val="24"/>
              </w:rPr>
              <w:t>Revenue/Income accounts</w:t>
            </w:r>
          </w:p>
        </w:tc>
        <w:tc>
          <w:tcPr>
            <w:tcW w:w="1276" w:type="dxa"/>
          </w:tcPr>
          <w:p>
            <w:pPr>
              <w:spacing w:after="0" w:line="240" w:lineRule="auto"/>
              <w:jc w:val="both"/>
              <w:rPr>
                <w:sz w:val="24"/>
                <w:szCs w:val="24"/>
              </w:rPr>
            </w:pPr>
            <w:r>
              <w:rPr>
                <w:sz w:val="24"/>
                <w:szCs w:val="24"/>
              </w:rPr>
              <w:t>decrease</w:t>
            </w:r>
          </w:p>
        </w:tc>
        <w:tc>
          <w:tcPr>
            <w:tcW w:w="1275" w:type="dxa"/>
          </w:tcPr>
          <w:p>
            <w:pPr>
              <w:spacing w:after="0" w:line="240" w:lineRule="auto"/>
              <w:jc w:val="both"/>
              <w:rPr>
                <w:sz w:val="24"/>
                <w:szCs w:val="24"/>
              </w:rPr>
            </w:pPr>
            <w:r>
              <w:rPr>
                <w:sz w:val="24"/>
                <w:szCs w:val="24"/>
              </w:rPr>
              <w:t>increase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spacing w:after="0" w:line="240" w:lineRule="auto"/>
              <w:jc w:val="both"/>
              <w:rPr>
                <w:b/>
                <w:sz w:val="24"/>
                <w:szCs w:val="24"/>
              </w:rPr>
            </w:pPr>
            <w:r>
              <w:rPr>
                <w:b/>
                <w:sz w:val="24"/>
                <w:szCs w:val="24"/>
              </w:rPr>
              <w:t>Expenses/Losses accounts</w:t>
            </w:r>
          </w:p>
        </w:tc>
        <w:tc>
          <w:tcPr>
            <w:tcW w:w="1276" w:type="dxa"/>
          </w:tcPr>
          <w:p>
            <w:pPr>
              <w:spacing w:after="0" w:line="240" w:lineRule="auto"/>
              <w:jc w:val="both"/>
              <w:rPr>
                <w:sz w:val="24"/>
                <w:szCs w:val="24"/>
              </w:rPr>
            </w:pPr>
            <w:r>
              <w:rPr>
                <w:sz w:val="24"/>
                <w:szCs w:val="24"/>
              </w:rPr>
              <w:t>increase</w:t>
            </w:r>
          </w:p>
        </w:tc>
        <w:tc>
          <w:tcPr>
            <w:tcW w:w="1275" w:type="dxa"/>
          </w:tcPr>
          <w:p>
            <w:pPr>
              <w:spacing w:after="0" w:line="240" w:lineRule="auto"/>
              <w:jc w:val="both"/>
              <w:rPr>
                <w:sz w:val="24"/>
                <w:szCs w:val="24"/>
              </w:rPr>
            </w:pPr>
            <w:r>
              <w:rPr>
                <w:sz w:val="24"/>
                <w:szCs w:val="24"/>
              </w:rPr>
              <w:t>decrease</w:t>
            </w:r>
          </w:p>
        </w:tc>
      </w:tr>
    </w:tbl>
    <w:p>
      <w:pPr>
        <w:jc w:val="both"/>
      </w:pPr>
    </w:p>
    <w:p>
      <w:pPr>
        <w:jc w:val="both"/>
        <w:rPr>
          <w:sz w:val="24"/>
          <w:szCs w:val="24"/>
        </w:rPr>
      </w:pPr>
      <w:r>
        <w:rPr>
          <w:i/>
          <w:sz w:val="24"/>
          <w:szCs w:val="24"/>
        </w:rPr>
        <w:t>Example 1:</w:t>
      </w:r>
      <w:r>
        <w:rPr>
          <w:sz w:val="24"/>
          <w:szCs w:val="24"/>
        </w:rPr>
        <w:t xml:space="preserve"> Kedison PLC dispatched goods for £980 and will receive the money later in the next year. This represents credit sale and should be recorded as an increase of asset and increase of revenue:</w:t>
      </w:r>
    </w:p>
    <w:p>
      <w:pPr>
        <w:spacing w:after="0" w:line="240" w:lineRule="auto"/>
        <w:jc w:val="both"/>
        <w:rPr>
          <w:sz w:val="24"/>
          <w:szCs w:val="24"/>
        </w:rPr>
      </w:pPr>
      <w:r>
        <w:rPr>
          <w:sz w:val="24"/>
          <w:szCs w:val="24"/>
        </w:rPr>
        <w:t xml:space="preserve">Debit Trade receivables </w:t>
      </w:r>
      <w:r>
        <w:rPr>
          <w:i/>
          <w:sz w:val="24"/>
          <w:szCs w:val="24"/>
        </w:rPr>
        <w:t>(asset</w:t>
      </w:r>
      <w:r>
        <w:rPr>
          <w:sz w:val="24"/>
          <w:szCs w:val="24"/>
        </w:rPr>
        <w:t>)           £980</w:t>
      </w:r>
    </w:p>
    <w:p>
      <w:pPr>
        <w:spacing w:after="0" w:line="240" w:lineRule="auto"/>
        <w:jc w:val="both"/>
        <w:rPr>
          <w:sz w:val="24"/>
          <w:szCs w:val="24"/>
        </w:rPr>
      </w:pPr>
      <w:r>
        <w:rPr>
          <w:sz w:val="24"/>
          <w:szCs w:val="24"/>
        </w:rPr>
        <w:t xml:space="preserve">Credit Sales </w:t>
      </w:r>
      <w:r>
        <w:rPr>
          <w:i/>
          <w:sz w:val="24"/>
          <w:szCs w:val="24"/>
        </w:rPr>
        <w:t>(revenue</w:t>
      </w:r>
      <w:r>
        <w:rPr>
          <w:sz w:val="24"/>
          <w:szCs w:val="24"/>
        </w:rPr>
        <w:t>)                           £980</w:t>
      </w:r>
    </w:p>
    <w:p>
      <w:pPr>
        <w:spacing w:after="0" w:line="240" w:lineRule="auto"/>
        <w:jc w:val="both"/>
        <w:rPr>
          <w:sz w:val="24"/>
          <w:szCs w:val="24"/>
        </w:rPr>
      </w:pPr>
    </w:p>
    <w:p>
      <w:pPr>
        <w:jc w:val="both"/>
        <w:rPr>
          <w:sz w:val="24"/>
          <w:szCs w:val="24"/>
        </w:rPr>
      </w:pPr>
      <w:r>
        <w:rPr>
          <w:i/>
          <w:sz w:val="24"/>
          <w:szCs w:val="24"/>
        </w:rPr>
        <w:t>Example 2:</w:t>
      </w:r>
      <w:r>
        <w:rPr>
          <w:sz w:val="24"/>
          <w:szCs w:val="24"/>
        </w:rPr>
        <w:t xml:space="preserve"> The sales commission of £3,000 in respect of December sales will be paid by Kedison PLC in January next year. This should be recorded as an increase of expense and increase of liability as follows:</w:t>
      </w:r>
    </w:p>
    <w:p>
      <w:pPr>
        <w:spacing w:after="0"/>
        <w:jc w:val="both"/>
        <w:rPr>
          <w:sz w:val="24"/>
          <w:szCs w:val="24"/>
        </w:rPr>
      </w:pPr>
      <w:r>
        <w:rPr>
          <w:sz w:val="24"/>
          <w:szCs w:val="24"/>
        </w:rPr>
        <w:t>Debit Sales commissions (</w:t>
      </w:r>
      <w:r>
        <w:rPr>
          <w:i/>
          <w:sz w:val="24"/>
          <w:szCs w:val="24"/>
        </w:rPr>
        <w:t>expense</w:t>
      </w:r>
      <w:r>
        <w:rPr>
          <w:sz w:val="24"/>
          <w:szCs w:val="24"/>
        </w:rPr>
        <w:t>)                              £3,000</w:t>
      </w:r>
    </w:p>
    <w:p>
      <w:pPr>
        <w:spacing w:after="0"/>
        <w:jc w:val="both"/>
        <w:rPr>
          <w:sz w:val="24"/>
          <w:szCs w:val="24"/>
        </w:rPr>
      </w:pPr>
      <w:r>
        <w:rPr>
          <w:sz w:val="24"/>
          <w:szCs w:val="24"/>
        </w:rPr>
        <w:t xml:space="preserve">Credit Sales commission payables </w:t>
      </w:r>
      <w:r>
        <w:rPr>
          <w:i/>
          <w:sz w:val="24"/>
          <w:szCs w:val="24"/>
        </w:rPr>
        <w:t xml:space="preserve">(liability) </w:t>
      </w:r>
      <w:r>
        <w:rPr>
          <w:sz w:val="24"/>
          <w:szCs w:val="24"/>
        </w:rPr>
        <w:t xml:space="preserve">              £3,000</w:t>
      </w:r>
    </w:p>
    <w:p>
      <w:pPr>
        <w:jc w:val="both"/>
        <w:rPr>
          <w:sz w:val="24"/>
          <w:szCs w:val="24"/>
        </w:rPr>
      </w:pPr>
    </w:p>
    <w:p>
      <w:pPr>
        <w:jc w:val="both"/>
        <w:rPr>
          <w:sz w:val="24"/>
          <w:szCs w:val="24"/>
        </w:rPr>
      </w:pPr>
      <w:r>
        <w:rPr>
          <w:sz w:val="24"/>
          <w:szCs w:val="24"/>
        </w:rPr>
        <w:t>If the statement of financial position does not balance that means that there is a mistake with one or more of the accounting entries. The double-entry system ensures that the entries are consistent and allows for better detection of errors.</w:t>
      </w:r>
    </w:p>
    <w:p>
      <w:pPr>
        <w:jc w:val="both"/>
      </w:pPr>
    </w:p>
    <w:p>
      <w:pPr>
        <w:spacing w:after="0"/>
        <w:jc w:val="both"/>
      </w:pPr>
    </w:p>
    <w:p>
      <w:pPr>
        <w:spacing w:after="0"/>
        <w:jc w:val="both"/>
        <w:rPr>
          <w:b/>
        </w:rPr>
      </w:pPr>
      <w:r>
        <w:rPr>
          <w:b/>
        </w:rPr>
        <w:t>QUESTION 2</w:t>
      </w:r>
    </w:p>
    <w:p>
      <w:pPr>
        <w:spacing w:after="0" w:line="240" w:lineRule="auto"/>
        <w:jc w:val="both"/>
        <w:rPr>
          <w:sz w:val="24"/>
          <w:szCs w:val="24"/>
        </w:rPr>
      </w:pPr>
      <w:r>
        <w:rPr>
          <w:sz w:val="24"/>
          <w:szCs w:val="24"/>
        </w:rPr>
        <w:t>Chocco plc is a long-established chocolate and confectionery manufacturer. All products are manufactured in the UK, but sales are made worldwide. It is a growing but competitive market. Given below are extracts from their financial statements,</w:t>
      </w:r>
    </w:p>
    <w:p>
      <w:pPr>
        <w:spacing w:after="0"/>
        <w:jc w:val="both"/>
        <w:rPr>
          <w:b/>
          <w:sz w:val="24"/>
          <w:szCs w:val="24"/>
        </w:rPr>
      </w:pPr>
      <w:r>
        <w:rPr>
          <w:b/>
          <w:sz w:val="24"/>
          <w:szCs w:val="24"/>
        </w:rPr>
        <w:t xml:space="preserve">  Profit and Loss statement for the year ended 31st December</w:t>
      </w:r>
    </w:p>
    <w:tbl>
      <w:tblPr>
        <w:tblStyle w:val="6"/>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44"/>
        <w:gridCol w:w="1276"/>
        <w:gridCol w:w="1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p>
        </w:tc>
        <w:tc>
          <w:tcPr>
            <w:tcW w:w="1276" w:type="dxa"/>
          </w:tcPr>
          <w:p>
            <w:pPr>
              <w:spacing w:after="0" w:line="240" w:lineRule="auto"/>
              <w:jc w:val="right"/>
              <w:rPr>
                <w:rFonts w:cstheme="minorHAnsi"/>
              </w:rPr>
            </w:pPr>
            <w:r>
              <w:rPr>
                <w:rFonts w:cstheme="minorHAnsi"/>
              </w:rPr>
              <w:t>2020</w:t>
            </w:r>
          </w:p>
        </w:tc>
        <w:tc>
          <w:tcPr>
            <w:tcW w:w="1276" w:type="dxa"/>
          </w:tcPr>
          <w:p>
            <w:pPr>
              <w:spacing w:after="0" w:line="240" w:lineRule="auto"/>
              <w:jc w:val="right"/>
              <w:rPr>
                <w:rFonts w:cstheme="minorHAnsi"/>
              </w:rPr>
            </w:pPr>
            <w:r>
              <w:rPr>
                <w:rFonts w:cstheme="minorHAnsi"/>
              </w:rPr>
              <w:t>2019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p>
        </w:tc>
        <w:tc>
          <w:tcPr>
            <w:tcW w:w="1276" w:type="dxa"/>
          </w:tcPr>
          <w:p>
            <w:pPr>
              <w:spacing w:after="0" w:line="240" w:lineRule="auto"/>
              <w:jc w:val="right"/>
              <w:rPr>
                <w:rFonts w:cstheme="minorHAnsi"/>
              </w:rPr>
            </w:pPr>
            <w:r>
              <w:rPr>
                <w:rFonts w:cstheme="minorHAnsi"/>
              </w:rPr>
              <w:t>£m</w:t>
            </w:r>
          </w:p>
        </w:tc>
        <w:tc>
          <w:tcPr>
            <w:tcW w:w="1276" w:type="dxa"/>
          </w:tcPr>
          <w:p>
            <w:pPr>
              <w:spacing w:after="0" w:line="240" w:lineRule="auto"/>
              <w:jc w:val="right"/>
              <w:rPr>
                <w:rFonts w:cstheme="minorHAnsi"/>
              </w:rPr>
            </w:pPr>
            <w:r>
              <w:rPr>
                <w:rFonts w:cstheme="minorHAnsi"/>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 xml:space="preserve">Revenue  </w:t>
            </w:r>
          </w:p>
        </w:tc>
        <w:tc>
          <w:tcPr>
            <w:tcW w:w="1276" w:type="dxa"/>
          </w:tcPr>
          <w:p>
            <w:pPr>
              <w:spacing w:after="0" w:line="240" w:lineRule="auto"/>
              <w:jc w:val="right"/>
              <w:rPr>
                <w:rFonts w:cstheme="minorHAnsi"/>
              </w:rPr>
            </w:pPr>
            <w:r>
              <w:rPr>
                <w:rFonts w:cstheme="minorHAnsi"/>
              </w:rPr>
              <w:t xml:space="preserve">6,738  </w:t>
            </w:r>
          </w:p>
        </w:tc>
        <w:tc>
          <w:tcPr>
            <w:tcW w:w="1276" w:type="dxa"/>
          </w:tcPr>
          <w:p>
            <w:pPr>
              <w:spacing w:after="0" w:line="240" w:lineRule="auto"/>
              <w:jc w:val="right"/>
              <w:rPr>
                <w:rFonts w:cstheme="minorHAnsi"/>
              </w:rPr>
            </w:pPr>
            <w:r>
              <w:rPr>
                <w:rFonts w:cstheme="minorHAnsi"/>
              </w:rPr>
              <w:t xml:space="preserve">6,441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Cost of sales</w:t>
            </w:r>
          </w:p>
        </w:tc>
        <w:tc>
          <w:tcPr>
            <w:tcW w:w="1276" w:type="dxa"/>
          </w:tcPr>
          <w:p>
            <w:pPr>
              <w:spacing w:after="0" w:line="240" w:lineRule="auto"/>
              <w:jc w:val="right"/>
              <w:rPr>
                <w:rFonts w:cstheme="minorHAnsi"/>
                <w:u w:val="single"/>
              </w:rPr>
            </w:pPr>
            <w:r>
              <w:rPr>
                <w:rFonts w:cstheme="minorHAnsi"/>
                <w:u w:val="single"/>
              </w:rPr>
              <w:t>(3,235)</w:t>
            </w:r>
          </w:p>
        </w:tc>
        <w:tc>
          <w:tcPr>
            <w:tcW w:w="1276" w:type="dxa"/>
          </w:tcPr>
          <w:p>
            <w:pPr>
              <w:spacing w:after="0" w:line="240" w:lineRule="auto"/>
              <w:jc w:val="right"/>
              <w:rPr>
                <w:rFonts w:cstheme="minorHAnsi"/>
                <w:u w:val="single"/>
              </w:rPr>
            </w:pPr>
            <w:r>
              <w:rPr>
                <w:rFonts w:cstheme="minorHAnsi"/>
                <w:u w:val="single"/>
              </w:rPr>
              <w:t>(3,096)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Gross profit</w:t>
            </w:r>
          </w:p>
        </w:tc>
        <w:tc>
          <w:tcPr>
            <w:tcW w:w="1276" w:type="dxa"/>
          </w:tcPr>
          <w:p>
            <w:pPr>
              <w:spacing w:after="0" w:line="240" w:lineRule="auto"/>
              <w:jc w:val="right"/>
              <w:rPr>
                <w:rFonts w:cstheme="minorHAnsi"/>
              </w:rPr>
            </w:pPr>
            <w:r>
              <w:rPr>
                <w:rFonts w:cstheme="minorHAnsi"/>
              </w:rPr>
              <w:t xml:space="preserve">3,503  </w:t>
            </w:r>
          </w:p>
        </w:tc>
        <w:tc>
          <w:tcPr>
            <w:tcW w:w="1276" w:type="dxa"/>
          </w:tcPr>
          <w:p>
            <w:pPr>
              <w:spacing w:after="0" w:line="240" w:lineRule="auto"/>
              <w:jc w:val="right"/>
              <w:rPr>
                <w:rFonts w:cstheme="minorHAnsi"/>
              </w:rPr>
            </w:pPr>
            <w:r>
              <w:rPr>
                <w:rFonts w:cstheme="minorHAnsi"/>
              </w:rPr>
              <w:t xml:space="preserve">3,345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Distribution costs</w:t>
            </w:r>
          </w:p>
        </w:tc>
        <w:tc>
          <w:tcPr>
            <w:tcW w:w="1276" w:type="dxa"/>
          </w:tcPr>
          <w:p>
            <w:pPr>
              <w:spacing w:after="0" w:line="240" w:lineRule="auto"/>
              <w:jc w:val="right"/>
              <w:rPr>
                <w:rFonts w:cstheme="minorHAnsi"/>
              </w:rPr>
            </w:pPr>
            <w:r>
              <w:rPr>
                <w:rFonts w:cstheme="minorHAnsi"/>
              </w:rPr>
              <w:t xml:space="preserve">     (437)</w:t>
            </w:r>
          </w:p>
        </w:tc>
        <w:tc>
          <w:tcPr>
            <w:tcW w:w="1276" w:type="dxa"/>
          </w:tcPr>
          <w:p>
            <w:pPr>
              <w:spacing w:after="0" w:line="240" w:lineRule="auto"/>
              <w:jc w:val="right"/>
              <w:rPr>
                <w:rFonts w:cstheme="minorHAnsi"/>
              </w:rPr>
            </w:pPr>
            <w:r>
              <w:rPr>
                <w:rFonts w:cstheme="minorHAnsi"/>
              </w:rPr>
              <w:t>(422)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Marketing and selling costs</w:t>
            </w:r>
          </w:p>
        </w:tc>
        <w:tc>
          <w:tcPr>
            <w:tcW w:w="1276" w:type="dxa"/>
          </w:tcPr>
          <w:p>
            <w:pPr>
              <w:spacing w:after="0" w:line="240" w:lineRule="auto"/>
              <w:jc w:val="right"/>
              <w:rPr>
                <w:rFonts w:cstheme="minorHAnsi"/>
              </w:rPr>
            </w:pPr>
            <w:r>
              <w:rPr>
                <w:rFonts w:cstheme="minorHAnsi"/>
              </w:rPr>
              <w:t>(1,324)</w:t>
            </w:r>
          </w:p>
        </w:tc>
        <w:tc>
          <w:tcPr>
            <w:tcW w:w="1276" w:type="dxa"/>
          </w:tcPr>
          <w:p>
            <w:pPr>
              <w:spacing w:after="0" w:line="240" w:lineRule="auto"/>
              <w:jc w:val="right"/>
              <w:rPr>
                <w:rFonts w:cstheme="minorHAnsi"/>
              </w:rPr>
            </w:pPr>
            <w:r>
              <w:rPr>
                <w:rFonts w:cstheme="minorHAnsi"/>
              </w:rPr>
              <w:t>(1,274)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Administrative expenses</w:t>
            </w:r>
          </w:p>
        </w:tc>
        <w:tc>
          <w:tcPr>
            <w:tcW w:w="1276" w:type="dxa"/>
          </w:tcPr>
          <w:p>
            <w:pPr>
              <w:spacing w:after="0" w:line="240" w:lineRule="auto"/>
              <w:jc w:val="right"/>
              <w:rPr>
                <w:rFonts w:cstheme="minorHAnsi"/>
              </w:rPr>
            </w:pPr>
            <w:r>
              <w:rPr>
                <w:rFonts w:cstheme="minorHAnsi"/>
                <w:u w:val="single"/>
              </w:rPr>
              <w:t>(937</w:t>
            </w:r>
            <w:r>
              <w:rPr>
                <w:rFonts w:cstheme="minorHAnsi"/>
              </w:rPr>
              <w:t xml:space="preserve">)   </w:t>
            </w:r>
          </w:p>
        </w:tc>
        <w:tc>
          <w:tcPr>
            <w:tcW w:w="1276" w:type="dxa"/>
          </w:tcPr>
          <w:p>
            <w:pPr>
              <w:spacing w:after="0" w:line="240" w:lineRule="auto"/>
              <w:jc w:val="right"/>
              <w:rPr>
                <w:rFonts w:cstheme="minorHAnsi"/>
                <w:u w:val="single"/>
              </w:rPr>
            </w:pPr>
            <w:r>
              <w:rPr>
                <w:rFonts w:cstheme="minorHAnsi"/>
                <w:u w:val="single"/>
              </w:rPr>
              <w:t>(950)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Operating profit</w:t>
            </w:r>
          </w:p>
        </w:tc>
        <w:tc>
          <w:tcPr>
            <w:tcW w:w="1276" w:type="dxa"/>
          </w:tcPr>
          <w:p>
            <w:pPr>
              <w:spacing w:after="0" w:line="240" w:lineRule="auto"/>
              <w:jc w:val="right"/>
              <w:rPr>
                <w:rFonts w:cstheme="minorHAnsi"/>
              </w:rPr>
            </w:pPr>
            <w:r>
              <w:rPr>
                <w:rFonts w:cstheme="minorHAnsi"/>
              </w:rPr>
              <w:t>805</w:t>
            </w:r>
          </w:p>
        </w:tc>
        <w:tc>
          <w:tcPr>
            <w:tcW w:w="1276" w:type="dxa"/>
          </w:tcPr>
          <w:p>
            <w:pPr>
              <w:spacing w:after="0" w:line="240" w:lineRule="auto"/>
              <w:jc w:val="right"/>
              <w:rPr>
                <w:rFonts w:cstheme="minorHAnsi"/>
              </w:rPr>
            </w:pPr>
            <w:r>
              <w:rPr>
                <w:rFonts w:cstheme="minorHAnsi"/>
              </w:rPr>
              <w:t>699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Profit/loss on sale of fixed assets</w:t>
            </w:r>
          </w:p>
        </w:tc>
        <w:tc>
          <w:tcPr>
            <w:tcW w:w="1276" w:type="dxa"/>
          </w:tcPr>
          <w:p>
            <w:pPr>
              <w:spacing w:after="0" w:line="240" w:lineRule="auto"/>
              <w:jc w:val="right"/>
              <w:rPr>
                <w:rFonts w:cstheme="minorHAnsi"/>
              </w:rPr>
            </w:pPr>
            <w:r>
              <w:rPr>
                <w:rFonts w:cstheme="minorHAnsi"/>
              </w:rPr>
              <w:t>19</w:t>
            </w:r>
          </w:p>
        </w:tc>
        <w:tc>
          <w:tcPr>
            <w:tcW w:w="1276" w:type="dxa"/>
          </w:tcPr>
          <w:p>
            <w:pPr>
              <w:spacing w:after="0" w:line="240" w:lineRule="auto"/>
              <w:jc w:val="right"/>
              <w:rPr>
                <w:rFonts w:cstheme="minorHAnsi"/>
              </w:rPr>
            </w:pPr>
            <w:r>
              <w:rPr>
                <w:rFonts w:cstheme="minorHAnsi"/>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Investment income</w:t>
            </w:r>
          </w:p>
        </w:tc>
        <w:tc>
          <w:tcPr>
            <w:tcW w:w="1276" w:type="dxa"/>
          </w:tcPr>
          <w:p>
            <w:pPr>
              <w:spacing w:after="0" w:line="240" w:lineRule="auto"/>
              <w:jc w:val="right"/>
              <w:rPr>
                <w:rFonts w:cstheme="minorHAnsi"/>
              </w:rPr>
            </w:pPr>
            <w:r>
              <w:rPr>
                <w:rFonts w:cstheme="minorHAnsi"/>
              </w:rPr>
              <w:t>22</w:t>
            </w:r>
          </w:p>
        </w:tc>
        <w:tc>
          <w:tcPr>
            <w:tcW w:w="1276" w:type="dxa"/>
          </w:tcPr>
          <w:p>
            <w:pPr>
              <w:spacing w:after="0" w:line="240" w:lineRule="auto"/>
              <w:jc w:val="right"/>
              <w:rPr>
                <w:rFonts w:cstheme="minorHAnsi"/>
              </w:rPr>
            </w:pPr>
            <w:r>
              <w:rPr>
                <w:rFonts w:cstheme="minorHAnsi"/>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Interest payable</w:t>
            </w:r>
          </w:p>
        </w:tc>
        <w:tc>
          <w:tcPr>
            <w:tcW w:w="1276" w:type="dxa"/>
          </w:tcPr>
          <w:p>
            <w:pPr>
              <w:spacing w:after="0" w:line="240" w:lineRule="auto"/>
              <w:jc w:val="right"/>
              <w:rPr>
                <w:rFonts w:cstheme="minorHAnsi"/>
                <w:u w:val="single"/>
              </w:rPr>
            </w:pPr>
            <w:r>
              <w:rPr>
                <w:rFonts w:cstheme="minorHAnsi"/>
                <w:u w:val="single"/>
              </w:rPr>
              <w:t>(226)</w:t>
            </w:r>
          </w:p>
        </w:tc>
        <w:tc>
          <w:tcPr>
            <w:tcW w:w="1276" w:type="dxa"/>
          </w:tcPr>
          <w:p>
            <w:pPr>
              <w:spacing w:after="0" w:line="240" w:lineRule="auto"/>
              <w:jc w:val="right"/>
              <w:rPr>
                <w:rFonts w:cstheme="minorHAnsi"/>
                <w:u w:val="single"/>
              </w:rPr>
            </w:pPr>
            <w:r>
              <w:rPr>
                <w:rFonts w:cstheme="minorHAnsi"/>
                <w:u w:val="single"/>
              </w:rPr>
              <w:t>(181)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Profit/ (loss) before taxation</w:t>
            </w:r>
          </w:p>
        </w:tc>
        <w:tc>
          <w:tcPr>
            <w:tcW w:w="1276" w:type="dxa"/>
          </w:tcPr>
          <w:p>
            <w:pPr>
              <w:spacing w:after="0" w:line="240" w:lineRule="auto"/>
              <w:jc w:val="right"/>
              <w:rPr>
                <w:rFonts w:cstheme="minorHAnsi"/>
              </w:rPr>
            </w:pPr>
            <w:r>
              <w:rPr>
                <w:rFonts w:cstheme="minorHAnsi"/>
              </w:rPr>
              <w:t>620</w:t>
            </w:r>
          </w:p>
        </w:tc>
        <w:tc>
          <w:tcPr>
            <w:tcW w:w="1276" w:type="dxa"/>
          </w:tcPr>
          <w:p>
            <w:pPr>
              <w:spacing w:after="0" w:line="240" w:lineRule="auto"/>
              <w:jc w:val="right"/>
              <w:rPr>
                <w:rFonts w:cstheme="minorHAnsi"/>
              </w:rPr>
            </w:pPr>
            <w:r>
              <w:rPr>
                <w:rFonts w:cstheme="minorHAnsi"/>
              </w:rPr>
              <w:t>539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Taxation</w:t>
            </w:r>
          </w:p>
        </w:tc>
        <w:tc>
          <w:tcPr>
            <w:tcW w:w="1276" w:type="dxa"/>
          </w:tcPr>
          <w:p>
            <w:pPr>
              <w:spacing w:after="0" w:line="240" w:lineRule="auto"/>
              <w:jc w:val="right"/>
              <w:rPr>
                <w:rFonts w:cstheme="minorHAnsi"/>
                <w:u w:val="single"/>
              </w:rPr>
            </w:pPr>
            <w:r>
              <w:rPr>
                <w:rFonts w:cstheme="minorHAnsi"/>
                <w:u w:val="single"/>
              </w:rPr>
              <w:t>(189)</w:t>
            </w:r>
          </w:p>
        </w:tc>
        <w:tc>
          <w:tcPr>
            <w:tcW w:w="1276" w:type="dxa"/>
          </w:tcPr>
          <w:p>
            <w:pPr>
              <w:spacing w:after="0" w:line="240" w:lineRule="auto"/>
              <w:jc w:val="right"/>
              <w:rPr>
                <w:rFonts w:cstheme="minorHAnsi"/>
                <w:u w:val="single"/>
              </w:rPr>
            </w:pPr>
            <w:r>
              <w:rPr>
                <w:rFonts w:cstheme="minorHAnsi"/>
                <w:u w:val="single"/>
              </w:rPr>
              <w:t>(173)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4" w:type="dxa"/>
          </w:tcPr>
          <w:p>
            <w:pPr>
              <w:spacing w:after="0" w:line="240" w:lineRule="auto"/>
              <w:jc w:val="both"/>
              <w:rPr>
                <w:rFonts w:cstheme="minorHAnsi"/>
              </w:rPr>
            </w:pPr>
            <w:r>
              <w:rPr>
                <w:rFonts w:cstheme="minorHAnsi"/>
              </w:rPr>
              <w:t>Profit for the year</w:t>
            </w:r>
          </w:p>
        </w:tc>
        <w:tc>
          <w:tcPr>
            <w:tcW w:w="1276" w:type="dxa"/>
          </w:tcPr>
          <w:p>
            <w:pPr>
              <w:spacing w:after="0" w:line="240" w:lineRule="auto"/>
              <w:jc w:val="right"/>
              <w:rPr>
                <w:rFonts w:cstheme="minorHAnsi"/>
                <w:u w:val="double"/>
              </w:rPr>
            </w:pPr>
            <w:r>
              <w:rPr>
                <w:rFonts w:cstheme="minorHAnsi"/>
                <w:u w:val="double"/>
              </w:rPr>
              <w:t>431</w:t>
            </w:r>
          </w:p>
        </w:tc>
        <w:tc>
          <w:tcPr>
            <w:tcW w:w="1276" w:type="dxa"/>
          </w:tcPr>
          <w:p>
            <w:pPr>
              <w:spacing w:after="0" w:line="240" w:lineRule="auto"/>
              <w:jc w:val="right"/>
              <w:rPr>
                <w:rFonts w:cstheme="minorHAnsi"/>
                <w:u w:val="double"/>
              </w:rPr>
            </w:pPr>
            <w:r>
              <w:rPr>
                <w:rFonts w:cstheme="minorHAnsi"/>
                <w:u w:val="double"/>
              </w:rPr>
              <w:t>366</w:t>
            </w:r>
          </w:p>
        </w:tc>
      </w:tr>
    </w:tbl>
    <w:p>
      <w:pPr>
        <w:spacing w:after="0"/>
        <w:jc w:val="both"/>
        <w:rPr>
          <w:rFonts w:cstheme="minorHAnsi"/>
          <w:b/>
          <w:sz w:val="24"/>
          <w:szCs w:val="24"/>
        </w:rPr>
      </w:pPr>
    </w:p>
    <w:p>
      <w:pPr>
        <w:spacing w:after="0"/>
        <w:jc w:val="both"/>
        <w:rPr>
          <w:rFonts w:cstheme="minorHAnsi"/>
          <w:b/>
          <w:sz w:val="24"/>
          <w:szCs w:val="24"/>
        </w:rPr>
      </w:pPr>
      <w:r>
        <w:rPr>
          <w:rFonts w:cstheme="minorHAnsi"/>
          <w:b/>
          <w:sz w:val="24"/>
          <w:szCs w:val="24"/>
        </w:rPr>
        <w:t xml:space="preserve">Statement of Financial Position as at 31st December </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539"/>
        <w:gridCol w:w="1276"/>
        <w:gridCol w:w="12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p>
        </w:tc>
        <w:tc>
          <w:tcPr>
            <w:tcW w:w="1276" w:type="dxa"/>
          </w:tcPr>
          <w:p>
            <w:pPr>
              <w:spacing w:after="0" w:line="240" w:lineRule="auto"/>
              <w:jc w:val="right"/>
              <w:rPr>
                <w:rFonts w:cstheme="minorHAnsi"/>
              </w:rPr>
            </w:pPr>
            <w:r>
              <w:rPr>
                <w:rFonts w:cstheme="minorHAnsi"/>
              </w:rPr>
              <w:t>2020</w:t>
            </w:r>
          </w:p>
        </w:tc>
        <w:tc>
          <w:tcPr>
            <w:tcW w:w="1276" w:type="dxa"/>
          </w:tcPr>
          <w:p>
            <w:pPr>
              <w:spacing w:after="0" w:line="240" w:lineRule="auto"/>
              <w:jc w:val="right"/>
              <w:rPr>
                <w:rFonts w:cstheme="minorHAnsi"/>
              </w:rPr>
            </w:pPr>
            <w:r>
              <w:rPr>
                <w:rFonts w:cstheme="minorHAnsi"/>
              </w:rPr>
              <w:t>2019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Non-Current assets</w:t>
            </w:r>
          </w:p>
        </w:tc>
        <w:tc>
          <w:tcPr>
            <w:tcW w:w="1276" w:type="dxa"/>
          </w:tcPr>
          <w:p>
            <w:pPr>
              <w:spacing w:after="0" w:line="240" w:lineRule="auto"/>
              <w:jc w:val="right"/>
              <w:rPr>
                <w:rFonts w:cstheme="minorHAnsi"/>
              </w:rPr>
            </w:pPr>
            <w:r>
              <w:rPr>
                <w:rFonts w:cstheme="minorHAnsi"/>
              </w:rPr>
              <w:t>£m</w:t>
            </w:r>
          </w:p>
        </w:tc>
        <w:tc>
          <w:tcPr>
            <w:tcW w:w="1276" w:type="dxa"/>
          </w:tcPr>
          <w:p>
            <w:pPr>
              <w:spacing w:after="0" w:line="240" w:lineRule="auto"/>
              <w:jc w:val="right"/>
              <w:rPr>
                <w:rFonts w:cstheme="minorHAnsi"/>
              </w:rPr>
            </w:pPr>
            <w:r>
              <w:rPr>
                <w:rFonts w:cstheme="minorHAnsi"/>
              </w:rPr>
              <w:t>£m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Intangible assets</w:t>
            </w:r>
          </w:p>
        </w:tc>
        <w:tc>
          <w:tcPr>
            <w:tcW w:w="1276" w:type="dxa"/>
          </w:tcPr>
          <w:p>
            <w:pPr>
              <w:spacing w:after="0" w:line="240" w:lineRule="auto"/>
              <w:jc w:val="right"/>
              <w:rPr>
                <w:rFonts w:cstheme="minorHAnsi"/>
              </w:rPr>
            </w:pPr>
            <w:r>
              <w:rPr>
                <w:rFonts w:cstheme="minorHAnsi"/>
              </w:rPr>
              <w:t xml:space="preserve">5,485  </w:t>
            </w:r>
          </w:p>
        </w:tc>
        <w:tc>
          <w:tcPr>
            <w:tcW w:w="1276" w:type="dxa"/>
          </w:tcPr>
          <w:p>
            <w:pPr>
              <w:spacing w:after="0" w:line="240" w:lineRule="auto"/>
              <w:jc w:val="right"/>
              <w:rPr>
                <w:rFonts w:cstheme="minorHAnsi"/>
              </w:rPr>
            </w:pPr>
            <w:r>
              <w:rPr>
                <w:rFonts w:cstheme="minorHAnsi"/>
              </w:rPr>
              <w:t xml:space="preserve">5,809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Property, plant and equipment</w:t>
            </w:r>
          </w:p>
        </w:tc>
        <w:tc>
          <w:tcPr>
            <w:tcW w:w="1276" w:type="dxa"/>
          </w:tcPr>
          <w:p>
            <w:pPr>
              <w:spacing w:after="0" w:line="240" w:lineRule="auto"/>
              <w:jc w:val="right"/>
              <w:rPr>
                <w:rFonts w:cstheme="minorHAnsi"/>
              </w:rPr>
            </w:pPr>
            <w:r>
              <w:rPr>
                <w:rFonts w:cstheme="minorHAnsi"/>
              </w:rPr>
              <w:t xml:space="preserve">1,613  </w:t>
            </w:r>
          </w:p>
        </w:tc>
        <w:tc>
          <w:tcPr>
            <w:tcW w:w="1276" w:type="dxa"/>
          </w:tcPr>
          <w:p>
            <w:pPr>
              <w:spacing w:after="0" w:line="240" w:lineRule="auto"/>
              <w:jc w:val="right"/>
              <w:rPr>
                <w:rFonts w:cstheme="minorHAnsi"/>
              </w:rPr>
            </w:pPr>
            <w:r>
              <w:rPr>
                <w:rFonts w:cstheme="minorHAnsi"/>
              </w:rPr>
              <w:t xml:space="preserve">1,605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Investments</w:t>
            </w:r>
          </w:p>
        </w:tc>
        <w:tc>
          <w:tcPr>
            <w:tcW w:w="1276" w:type="dxa"/>
          </w:tcPr>
          <w:p>
            <w:pPr>
              <w:spacing w:after="0" w:line="240" w:lineRule="auto"/>
              <w:jc w:val="right"/>
              <w:rPr>
                <w:rFonts w:cstheme="minorHAnsi"/>
                <w:u w:val="single"/>
              </w:rPr>
            </w:pPr>
            <w:r>
              <w:rPr>
                <w:rFonts w:cstheme="minorHAnsi"/>
                <w:u w:val="single"/>
              </w:rPr>
              <w:t>335</w:t>
            </w:r>
          </w:p>
        </w:tc>
        <w:tc>
          <w:tcPr>
            <w:tcW w:w="1276" w:type="dxa"/>
          </w:tcPr>
          <w:p>
            <w:pPr>
              <w:spacing w:after="0" w:line="240" w:lineRule="auto"/>
              <w:jc w:val="right"/>
              <w:rPr>
                <w:rFonts w:cstheme="minorHAnsi"/>
                <w:u w:val="single"/>
              </w:rPr>
            </w:pPr>
            <w:r>
              <w:rPr>
                <w:rFonts w:cstheme="minorHAnsi"/>
                <w:u w:val="single"/>
              </w:rPr>
              <w:t>318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p>
        </w:tc>
        <w:tc>
          <w:tcPr>
            <w:tcW w:w="1276" w:type="dxa"/>
          </w:tcPr>
          <w:p>
            <w:pPr>
              <w:spacing w:after="0" w:line="240" w:lineRule="auto"/>
              <w:jc w:val="right"/>
              <w:rPr>
                <w:rFonts w:cstheme="minorHAnsi"/>
                <w:u w:val="single"/>
              </w:rPr>
            </w:pPr>
            <w:r>
              <w:rPr>
                <w:rFonts w:cstheme="minorHAnsi"/>
                <w:u w:val="single"/>
              </w:rPr>
              <w:t xml:space="preserve"> 7,433  </w:t>
            </w:r>
          </w:p>
        </w:tc>
        <w:tc>
          <w:tcPr>
            <w:tcW w:w="1276" w:type="dxa"/>
          </w:tcPr>
          <w:p>
            <w:pPr>
              <w:spacing w:after="0" w:line="240" w:lineRule="auto"/>
              <w:jc w:val="right"/>
              <w:rPr>
                <w:rFonts w:cstheme="minorHAnsi"/>
                <w:u w:val="single"/>
              </w:rPr>
            </w:pPr>
            <w:r>
              <w:rPr>
                <w:rFonts w:cstheme="minorHAnsi"/>
                <w:u w:val="single"/>
              </w:rPr>
              <w:t xml:space="preserve">7,732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Current assets</w:t>
            </w:r>
          </w:p>
        </w:tc>
        <w:tc>
          <w:tcPr>
            <w:tcW w:w="1276" w:type="dxa"/>
          </w:tcPr>
          <w:p>
            <w:pPr>
              <w:spacing w:after="0" w:line="240" w:lineRule="auto"/>
              <w:jc w:val="right"/>
              <w:rPr>
                <w:rFonts w:cstheme="minorHAnsi"/>
              </w:rPr>
            </w:pPr>
          </w:p>
        </w:tc>
        <w:tc>
          <w:tcPr>
            <w:tcW w:w="1276" w:type="dxa"/>
          </w:tcPr>
          <w:p>
            <w:pPr>
              <w:spacing w:after="0" w:line="240" w:lineRule="auto"/>
              <w:jc w:val="right"/>
              <w:rPr>
                <w:rFonts w:cstheme="minorHAns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Inventory</w:t>
            </w:r>
          </w:p>
        </w:tc>
        <w:tc>
          <w:tcPr>
            <w:tcW w:w="1276" w:type="dxa"/>
          </w:tcPr>
          <w:p>
            <w:pPr>
              <w:spacing w:after="0" w:line="240" w:lineRule="auto"/>
              <w:jc w:val="right"/>
              <w:rPr>
                <w:rFonts w:cstheme="minorHAnsi"/>
              </w:rPr>
            </w:pPr>
            <w:r>
              <w:rPr>
                <w:rFonts w:cstheme="minorHAnsi"/>
              </w:rPr>
              <w:t>708</w:t>
            </w:r>
          </w:p>
        </w:tc>
        <w:tc>
          <w:tcPr>
            <w:tcW w:w="1276" w:type="dxa"/>
          </w:tcPr>
          <w:p>
            <w:pPr>
              <w:spacing w:after="0" w:line="240" w:lineRule="auto"/>
              <w:jc w:val="right"/>
              <w:rPr>
                <w:rFonts w:cstheme="minorHAnsi"/>
              </w:rPr>
            </w:pPr>
            <w:r>
              <w:rPr>
                <w:rFonts w:cstheme="minorHAnsi"/>
              </w:rPr>
              <w:t>659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 xml:space="preserve">Trade receivables  </w:t>
            </w:r>
          </w:p>
        </w:tc>
        <w:tc>
          <w:tcPr>
            <w:tcW w:w="1276" w:type="dxa"/>
          </w:tcPr>
          <w:p>
            <w:pPr>
              <w:spacing w:after="0" w:line="240" w:lineRule="auto"/>
              <w:jc w:val="right"/>
              <w:rPr>
                <w:rFonts w:cstheme="minorHAnsi"/>
              </w:rPr>
            </w:pPr>
            <w:r>
              <w:rPr>
                <w:rFonts w:cstheme="minorHAnsi"/>
              </w:rPr>
              <w:t xml:space="preserve">1,249  </w:t>
            </w:r>
          </w:p>
        </w:tc>
        <w:tc>
          <w:tcPr>
            <w:tcW w:w="1276" w:type="dxa"/>
          </w:tcPr>
          <w:p>
            <w:pPr>
              <w:spacing w:after="0" w:line="240" w:lineRule="auto"/>
              <w:jc w:val="right"/>
              <w:rPr>
                <w:rFonts w:cstheme="minorHAnsi"/>
              </w:rPr>
            </w:pPr>
            <w:r>
              <w:rPr>
                <w:rFonts w:cstheme="minorHAnsi"/>
              </w:rPr>
              <w:t xml:space="preserve">1,287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Investments</w:t>
            </w:r>
          </w:p>
        </w:tc>
        <w:tc>
          <w:tcPr>
            <w:tcW w:w="1276" w:type="dxa"/>
          </w:tcPr>
          <w:p>
            <w:pPr>
              <w:spacing w:after="0" w:line="240" w:lineRule="auto"/>
              <w:jc w:val="right"/>
              <w:rPr>
                <w:rFonts w:cstheme="minorHAnsi"/>
              </w:rPr>
            </w:pPr>
            <w:r>
              <w:rPr>
                <w:rFonts w:cstheme="minorHAnsi"/>
              </w:rPr>
              <w:t>145</w:t>
            </w:r>
          </w:p>
        </w:tc>
        <w:tc>
          <w:tcPr>
            <w:tcW w:w="1276" w:type="dxa"/>
          </w:tcPr>
          <w:p>
            <w:pPr>
              <w:spacing w:after="0" w:line="240" w:lineRule="auto"/>
              <w:jc w:val="right"/>
              <w:rPr>
                <w:rFonts w:cstheme="minorHAnsi"/>
              </w:rPr>
            </w:pPr>
            <w:r>
              <w:rPr>
                <w:rFonts w:cstheme="minorHAnsi"/>
              </w:rPr>
              <w:t>232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Cash</w:t>
            </w:r>
          </w:p>
        </w:tc>
        <w:tc>
          <w:tcPr>
            <w:tcW w:w="1276" w:type="dxa"/>
          </w:tcPr>
          <w:p>
            <w:pPr>
              <w:spacing w:after="0" w:line="240" w:lineRule="auto"/>
              <w:jc w:val="right"/>
              <w:rPr>
                <w:rFonts w:cstheme="minorHAnsi"/>
                <w:u w:val="single"/>
              </w:rPr>
            </w:pPr>
            <w:r>
              <w:rPr>
                <w:rFonts w:cstheme="minorHAnsi"/>
                <w:u w:val="single"/>
              </w:rPr>
              <w:t>201</w:t>
            </w:r>
          </w:p>
        </w:tc>
        <w:tc>
          <w:tcPr>
            <w:tcW w:w="1276" w:type="dxa"/>
          </w:tcPr>
          <w:p>
            <w:pPr>
              <w:spacing w:after="0" w:line="240" w:lineRule="auto"/>
              <w:jc w:val="right"/>
              <w:rPr>
                <w:rFonts w:cstheme="minorHAnsi"/>
                <w:u w:val="single"/>
              </w:rPr>
            </w:pPr>
            <w:r>
              <w:rPr>
                <w:rFonts w:cstheme="minorHAnsi"/>
                <w:u w:val="single"/>
              </w:rPr>
              <w:t>177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p>
        </w:tc>
        <w:tc>
          <w:tcPr>
            <w:tcW w:w="1276" w:type="dxa"/>
          </w:tcPr>
          <w:p>
            <w:pPr>
              <w:spacing w:after="0" w:line="240" w:lineRule="auto"/>
              <w:jc w:val="right"/>
              <w:rPr>
                <w:rFonts w:cstheme="minorHAnsi"/>
                <w:u w:val="single"/>
              </w:rPr>
            </w:pPr>
            <w:r>
              <w:rPr>
                <w:rFonts w:cstheme="minorHAnsi"/>
                <w:u w:val="single"/>
              </w:rPr>
              <w:t xml:space="preserve"> 2,303  </w:t>
            </w:r>
          </w:p>
        </w:tc>
        <w:tc>
          <w:tcPr>
            <w:tcW w:w="1276" w:type="dxa"/>
          </w:tcPr>
          <w:p>
            <w:pPr>
              <w:spacing w:after="0" w:line="240" w:lineRule="auto"/>
              <w:jc w:val="right"/>
              <w:rPr>
                <w:rFonts w:cstheme="minorHAnsi"/>
                <w:u w:val="single"/>
              </w:rPr>
            </w:pPr>
            <w:r>
              <w:rPr>
                <w:rFonts w:cstheme="minorHAnsi"/>
                <w:u w:val="single"/>
              </w:rPr>
              <w:t>2,355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Total assets</w:t>
            </w:r>
          </w:p>
        </w:tc>
        <w:tc>
          <w:tcPr>
            <w:tcW w:w="1276" w:type="dxa"/>
          </w:tcPr>
          <w:p>
            <w:pPr>
              <w:spacing w:after="0" w:line="240" w:lineRule="auto"/>
              <w:jc w:val="right"/>
              <w:rPr>
                <w:rFonts w:cstheme="minorHAnsi"/>
                <w:u w:val="single"/>
              </w:rPr>
            </w:pPr>
            <w:r>
              <w:rPr>
                <w:rFonts w:cstheme="minorHAnsi"/>
                <w:u w:val="single"/>
              </w:rPr>
              <w:t xml:space="preserve">9,736  </w:t>
            </w:r>
          </w:p>
        </w:tc>
        <w:tc>
          <w:tcPr>
            <w:tcW w:w="1276" w:type="dxa"/>
          </w:tcPr>
          <w:p>
            <w:pPr>
              <w:spacing w:after="0" w:line="240" w:lineRule="auto"/>
              <w:jc w:val="right"/>
              <w:rPr>
                <w:rFonts w:cstheme="minorHAnsi"/>
                <w:u w:val="single"/>
              </w:rPr>
            </w:pPr>
            <w:r>
              <w:rPr>
                <w:rFonts w:cstheme="minorHAnsi"/>
                <w:u w:val="single"/>
              </w:rPr>
              <w:t>10,087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 xml:space="preserve">Current liabilities     </w:t>
            </w:r>
          </w:p>
        </w:tc>
        <w:tc>
          <w:tcPr>
            <w:tcW w:w="1276" w:type="dxa"/>
          </w:tcPr>
          <w:p>
            <w:pPr>
              <w:spacing w:after="0" w:line="240" w:lineRule="auto"/>
              <w:jc w:val="right"/>
              <w:rPr>
                <w:rFonts w:cstheme="minorHAnsi"/>
              </w:rPr>
            </w:pPr>
          </w:p>
        </w:tc>
        <w:tc>
          <w:tcPr>
            <w:tcW w:w="1276" w:type="dxa"/>
          </w:tcPr>
          <w:p>
            <w:pPr>
              <w:spacing w:after="0" w:line="240" w:lineRule="auto"/>
              <w:jc w:val="right"/>
              <w:rPr>
                <w:rFonts w:cstheme="minorHAns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Trade payables</w:t>
            </w:r>
          </w:p>
        </w:tc>
        <w:tc>
          <w:tcPr>
            <w:tcW w:w="1276" w:type="dxa"/>
          </w:tcPr>
          <w:p>
            <w:pPr>
              <w:spacing w:after="0" w:line="240" w:lineRule="auto"/>
              <w:jc w:val="right"/>
              <w:rPr>
                <w:rFonts w:cstheme="minorHAnsi"/>
              </w:rPr>
            </w:pPr>
            <w:r>
              <w:rPr>
                <w:rFonts w:cstheme="minorHAnsi"/>
              </w:rPr>
              <w:t>(583)</w:t>
            </w:r>
          </w:p>
        </w:tc>
        <w:tc>
          <w:tcPr>
            <w:tcW w:w="1276" w:type="dxa"/>
          </w:tcPr>
          <w:p>
            <w:pPr>
              <w:spacing w:after="0" w:line="240" w:lineRule="auto"/>
              <w:jc w:val="right"/>
              <w:rPr>
                <w:rFonts w:cstheme="minorHAnsi"/>
              </w:rPr>
            </w:pPr>
            <w:r>
              <w:rPr>
                <w:rFonts w:cstheme="minorHAnsi"/>
              </w:rPr>
              <w:t xml:space="preserve">(655)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 xml:space="preserve">Other creditors  </w:t>
            </w:r>
          </w:p>
        </w:tc>
        <w:tc>
          <w:tcPr>
            <w:tcW w:w="1276" w:type="dxa"/>
          </w:tcPr>
          <w:p>
            <w:pPr>
              <w:spacing w:after="0" w:line="240" w:lineRule="auto"/>
              <w:jc w:val="right"/>
              <w:rPr>
                <w:rFonts w:cstheme="minorHAnsi"/>
                <w:u w:val="single"/>
              </w:rPr>
            </w:pPr>
            <w:r>
              <w:rPr>
                <w:rFonts w:cstheme="minorHAnsi"/>
                <w:u w:val="single"/>
              </w:rPr>
              <w:t>(1,928)</w:t>
            </w:r>
          </w:p>
        </w:tc>
        <w:tc>
          <w:tcPr>
            <w:tcW w:w="1276" w:type="dxa"/>
          </w:tcPr>
          <w:p>
            <w:pPr>
              <w:spacing w:after="0" w:line="240" w:lineRule="auto"/>
              <w:jc w:val="right"/>
              <w:rPr>
                <w:rFonts w:cstheme="minorHAnsi"/>
                <w:u w:val="single"/>
              </w:rPr>
            </w:pPr>
            <w:r>
              <w:rPr>
                <w:rFonts w:cstheme="minorHAnsi"/>
                <w:u w:val="single"/>
              </w:rPr>
              <w:t xml:space="preserve">(2,391)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p>
        </w:tc>
        <w:tc>
          <w:tcPr>
            <w:tcW w:w="1276" w:type="dxa"/>
          </w:tcPr>
          <w:p>
            <w:pPr>
              <w:spacing w:after="0" w:line="240" w:lineRule="auto"/>
              <w:jc w:val="right"/>
              <w:rPr>
                <w:rFonts w:cstheme="minorHAnsi"/>
              </w:rPr>
            </w:pPr>
            <w:r>
              <w:rPr>
                <w:rFonts w:cstheme="minorHAnsi"/>
                <w:u w:val="single"/>
              </w:rPr>
              <w:t xml:space="preserve">  (2,511</w:t>
            </w:r>
            <w:r>
              <w:rPr>
                <w:rFonts w:cstheme="minorHAnsi"/>
              </w:rPr>
              <w:t>)</w:t>
            </w:r>
          </w:p>
        </w:tc>
        <w:tc>
          <w:tcPr>
            <w:tcW w:w="1276" w:type="dxa"/>
          </w:tcPr>
          <w:p>
            <w:pPr>
              <w:spacing w:after="0" w:line="240" w:lineRule="auto"/>
              <w:jc w:val="right"/>
              <w:rPr>
                <w:rFonts w:cstheme="minorHAnsi"/>
                <w:u w:val="single"/>
              </w:rPr>
            </w:pPr>
            <w:r>
              <w:rPr>
                <w:rFonts w:cstheme="minorHAnsi"/>
                <w:u w:val="single"/>
              </w:rPr>
              <w:t>(3,046)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 xml:space="preserve">Non-Current liabilities      </w:t>
            </w:r>
          </w:p>
        </w:tc>
        <w:tc>
          <w:tcPr>
            <w:tcW w:w="1276" w:type="dxa"/>
          </w:tcPr>
          <w:p>
            <w:pPr>
              <w:spacing w:after="0" w:line="240" w:lineRule="auto"/>
              <w:jc w:val="right"/>
              <w:rPr>
                <w:rFonts w:cstheme="minorHAnsi"/>
              </w:rPr>
            </w:pPr>
          </w:p>
        </w:tc>
        <w:tc>
          <w:tcPr>
            <w:tcW w:w="1276" w:type="dxa"/>
          </w:tcPr>
          <w:p>
            <w:pPr>
              <w:spacing w:after="0" w:line="240" w:lineRule="auto"/>
              <w:jc w:val="right"/>
              <w:rPr>
                <w:rFonts w:cstheme="minorHAns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Loans and other borrowings</w:t>
            </w:r>
          </w:p>
        </w:tc>
        <w:tc>
          <w:tcPr>
            <w:tcW w:w="1276" w:type="dxa"/>
          </w:tcPr>
          <w:p>
            <w:pPr>
              <w:spacing w:after="0" w:line="240" w:lineRule="auto"/>
              <w:jc w:val="right"/>
              <w:rPr>
                <w:rFonts w:cstheme="minorHAnsi"/>
                <w:u w:val="single"/>
              </w:rPr>
            </w:pPr>
            <w:r>
              <w:rPr>
                <w:rFonts w:cstheme="minorHAnsi"/>
                <w:u w:val="single"/>
              </w:rPr>
              <w:t>(4,137)</w:t>
            </w:r>
          </w:p>
        </w:tc>
        <w:tc>
          <w:tcPr>
            <w:tcW w:w="1276" w:type="dxa"/>
          </w:tcPr>
          <w:p>
            <w:pPr>
              <w:spacing w:after="0" w:line="240" w:lineRule="auto"/>
              <w:jc w:val="right"/>
              <w:rPr>
                <w:rFonts w:cstheme="minorHAnsi"/>
                <w:u w:val="single"/>
              </w:rPr>
            </w:pPr>
            <w:r>
              <w:rPr>
                <w:rFonts w:cstheme="minorHAnsi"/>
                <w:u w:val="single"/>
              </w:rPr>
              <w:t>(4,129)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Net assets</w:t>
            </w:r>
          </w:p>
        </w:tc>
        <w:tc>
          <w:tcPr>
            <w:tcW w:w="1276" w:type="dxa"/>
          </w:tcPr>
          <w:p>
            <w:pPr>
              <w:spacing w:after="0" w:line="240" w:lineRule="auto"/>
              <w:jc w:val="right"/>
              <w:rPr>
                <w:rFonts w:cstheme="minorHAnsi"/>
                <w:u w:val="double"/>
              </w:rPr>
            </w:pPr>
            <w:r>
              <w:rPr>
                <w:rFonts w:cstheme="minorHAnsi"/>
                <w:u w:val="double"/>
              </w:rPr>
              <w:t xml:space="preserve">3,088  </w:t>
            </w:r>
          </w:p>
        </w:tc>
        <w:tc>
          <w:tcPr>
            <w:tcW w:w="1276" w:type="dxa"/>
          </w:tcPr>
          <w:p>
            <w:pPr>
              <w:spacing w:after="0" w:line="240" w:lineRule="auto"/>
              <w:jc w:val="right"/>
              <w:rPr>
                <w:rFonts w:cstheme="minorHAnsi"/>
                <w:u w:val="double"/>
              </w:rPr>
            </w:pPr>
            <w:r>
              <w:rPr>
                <w:rFonts w:cstheme="minorHAnsi"/>
                <w:u w:val="double"/>
              </w:rPr>
              <w:t xml:space="preserve">2,912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b/>
              </w:rPr>
            </w:pPr>
            <w:r>
              <w:rPr>
                <w:rFonts w:cstheme="minorHAnsi"/>
                <w:b/>
              </w:rPr>
              <w:t>Equity</w:t>
            </w:r>
          </w:p>
        </w:tc>
        <w:tc>
          <w:tcPr>
            <w:tcW w:w="1276" w:type="dxa"/>
          </w:tcPr>
          <w:p>
            <w:pPr>
              <w:spacing w:after="0" w:line="240" w:lineRule="auto"/>
              <w:jc w:val="right"/>
              <w:rPr>
                <w:rFonts w:cstheme="minorHAnsi"/>
              </w:rPr>
            </w:pPr>
          </w:p>
        </w:tc>
        <w:tc>
          <w:tcPr>
            <w:tcW w:w="1276" w:type="dxa"/>
          </w:tcPr>
          <w:p>
            <w:pPr>
              <w:spacing w:after="0" w:line="240" w:lineRule="auto"/>
              <w:jc w:val="right"/>
              <w:rPr>
                <w:rFonts w:cstheme="minorHAns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Ordinary share capital (50p shares)</w:t>
            </w:r>
          </w:p>
        </w:tc>
        <w:tc>
          <w:tcPr>
            <w:tcW w:w="1276" w:type="dxa"/>
          </w:tcPr>
          <w:p>
            <w:pPr>
              <w:spacing w:after="0" w:line="240" w:lineRule="auto"/>
              <w:jc w:val="right"/>
              <w:rPr>
                <w:rFonts w:cstheme="minorHAnsi"/>
              </w:rPr>
            </w:pPr>
            <w:r>
              <w:rPr>
                <w:rFonts w:cstheme="minorHAnsi"/>
              </w:rPr>
              <w:t>300</w:t>
            </w:r>
          </w:p>
        </w:tc>
        <w:tc>
          <w:tcPr>
            <w:tcW w:w="1276" w:type="dxa"/>
          </w:tcPr>
          <w:p>
            <w:pPr>
              <w:spacing w:after="0" w:line="240" w:lineRule="auto"/>
              <w:jc w:val="right"/>
              <w:rPr>
                <w:rFonts w:cstheme="minorHAnsi"/>
              </w:rPr>
            </w:pPr>
            <w:r>
              <w:rPr>
                <w:rFonts w:cstheme="minorHAnsi"/>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Share premium</w:t>
            </w:r>
          </w:p>
        </w:tc>
        <w:tc>
          <w:tcPr>
            <w:tcW w:w="1276" w:type="dxa"/>
          </w:tcPr>
          <w:p>
            <w:pPr>
              <w:spacing w:after="0" w:line="240" w:lineRule="auto"/>
              <w:jc w:val="right"/>
              <w:rPr>
                <w:rFonts w:cstheme="minorHAnsi"/>
              </w:rPr>
            </w:pPr>
            <w:r>
              <w:rPr>
                <w:rFonts w:cstheme="minorHAnsi"/>
              </w:rPr>
              <w:t xml:space="preserve">1,071   </w:t>
            </w:r>
          </w:p>
        </w:tc>
        <w:tc>
          <w:tcPr>
            <w:tcW w:w="1276" w:type="dxa"/>
          </w:tcPr>
          <w:p>
            <w:pPr>
              <w:spacing w:after="0" w:line="240" w:lineRule="auto"/>
              <w:jc w:val="right"/>
              <w:rPr>
                <w:rFonts w:cstheme="minorHAnsi"/>
              </w:rPr>
            </w:pPr>
            <w:r>
              <w:rPr>
                <w:rFonts w:cstheme="minorHAnsi"/>
              </w:rPr>
              <w:t xml:space="preserve">1,071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r>
              <w:rPr>
                <w:rFonts w:cstheme="minorHAnsi"/>
              </w:rPr>
              <w:t>Retained profits</w:t>
            </w:r>
          </w:p>
        </w:tc>
        <w:tc>
          <w:tcPr>
            <w:tcW w:w="1276" w:type="dxa"/>
          </w:tcPr>
          <w:p>
            <w:pPr>
              <w:spacing w:after="0" w:line="240" w:lineRule="auto"/>
              <w:jc w:val="right"/>
              <w:rPr>
                <w:rFonts w:cstheme="minorHAnsi"/>
                <w:u w:val="single"/>
              </w:rPr>
            </w:pPr>
            <w:r>
              <w:rPr>
                <w:rFonts w:cstheme="minorHAnsi"/>
                <w:u w:val="single"/>
              </w:rPr>
              <w:t xml:space="preserve">1,717  </w:t>
            </w:r>
          </w:p>
        </w:tc>
        <w:tc>
          <w:tcPr>
            <w:tcW w:w="1276" w:type="dxa"/>
          </w:tcPr>
          <w:p>
            <w:pPr>
              <w:spacing w:after="0" w:line="240" w:lineRule="auto"/>
              <w:jc w:val="right"/>
              <w:rPr>
                <w:rFonts w:cstheme="minorHAnsi"/>
                <w:u w:val="single"/>
              </w:rPr>
            </w:pPr>
            <w:r>
              <w:rPr>
                <w:rFonts w:cstheme="minorHAnsi"/>
                <w:u w:val="single"/>
              </w:rPr>
              <w:t>1,541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39" w:type="dxa"/>
          </w:tcPr>
          <w:p>
            <w:pPr>
              <w:spacing w:after="0" w:line="240" w:lineRule="auto"/>
              <w:rPr>
                <w:rFonts w:cstheme="minorHAnsi"/>
              </w:rPr>
            </w:pPr>
          </w:p>
        </w:tc>
        <w:tc>
          <w:tcPr>
            <w:tcW w:w="1276" w:type="dxa"/>
          </w:tcPr>
          <w:p>
            <w:pPr>
              <w:spacing w:after="0" w:line="240" w:lineRule="auto"/>
              <w:jc w:val="right"/>
              <w:rPr>
                <w:rFonts w:cstheme="minorHAnsi"/>
                <w:u w:val="double"/>
              </w:rPr>
            </w:pPr>
            <w:r>
              <w:rPr>
                <w:rFonts w:cstheme="minorHAnsi"/>
                <w:u w:val="double"/>
              </w:rPr>
              <w:t xml:space="preserve"> 3,088  </w:t>
            </w:r>
          </w:p>
        </w:tc>
        <w:tc>
          <w:tcPr>
            <w:tcW w:w="1276" w:type="dxa"/>
          </w:tcPr>
          <w:p>
            <w:pPr>
              <w:spacing w:after="0" w:line="240" w:lineRule="auto"/>
              <w:jc w:val="right"/>
              <w:rPr>
                <w:rFonts w:cstheme="minorHAnsi"/>
                <w:u w:val="double"/>
              </w:rPr>
            </w:pPr>
            <w:r>
              <w:rPr>
                <w:rFonts w:cstheme="minorHAnsi"/>
                <w:u w:val="double"/>
              </w:rPr>
              <w:t xml:space="preserve">2,912  </w:t>
            </w:r>
          </w:p>
        </w:tc>
      </w:tr>
    </w:tbl>
    <w:p>
      <w:pPr>
        <w:spacing w:after="0" w:line="276" w:lineRule="auto"/>
        <w:jc w:val="both"/>
        <w:rPr>
          <w:sz w:val="24"/>
          <w:szCs w:val="24"/>
        </w:rPr>
      </w:pPr>
      <w:r>
        <w:rPr>
          <w:sz w:val="24"/>
          <w:szCs w:val="24"/>
        </w:rPr>
        <w:t>Additional information:</w:t>
      </w:r>
    </w:p>
    <w:p>
      <w:pPr>
        <w:spacing w:after="0" w:line="276" w:lineRule="auto"/>
        <w:jc w:val="both"/>
        <w:rPr>
          <w:sz w:val="24"/>
          <w:szCs w:val="24"/>
        </w:rPr>
      </w:pPr>
      <w:r>
        <w:rPr>
          <w:sz w:val="24"/>
          <w:szCs w:val="24"/>
        </w:rPr>
        <w:t xml:space="preserve">i. During 2020 a total dividend of £255m was paid (2019: £242m) </w:t>
      </w:r>
    </w:p>
    <w:p>
      <w:pPr>
        <w:spacing w:after="0" w:line="276" w:lineRule="auto"/>
        <w:jc w:val="both"/>
        <w:rPr>
          <w:sz w:val="24"/>
          <w:szCs w:val="24"/>
        </w:rPr>
      </w:pPr>
      <w:r>
        <w:rPr>
          <w:sz w:val="24"/>
          <w:szCs w:val="24"/>
        </w:rPr>
        <w:t>ii. The average share price during 2020 was £5.12 (2019: £4.00).</w:t>
      </w:r>
    </w:p>
    <w:p>
      <w:pPr>
        <w:spacing w:after="0" w:line="276" w:lineRule="auto"/>
        <w:jc w:val="both"/>
        <w:rPr>
          <w:b/>
          <w:sz w:val="24"/>
          <w:szCs w:val="24"/>
        </w:rPr>
      </w:pPr>
    </w:p>
    <w:p>
      <w:pPr>
        <w:spacing w:after="0" w:line="240" w:lineRule="auto"/>
        <w:jc w:val="both"/>
        <w:rPr>
          <w:b/>
          <w:sz w:val="24"/>
          <w:szCs w:val="24"/>
        </w:rPr>
      </w:pPr>
      <w:r>
        <w:rPr>
          <w:b/>
          <w:sz w:val="24"/>
          <w:szCs w:val="24"/>
        </w:rPr>
        <w:t xml:space="preserve">Required: </w:t>
      </w:r>
    </w:p>
    <w:p>
      <w:pPr>
        <w:spacing w:after="0" w:line="240" w:lineRule="auto"/>
        <w:jc w:val="both"/>
        <w:rPr>
          <w:sz w:val="24"/>
          <w:szCs w:val="24"/>
        </w:rPr>
      </w:pPr>
      <w:r>
        <w:rPr>
          <w:sz w:val="24"/>
          <w:szCs w:val="24"/>
        </w:rPr>
        <w:t xml:space="preserve">Calculate the following ratios for Chocco plc for 2020 and 2019, showing the formulas and workings: </w:t>
      </w:r>
    </w:p>
    <w:p>
      <w:pPr>
        <w:spacing w:after="0" w:line="240" w:lineRule="auto"/>
        <w:jc w:val="both"/>
        <w:rPr>
          <w:sz w:val="24"/>
          <w:szCs w:val="24"/>
        </w:rPr>
      </w:pPr>
      <w:r>
        <w:rPr>
          <w:sz w:val="24"/>
          <w:szCs w:val="24"/>
        </w:rPr>
        <w:t xml:space="preserve">1- ROCE </w:t>
      </w:r>
    </w:p>
    <w:p>
      <w:pPr>
        <w:spacing w:after="0" w:line="240" w:lineRule="auto"/>
        <w:jc w:val="both"/>
        <w:rPr>
          <w:sz w:val="24"/>
          <w:szCs w:val="24"/>
        </w:rPr>
      </w:pPr>
      <w:r>
        <w:rPr>
          <w:sz w:val="24"/>
          <w:szCs w:val="24"/>
        </w:rPr>
        <w:t xml:space="preserve">2- ROE </w:t>
      </w:r>
    </w:p>
    <w:p>
      <w:pPr>
        <w:spacing w:after="0" w:line="240" w:lineRule="auto"/>
        <w:jc w:val="both"/>
        <w:rPr>
          <w:sz w:val="24"/>
          <w:szCs w:val="24"/>
        </w:rPr>
      </w:pPr>
      <w:r>
        <w:rPr>
          <w:sz w:val="24"/>
          <w:szCs w:val="24"/>
        </w:rPr>
        <w:t xml:space="preserve">3- Earnings per share </w:t>
      </w:r>
    </w:p>
    <w:p>
      <w:pPr>
        <w:spacing w:after="0" w:line="240" w:lineRule="auto"/>
        <w:jc w:val="both"/>
        <w:rPr>
          <w:sz w:val="24"/>
          <w:szCs w:val="24"/>
        </w:rPr>
      </w:pPr>
      <w:r>
        <w:rPr>
          <w:sz w:val="24"/>
          <w:szCs w:val="24"/>
        </w:rPr>
        <w:t xml:space="preserve">4- Net profit margin </w:t>
      </w:r>
    </w:p>
    <w:p>
      <w:pPr>
        <w:spacing w:after="0" w:line="240" w:lineRule="auto"/>
        <w:jc w:val="both"/>
        <w:rPr>
          <w:sz w:val="24"/>
          <w:szCs w:val="24"/>
        </w:rPr>
      </w:pPr>
      <w:r>
        <w:rPr>
          <w:sz w:val="24"/>
          <w:szCs w:val="24"/>
        </w:rPr>
        <w:t xml:space="preserve">5- Asset turnover </w:t>
      </w:r>
    </w:p>
    <w:p>
      <w:pPr>
        <w:spacing w:after="0" w:line="240" w:lineRule="auto"/>
        <w:jc w:val="both"/>
        <w:rPr>
          <w:sz w:val="24"/>
          <w:szCs w:val="24"/>
        </w:rPr>
      </w:pPr>
      <w:r>
        <w:rPr>
          <w:sz w:val="24"/>
          <w:szCs w:val="24"/>
        </w:rPr>
        <w:t xml:space="preserve">6- Stock holding days </w:t>
      </w:r>
    </w:p>
    <w:p>
      <w:pPr>
        <w:spacing w:after="0" w:line="240" w:lineRule="auto"/>
        <w:jc w:val="both"/>
        <w:rPr>
          <w:sz w:val="24"/>
          <w:szCs w:val="24"/>
        </w:rPr>
      </w:pPr>
      <w:r>
        <w:rPr>
          <w:sz w:val="24"/>
          <w:szCs w:val="24"/>
        </w:rPr>
        <w:t xml:space="preserve">7- Debtors collection period </w:t>
      </w:r>
    </w:p>
    <w:p>
      <w:pPr>
        <w:spacing w:after="0" w:line="240" w:lineRule="auto"/>
        <w:jc w:val="both"/>
        <w:rPr>
          <w:sz w:val="24"/>
          <w:szCs w:val="24"/>
        </w:rPr>
      </w:pPr>
      <w:r>
        <w:rPr>
          <w:sz w:val="24"/>
          <w:szCs w:val="24"/>
        </w:rPr>
        <w:t xml:space="preserve">8- Current ratio </w:t>
      </w:r>
    </w:p>
    <w:p>
      <w:pPr>
        <w:spacing w:after="0" w:line="240" w:lineRule="auto"/>
        <w:jc w:val="both"/>
        <w:rPr>
          <w:sz w:val="24"/>
          <w:szCs w:val="24"/>
        </w:rPr>
      </w:pPr>
      <w:r>
        <w:rPr>
          <w:sz w:val="24"/>
          <w:szCs w:val="24"/>
        </w:rPr>
        <w:t xml:space="preserve">9- Gearing ratio </w:t>
      </w:r>
    </w:p>
    <w:p>
      <w:pPr>
        <w:spacing w:after="0" w:line="240" w:lineRule="auto"/>
        <w:jc w:val="both"/>
        <w:rPr>
          <w:sz w:val="24"/>
          <w:szCs w:val="24"/>
        </w:rPr>
      </w:pPr>
      <w:r>
        <w:rPr>
          <w:sz w:val="24"/>
          <w:szCs w:val="24"/>
        </w:rPr>
        <w:t xml:space="preserve">10- Invertor ratio                                                                                                                          [40 marks] </w:t>
      </w:r>
    </w:p>
    <w:p>
      <w:pPr>
        <w:spacing w:after="0" w:line="240" w:lineRule="auto"/>
        <w:jc w:val="both"/>
        <w:rPr>
          <w:sz w:val="24"/>
          <w:szCs w:val="24"/>
        </w:rPr>
      </w:pPr>
    </w:p>
    <w:p>
      <w:pPr>
        <w:spacing w:after="0" w:line="240" w:lineRule="auto"/>
        <w:jc w:val="both"/>
        <w:rPr>
          <w:sz w:val="24"/>
          <w:szCs w:val="24"/>
        </w:rPr>
      </w:pPr>
      <w:r>
        <w:rPr>
          <w:sz w:val="24"/>
          <w:szCs w:val="24"/>
        </w:rPr>
        <w:t>b. Using the information in the financial statements and the ratios you have calculated, comment on the financial performance and position of Chocco plc.                                                    [10 marks]</w:t>
      </w:r>
    </w:p>
    <w:p>
      <w:pPr>
        <w:jc w:val="both"/>
      </w:pPr>
    </w:p>
    <w:p>
      <w:pPr>
        <w:jc w:val="both"/>
      </w:pPr>
    </w:p>
    <w:p>
      <w:pPr>
        <w:jc w:val="both"/>
        <w:rPr>
          <w:rFonts w:cstheme="minorHAnsi"/>
          <w:b/>
        </w:rPr>
      </w:pPr>
      <w:r>
        <w:rPr>
          <w:rFonts w:cstheme="minorHAnsi"/>
          <w:b/>
        </w:rPr>
        <w:t>ANSWER:</w:t>
      </w:r>
    </w:p>
    <w:p>
      <w:pPr>
        <w:jc w:val="both"/>
        <w:rPr>
          <w:rFonts w:cstheme="minorHAnsi"/>
          <w:b/>
        </w:rPr>
      </w:pPr>
      <w:r>
        <w:rPr>
          <w:rFonts w:cstheme="minorHAnsi"/>
          <w:b/>
        </w:rPr>
        <w:t xml:space="preserve">a) </w:t>
      </w:r>
    </w:p>
    <w:p>
      <w:pPr>
        <w:rPr>
          <w:rFonts w:eastAsiaTheme="minorEastAsia" w:cstheme="minorHAnsi"/>
          <w:sz w:val="24"/>
          <w:szCs w:val="24"/>
        </w:rPr>
      </w:pPr>
      <w:r>
        <w:rPr>
          <w:rFonts w:eastAsiaTheme="minorEastAsia" w:cstheme="minorHAnsi"/>
          <w:sz w:val="24"/>
          <w:szCs w:val="24"/>
        </w:rPr>
        <w:t>1) Return on capital employed</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ROCE=</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Profit before interest</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Capital employed</m:t>
              </m:r>
              <m:ctrlPr>
                <w:rPr>
                  <w:rFonts w:ascii="Cambria Math" w:hAnsi="Cambria Math" w:eastAsiaTheme="minorEastAsia" w:cstheme="minorHAnsi"/>
                  <w:sz w:val="24"/>
                  <w:szCs w:val="24"/>
                </w:rPr>
              </m:ctrlPr>
            </m:den>
          </m:f>
          <m:r>
            <m:rPr/>
            <w:rPr>
              <w:rFonts w:ascii="Cambria Math" w:hAnsi="Cambria Math" w:eastAsiaTheme="minorEastAsia" w:cstheme="minorHAnsi"/>
              <w:sz w:val="24"/>
              <w:szCs w:val="24"/>
            </w:rPr>
            <m:t xml:space="preserve"> x100</m:t>
          </m:r>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4675" w:type="dxa"/>
          </w:tcPr>
          <w:p>
            <w:pPr>
              <w:spacing w:after="0" w:line="240" w:lineRule="auto"/>
              <w:jc w:val="both"/>
              <w:rPr>
                <w:rFonts w:eastAsiaTheme="minorEastAsia" w:cstheme="minorHAnsi"/>
              </w:rPr>
            </w:pPr>
          </w:p>
          <w:p>
            <w:pPr>
              <w:spacing w:after="0" w:line="240" w:lineRule="auto"/>
              <w:jc w:val="both"/>
              <w:rPr>
                <w:rFonts w:cstheme="minorHAnsi"/>
              </w:rPr>
            </w:pPr>
            <m:oMathPara>
              <m:oMathParaPr>
                <m:jc m:val="left"/>
              </m:oMathParaPr>
              <m:oMath>
                <m:r>
                  <m:rPr/>
                  <w:rPr>
                    <w:rFonts w:ascii="Cambria Math" w:hAnsi="Cambria Math" w:cstheme="minorHAnsi"/>
                  </w:rPr>
                  <m:t>ROCE</m:t>
                </m:r>
                <m:r>
                  <m:rPr>
                    <m:sty m:val="p"/>
                  </m:rP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805</m:t>
                    </m:r>
                    <m:ctrlPr>
                      <w:rPr>
                        <w:rFonts w:ascii="Cambria Math" w:hAnsi="Cambria Math" w:cstheme="minorHAnsi"/>
                      </w:rPr>
                    </m:ctrlPr>
                  </m:num>
                  <m:den>
                    <m:r>
                      <m:rPr>
                        <m:sty m:val="p"/>
                      </m:rPr>
                      <w:rPr>
                        <w:rFonts w:ascii="Cambria Math" w:hAnsi="Cambria Math" w:cstheme="minorHAnsi"/>
                      </w:rPr>
                      <m:t>9,736−2,511</m:t>
                    </m:r>
                    <m:ctrlPr>
                      <w:rPr>
                        <w:rFonts w:ascii="Cambria Math" w:hAnsi="Cambria Math" w:cstheme="minorHAnsi"/>
                      </w:rPr>
                    </m:ctrlPr>
                  </m:den>
                </m:f>
                <m:r>
                  <m:rPr/>
                  <w:rPr>
                    <w:rFonts w:ascii="Cambria Math" w:hAnsi="Cambria Math" w:cstheme="minorHAnsi"/>
                  </w:rPr>
                  <m:t xml:space="preserve"> x 100=11.14%</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w:rPr>
                    <w:rFonts w:ascii="Cambria Math" w:hAnsi="Cambria Math" w:cstheme="minorHAnsi"/>
                  </w:rPr>
                  <m:t>ROCE</m:t>
                </m:r>
                <m:r>
                  <m:rPr>
                    <m:sty m:val="p"/>
                  </m:rP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699</m:t>
                    </m:r>
                    <m:ctrlPr>
                      <w:rPr>
                        <w:rFonts w:ascii="Cambria Math" w:hAnsi="Cambria Math" w:cstheme="minorHAnsi"/>
                      </w:rPr>
                    </m:ctrlPr>
                  </m:num>
                  <m:den>
                    <m:r>
                      <m:rPr>
                        <m:sty m:val="p"/>
                      </m:rPr>
                      <w:rPr>
                        <w:rFonts w:ascii="Cambria Math" w:hAnsi="Cambria Math" w:cstheme="minorHAnsi"/>
                      </w:rPr>
                      <m:t>10,087−3,046</m:t>
                    </m:r>
                    <m:ctrlPr>
                      <w:rPr>
                        <w:rFonts w:ascii="Cambria Math" w:hAnsi="Cambria Math" w:cstheme="minorHAnsi"/>
                      </w:rPr>
                    </m:ctrlPr>
                  </m:den>
                </m:f>
                <m:r>
                  <m:rPr/>
                  <w:rPr>
                    <w:rFonts w:ascii="Cambria Math" w:hAnsi="Cambria Math" w:cstheme="minorHAnsi"/>
                  </w:rPr>
                  <m:t xml:space="preserve"> x 100=9.93%</m:t>
                </m:r>
              </m:oMath>
            </m:oMathPara>
          </w:p>
        </w:tc>
      </w:tr>
    </w:tbl>
    <w:p>
      <w:pPr>
        <w:rPr>
          <w:rFonts w:cstheme="minorHAnsi"/>
        </w:rPr>
      </w:pPr>
    </w:p>
    <w:p>
      <w:pPr>
        <w:rPr>
          <w:rFonts w:cstheme="minorHAnsi"/>
        </w:rPr>
      </w:pPr>
    </w:p>
    <w:p>
      <w:pPr>
        <w:rPr>
          <w:rFonts w:cstheme="minorHAnsi"/>
          <w:sz w:val="24"/>
          <w:szCs w:val="24"/>
        </w:rPr>
      </w:pPr>
      <w:r>
        <w:rPr>
          <w:rFonts w:cstheme="minorHAnsi"/>
          <w:sz w:val="24"/>
          <w:szCs w:val="24"/>
        </w:rPr>
        <w:t>2) Return on equity</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ROE=</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Earnings</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Ordinary share capital and reserves</m:t>
              </m:r>
              <m:ctrlPr>
                <w:rPr>
                  <w:rFonts w:ascii="Cambria Math" w:hAnsi="Cambria Math" w:eastAsiaTheme="minorEastAsia" w:cstheme="minorHAnsi"/>
                  <w:sz w:val="24"/>
                  <w:szCs w:val="24"/>
                </w:rPr>
              </m:ctrlPr>
            </m:den>
          </m:f>
          <m:r>
            <m:rPr/>
            <w:rPr>
              <w:rFonts w:ascii="Cambria Math" w:hAnsi="Cambria Math" w:eastAsiaTheme="minorEastAsia" w:cstheme="minorHAnsi"/>
              <w:sz w:val="24"/>
              <w:szCs w:val="24"/>
            </w:rPr>
            <m:t xml:space="preserve"> x 100</m:t>
          </m:r>
        </m:oMath>
      </m:oMathPara>
    </w:p>
    <w:p>
      <w:pPr>
        <w:rPr>
          <w:rFonts w:eastAsiaTheme="minorEastAsia" w:cstheme="minorHAnsi"/>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w:rPr>
                    <w:rFonts w:ascii="Cambria Math" w:hAnsi="Cambria Math" w:cstheme="minorHAnsi"/>
                  </w:rPr>
                  <m:t>ROE</m:t>
                </m:r>
                <m:r>
                  <m:rPr>
                    <m:sty m:val="p"/>
                  </m:rP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431</m:t>
                    </m:r>
                    <m:ctrlPr>
                      <w:rPr>
                        <w:rFonts w:ascii="Cambria Math" w:hAnsi="Cambria Math" w:cstheme="minorHAnsi"/>
                      </w:rPr>
                    </m:ctrlPr>
                  </m:num>
                  <m:den>
                    <m:r>
                      <m:rPr>
                        <m:sty m:val="p"/>
                      </m:rPr>
                      <w:rPr>
                        <w:rFonts w:ascii="Cambria Math" w:hAnsi="Cambria Math" w:cstheme="minorHAnsi"/>
                      </w:rPr>
                      <m:t>3,088</m:t>
                    </m:r>
                    <m:ctrlPr>
                      <w:rPr>
                        <w:rFonts w:ascii="Cambria Math" w:hAnsi="Cambria Math" w:cstheme="minorHAnsi"/>
                      </w:rPr>
                    </m:ctrlPr>
                  </m:den>
                </m:f>
                <m:r>
                  <m:rPr/>
                  <w:rPr>
                    <w:rFonts w:ascii="Cambria Math" w:hAnsi="Cambria Math" w:cstheme="minorHAnsi"/>
                  </w:rPr>
                  <m:t xml:space="preserve"> x 100=13.96%</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w:rPr>
                    <w:rFonts w:ascii="Cambria Math" w:hAnsi="Cambria Math" w:cstheme="minorHAnsi"/>
                  </w:rPr>
                  <m:t>ROE</m:t>
                </m:r>
                <m:r>
                  <m:rPr>
                    <m:sty m:val="p"/>
                  </m:rP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366</m:t>
                    </m:r>
                    <m:ctrlPr>
                      <w:rPr>
                        <w:rFonts w:ascii="Cambria Math" w:hAnsi="Cambria Math" w:cstheme="minorHAnsi"/>
                      </w:rPr>
                    </m:ctrlPr>
                  </m:num>
                  <m:den>
                    <m:r>
                      <m:rPr>
                        <m:sty m:val="p"/>
                      </m:rPr>
                      <w:rPr>
                        <w:rFonts w:ascii="Cambria Math" w:hAnsi="Cambria Math" w:cstheme="minorHAnsi"/>
                      </w:rPr>
                      <m:t>2,912</m:t>
                    </m:r>
                    <m:ctrlPr>
                      <w:rPr>
                        <w:rFonts w:ascii="Cambria Math" w:hAnsi="Cambria Math" w:cstheme="minorHAnsi"/>
                      </w:rPr>
                    </m:ctrlPr>
                  </m:den>
                </m:f>
                <m:r>
                  <m:rPr/>
                  <w:rPr>
                    <w:rFonts w:ascii="Cambria Math" w:hAnsi="Cambria Math" w:cstheme="minorHAnsi"/>
                  </w:rPr>
                  <m:t xml:space="preserve"> x 100=12.57%</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3) Earnings per share</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Earnings per share=</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Earnings</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Number of ordinary shares</m:t>
              </m:r>
              <m:ctrlPr>
                <w:rPr>
                  <w:rFonts w:ascii="Cambria Math" w:hAnsi="Cambria Math" w:eastAsiaTheme="minorEastAsia" w:cstheme="minorHAnsi"/>
                  <w:sz w:val="24"/>
                  <w:szCs w:val="24"/>
                </w:rPr>
              </m:ctrlPr>
            </m:den>
          </m:f>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w:rPr>
                    <w:rFonts w:ascii="Cambria Math" w:hAnsi="Cambria Math" w:cstheme="minorHAnsi"/>
                  </w:rPr>
                  <m:t>EPS</m:t>
                </m:r>
                <m:r>
                  <m:rPr>
                    <m:sty m:val="p"/>
                  </m:rP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431</m:t>
                    </m:r>
                    <m:ctrlPr>
                      <w:rPr>
                        <w:rFonts w:ascii="Cambria Math" w:hAnsi="Cambria Math" w:cstheme="minorHAnsi"/>
                      </w:rPr>
                    </m:ctrlPr>
                  </m:num>
                  <m:den>
                    <m:r>
                      <m:rPr>
                        <m:sty m:val="p"/>
                      </m:rPr>
                      <w:rPr>
                        <w:rFonts w:ascii="Cambria Math" w:hAnsi="Cambria Math" w:cstheme="minorHAnsi"/>
                      </w:rPr>
                      <m:t>600</m:t>
                    </m:r>
                    <m:ctrlPr>
                      <w:rPr>
                        <w:rFonts w:ascii="Cambria Math" w:hAnsi="Cambria Math" w:cstheme="minorHAnsi"/>
                      </w:rPr>
                    </m:ctrlPr>
                  </m:den>
                </m:f>
                <m:r>
                  <m:rPr/>
                  <w:rPr>
                    <w:rFonts w:ascii="Cambria Math" w:hAnsi="Cambria Math" w:cstheme="minorHAnsi"/>
                  </w:rPr>
                  <m:t>=0.72p</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 xml:space="preserve"> </m:t>
                </m:r>
                <m:r>
                  <m:rPr/>
                  <w:rPr>
                    <w:rFonts w:ascii="Cambria Math" w:hAnsi="Cambria Math" w:cstheme="minorHAnsi"/>
                  </w:rPr>
                  <m:t>EPS</m:t>
                </m:r>
                <m:r>
                  <m:rPr>
                    <m:sty m:val="p"/>
                  </m:rPr>
                  <w:rPr>
                    <w:rFonts w:ascii="Cambria Math" w:hAnsi="Cambria Math" w:cstheme="minorHAnsi"/>
                  </w:rPr>
                  <m:t xml:space="preserve"> =</m:t>
                </m:r>
                <m:f>
                  <m:fPr>
                    <m:ctrlPr>
                      <w:rPr>
                        <w:rFonts w:ascii="Cambria Math" w:hAnsi="Cambria Math" w:cstheme="minorHAnsi"/>
                      </w:rPr>
                    </m:ctrlPr>
                  </m:fPr>
                  <m:num>
                    <m:r>
                      <m:rPr>
                        <m:sty m:val="p"/>
                      </m:rPr>
                      <w:rPr>
                        <w:rFonts w:ascii="Cambria Math" w:hAnsi="Cambria Math" w:cstheme="minorHAnsi"/>
                      </w:rPr>
                      <m:t>366</m:t>
                    </m:r>
                    <m:ctrlPr>
                      <w:rPr>
                        <w:rFonts w:ascii="Cambria Math" w:hAnsi="Cambria Math" w:cstheme="minorHAnsi"/>
                      </w:rPr>
                    </m:ctrlPr>
                  </m:num>
                  <m:den>
                    <m:r>
                      <m:rPr>
                        <m:sty m:val="p"/>
                      </m:rPr>
                      <w:rPr>
                        <w:rFonts w:ascii="Cambria Math" w:hAnsi="Cambria Math" w:cstheme="minorHAnsi"/>
                      </w:rPr>
                      <m:t>600</m:t>
                    </m:r>
                    <m:ctrlPr>
                      <w:rPr>
                        <w:rFonts w:ascii="Cambria Math" w:hAnsi="Cambria Math" w:cstheme="minorHAnsi"/>
                      </w:rPr>
                    </m:ctrlPr>
                  </m:den>
                </m:f>
                <m:r>
                  <m:rPr/>
                  <w:rPr>
                    <w:rFonts w:ascii="Cambria Math" w:hAnsi="Cambria Math" w:cstheme="minorHAnsi"/>
                  </w:rPr>
                  <m:t xml:space="preserve">=0.61p </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4) Net profit margin</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Net profit margin=</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Net profit</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 xml:space="preserve">Sales </m:t>
              </m:r>
              <m:ctrlPr>
                <w:rPr>
                  <w:rFonts w:ascii="Cambria Math" w:hAnsi="Cambria Math" w:eastAsiaTheme="minorEastAsia" w:cstheme="minorHAnsi"/>
                  <w:sz w:val="24"/>
                  <w:szCs w:val="24"/>
                </w:rPr>
              </m:ctrlPr>
            </m:den>
          </m:f>
          <m:r>
            <m:rPr/>
            <w:rPr>
              <w:rFonts w:ascii="Cambria Math" w:hAnsi="Cambria Math" w:eastAsiaTheme="minorEastAsia" w:cstheme="minorHAnsi"/>
              <w:sz w:val="24"/>
              <w:szCs w:val="24"/>
            </w:rPr>
            <m:t xml:space="preserve"> x 100</m:t>
          </m:r>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Net profit margin=</m:t>
                </m:r>
                <m:f>
                  <m:fPr>
                    <m:ctrlPr>
                      <w:rPr>
                        <w:rFonts w:ascii="Cambria Math" w:hAnsi="Cambria Math" w:cstheme="minorHAnsi"/>
                      </w:rPr>
                    </m:ctrlPr>
                  </m:fPr>
                  <m:num>
                    <m:r>
                      <m:rPr>
                        <m:sty m:val="p"/>
                      </m:rPr>
                      <w:rPr>
                        <w:rFonts w:ascii="Cambria Math" w:hAnsi="Cambria Math" w:cstheme="minorHAnsi"/>
                      </w:rPr>
                      <m:t>620</m:t>
                    </m:r>
                    <m:ctrlPr>
                      <w:rPr>
                        <w:rFonts w:ascii="Cambria Math" w:hAnsi="Cambria Math" w:cstheme="minorHAnsi"/>
                      </w:rPr>
                    </m:ctrlPr>
                  </m:num>
                  <m:den>
                    <m:r>
                      <m:rPr>
                        <m:sty m:val="p"/>
                      </m:rPr>
                      <w:rPr>
                        <w:rFonts w:ascii="Cambria Math" w:hAnsi="Cambria Math" w:cstheme="minorHAnsi"/>
                      </w:rPr>
                      <m:t>6,738</m:t>
                    </m:r>
                    <m:ctrlPr>
                      <w:rPr>
                        <w:rFonts w:ascii="Cambria Math" w:hAnsi="Cambria Math" w:cstheme="minorHAnsi"/>
                      </w:rPr>
                    </m:ctrlPr>
                  </m:den>
                </m:f>
                <m:r>
                  <m:rPr>
                    <m:sty m:val="p"/>
                  </m:rPr>
                  <w:rPr>
                    <w:rFonts w:ascii="Cambria Math" w:hAnsi="Cambria Math" w:cstheme="minorHAnsi"/>
                  </w:rPr>
                  <m:t>x 100=9.20%</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 xml:space="preserve"> Net profit margin =</m:t>
                </m:r>
                <m:f>
                  <m:fPr>
                    <m:ctrlPr>
                      <w:rPr>
                        <w:rFonts w:ascii="Cambria Math" w:hAnsi="Cambria Math" w:cstheme="minorHAnsi"/>
                      </w:rPr>
                    </m:ctrlPr>
                  </m:fPr>
                  <m:num>
                    <m:r>
                      <m:rPr>
                        <m:sty m:val="p"/>
                      </m:rPr>
                      <w:rPr>
                        <w:rFonts w:ascii="Cambria Math" w:hAnsi="Cambria Math" w:cstheme="minorHAnsi"/>
                      </w:rPr>
                      <m:t>539</m:t>
                    </m:r>
                    <m:ctrlPr>
                      <w:rPr>
                        <w:rFonts w:ascii="Cambria Math" w:hAnsi="Cambria Math" w:cstheme="minorHAnsi"/>
                      </w:rPr>
                    </m:ctrlPr>
                  </m:num>
                  <m:den>
                    <m:r>
                      <m:rPr>
                        <m:sty m:val="p"/>
                      </m:rPr>
                      <w:rPr>
                        <w:rFonts w:ascii="Cambria Math" w:hAnsi="Cambria Math" w:cstheme="minorHAnsi"/>
                      </w:rPr>
                      <m:t>6,441</m:t>
                    </m:r>
                    <m:ctrlPr>
                      <w:rPr>
                        <w:rFonts w:ascii="Cambria Math" w:hAnsi="Cambria Math" w:cstheme="minorHAnsi"/>
                      </w:rPr>
                    </m:ctrlPr>
                  </m:den>
                </m:f>
                <m:r>
                  <m:rPr/>
                  <w:rPr>
                    <w:rFonts w:ascii="Cambria Math" w:hAnsi="Cambria Math" w:cstheme="minorHAnsi"/>
                  </w:rPr>
                  <m:t xml:space="preserve">x 100=8.37% </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5) Asset turnover</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Asset turnover=</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Turnover</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Capital employed</m:t>
              </m:r>
              <m:ctrlPr>
                <w:rPr>
                  <w:rFonts w:ascii="Cambria Math" w:hAnsi="Cambria Math" w:eastAsiaTheme="minorEastAsia" w:cstheme="minorHAnsi"/>
                  <w:sz w:val="24"/>
                  <w:szCs w:val="24"/>
                </w:rPr>
              </m:ctrlPr>
            </m:den>
          </m:f>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Asset turnover=</m:t>
                </m:r>
                <m:f>
                  <m:fPr>
                    <m:ctrlPr>
                      <w:rPr>
                        <w:rFonts w:ascii="Cambria Math" w:hAnsi="Cambria Math" w:cstheme="minorHAnsi"/>
                      </w:rPr>
                    </m:ctrlPr>
                  </m:fPr>
                  <m:num>
                    <m:r>
                      <m:rPr>
                        <m:sty m:val="p"/>
                      </m:rPr>
                      <w:rPr>
                        <w:rFonts w:ascii="Cambria Math" w:hAnsi="Cambria Math" w:cstheme="minorHAnsi"/>
                      </w:rPr>
                      <m:t>6,738</m:t>
                    </m:r>
                    <m:ctrlPr>
                      <w:rPr>
                        <w:rFonts w:ascii="Cambria Math" w:hAnsi="Cambria Math" w:cstheme="minorHAnsi"/>
                      </w:rPr>
                    </m:ctrlPr>
                  </m:num>
                  <m:den>
                    <m:r>
                      <m:rPr>
                        <m:sty m:val="p"/>
                      </m:rPr>
                      <w:rPr>
                        <w:rFonts w:ascii="Cambria Math" w:hAnsi="Cambria Math" w:cstheme="minorHAnsi"/>
                      </w:rPr>
                      <m:t>9,736−2,511</m:t>
                    </m:r>
                    <m:ctrlPr>
                      <w:rPr>
                        <w:rFonts w:ascii="Cambria Math" w:hAnsi="Cambria Math" w:cstheme="minorHAnsi"/>
                      </w:rPr>
                    </m:ctrlPr>
                  </m:den>
                </m:f>
                <m:r>
                  <m:rPr>
                    <m:sty m:val="p"/>
                  </m:rPr>
                  <w:rPr>
                    <w:rFonts w:ascii="Cambria Math" w:hAnsi="Cambria Math" w:cstheme="minorHAnsi"/>
                  </w:rPr>
                  <m:t>=0.93</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 xml:space="preserve"> Asset turnover =</m:t>
                </m:r>
                <m:f>
                  <m:fPr>
                    <m:ctrlPr>
                      <w:rPr>
                        <w:rFonts w:ascii="Cambria Math" w:hAnsi="Cambria Math" w:cstheme="minorHAnsi"/>
                      </w:rPr>
                    </m:ctrlPr>
                  </m:fPr>
                  <m:num>
                    <m:r>
                      <m:rPr>
                        <m:sty m:val="p"/>
                      </m:rPr>
                      <w:rPr>
                        <w:rFonts w:ascii="Cambria Math" w:hAnsi="Cambria Math" w:cstheme="minorHAnsi"/>
                      </w:rPr>
                      <m:t>6,441</m:t>
                    </m:r>
                    <m:ctrlPr>
                      <w:rPr>
                        <w:rFonts w:ascii="Cambria Math" w:hAnsi="Cambria Math" w:cstheme="minorHAnsi"/>
                      </w:rPr>
                    </m:ctrlPr>
                  </m:num>
                  <m:den>
                    <m:r>
                      <m:rPr>
                        <m:sty m:val="p"/>
                      </m:rPr>
                      <w:rPr>
                        <w:rFonts w:ascii="Cambria Math" w:hAnsi="Cambria Math" w:cstheme="minorHAnsi"/>
                      </w:rPr>
                      <m:t>10,087−3,046</m:t>
                    </m:r>
                    <m:ctrlPr>
                      <w:rPr>
                        <w:rFonts w:ascii="Cambria Math" w:hAnsi="Cambria Math" w:cstheme="minorHAnsi"/>
                      </w:rPr>
                    </m:ctrlPr>
                  </m:den>
                </m:f>
                <m:r>
                  <m:rPr/>
                  <w:rPr>
                    <w:rFonts w:ascii="Cambria Math" w:hAnsi="Cambria Math" w:cstheme="minorHAnsi"/>
                  </w:rPr>
                  <m:t>=0.91</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6) Stock holding days</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Stock holding days=</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Inventory</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Cost of sales</m:t>
              </m:r>
              <m:ctrlPr>
                <w:rPr>
                  <w:rFonts w:ascii="Cambria Math" w:hAnsi="Cambria Math" w:eastAsiaTheme="minorEastAsia" w:cstheme="minorHAnsi"/>
                  <w:sz w:val="24"/>
                  <w:szCs w:val="24"/>
                </w:rPr>
              </m:ctrlPr>
            </m:den>
          </m:f>
          <m:r>
            <m:rPr>
              <m:sty m:val="p"/>
            </m:rPr>
            <w:rPr>
              <w:rFonts w:ascii="Cambria Math" w:hAnsi="Cambria Math" w:eastAsiaTheme="minorEastAsia" w:cstheme="minorHAnsi"/>
              <w:sz w:val="24"/>
              <w:szCs w:val="24"/>
            </w:rPr>
            <m:t xml:space="preserve"> x 365</m:t>
          </m:r>
        </m:oMath>
      </m:oMathPara>
    </w:p>
    <w:p>
      <w:pPr>
        <w:rPr>
          <w:rFonts w:eastAsiaTheme="minorEastAsia" w:cstheme="minorHAnsi"/>
          <w:sz w:val="24"/>
          <w:szCs w:val="24"/>
        </w:rPr>
      </w:pPr>
    </w:p>
    <w:p>
      <w:pPr>
        <w:rPr>
          <w:rFonts w:eastAsiaTheme="minorEastAsia" w:cstheme="minorHAnsi"/>
          <w:sz w:val="24"/>
          <w:szCs w:val="24"/>
        </w:rPr>
      </w:pPr>
    </w:p>
    <w:tbl>
      <w:tblPr>
        <w:tblStyle w:val="6"/>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675" w:type="dxa"/>
          </w:tcPr>
          <w:p>
            <w:pPr>
              <w:spacing w:after="0" w:line="240" w:lineRule="auto"/>
              <w:rPr>
                <w:rFonts w:cstheme="minorHAnsi"/>
                <w:b/>
              </w:rPr>
            </w:pPr>
            <w:r>
              <w:rPr>
                <w:rFonts w:cstheme="minorHAnsi"/>
                <w:b/>
              </w:rPr>
              <w:t>2020</w:t>
            </w:r>
          </w:p>
        </w:tc>
        <w:tc>
          <w:tcPr>
            <w:tcW w:w="4676"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Stock holding days=</m:t>
                </m:r>
                <m:f>
                  <m:fPr>
                    <m:ctrlPr>
                      <w:rPr>
                        <w:rFonts w:ascii="Cambria Math" w:hAnsi="Cambria Math" w:cstheme="minorHAnsi"/>
                      </w:rPr>
                    </m:ctrlPr>
                  </m:fPr>
                  <m:num>
                    <m:r>
                      <m:rPr>
                        <m:sty m:val="p"/>
                      </m:rPr>
                      <w:rPr>
                        <w:rFonts w:ascii="Cambria Math" w:hAnsi="Cambria Math" w:cstheme="minorHAnsi"/>
                      </w:rPr>
                      <m:t>708</m:t>
                    </m:r>
                    <m:ctrlPr>
                      <w:rPr>
                        <w:rFonts w:ascii="Cambria Math" w:hAnsi="Cambria Math" w:cstheme="minorHAnsi"/>
                      </w:rPr>
                    </m:ctrlPr>
                  </m:num>
                  <m:den>
                    <m:r>
                      <m:rPr>
                        <m:sty m:val="p"/>
                      </m:rPr>
                      <w:rPr>
                        <w:rFonts w:ascii="Cambria Math" w:hAnsi="Cambria Math" w:cstheme="minorHAnsi"/>
                      </w:rPr>
                      <m:t>3,235</m:t>
                    </m:r>
                    <m:ctrlPr>
                      <w:rPr>
                        <w:rFonts w:ascii="Cambria Math" w:hAnsi="Cambria Math" w:cstheme="minorHAnsi"/>
                      </w:rPr>
                    </m:ctrlPr>
                  </m:den>
                </m:f>
                <m:r>
                  <m:rPr>
                    <m:sty m:val="p"/>
                  </m:rPr>
                  <w:rPr>
                    <w:rFonts w:ascii="Cambria Math" w:hAnsi="Cambria Math" w:cstheme="minorHAnsi"/>
                  </w:rPr>
                  <m:t>x 365=80 days</m:t>
                </m:r>
                <m:r>
                  <m:rPr>
                    <m:sty m:val="p"/>
                  </m:rPr>
                  <w:rPr>
                    <w:rFonts w:eastAsiaTheme="minorEastAsia" w:cstheme="minorHAnsi"/>
                  </w:rPr>
                  <w:br w:type="textWrapping"/>
                </m:r>
              </m:oMath>
            </m:oMathPara>
          </w:p>
        </w:tc>
        <w:tc>
          <w:tcPr>
            <w:tcW w:w="4676" w:type="dxa"/>
          </w:tcPr>
          <w:p>
            <w:pPr>
              <w:spacing w:after="0" w:line="240" w:lineRule="auto"/>
              <w:rPr>
                <w:rFonts w:eastAsiaTheme="minorEastAsia" w:cstheme="minorHAnsi"/>
              </w:rPr>
            </w:pPr>
          </w:p>
          <w:p>
            <w:pPr>
              <w:spacing w:after="0" w:line="240" w:lineRule="auto"/>
              <w:rPr>
                <w:rFonts w:cstheme="minorHAnsi"/>
              </w:rPr>
            </w:pPr>
            <m:oMathPara>
              <m:oMath>
                <m:r>
                  <m:rPr>
                    <m:sty m:val="p"/>
                  </m:rPr>
                  <w:rPr>
                    <w:rFonts w:ascii="Cambria Math" w:hAnsi="Cambria Math" w:cstheme="minorHAnsi"/>
                  </w:rPr>
                  <m:t xml:space="preserve"> Stock holding days=</m:t>
                </m:r>
                <m:f>
                  <m:fPr>
                    <m:ctrlPr>
                      <w:rPr>
                        <w:rFonts w:ascii="Cambria Math" w:hAnsi="Cambria Math" w:cstheme="minorHAnsi"/>
                      </w:rPr>
                    </m:ctrlPr>
                  </m:fPr>
                  <m:num>
                    <m:r>
                      <m:rPr>
                        <m:sty m:val="p"/>
                      </m:rPr>
                      <w:rPr>
                        <w:rFonts w:ascii="Cambria Math" w:hAnsi="Cambria Math" w:cstheme="minorHAnsi"/>
                      </w:rPr>
                      <m:t>659</m:t>
                    </m:r>
                    <m:ctrlPr>
                      <w:rPr>
                        <w:rFonts w:ascii="Cambria Math" w:hAnsi="Cambria Math" w:cstheme="minorHAnsi"/>
                      </w:rPr>
                    </m:ctrlPr>
                  </m:num>
                  <m:den>
                    <m:r>
                      <m:rPr/>
                      <w:rPr>
                        <w:rFonts w:ascii="Cambria Math" w:hAnsi="Cambria Math" w:cstheme="minorHAnsi"/>
                      </w:rPr>
                      <m:t>3,096</m:t>
                    </m:r>
                    <m:ctrlPr>
                      <w:rPr>
                        <w:rFonts w:ascii="Cambria Math" w:hAnsi="Cambria Math" w:cstheme="minorHAnsi"/>
                      </w:rPr>
                    </m:ctrlPr>
                  </m:den>
                </m:f>
                <m:r>
                  <m:rPr/>
                  <w:rPr>
                    <w:rFonts w:ascii="Cambria Math" w:hAnsi="Cambria Math" w:cstheme="minorHAnsi"/>
                  </w:rPr>
                  <m:t xml:space="preserve">x 365=78 </m:t>
                </m:r>
                <m:r>
                  <m:rPr>
                    <m:sty m:val="p"/>
                  </m:rPr>
                  <w:rPr>
                    <w:rFonts w:ascii="Cambria Math" w:hAnsi="Cambria Math" w:cstheme="minorHAnsi"/>
                  </w:rPr>
                  <m:t>days</m:t>
                </m:r>
                <m:r>
                  <m:rPr>
                    <m:sty m:val="p"/>
                  </m:rPr>
                  <w:rPr>
                    <w:rFonts w:eastAsiaTheme="minorEastAsia" w:cstheme="minorHAnsi"/>
                  </w:rPr>
                  <w:br w:type="textWrapping"/>
                </m:r>
              </m:oMath>
            </m:oMathPara>
            <w:r>
              <w:rPr>
                <w:rFonts w:eastAsiaTheme="minorEastAsia" w:cstheme="minorHAnsi"/>
              </w:rPr>
              <w:t xml:space="preserve">                                                                                              </w:t>
            </w:r>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7) Debtors collection period</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Debtors collection period=</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Trade receivables</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Credit sales</m:t>
              </m:r>
              <m:ctrlPr>
                <w:rPr>
                  <w:rFonts w:ascii="Cambria Math" w:hAnsi="Cambria Math" w:eastAsiaTheme="minorEastAsia" w:cstheme="minorHAnsi"/>
                  <w:sz w:val="24"/>
                  <w:szCs w:val="24"/>
                </w:rPr>
              </m:ctrlPr>
            </m:den>
          </m:f>
          <m:r>
            <m:rPr>
              <m:sty m:val="p"/>
            </m:rPr>
            <w:rPr>
              <w:rFonts w:ascii="Cambria Math" w:hAnsi="Cambria Math" w:eastAsiaTheme="minorEastAsia" w:cstheme="minorHAnsi"/>
              <w:sz w:val="24"/>
              <w:szCs w:val="24"/>
            </w:rPr>
            <m:t xml:space="preserve"> x 365</m:t>
          </m:r>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Debtors collection period=</m:t>
                </m:r>
                <m:f>
                  <m:fPr>
                    <m:ctrlPr>
                      <w:rPr>
                        <w:rFonts w:ascii="Cambria Math" w:hAnsi="Cambria Math" w:cstheme="minorHAnsi"/>
                      </w:rPr>
                    </m:ctrlPr>
                  </m:fPr>
                  <m:num>
                    <m:r>
                      <m:rPr>
                        <m:sty m:val="p"/>
                      </m:rPr>
                      <w:rPr>
                        <w:rFonts w:ascii="Cambria Math" w:hAnsi="Cambria Math" w:cstheme="minorHAnsi"/>
                      </w:rPr>
                      <m:t>1,249</m:t>
                    </m:r>
                    <m:ctrlPr>
                      <w:rPr>
                        <w:rFonts w:ascii="Cambria Math" w:hAnsi="Cambria Math" w:cstheme="minorHAnsi"/>
                      </w:rPr>
                    </m:ctrlPr>
                  </m:num>
                  <m:den>
                    <m:r>
                      <m:rPr>
                        <m:sty m:val="p"/>
                      </m:rPr>
                      <w:rPr>
                        <w:rFonts w:ascii="Cambria Math" w:hAnsi="Cambria Math" w:cstheme="minorHAnsi"/>
                      </w:rPr>
                      <m:t>6,738</m:t>
                    </m:r>
                    <m:ctrlPr>
                      <w:rPr>
                        <w:rFonts w:ascii="Cambria Math" w:hAnsi="Cambria Math" w:cstheme="minorHAnsi"/>
                      </w:rPr>
                    </m:ctrlPr>
                  </m:den>
                </m:f>
                <m:r>
                  <m:rPr>
                    <m:sty m:val="p"/>
                  </m:rPr>
                  <w:rPr>
                    <w:rFonts w:ascii="Cambria Math" w:hAnsi="Cambria Math" w:cstheme="minorHAnsi"/>
                  </w:rPr>
                  <m:t>x 365=68 days</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Debtors collection period=</m:t>
                </m:r>
                <m:f>
                  <m:fPr>
                    <m:ctrlPr>
                      <w:rPr>
                        <w:rFonts w:ascii="Cambria Math" w:hAnsi="Cambria Math" w:cstheme="minorHAnsi"/>
                      </w:rPr>
                    </m:ctrlPr>
                  </m:fPr>
                  <m:num>
                    <m:r>
                      <m:rPr>
                        <m:sty m:val="p"/>
                      </m:rPr>
                      <w:rPr>
                        <w:rFonts w:ascii="Cambria Math" w:hAnsi="Cambria Math" w:cstheme="minorHAnsi"/>
                      </w:rPr>
                      <m:t>1,287</m:t>
                    </m:r>
                    <m:ctrlPr>
                      <w:rPr>
                        <w:rFonts w:ascii="Cambria Math" w:hAnsi="Cambria Math" w:cstheme="minorHAnsi"/>
                      </w:rPr>
                    </m:ctrlPr>
                  </m:num>
                  <m:den>
                    <m:r>
                      <m:rPr>
                        <m:sty m:val="p"/>
                      </m:rPr>
                      <w:rPr>
                        <w:rFonts w:ascii="Cambria Math" w:hAnsi="Cambria Math" w:cstheme="minorHAnsi"/>
                      </w:rPr>
                      <m:t>6,441</m:t>
                    </m:r>
                    <m:ctrlPr>
                      <w:rPr>
                        <w:rFonts w:ascii="Cambria Math" w:hAnsi="Cambria Math" w:cstheme="minorHAnsi"/>
                      </w:rPr>
                    </m:ctrlPr>
                  </m:den>
                </m:f>
                <m:r>
                  <m:rPr>
                    <m:sty m:val="p"/>
                  </m:rPr>
                  <w:rPr>
                    <w:rFonts w:ascii="Cambria Math" w:hAnsi="Cambria Math" w:cstheme="minorHAnsi"/>
                  </w:rPr>
                  <m:t xml:space="preserve">x 365=73 days </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8) Current ratio</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Current ratio=</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Current assets</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Current liabilities</m:t>
              </m:r>
              <m:ctrlPr>
                <w:rPr>
                  <w:rFonts w:ascii="Cambria Math" w:hAnsi="Cambria Math" w:eastAsiaTheme="minorEastAsia" w:cstheme="minorHAnsi"/>
                  <w:sz w:val="24"/>
                  <w:szCs w:val="24"/>
                </w:rPr>
              </m:ctrlPr>
            </m:den>
          </m:f>
        </m:oMath>
      </m:oMathPara>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3"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Current ratio=</m:t>
                </m:r>
                <m:f>
                  <m:fPr>
                    <m:ctrlPr>
                      <w:rPr>
                        <w:rFonts w:ascii="Cambria Math" w:hAnsi="Cambria Math" w:cstheme="minorHAnsi"/>
                      </w:rPr>
                    </m:ctrlPr>
                  </m:fPr>
                  <m:num>
                    <m:r>
                      <m:rPr>
                        <m:sty m:val="p"/>
                      </m:rPr>
                      <w:rPr>
                        <w:rFonts w:ascii="Cambria Math" w:hAnsi="Cambria Math" w:cstheme="minorHAnsi"/>
                      </w:rPr>
                      <m:t>2,303</m:t>
                    </m:r>
                    <m:ctrlPr>
                      <w:rPr>
                        <w:rFonts w:ascii="Cambria Math" w:hAnsi="Cambria Math" w:cstheme="minorHAnsi"/>
                      </w:rPr>
                    </m:ctrlPr>
                  </m:num>
                  <m:den>
                    <m:r>
                      <m:rPr>
                        <m:sty m:val="p"/>
                      </m:rPr>
                      <w:rPr>
                        <w:rFonts w:ascii="Cambria Math" w:hAnsi="Cambria Math" w:cstheme="minorHAnsi"/>
                      </w:rPr>
                      <m:t>2,511</m:t>
                    </m:r>
                    <m:ctrlPr>
                      <w:rPr>
                        <w:rFonts w:ascii="Cambria Math" w:hAnsi="Cambria Math" w:cstheme="minorHAnsi"/>
                      </w:rPr>
                    </m:ctrlPr>
                  </m:den>
                </m:f>
                <m:r>
                  <m:rPr>
                    <m:sty m:val="p"/>
                  </m:rPr>
                  <w:rPr>
                    <w:rFonts w:ascii="Cambria Math" w:hAnsi="Cambria Math" w:cstheme="minorHAnsi"/>
                  </w:rPr>
                  <m:t>=0.92</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 xml:space="preserve"> Current ratio =</m:t>
                </m:r>
                <m:f>
                  <m:fPr>
                    <m:ctrlPr>
                      <w:rPr>
                        <w:rFonts w:ascii="Cambria Math" w:hAnsi="Cambria Math" w:cstheme="minorHAnsi"/>
                      </w:rPr>
                    </m:ctrlPr>
                  </m:fPr>
                  <m:num>
                    <m:r>
                      <m:rPr>
                        <m:sty m:val="p"/>
                      </m:rPr>
                      <w:rPr>
                        <w:rFonts w:ascii="Cambria Math" w:hAnsi="Cambria Math" w:cstheme="minorHAnsi"/>
                      </w:rPr>
                      <m:t>2,355</m:t>
                    </m:r>
                    <m:ctrlPr>
                      <w:rPr>
                        <w:rFonts w:ascii="Cambria Math" w:hAnsi="Cambria Math" w:cstheme="minorHAnsi"/>
                      </w:rPr>
                    </m:ctrlPr>
                  </m:num>
                  <m:den>
                    <m:r>
                      <m:rPr>
                        <m:sty m:val="p"/>
                      </m:rPr>
                      <w:rPr>
                        <w:rFonts w:ascii="Cambria Math" w:hAnsi="Cambria Math" w:cstheme="minorHAnsi"/>
                      </w:rPr>
                      <m:t>3,046</m:t>
                    </m:r>
                    <m:ctrlPr>
                      <w:rPr>
                        <w:rFonts w:ascii="Cambria Math" w:hAnsi="Cambria Math" w:cstheme="minorHAnsi"/>
                      </w:rPr>
                    </m:ctrlPr>
                  </m:den>
                </m:f>
                <m:r>
                  <m:rPr/>
                  <w:rPr>
                    <w:rFonts w:ascii="Cambria Math" w:hAnsi="Cambria Math" w:cstheme="minorHAnsi"/>
                  </w:rPr>
                  <m:t>=0.77</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9) Gearing ratio</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Gearing ratio=</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Debt</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Debt+Equity</m:t>
              </m:r>
              <m:ctrlPr>
                <w:rPr>
                  <w:rFonts w:ascii="Cambria Math" w:hAnsi="Cambria Math" w:eastAsiaTheme="minorEastAsia" w:cstheme="minorHAnsi"/>
                  <w:sz w:val="24"/>
                  <w:szCs w:val="24"/>
                </w:rPr>
              </m:ctrlPr>
            </m:den>
          </m:f>
          <m:r>
            <m:rPr>
              <m:sty m:val="p"/>
            </m:rPr>
            <w:rPr>
              <w:rFonts w:ascii="Cambria Math" w:hAnsi="Cambria Math" w:eastAsiaTheme="minorEastAsia" w:cstheme="minorHAnsi"/>
              <w:sz w:val="24"/>
              <w:szCs w:val="24"/>
            </w:rPr>
            <m:t>x 100</m:t>
          </m:r>
        </m:oMath>
      </m:oMathPara>
    </w:p>
    <w:tbl>
      <w:tblPr>
        <w:tblStyle w:val="6"/>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7"/>
        <w:gridCol w:w="4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4687" w:type="dxa"/>
          </w:tcPr>
          <w:p>
            <w:pPr>
              <w:spacing w:after="0" w:line="240" w:lineRule="auto"/>
              <w:rPr>
                <w:rFonts w:cstheme="minorHAnsi"/>
                <w:b/>
              </w:rPr>
            </w:pPr>
            <w:r>
              <w:rPr>
                <w:rFonts w:cstheme="minorHAnsi"/>
                <w:b/>
              </w:rPr>
              <w:t>2020</w:t>
            </w:r>
          </w:p>
        </w:tc>
        <w:tc>
          <w:tcPr>
            <w:tcW w:w="4691"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4687" w:type="dxa"/>
          </w:tcPr>
          <w:p>
            <w:pPr>
              <w:spacing w:after="0" w:line="240" w:lineRule="auto"/>
              <w:rPr>
                <w:rFonts w:eastAsiaTheme="minorEastAsia" w:cstheme="minorHAnsi"/>
              </w:rPr>
            </w:pPr>
          </w:p>
          <w:p>
            <w:pPr>
              <w:spacing w:after="0" w:line="240" w:lineRule="auto"/>
              <w:rPr>
                <w:rFonts w:eastAsiaTheme="minorEastAsia" w:cstheme="minorHAnsi"/>
              </w:rPr>
            </w:pPr>
            <m:oMathPara>
              <m:oMathParaPr>
                <m:jc m:val="left"/>
              </m:oMathParaPr>
              <m:oMath>
                <m:r>
                  <m:rPr>
                    <m:sty m:val="p"/>
                  </m:rPr>
                  <w:rPr>
                    <w:rFonts w:ascii="Cambria Math" w:hAnsi="Cambria Math" w:cstheme="minorHAnsi"/>
                  </w:rPr>
                  <m:t>Gearing ratio=</m:t>
                </m:r>
                <m:f>
                  <m:fPr>
                    <m:ctrlPr>
                      <w:rPr>
                        <w:rFonts w:ascii="Cambria Math" w:hAnsi="Cambria Math" w:cstheme="minorHAnsi"/>
                      </w:rPr>
                    </m:ctrlPr>
                  </m:fPr>
                  <m:num>
                    <m:r>
                      <m:rPr>
                        <m:sty m:val="p"/>
                      </m:rPr>
                      <w:rPr>
                        <w:rFonts w:ascii="Cambria Math" w:hAnsi="Cambria Math" w:cstheme="minorHAnsi"/>
                      </w:rPr>
                      <m:t>4,137</m:t>
                    </m:r>
                    <m:ctrlPr>
                      <w:rPr>
                        <w:rFonts w:ascii="Cambria Math" w:hAnsi="Cambria Math" w:cstheme="minorHAnsi"/>
                      </w:rPr>
                    </m:ctrlPr>
                  </m:num>
                  <m:den>
                    <m:r>
                      <m:rPr>
                        <m:sty m:val="p"/>
                      </m:rPr>
                      <w:rPr>
                        <w:rFonts w:ascii="Cambria Math" w:hAnsi="Cambria Math" w:cstheme="minorHAnsi"/>
                      </w:rPr>
                      <m:t>4,137+3,088</m:t>
                    </m:r>
                    <m:ctrlPr>
                      <w:rPr>
                        <w:rFonts w:ascii="Cambria Math" w:hAnsi="Cambria Math" w:cstheme="minorHAnsi"/>
                      </w:rPr>
                    </m:ctrlPr>
                  </m:den>
                </m:f>
                <m:r>
                  <m:rPr>
                    <m:sty m:val="p"/>
                  </m:rPr>
                  <w:rPr>
                    <w:rFonts w:ascii="Cambria Math" w:hAnsi="Cambria Math" w:cstheme="minorHAnsi"/>
                  </w:rPr>
                  <m:t>x100=57.26%</m:t>
                </m:r>
              </m:oMath>
            </m:oMathPara>
          </w:p>
        </w:tc>
        <w:tc>
          <w:tcPr>
            <w:tcW w:w="4691"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Gearing ratio=</m:t>
                </m:r>
                <m:f>
                  <m:fPr>
                    <m:ctrlPr>
                      <w:rPr>
                        <w:rFonts w:ascii="Cambria Math" w:hAnsi="Cambria Math" w:cstheme="minorHAnsi"/>
                      </w:rPr>
                    </m:ctrlPr>
                  </m:fPr>
                  <m:num>
                    <m:r>
                      <m:rPr>
                        <m:sty m:val="p"/>
                      </m:rPr>
                      <w:rPr>
                        <w:rFonts w:ascii="Cambria Math" w:hAnsi="Cambria Math" w:cstheme="minorHAnsi"/>
                      </w:rPr>
                      <m:t>4,129</m:t>
                    </m:r>
                    <m:ctrlPr>
                      <w:rPr>
                        <w:rFonts w:ascii="Cambria Math" w:hAnsi="Cambria Math" w:cstheme="minorHAnsi"/>
                      </w:rPr>
                    </m:ctrlPr>
                  </m:num>
                  <m:den>
                    <m:r>
                      <m:rPr>
                        <m:sty m:val="p"/>
                      </m:rPr>
                      <w:rPr>
                        <w:rFonts w:ascii="Cambria Math" w:hAnsi="Cambria Math" w:cstheme="minorHAnsi"/>
                      </w:rPr>
                      <m:t>4,129+2,912</m:t>
                    </m:r>
                    <m:ctrlPr>
                      <w:rPr>
                        <w:rFonts w:ascii="Cambria Math" w:hAnsi="Cambria Math" w:cstheme="minorHAnsi"/>
                      </w:rPr>
                    </m:ctrlPr>
                  </m:den>
                </m:f>
                <m:r>
                  <m:rPr/>
                  <w:rPr>
                    <w:rFonts w:ascii="Cambria Math" w:hAnsi="Cambria Math" w:cstheme="minorHAnsi"/>
                  </w:rPr>
                  <m:t>x 100=58.64%</m:t>
                </m:r>
              </m:oMath>
            </m:oMathPara>
          </w:p>
        </w:tc>
      </w:tr>
    </w:tbl>
    <w:p>
      <w:pPr>
        <w:rPr>
          <w:rFonts w:eastAsiaTheme="minorEastAsia" w:cstheme="minorHAnsi"/>
        </w:rPr>
      </w:pPr>
    </w:p>
    <w:p>
      <w:pPr>
        <w:rPr>
          <w:rFonts w:eastAsiaTheme="minorEastAsia" w:cstheme="minorHAnsi"/>
          <w:sz w:val="24"/>
          <w:szCs w:val="24"/>
        </w:rPr>
      </w:pPr>
      <w:r>
        <w:rPr>
          <w:rFonts w:eastAsiaTheme="minorEastAsia" w:cstheme="minorHAnsi"/>
          <w:sz w:val="24"/>
          <w:szCs w:val="24"/>
        </w:rPr>
        <w:t>10) Interest cover</w:t>
      </w:r>
    </w:p>
    <w:p>
      <w:pPr>
        <w:rPr>
          <w:rFonts w:eastAsiaTheme="minorEastAsia" w:cstheme="minorHAnsi"/>
          <w:sz w:val="24"/>
          <w:szCs w:val="24"/>
        </w:rPr>
      </w:pPr>
      <m:oMathPara>
        <m:oMathParaPr>
          <m:jc m:val="left"/>
        </m:oMathParaPr>
        <m:oMath>
          <m:r>
            <m:rPr>
              <m:sty m:val="p"/>
            </m:rPr>
            <w:rPr>
              <w:rFonts w:ascii="Cambria Math" w:hAnsi="Cambria Math" w:eastAsiaTheme="minorEastAsia" w:cstheme="minorHAnsi"/>
              <w:sz w:val="24"/>
              <w:szCs w:val="24"/>
            </w:rPr>
            <m:t>Interest cover =</m:t>
          </m:r>
          <m:f>
            <m:fPr>
              <m:ctrlPr>
                <w:rPr>
                  <w:rFonts w:ascii="Cambria Math" w:hAnsi="Cambria Math" w:eastAsiaTheme="minorEastAsia" w:cstheme="minorHAnsi"/>
                  <w:sz w:val="24"/>
                  <w:szCs w:val="24"/>
                </w:rPr>
              </m:ctrlPr>
            </m:fPr>
            <m:num>
              <m:r>
                <m:rPr>
                  <m:sty m:val="p"/>
                </m:rPr>
                <w:rPr>
                  <w:rFonts w:ascii="Cambria Math" w:hAnsi="Cambria Math" w:eastAsiaTheme="minorEastAsia" w:cstheme="minorHAnsi"/>
                  <w:sz w:val="24"/>
                  <w:szCs w:val="24"/>
                </w:rPr>
                <m:t>Profit before interest</m:t>
              </m:r>
              <m:ctrlPr>
                <w:rPr>
                  <w:rFonts w:ascii="Cambria Math" w:hAnsi="Cambria Math" w:eastAsiaTheme="minorEastAsia" w:cstheme="minorHAnsi"/>
                  <w:sz w:val="24"/>
                  <w:szCs w:val="24"/>
                </w:rPr>
              </m:ctrlPr>
            </m:num>
            <m:den>
              <m:r>
                <m:rPr>
                  <m:sty m:val="p"/>
                </m:rPr>
                <w:rPr>
                  <w:rFonts w:ascii="Cambria Math" w:hAnsi="Cambria Math" w:eastAsiaTheme="minorEastAsia" w:cstheme="minorHAnsi"/>
                  <w:sz w:val="24"/>
                  <w:szCs w:val="24"/>
                </w:rPr>
                <m:t>Interest charges</m:t>
              </m:r>
              <m:ctrlPr>
                <w:rPr>
                  <w:rFonts w:ascii="Cambria Math" w:hAnsi="Cambria Math" w:eastAsiaTheme="minorEastAsia" w:cstheme="minorHAnsi"/>
                  <w:sz w:val="24"/>
                  <w:szCs w:val="24"/>
                </w:rPr>
              </m:ctrlPr>
            </m:den>
          </m:f>
        </m:oMath>
      </m:oMathPara>
    </w:p>
    <w:p>
      <w:pPr>
        <w:rPr>
          <w:rFonts w:eastAsiaTheme="minorEastAsia" w:cstheme="minorHAnsi"/>
          <w:sz w:val="24"/>
          <w:szCs w:val="24"/>
        </w:rPr>
      </w:pPr>
    </w:p>
    <w:p>
      <w:pPr>
        <w:rPr>
          <w:rFonts w:eastAsiaTheme="minorEastAsia" w:cstheme="minorHAnsi"/>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6" w:hRule="atLeast"/>
        </w:trPr>
        <w:tc>
          <w:tcPr>
            <w:tcW w:w="4675" w:type="dxa"/>
          </w:tcPr>
          <w:p>
            <w:pPr>
              <w:spacing w:after="0" w:line="240" w:lineRule="auto"/>
              <w:rPr>
                <w:rFonts w:cstheme="minorHAnsi"/>
                <w:b/>
              </w:rPr>
            </w:pPr>
            <w:r>
              <w:rPr>
                <w:rFonts w:cstheme="minorHAnsi"/>
                <w:b/>
              </w:rPr>
              <w:t>2020</w:t>
            </w:r>
          </w:p>
        </w:tc>
        <w:tc>
          <w:tcPr>
            <w:tcW w:w="4675" w:type="dxa"/>
          </w:tcPr>
          <w:p>
            <w:pPr>
              <w:spacing w:after="0" w:line="240" w:lineRule="auto"/>
              <w:rPr>
                <w:rFonts w:cstheme="minorHAnsi"/>
                <w:b/>
              </w:rPr>
            </w:pPr>
            <w:r>
              <w:rPr>
                <w:rFonts w:cstheme="minorHAnsi"/>
                <w:b/>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Interest cover=</m:t>
                </m:r>
                <m:f>
                  <m:fPr>
                    <m:ctrlPr>
                      <w:rPr>
                        <w:rFonts w:ascii="Cambria Math" w:hAnsi="Cambria Math" w:cstheme="minorHAnsi"/>
                      </w:rPr>
                    </m:ctrlPr>
                  </m:fPr>
                  <m:num>
                    <m:r>
                      <m:rPr>
                        <m:sty m:val="p"/>
                      </m:rPr>
                      <w:rPr>
                        <w:rFonts w:ascii="Cambria Math" w:hAnsi="Cambria Math" w:cstheme="minorHAnsi"/>
                      </w:rPr>
                      <m:t>805</m:t>
                    </m:r>
                    <m:ctrlPr>
                      <w:rPr>
                        <w:rFonts w:ascii="Cambria Math" w:hAnsi="Cambria Math" w:cstheme="minorHAnsi"/>
                      </w:rPr>
                    </m:ctrlPr>
                  </m:num>
                  <m:den>
                    <m:r>
                      <m:rPr>
                        <m:sty m:val="p"/>
                      </m:rPr>
                      <w:rPr>
                        <w:rFonts w:ascii="Cambria Math" w:hAnsi="Cambria Math" w:cstheme="minorHAnsi"/>
                      </w:rPr>
                      <m:t>226</m:t>
                    </m:r>
                    <m:ctrlPr>
                      <w:rPr>
                        <w:rFonts w:ascii="Cambria Math" w:hAnsi="Cambria Math" w:cstheme="minorHAnsi"/>
                      </w:rPr>
                    </m:ctrlPr>
                  </m:den>
                </m:f>
                <m:r>
                  <m:rPr>
                    <m:sty m:val="p"/>
                  </m:rPr>
                  <w:rPr>
                    <w:rFonts w:ascii="Cambria Math" w:hAnsi="Cambria Math" w:cstheme="minorHAnsi"/>
                  </w:rPr>
                  <m:t>=3.56</m:t>
                </m:r>
              </m:oMath>
            </m:oMathPara>
          </w:p>
        </w:tc>
        <w:tc>
          <w:tcPr>
            <w:tcW w:w="4675" w:type="dxa"/>
          </w:tcPr>
          <w:p>
            <w:pPr>
              <w:spacing w:after="0" w:line="240" w:lineRule="auto"/>
              <w:rPr>
                <w:rFonts w:eastAsiaTheme="minorEastAsia" w:cstheme="minorHAnsi"/>
              </w:rPr>
            </w:pPr>
          </w:p>
          <w:p>
            <w:pPr>
              <w:spacing w:after="0" w:line="240" w:lineRule="auto"/>
              <w:rPr>
                <w:rFonts w:cstheme="minorHAnsi"/>
              </w:rPr>
            </w:pPr>
            <m:oMathPara>
              <m:oMathParaPr>
                <m:jc m:val="left"/>
              </m:oMathParaPr>
              <m:oMath>
                <m:r>
                  <m:rPr>
                    <m:sty m:val="p"/>
                  </m:rPr>
                  <w:rPr>
                    <w:rFonts w:ascii="Cambria Math" w:hAnsi="Cambria Math" w:cstheme="minorHAnsi"/>
                  </w:rPr>
                  <m:t xml:space="preserve"> Interest cover =</m:t>
                </m:r>
                <m:f>
                  <m:fPr>
                    <m:ctrlPr>
                      <w:rPr>
                        <w:rFonts w:ascii="Cambria Math" w:hAnsi="Cambria Math" w:cstheme="minorHAnsi"/>
                      </w:rPr>
                    </m:ctrlPr>
                  </m:fPr>
                  <m:num>
                    <m:r>
                      <m:rPr>
                        <m:sty m:val="p"/>
                      </m:rPr>
                      <w:rPr>
                        <w:rFonts w:ascii="Cambria Math" w:hAnsi="Cambria Math" w:cstheme="minorHAnsi"/>
                      </w:rPr>
                      <m:t>699</m:t>
                    </m:r>
                    <m:ctrlPr>
                      <w:rPr>
                        <w:rFonts w:ascii="Cambria Math" w:hAnsi="Cambria Math" w:cstheme="minorHAnsi"/>
                      </w:rPr>
                    </m:ctrlPr>
                  </m:num>
                  <m:den>
                    <m:r>
                      <m:rPr>
                        <m:sty m:val="p"/>
                      </m:rPr>
                      <w:rPr>
                        <w:rFonts w:ascii="Cambria Math" w:hAnsi="Cambria Math" w:cstheme="minorHAnsi"/>
                      </w:rPr>
                      <m:t>181</m:t>
                    </m:r>
                    <m:ctrlPr>
                      <w:rPr>
                        <w:rFonts w:ascii="Cambria Math" w:hAnsi="Cambria Math" w:cstheme="minorHAnsi"/>
                      </w:rPr>
                    </m:ctrlPr>
                  </m:den>
                </m:f>
                <m:r>
                  <m:rPr/>
                  <w:rPr>
                    <w:rFonts w:ascii="Cambria Math" w:hAnsi="Cambria Math" w:cstheme="minorHAnsi"/>
                  </w:rPr>
                  <m:t xml:space="preserve">=3.86 </m:t>
                </m:r>
              </m:oMath>
            </m:oMathPara>
          </w:p>
        </w:tc>
      </w:tr>
    </w:tbl>
    <w:p>
      <w:pPr>
        <w:rPr>
          <w:rFonts w:eastAsiaTheme="minorEastAsia" w:cstheme="minorHAnsi"/>
        </w:rPr>
      </w:pPr>
    </w:p>
    <w:p>
      <w:pPr>
        <w:rPr>
          <w:rFonts w:eastAsiaTheme="minorEastAsia"/>
          <w:sz w:val="24"/>
          <w:szCs w:val="24"/>
        </w:rPr>
      </w:pPr>
    </w:p>
    <w:tbl>
      <w:tblPr>
        <w:tblStyle w:val="6"/>
        <w:tblpPr w:leftFromText="180" w:rightFromText="180" w:vertAnchor="text" w:horzAnchor="page" w:tblpX="2521" w:tblpY="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p>
        </w:tc>
        <w:tc>
          <w:tcPr>
            <w:tcW w:w="1134" w:type="dxa"/>
          </w:tcPr>
          <w:p>
            <w:pPr>
              <w:spacing w:after="0" w:line="240" w:lineRule="auto"/>
              <w:jc w:val="right"/>
              <w:rPr>
                <w:rFonts w:cstheme="minorHAnsi"/>
                <w:b/>
                <w:sz w:val="24"/>
                <w:szCs w:val="24"/>
              </w:rPr>
            </w:pPr>
            <w:r>
              <w:rPr>
                <w:rFonts w:cstheme="minorHAnsi"/>
                <w:b/>
                <w:sz w:val="24"/>
                <w:szCs w:val="24"/>
              </w:rPr>
              <w:t>2020</w:t>
            </w:r>
          </w:p>
        </w:tc>
        <w:tc>
          <w:tcPr>
            <w:tcW w:w="1134" w:type="dxa"/>
          </w:tcPr>
          <w:p>
            <w:pPr>
              <w:spacing w:after="0" w:line="240" w:lineRule="auto"/>
              <w:jc w:val="right"/>
              <w:rPr>
                <w:rFonts w:cstheme="minorHAnsi"/>
                <w:b/>
                <w:sz w:val="24"/>
                <w:szCs w:val="24"/>
              </w:rPr>
            </w:pPr>
            <w:r>
              <w:rPr>
                <w:rFonts w:cstheme="minorHAnsi"/>
                <w:b/>
                <w:sz w:val="24"/>
                <w:szCs w:val="24"/>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b/>
                <w:sz w:val="24"/>
                <w:szCs w:val="24"/>
              </w:rPr>
            </w:pPr>
            <w:r>
              <w:rPr>
                <w:rFonts w:cstheme="minorHAnsi"/>
                <w:b/>
                <w:sz w:val="24"/>
                <w:szCs w:val="24"/>
              </w:rPr>
              <w:t>Profitability</w:t>
            </w:r>
          </w:p>
        </w:tc>
        <w:tc>
          <w:tcPr>
            <w:tcW w:w="1134" w:type="dxa"/>
          </w:tcPr>
          <w:p>
            <w:pPr>
              <w:spacing w:after="0" w:line="240" w:lineRule="auto"/>
              <w:jc w:val="right"/>
              <w:rPr>
                <w:rFonts w:cstheme="minorHAnsi"/>
                <w:sz w:val="24"/>
                <w:szCs w:val="24"/>
              </w:rPr>
            </w:pPr>
          </w:p>
        </w:tc>
        <w:tc>
          <w:tcPr>
            <w:tcW w:w="1134" w:type="dxa"/>
          </w:tcPr>
          <w:p>
            <w:pPr>
              <w:spacing w:after="0" w:line="240" w:lineRule="auto"/>
              <w:jc w:val="right"/>
              <w:rPr>
                <w:rFonts w:cstheme="minorHAnsi"/>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Return on capital employed</w:t>
            </w:r>
          </w:p>
        </w:tc>
        <w:tc>
          <w:tcPr>
            <w:tcW w:w="1134" w:type="dxa"/>
          </w:tcPr>
          <w:p>
            <w:pPr>
              <w:spacing w:after="0" w:line="240" w:lineRule="auto"/>
              <w:jc w:val="right"/>
              <w:rPr>
                <w:rFonts w:cstheme="minorHAnsi"/>
                <w:sz w:val="24"/>
                <w:szCs w:val="24"/>
              </w:rPr>
            </w:pPr>
            <w:r>
              <w:rPr>
                <w:rFonts w:cstheme="minorHAnsi"/>
                <w:sz w:val="24"/>
                <w:szCs w:val="24"/>
              </w:rPr>
              <w:t>11.14%</w:t>
            </w:r>
          </w:p>
        </w:tc>
        <w:tc>
          <w:tcPr>
            <w:tcW w:w="1134" w:type="dxa"/>
          </w:tcPr>
          <w:p>
            <w:pPr>
              <w:spacing w:after="0" w:line="240" w:lineRule="auto"/>
              <w:jc w:val="right"/>
              <w:rPr>
                <w:rFonts w:cstheme="minorHAnsi"/>
                <w:sz w:val="24"/>
                <w:szCs w:val="24"/>
              </w:rPr>
            </w:pPr>
            <w:r>
              <w:rPr>
                <w:rFonts w:cstheme="minorHAnsi"/>
                <w:sz w:val="24"/>
                <w:szCs w:val="24"/>
              </w:rPr>
              <w:t>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Return on equity</w:t>
            </w:r>
          </w:p>
        </w:tc>
        <w:tc>
          <w:tcPr>
            <w:tcW w:w="1134" w:type="dxa"/>
          </w:tcPr>
          <w:p>
            <w:pPr>
              <w:spacing w:after="0" w:line="240" w:lineRule="auto"/>
              <w:jc w:val="right"/>
              <w:rPr>
                <w:rFonts w:cstheme="minorHAnsi"/>
                <w:sz w:val="24"/>
                <w:szCs w:val="24"/>
              </w:rPr>
            </w:pPr>
            <w:r>
              <w:rPr>
                <w:rFonts w:cstheme="minorHAnsi"/>
                <w:sz w:val="24"/>
                <w:szCs w:val="24"/>
              </w:rPr>
              <w:t>13.96%</w:t>
            </w:r>
          </w:p>
        </w:tc>
        <w:tc>
          <w:tcPr>
            <w:tcW w:w="1134" w:type="dxa"/>
          </w:tcPr>
          <w:p>
            <w:pPr>
              <w:spacing w:after="0" w:line="240" w:lineRule="auto"/>
              <w:jc w:val="right"/>
              <w:rPr>
                <w:rFonts w:cstheme="minorHAnsi"/>
                <w:sz w:val="24"/>
                <w:szCs w:val="24"/>
              </w:rPr>
            </w:pPr>
            <w:r>
              <w:rPr>
                <w:rFonts w:cstheme="minorHAnsi"/>
                <w:sz w:val="24"/>
                <w:szCs w:val="24"/>
              </w:rPr>
              <w:t>12.57%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Net profit margin</w:t>
            </w:r>
          </w:p>
        </w:tc>
        <w:tc>
          <w:tcPr>
            <w:tcW w:w="1134" w:type="dxa"/>
          </w:tcPr>
          <w:p>
            <w:pPr>
              <w:spacing w:after="0" w:line="240" w:lineRule="auto"/>
              <w:jc w:val="right"/>
              <w:rPr>
                <w:rFonts w:cstheme="minorHAnsi"/>
                <w:sz w:val="24"/>
                <w:szCs w:val="24"/>
              </w:rPr>
            </w:pPr>
            <w:r>
              <w:rPr>
                <w:rFonts w:cstheme="minorHAnsi"/>
                <w:sz w:val="24"/>
                <w:szCs w:val="24"/>
              </w:rPr>
              <w:t>9.20%</w:t>
            </w:r>
          </w:p>
        </w:tc>
        <w:tc>
          <w:tcPr>
            <w:tcW w:w="1134" w:type="dxa"/>
          </w:tcPr>
          <w:p>
            <w:pPr>
              <w:spacing w:after="0" w:line="240" w:lineRule="auto"/>
              <w:jc w:val="right"/>
              <w:rPr>
                <w:rFonts w:cstheme="minorHAnsi"/>
                <w:sz w:val="24"/>
                <w:szCs w:val="24"/>
              </w:rPr>
            </w:pPr>
            <w:r>
              <w:rPr>
                <w:rFonts w:cstheme="minorHAnsi"/>
                <w:sz w:val="24"/>
                <w:szCs w:val="24"/>
              </w:rPr>
              <w:t>8.37%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b/>
                <w:sz w:val="24"/>
                <w:szCs w:val="24"/>
              </w:rPr>
            </w:pPr>
            <w:r>
              <w:rPr>
                <w:rFonts w:cstheme="minorHAnsi"/>
                <w:b/>
                <w:sz w:val="24"/>
                <w:szCs w:val="24"/>
              </w:rPr>
              <w:t>Liquidity</w:t>
            </w:r>
          </w:p>
        </w:tc>
        <w:tc>
          <w:tcPr>
            <w:tcW w:w="1134" w:type="dxa"/>
          </w:tcPr>
          <w:p>
            <w:pPr>
              <w:spacing w:after="0" w:line="240" w:lineRule="auto"/>
              <w:jc w:val="right"/>
              <w:rPr>
                <w:rFonts w:cstheme="minorHAnsi"/>
                <w:sz w:val="24"/>
                <w:szCs w:val="24"/>
              </w:rPr>
            </w:pPr>
          </w:p>
        </w:tc>
        <w:tc>
          <w:tcPr>
            <w:tcW w:w="1134" w:type="dxa"/>
          </w:tcPr>
          <w:p>
            <w:pPr>
              <w:spacing w:after="0" w:line="240" w:lineRule="auto"/>
              <w:jc w:val="right"/>
              <w:rPr>
                <w:rFonts w:cstheme="minorHAnsi"/>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Current ratio</w:t>
            </w:r>
          </w:p>
        </w:tc>
        <w:tc>
          <w:tcPr>
            <w:tcW w:w="1134" w:type="dxa"/>
          </w:tcPr>
          <w:p>
            <w:pPr>
              <w:spacing w:after="0" w:line="240" w:lineRule="auto"/>
              <w:jc w:val="right"/>
              <w:rPr>
                <w:rFonts w:cstheme="minorHAnsi"/>
                <w:sz w:val="24"/>
                <w:szCs w:val="24"/>
              </w:rPr>
            </w:pPr>
            <w:r>
              <w:rPr>
                <w:rFonts w:cstheme="minorHAnsi"/>
                <w:sz w:val="24"/>
                <w:szCs w:val="24"/>
              </w:rPr>
              <w:t>0.92</w:t>
            </w:r>
          </w:p>
        </w:tc>
        <w:tc>
          <w:tcPr>
            <w:tcW w:w="1134" w:type="dxa"/>
          </w:tcPr>
          <w:p>
            <w:pPr>
              <w:spacing w:after="0" w:line="240" w:lineRule="auto"/>
              <w:jc w:val="right"/>
              <w:rPr>
                <w:rFonts w:cstheme="minorHAnsi"/>
                <w:sz w:val="24"/>
                <w:szCs w:val="24"/>
              </w:rPr>
            </w:pPr>
            <w:r>
              <w:rPr>
                <w:rFonts w:cstheme="minorHAnsi"/>
                <w:sz w:val="24"/>
                <w:szCs w:val="24"/>
              </w:rPr>
              <w:t>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b/>
                <w:sz w:val="24"/>
                <w:szCs w:val="24"/>
              </w:rPr>
            </w:pPr>
            <w:r>
              <w:rPr>
                <w:rFonts w:cstheme="minorHAnsi"/>
                <w:b/>
                <w:sz w:val="24"/>
                <w:szCs w:val="24"/>
              </w:rPr>
              <w:t>Efficiency</w:t>
            </w:r>
          </w:p>
        </w:tc>
        <w:tc>
          <w:tcPr>
            <w:tcW w:w="1134" w:type="dxa"/>
          </w:tcPr>
          <w:p>
            <w:pPr>
              <w:spacing w:after="0" w:line="240" w:lineRule="auto"/>
              <w:jc w:val="right"/>
              <w:rPr>
                <w:rFonts w:cstheme="minorHAnsi"/>
                <w:sz w:val="24"/>
                <w:szCs w:val="24"/>
              </w:rPr>
            </w:pPr>
          </w:p>
        </w:tc>
        <w:tc>
          <w:tcPr>
            <w:tcW w:w="1134" w:type="dxa"/>
          </w:tcPr>
          <w:p>
            <w:pPr>
              <w:spacing w:after="0" w:line="240" w:lineRule="auto"/>
              <w:jc w:val="right"/>
              <w:rPr>
                <w:rFonts w:cstheme="minorHAnsi"/>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Asset turnover</w:t>
            </w:r>
          </w:p>
        </w:tc>
        <w:tc>
          <w:tcPr>
            <w:tcW w:w="1134" w:type="dxa"/>
          </w:tcPr>
          <w:p>
            <w:pPr>
              <w:spacing w:after="0" w:line="240" w:lineRule="auto"/>
              <w:jc w:val="right"/>
              <w:rPr>
                <w:rFonts w:cstheme="minorHAnsi"/>
                <w:sz w:val="24"/>
                <w:szCs w:val="24"/>
              </w:rPr>
            </w:pPr>
            <w:r>
              <w:rPr>
                <w:rFonts w:cstheme="minorHAnsi"/>
                <w:sz w:val="24"/>
                <w:szCs w:val="24"/>
              </w:rPr>
              <w:t>0.93</w:t>
            </w:r>
          </w:p>
        </w:tc>
        <w:tc>
          <w:tcPr>
            <w:tcW w:w="1134" w:type="dxa"/>
          </w:tcPr>
          <w:p>
            <w:pPr>
              <w:spacing w:after="0" w:line="240" w:lineRule="auto"/>
              <w:jc w:val="right"/>
              <w:rPr>
                <w:rFonts w:cstheme="minorHAnsi"/>
                <w:sz w:val="24"/>
                <w:szCs w:val="24"/>
              </w:rPr>
            </w:pPr>
            <w:r>
              <w:rPr>
                <w:rFonts w:cstheme="minorHAnsi"/>
                <w:sz w:val="24"/>
                <w:szCs w:val="24"/>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Stock holding days</w:t>
            </w:r>
          </w:p>
        </w:tc>
        <w:tc>
          <w:tcPr>
            <w:tcW w:w="1134" w:type="dxa"/>
          </w:tcPr>
          <w:p>
            <w:pPr>
              <w:spacing w:after="0" w:line="240" w:lineRule="auto"/>
              <w:jc w:val="right"/>
              <w:rPr>
                <w:rFonts w:cstheme="minorHAnsi"/>
                <w:sz w:val="24"/>
                <w:szCs w:val="24"/>
              </w:rPr>
            </w:pPr>
            <w:r>
              <w:rPr>
                <w:rFonts w:cstheme="minorHAnsi"/>
                <w:sz w:val="24"/>
                <w:szCs w:val="24"/>
              </w:rPr>
              <w:t>80 days</w:t>
            </w:r>
          </w:p>
        </w:tc>
        <w:tc>
          <w:tcPr>
            <w:tcW w:w="1134" w:type="dxa"/>
          </w:tcPr>
          <w:p>
            <w:pPr>
              <w:spacing w:after="0" w:line="240" w:lineRule="auto"/>
              <w:jc w:val="right"/>
              <w:rPr>
                <w:rFonts w:cstheme="minorHAnsi"/>
                <w:sz w:val="24"/>
                <w:szCs w:val="24"/>
              </w:rPr>
            </w:pPr>
            <w:r>
              <w:rPr>
                <w:rFonts w:cstheme="minorHAnsi"/>
                <w:sz w:val="24"/>
                <w:szCs w:val="24"/>
              </w:rPr>
              <w:t>78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Debtors collection period</w:t>
            </w:r>
          </w:p>
        </w:tc>
        <w:tc>
          <w:tcPr>
            <w:tcW w:w="1134" w:type="dxa"/>
          </w:tcPr>
          <w:p>
            <w:pPr>
              <w:spacing w:after="0" w:line="240" w:lineRule="auto"/>
              <w:jc w:val="right"/>
              <w:rPr>
                <w:rFonts w:cstheme="minorHAnsi"/>
                <w:sz w:val="24"/>
                <w:szCs w:val="24"/>
              </w:rPr>
            </w:pPr>
            <w:r>
              <w:rPr>
                <w:rFonts w:cstheme="minorHAnsi"/>
                <w:sz w:val="24"/>
                <w:szCs w:val="24"/>
              </w:rPr>
              <w:t>68 days</w:t>
            </w:r>
          </w:p>
        </w:tc>
        <w:tc>
          <w:tcPr>
            <w:tcW w:w="1134" w:type="dxa"/>
          </w:tcPr>
          <w:p>
            <w:pPr>
              <w:spacing w:after="0" w:line="240" w:lineRule="auto"/>
              <w:jc w:val="right"/>
              <w:rPr>
                <w:rFonts w:cstheme="minorHAnsi"/>
                <w:sz w:val="24"/>
                <w:szCs w:val="24"/>
              </w:rPr>
            </w:pPr>
            <w:r>
              <w:rPr>
                <w:rFonts w:cstheme="minorHAnsi"/>
                <w:sz w:val="24"/>
                <w:szCs w:val="24"/>
              </w:rPr>
              <w:t>73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b/>
                <w:sz w:val="24"/>
                <w:szCs w:val="24"/>
              </w:rPr>
            </w:pPr>
            <w:r>
              <w:rPr>
                <w:rFonts w:cstheme="minorHAnsi"/>
                <w:b/>
                <w:sz w:val="24"/>
                <w:szCs w:val="24"/>
              </w:rPr>
              <w:t>Investment</w:t>
            </w:r>
          </w:p>
        </w:tc>
        <w:tc>
          <w:tcPr>
            <w:tcW w:w="1134" w:type="dxa"/>
          </w:tcPr>
          <w:p>
            <w:pPr>
              <w:spacing w:after="0" w:line="240" w:lineRule="auto"/>
              <w:jc w:val="right"/>
              <w:rPr>
                <w:rFonts w:cstheme="minorHAnsi"/>
                <w:sz w:val="24"/>
                <w:szCs w:val="24"/>
              </w:rPr>
            </w:pPr>
          </w:p>
        </w:tc>
        <w:tc>
          <w:tcPr>
            <w:tcW w:w="1134" w:type="dxa"/>
          </w:tcPr>
          <w:p>
            <w:pPr>
              <w:spacing w:after="0" w:line="240" w:lineRule="auto"/>
              <w:jc w:val="right"/>
              <w:rPr>
                <w:rFonts w:cstheme="minorHAnsi"/>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Earnings per share</w:t>
            </w:r>
          </w:p>
        </w:tc>
        <w:tc>
          <w:tcPr>
            <w:tcW w:w="1134" w:type="dxa"/>
          </w:tcPr>
          <w:p>
            <w:pPr>
              <w:spacing w:after="0" w:line="240" w:lineRule="auto"/>
              <w:jc w:val="right"/>
              <w:rPr>
                <w:rFonts w:cstheme="minorHAnsi"/>
                <w:sz w:val="24"/>
                <w:szCs w:val="24"/>
              </w:rPr>
            </w:pPr>
            <w:r>
              <w:rPr>
                <w:rFonts w:cstheme="minorHAnsi"/>
                <w:sz w:val="24"/>
                <w:szCs w:val="24"/>
              </w:rPr>
              <w:t>0.72p</w:t>
            </w:r>
          </w:p>
        </w:tc>
        <w:tc>
          <w:tcPr>
            <w:tcW w:w="1134" w:type="dxa"/>
          </w:tcPr>
          <w:p>
            <w:pPr>
              <w:spacing w:after="0" w:line="240" w:lineRule="auto"/>
              <w:jc w:val="right"/>
              <w:rPr>
                <w:rFonts w:cstheme="minorHAnsi"/>
                <w:sz w:val="24"/>
                <w:szCs w:val="24"/>
              </w:rPr>
            </w:pPr>
            <w:r>
              <w:rPr>
                <w:rFonts w:cstheme="minorHAnsi"/>
                <w:sz w:val="24"/>
                <w:szCs w:val="24"/>
              </w:rPr>
              <w:t>0.61p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Gearing ratio</w:t>
            </w:r>
          </w:p>
        </w:tc>
        <w:tc>
          <w:tcPr>
            <w:tcW w:w="1134" w:type="dxa"/>
          </w:tcPr>
          <w:p>
            <w:pPr>
              <w:spacing w:after="0" w:line="240" w:lineRule="auto"/>
              <w:jc w:val="right"/>
              <w:rPr>
                <w:rFonts w:cstheme="minorHAnsi"/>
                <w:sz w:val="24"/>
                <w:szCs w:val="24"/>
              </w:rPr>
            </w:pPr>
            <w:r>
              <w:rPr>
                <w:rFonts w:cstheme="minorHAnsi"/>
                <w:sz w:val="24"/>
                <w:szCs w:val="24"/>
              </w:rPr>
              <w:t>57.26%</w:t>
            </w:r>
          </w:p>
        </w:tc>
        <w:tc>
          <w:tcPr>
            <w:tcW w:w="1134" w:type="dxa"/>
          </w:tcPr>
          <w:p>
            <w:pPr>
              <w:spacing w:after="0" w:line="240" w:lineRule="auto"/>
              <w:jc w:val="right"/>
              <w:rPr>
                <w:rFonts w:cstheme="minorHAnsi"/>
                <w:sz w:val="24"/>
                <w:szCs w:val="24"/>
              </w:rPr>
            </w:pPr>
            <w:r>
              <w:rPr>
                <w:rFonts w:cstheme="minorHAnsi"/>
                <w:sz w:val="24"/>
                <w:szCs w:val="24"/>
              </w:rPr>
              <w:t>58.64%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pPr>
              <w:spacing w:after="0" w:line="240" w:lineRule="auto"/>
              <w:rPr>
                <w:rFonts w:cstheme="minorHAnsi"/>
                <w:sz w:val="24"/>
                <w:szCs w:val="24"/>
              </w:rPr>
            </w:pPr>
            <w:r>
              <w:rPr>
                <w:rFonts w:cstheme="minorHAnsi"/>
                <w:sz w:val="24"/>
                <w:szCs w:val="24"/>
              </w:rPr>
              <w:t>Interest cover</w:t>
            </w:r>
          </w:p>
        </w:tc>
        <w:tc>
          <w:tcPr>
            <w:tcW w:w="1134" w:type="dxa"/>
          </w:tcPr>
          <w:p>
            <w:pPr>
              <w:spacing w:after="0" w:line="240" w:lineRule="auto"/>
              <w:jc w:val="right"/>
              <w:rPr>
                <w:rFonts w:cstheme="minorHAnsi"/>
                <w:sz w:val="24"/>
                <w:szCs w:val="24"/>
              </w:rPr>
            </w:pPr>
            <w:r>
              <w:rPr>
                <w:rFonts w:cstheme="minorHAnsi"/>
                <w:sz w:val="24"/>
                <w:szCs w:val="24"/>
              </w:rPr>
              <w:t>3.56</w:t>
            </w:r>
          </w:p>
        </w:tc>
        <w:tc>
          <w:tcPr>
            <w:tcW w:w="1134" w:type="dxa"/>
          </w:tcPr>
          <w:p>
            <w:pPr>
              <w:spacing w:after="0" w:line="240" w:lineRule="auto"/>
              <w:jc w:val="right"/>
              <w:rPr>
                <w:rFonts w:cstheme="minorHAnsi"/>
                <w:sz w:val="24"/>
                <w:szCs w:val="24"/>
              </w:rPr>
            </w:pPr>
            <w:r>
              <w:rPr>
                <w:rFonts w:cstheme="minorHAnsi"/>
                <w:sz w:val="24"/>
                <w:szCs w:val="24"/>
              </w:rPr>
              <w:t>3.86</w:t>
            </w:r>
          </w:p>
        </w:tc>
      </w:tr>
    </w:tbl>
    <w:p>
      <w:pPr>
        <w:jc w:val="both"/>
        <w:rPr>
          <w:rFonts w:eastAsiaTheme="minorEastAsia"/>
          <w:sz w:val="24"/>
          <w:szCs w:val="24"/>
        </w:rPr>
      </w:pPr>
      <w:r>
        <w:rPr>
          <w:rFonts w:eastAsiaTheme="minorEastAsia"/>
          <w:sz w:val="24"/>
          <w:szCs w:val="24"/>
        </w:rPr>
        <w:t xml:space="preserve">b) </w:t>
      </w:r>
    </w:p>
    <w:p>
      <w:pPr>
        <w:jc w:val="both"/>
      </w:pPr>
      <w:r>
        <w:rPr/>
        <w:br w:type="textWrapping" w:clear="all"/>
      </w:r>
    </w:p>
    <w:p>
      <w:pPr>
        <w:spacing w:line="240" w:lineRule="auto"/>
        <w:jc w:val="both"/>
        <w:rPr>
          <w:sz w:val="24"/>
          <w:szCs w:val="24"/>
        </w:rPr>
      </w:pPr>
      <w:r>
        <w:rPr>
          <w:sz w:val="24"/>
          <w:szCs w:val="24"/>
        </w:rPr>
        <w:t>The financial position of a company can be evaluated based on the analysis of financial ratios. That includes profitability, liquidity, efficiency and investment ratios (Melville, 2019).</w:t>
      </w:r>
    </w:p>
    <w:p>
      <w:pPr>
        <w:spacing w:line="240" w:lineRule="auto"/>
        <w:jc w:val="both"/>
        <w:rPr>
          <w:sz w:val="24"/>
          <w:szCs w:val="24"/>
        </w:rPr>
      </w:pPr>
      <w:r>
        <w:rPr>
          <w:sz w:val="24"/>
          <w:szCs w:val="24"/>
        </w:rPr>
        <w:t>The profitability ratios show that Chocco PLC was more profitable in 2020 than it was in 2019. The return on capital employed, the return on equity and the net profit margin increased in 2020. It is noticeable that all three profitability ratios are relatively low. However, this may be considered average for the industry. Hence, the figures will be more useful if they are compared with those of other companies in the same industry.</w:t>
      </w:r>
    </w:p>
    <w:p>
      <w:pPr>
        <w:spacing w:line="240" w:lineRule="auto"/>
        <w:jc w:val="both"/>
        <w:rPr>
          <w:sz w:val="24"/>
          <w:szCs w:val="24"/>
        </w:rPr>
      </w:pPr>
      <w:r>
        <w:rPr>
          <w:sz w:val="24"/>
          <w:szCs w:val="24"/>
        </w:rPr>
        <w:t>In terms of liquidity, the company is in a tight position. The current ratio indicates an improvement in 2020 but it is still less than 1:1. This indicates that Chocco PLC does not have enough current assets on hand to cover its short-term obligations. Hence, the company may experience some liquidity problems in the future. To improve the current ratio, the company may want to examine its credit policies with customers and perhaps adjust them to collect receivables more promptly.</w:t>
      </w:r>
    </w:p>
    <w:p>
      <w:pPr>
        <w:spacing w:line="240" w:lineRule="auto"/>
        <w:jc w:val="both"/>
        <w:rPr>
          <w:sz w:val="24"/>
          <w:szCs w:val="24"/>
        </w:rPr>
      </w:pPr>
      <w:r>
        <w:rPr>
          <w:sz w:val="24"/>
          <w:szCs w:val="24"/>
        </w:rPr>
        <w:t xml:space="preserve">In respect of efficiency, Chocco PLC is not in a very good position. The asset turnover slightly improved in 2020 which demonstrates the company efforts to more efficiently use its net assets. However, the asset turnover ratio is less than 1 which shows that the total assets are not able to produce enough revenue at the end of the year. Further, the stock holding period and debtors’ collection period are both comparatively long. The inventory holding days increased in 2020 which may indicate that Chocco PLC should implement a more efficient inventory control policy. On the other hand, the debtors collection days show a small reduction in 2020 and that demonstrates that the company has managed to collect money from its customers quicker as compared to 2019. </w:t>
      </w:r>
    </w:p>
    <w:p>
      <w:pPr>
        <w:spacing w:line="240" w:lineRule="auto"/>
        <w:jc w:val="both"/>
        <w:rPr>
          <w:sz w:val="24"/>
          <w:szCs w:val="24"/>
        </w:rPr>
      </w:pPr>
      <w:r>
        <w:rPr>
          <w:sz w:val="24"/>
          <w:szCs w:val="24"/>
        </w:rPr>
        <w:t xml:space="preserve">Overall, the investment ratios indicate that the company may find it difficult to attract new investors. Earnings per share increased in 2020 and the gearing ratio slightly decreased in 2020. However, the company is still relatively high geared. This means that Chocco PLC may be considered a risky investment and not very attractive as an investment opportunity for investors. Further, the interest cover is relatively low and decreased in 2020. </w:t>
      </w:r>
    </w:p>
    <w:p>
      <w:pPr>
        <w:spacing w:line="240" w:lineRule="auto"/>
        <w:jc w:val="both"/>
        <w:rPr>
          <w:sz w:val="24"/>
          <w:szCs w:val="24"/>
        </w:rPr>
      </w:pPr>
      <w:r>
        <w:rPr>
          <w:sz w:val="24"/>
          <w:szCs w:val="24"/>
        </w:rPr>
        <w:t>It should be mentioned that the above ratios will vary from industry to industry and over time. What constitutes a healthy ratio for one industry may not be true for another industry. For this reason, it will be more meaningful to compare the Chocco PLC ratios with other similar companies in the same sector or industry averages. This will show how the company stands against its main competitors and others within the industry.</w:t>
      </w: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r>
        <w:rPr>
          <w:sz w:val="24"/>
          <w:szCs w:val="24"/>
        </w:rPr>
        <w:t>Reference List:</w:t>
      </w:r>
    </w:p>
    <w:p>
      <w:pPr>
        <w:jc w:val="both"/>
        <w:rPr>
          <w:sz w:val="24"/>
          <w:szCs w:val="24"/>
        </w:rPr>
      </w:pPr>
      <w:r>
        <w:rPr>
          <w:sz w:val="24"/>
          <w:szCs w:val="24"/>
        </w:rPr>
        <w:t>1. Melville, A., 2019. International Financial Reporting. 7th ed. Pearson Education Limited.</w:t>
      </w:r>
    </w:p>
    <w:p>
      <w:pPr>
        <w:jc w:val="both"/>
        <w:rPr>
          <w:sz w:val="24"/>
          <w:szCs w:val="24"/>
        </w:rPr>
      </w:pPr>
      <w:r>
        <w:rPr>
          <w:sz w:val="24"/>
          <w:szCs w:val="24"/>
        </w:rPr>
        <w:t>2. Sangster, A., Wood, F. and Gordon, L., 2018. Frank Wood's Business Accounting Vol</w:t>
      </w:r>
      <w:bookmarkStart w:id="0" w:name="_GoBack"/>
      <w:bookmarkEnd w:id="0"/>
      <w:r>
        <w:rPr>
          <w:sz w:val="24"/>
          <w:szCs w:val="24"/>
        </w:rPr>
        <w:t>ume 1. Pearson Education Limited.</w:t>
      </w:r>
    </w:p>
    <w:sectPr>
      <w:headerReference r:id="rId5" w:type="default"/>
      <w:footerReference r:id="rId6"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95827655"/>
      <w:docPartObj>
        <w:docPartGallery w:val="AutoText"/>
      </w:docPartObj>
    </w:sdtPr>
    <w:sdtContent>
      <w:p>
        <w:pPr>
          <w:pStyle w:val="4"/>
          <w:jc w:val="right"/>
        </w:pPr>
        <w:r>
          <w:fldChar w:fldCharType="begin"/>
        </w:r>
        <w:r>
          <w:instrText xml:space="preserve"> PAGE   \* MERGEFORMAT </w:instrText>
        </w:r>
        <w:r>
          <w:fldChar w:fldCharType="separate"/>
        </w:r>
        <w:r>
          <w:t>9</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8414233"/>
      <w:docPartObj>
        <w:docPartGallery w:val="AutoText"/>
      </w:docPartObj>
    </w:sdtPr>
    <w:sdtContent>
      <w:p>
        <w:pPr>
          <w:pStyle w:val="5"/>
          <w:jc w:val="right"/>
        </w:pPr>
        <w:r>
          <w:fldChar w:fldCharType="begin"/>
        </w:r>
        <w:r>
          <w:instrText xml:space="preserve"> PAGE   \* MERGEFORMAT </w:instrText>
        </w:r>
        <w:r>
          <w:fldChar w:fldCharType="separate"/>
        </w:r>
        <w:r>
          <w:t>9</w:t>
        </w:r>
        <w:r>
          <w:fldChar w:fldCharType="end"/>
        </w:r>
      </w:p>
    </w:sdtContent>
  </w:sdt>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4A2"/>
    <w:rsid w:val="000051B4"/>
    <w:rsid w:val="0003568D"/>
    <w:rsid w:val="00086D47"/>
    <w:rsid w:val="0010386D"/>
    <w:rsid w:val="0016100F"/>
    <w:rsid w:val="001D0639"/>
    <w:rsid w:val="001D4B7E"/>
    <w:rsid w:val="001E0B79"/>
    <w:rsid w:val="00217EBF"/>
    <w:rsid w:val="00234012"/>
    <w:rsid w:val="00236E0E"/>
    <w:rsid w:val="002517A8"/>
    <w:rsid w:val="00262DDB"/>
    <w:rsid w:val="0028371B"/>
    <w:rsid w:val="002C0386"/>
    <w:rsid w:val="002F6E63"/>
    <w:rsid w:val="0031575D"/>
    <w:rsid w:val="003166FB"/>
    <w:rsid w:val="0032005E"/>
    <w:rsid w:val="00327A19"/>
    <w:rsid w:val="003322FA"/>
    <w:rsid w:val="00332CA2"/>
    <w:rsid w:val="00334694"/>
    <w:rsid w:val="0037223F"/>
    <w:rsid w:val="00385588"/>
    <w:rsid w:val="003C08C6"/>
    <w:rsid w:val="003E242F"/>
    <w:rsid w:val="003F056A"/>
    <w:rsid w:val="00406974"/>
    <w:rsid w:val="00416B33"/>
    <w:rsid w:val="00454798"/>
    <w:rsid w:val="004660E8"/>
    <w:rsid w:val="004A61B1"/>
    <w:rsid w:val="004B2339"/>
    <w:rsid w:val="004B6107"/>
    <w:rsid w:val="004E26F1"/>
    <w:rsid w:val="00555AF6"/>
    <w:rsid w:val="00555DB2"/>
    <w:rsid w:val="00582F78"/>
    <w:rsid w:val="00593289"/>
    <w:rsid w:val="005F6F54"/>
    <w:rsid w:val="006029A7"/>
    <w:rsid w:val="00627568"/>
    <w:rsid w:val="006316C3"/>
    <w:rsid w:val="006760F5"/>
    <w:rsid w:val="00676A50"/>
    <w:rsid w:val="00692F76"/>
    <w:rsid w:val="006F0C59"/>
    <w:rsid w:val="007116BC"/>
    <w:rsid w:val="007414A2"/>
    <w:rsid w:val="00783E33"/>
    <w:rsid w:val="00790FF1"/>
    <w:rsid w:val="0079376E"/>
    <w:rsid w:val="007B09E7"/>
    <w:rsid w:val="007D534C"/>
    <w:rsid w:val="007E641E"/>
    <w:rsid w:val="007E7486"/>
    <w:rsid w:val="008218F8"/>
    <w:rsid w:val="00876367"/>
    <w:rsid w:val="008B6098"/>
    <w:rsid w:val="009026FA"/>
    <w:rsid w:val="0090564E"/>
    <w:rsid w:val="00916369"/>
    <w:rsid w:val="00922052"/>
    <w:rsid w:val="009F3D0A"/>
    <w:rsid w:val="00A23189"/>
    <w:rsid w:val="00A27449"/>
    <w:rsid w:val="00AA1D90"/>
    <w:rsid w:val="00AA2A43"/>
    <w:rsid w:val="00AC4BCD"/>
    <w:rsid w:val="00AE6876"/>
    <w:rsid w:val="00B1105D"/>
    <w:rsid w:val="00B12FBD"/>
    <w:rsid w:val="00B2212E"/>
    <w:rsid w:val="00B52599"/>
    <w:rsid w:val="00B7710B"/>
    <w:rsid w:val="00BE352A"/>
    <w:rsid w:val="00BF5B4B"/>
    <w:rsid w:val="00C1114C"/>
    <w:rsid w:val="00C21966"/>
    <w:rsid w:val="00C22865"/>
    <w:rsid w:val="00C37232"/>
    <w:rsid w:val="00C87016"/>
    <w:rsid w:val="00CC35AB"/>
    <w:rsid w:val="00D20473"/>
    <w:rsid w:val="00D50F8E"/>
    <w:rsid w:val="00D5390E"/>
    <w:rsid w:val="00D64A9A"/>
    <w:rsid w:val="00DB09A9"/>
    <w:rsid w:val="00DE46F6"/>
    <w:rsid w:val="00DE4BD3"/>
    <w:rsid w:val="00E06CBA"/>
    <w:rsid w:val="00E330FB"/>
    <w:rsid w:val="00E75947"/>
    <w:rsid w:val="00E94259"/>
    <w:rsid w:val="00E9704A"/>
    <w:rsid w:val="00EE3368"/>
    <w:rsid w:val="00EF5509"/>
    <w:rsid w:val="00F1215B"/>
    <w:rsid w:val="00F57C17"/>
    <w:rsid w:val="00FC126C"/>
    <w:rsid w:val="050632E0"/>
    <w:rsid w:val="19A16109"/>
    <w:rsid w:val="43AD0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680"/>
        <w:tab w:val="right" w:pos="9360"/>
      </w:tabs>
      <w:spacing w:after="0" w:line="240" w:lineRule="auto"/>
    </w:pPr>
  </w:style>
  <w:style w:type="paragraph" w:styleId="5">
    <w:name w:val="header"/>
    <w:basedOn w:val="1"/>
    <w:link w:val="8"/>
    <w:unhideWhenUsed/>
    <w:uiPriority w:val="99"/>
    <w:pPr>
      <w:tabs>
        <w:tab w:val="center" w:pos="4680"/>
        <w:tab w:val="right" w:pos="9360"/>
      </w:tabs>
      <w:spacing w:after="0" w:line="240" w:lineRule="auto"/>
    </w:pPr>
  </w:style>
  <w:style w:type="table" w:styleId="6">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Placeholder Text"/>
    <w:basedOn w:val="2"/>
    <w:semiHidden/>
    <w:uiPriority w:val="99"/>
    <w:rPr>
      <w:color w:val="808080"/>
    </w:rPr>
  </w:style>
  <w:style w:type="character" w:customStyle="1" w:styleId="8">
    <w:name w:val="Header Char"/>
    <w:basedOn w:val="2"/>
    <w:link w:val="5"/>
    <w:uiPriority w:val="99"/>
  </w:style>
  <w:style w:type="character" w:customStyle="1" w:styleId="9">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1810</Words>
  <Characters>10323</Characters>
  <Lines>86</Lines>
  <Paragraphs>24</Paragraphs>
  <TotalTime>4</TotalTime>
  <ScaleCrop>false</ScaleCrop>
  <LinksUpToDate>false</LinksUpToDate>
  <CharactersWithSpaces>12109</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2021-07-20T19:06:00Z</dcterms:created>
  <dc:creator>ADRIAN</dc:creator>
  <cp:lastModifiedBy>User</cp:lastModifiedBy>
  <dcterms:modified xsi:type="dcterms:W3CDTF">2021-07-25T10:55:28Z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