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617E" w:rsidRDefault="00BE617E">
      <w:bookmarkStart w:id="0" w:name="_TOCRange"/>
    </w:p>
    <w:p w:rsidR="00BE617E" w:rsidRDefault="00BE617E">
      <w:pPr>
        <w:pStyle w:val="Body"/>
        <w:jc w:val="center"/>
        <w:rPr>
          <w:b/>
          <w:bCs/>
          <w:sz w:val="34"/>
          <w:szCs w:val="34"/>
        </w:rPr>
      </w:pPr>
    </w:p>
    <w:p w:rsidR="00BE617E" w:rsidRDefault="00BE617E" w:rsidP="00436726">
      <w:pPr>
        <w:pStyle w:val="Body"/>
        <w:rPr>
          <w:b/>
          <w:bCs/>
          <w:sz w:val="34"/>
          <w:szCs w:val="34"/>
        </w:rPr>
      </w:pPr>
    </w:p>
    <w:p w:rsidR="00436726" w:rsidRDefault="00AB3E68">
      <w:pPr>
        <w:pStyle w:val="Body"/>
        <w:jc w:val="center"/>
        <w:rPr>
          <w:b/>
          <w:bCs/>
          <w:sz w:val="34"/>
          <w:szCs w:val="34"/>
          <w:lang w:val="en-US"/>
        </w:rPr>
      </w:pPr>
      <w:r>
        <w:rPr>
          <w:b/>
          <w:bCs/>
          <w:sz w:val="34"/>
          <w:szCs w:val="34"/>
          <w:lang w:val="en-US"/>
        </w:rPr>
        <w:t>FINANCIAL MANAGEMENT OF THE HOTEL INDUSTRY</w:t>
      </w:r>
    </w:p>
    <w:p w:rsidR="00436726" w:rsidRDefault="00436726">
      <w:pPr>
        <w:pStyle w:val="Body"/>
        <w:jc w:val="center"/>
        <w:rPr>
          <w:b/>
          <w:bCs/>
          <w:sz w:val="34"/>
          <w:szCs w:val="34"/>
          <w:lang w:val="en-US"/>
        </w:rPr>
      </w:pPr>
      <w:r>
        <w:rPr>
          <w:b/>
          <w:bCs/>
          <w:sz w:val="34"/>
          <w:szCs w:val="34"/>
          <w:lang w:val="en-US"/>
        </w:rPr>
        <w:t>Alexandra Verdes</w:t>
      </w:r>
    </w:p>
    <w:p w:rsidR="00436726" w:rsidRPr="00436726" w:rsidRDefault="00436726" w:rsidP="00436726">
      <w:pPr>
        <w:pStyle w:val="Body"/>
        <w:jc w:val="center"/>
        <w:rPr>
          <w:b/>
          <w:bCs/>
          <w:sz w:val="34"/>
          <w:szCs w:val="34"/>
          <w:lang w:val="en-US"/>
        </w:rPr>
      </w:pPr>
    </w:p>
    <w:p w:rsidR="00436726" w:rsidRDefault="00436726" w:rsidP="00436726">
      <w:pPr>
        <w:pStyle w:val="Body"/>
        <w:jc w:val="center"/>
        <w:rPr>
          <w:b/>
          <w:bCs/>
          <w:sz w:val="34"/>
          <w:szCs w:val="34"/>
          <w:lang w:val="en-US"/>
        </w:rPr>
      </w:pPr>
      <w:r w:rsidRPr="00436726">
        <w:rPr>
          <w:b/>
          <w:bCs/>
          <w:sz w:val="34"/>
          <w:szCs w:val="34"/>
          <w:lang w:val="en-US"/>
        </w:rPr>
        <w:t>Financial Management for the Hotel Industry</w:t>
      </w:r>
    </w:p>
    <w:p w:rsidR="00436726" w:rsidRDefault="00436726" w:rsidP="00436726">
      <w:pPr>
        <w:pStyle w:val="Body"/>
        <w:jc w:val="center"/>
        <w:rPr>
          <w:b/>
          <w:bCs/>
          <w:sz w:val="34"/>
          <w:szCs w:val="34"/>
          <w:lang w:val="en-US"/>
        </w:rPr>
      </w:pPr>
      <w:r w:rsidRPr="00436726">
        <w:rPr>
          <w:b/>
          <w:bCs/>
          <w:sz w:val="34"/>
          <w:szCs w:val="34"/>
          <w:lang w:val="en-US"/>
        </w:rPr>
        <w:t>(BMIH</w:t>
      </w:r>
      <w:r w:rsidRPr="00436726">
        <w:rPr>
          <w:b/>
          <w:bCs/>
          <w:sz w:val="34"/>
          <w:szCs w:val="34"/>
          <w:lang w:val="en-US"/>
        </w:rPr>
        <w:t>5007, BMIH</w:t>
      </w:r>
      <w:r w:rsidRPr="00436726">
        <w:rPr>
          <w:b/>
          <w:bCs/>
          <w:sz w:val="34"/>
          <w:szCs w:val="34"/>
          <w:lang w:val="en-US"/>
        </w:rPr>
        <w:t>5002)</w:t>
      </w:r>
    </w:p>
    <w:p w:rsidR="00436726" w:rsidRDefault="00436726">
      <w:pPr>
        <w:pStyle w:val="Body"/>
        <w:jc w:val="center"/>
        <w:rPr>
          <w:b/>
          <w:bCs/>
          <w:sz w:val="34"/>
          <w:szCs w:val="34"/>
          <w:lang w:val="en-US"/>
        </w:rPr>
      </w:pPr>
    </w:p>
    <w:p w:rsidR="00436726" w:rsidRDefault="00436726">
      <w:pPr>
        <w:pStyle w:val="Body"/>
        <w:jc w:val="center"/>
        <w:rPr>
          <w:b/>
          <w:bCs/>
          <w:sz w:val="34"/>
          <w:szCs w:val="34"/>
          <w:lang w:val="en-US"/>
        </w:rPr>
      </w:pPr>
    </w:p>
    <w:p w:rsidR="00436726" w:rsidRDefault="00436726">
      <w:pPr>
        <w:pStyle w:val="Body"/>
        <w:jc w:val="center"/>
        <w:rPr>
          <w:rFonts w:ascii="Arial Unicode MS" w:hAnsi="Arial Unicode MS"/>
          <w:sz w:val="34"/>
          <w:szCs w:val="34"/>
        </w:rPr>
      </w:pPr>
      <w:bookmarkStart w:id="1" w:name="_GoBack"/>
      <w:bookmarkEnd w:id="1"/>
    </w:p>
    <w:p w:rsidR="00436726" w:rsidRDefault="00436726">
      <w:pPr>
        <w:pStyle w:val="Body"/>
        <w:jc w:val="center"/>
        <w:rPr>
          <w:rFonts w:ascii="Arial Unicode MS" w:hAnsi="Arial Unicode MS"/>
          <w:sz w:val="34"/>
          <w:szCs w:val="34"/>
        </w:rPr>
      </w:pPr>
    </w:p>
    <w:p w:rsidR="00436726" w:rsidRDefault="00436726">
      <w:pPr>
        <w:pStyle w:val="Body"/>
        <w:jc w:val="center"/>
        <w:rPr>
          <w:rFonts w:ascii="Arial Unicode MS" w:hAnsi="Arial Unicode MS"/>
          <w:sz w:val="34"/>
          <w:szCs w:val="34"/>
        </w:rPr>
      </w:pPr>
    </w:p>
    <w:p w:rsidR="00436726" w:rsidRDefault="00436726">
      <w:pPr>
        <w:pStyle w:val="Body"/>
        <w:jc w:val="center"/>
        <w:rPr>
          <w:rFonts w:ascii="Arial Unicode MS" w:hAnsi="Arial Unicode MS"/>
          <w:sz w:val="34"/>
          <w:szCs w:val="34"/>
        </w:rPr>
      </w:pPr>
    </w:p>
    <w:p w:rsidR="00436726" w:rsidRDefault="00436726">
      <w:pPr>
        <w:pStyle w:val="Body"/>
        <w:jc w:val="center"/>
        <w:rPr>
          <w:rFonts w:ascii="Arial Unicode MS" w:hAnsi="Arial Unicode MS"/>
          <w:sz w:val="34"/>
          <w:szCs w:val="34"/>
        </w:rPr>
      </w:pPr>
    </w:p>
    <w:p w:rsidR="00436726" w:rsidRDefault="00436726">
      <w:pPr>
        <w:pStyle w:val="Body"/>
        <w:jc w:val="center"/>
        <w:rPr>
          <w:rFonts w:ascii="Arial Unicode MS" w:hAnsi="Arial Unicode MS"/>
          <w:sz w:val="34"/>
          <w:szCs w:val="34"/>
        </w:rPr>
      </w:pPr>
    </w:p>
    <w:p w:rsidR="00436726" w:rsidRDefault="00436726">
      <w:pPr>
        <w:pStyle w:val="Body"/>
        <w:jc w:val="center"/>
        <w:rPr>
          <w:rFonts w:ascii="Arial Unicode MS" w:hAnsi="Arial Unicode MS"/>
          <w:sz w:val="34"/>
          <w:szCs w:val="34"/>
        </w:rPr>
      </w:pPr>
    </w:p>
    <w:p w:rsidR="00436726" w:rsidRDefault="00436726" w:rsidP="00436726">
      <w:pPr>
        <w:pStyle w:val="NoSpacing"/>
        <w:jc w:val="center"/>
        <w:rPr>
          <w:color w:val="00A2FF" w:themeColor="accent1"/>
        </w:rPr>
      </w:pPr>
    </w:p>
    <w:p w:rsidR="00436726" w:rsidRDefault="00436726" w:rsidP="00436726">
      <w:pPr>
        <w:pStyle w:val="NoSpacing"/>
        <w:jc w:val="center"/>
        <w:rPr>
          <w:color w:val="00A2FF" w:themeColor="accent1"/>
        </w:rPr>
      </w:pPr>
      <w:sdt>
        <w:sdtPr>
          <w:rPr>
            <w:color w:val="00A2FF"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00A2FF" w:themeColor="accent1"/>
            </w:rPr>
            <w:t xml:space="preserve">     </w:t>
          </w:r>
        </w:sdtContent>
      </w:sdt>
    </w:p>
    <w:p w:rsidR="00436726" w:rsidRDefault="00436726" w:rsidP="00436726">
      <w:pPr>
        <w:pStyle w:val="Body"/>
        <w:jc w:val="center"/>
        <w:rPr>
          <w:rFonts w:ascii="Arial Unicode MS" w:hAnsi="Arial Unicode MS"/>
          <w:sz w:val="34"/>
          <w:szCs w:val="34"/>
        </w:rPr>
      </w:pPr>
      <w:r>
        <w:rPr>
          <w:rFonts w:ascii="Arial Unicode MS" w:hAnsi="Arial Unicode MS"/>
          <w:sz w:val="34"/>
          <w:szCs w:val="34"/>
        </w:rPr>
        <w:t xml:space="preserve"> University of Wales Trinity Saint David</w:t>
      </w:r>
    </w:p>
    <w:p w:rsidR="00BE617E" w:rsidRDefault="00436726" w:rsidP="00436726">
      <w:pPr>
        <w:pStyle w:val="Body"/>
        <w:jc w:val="center"/>
      </w:pPr>
      <w:r>
        <w:rPr>
          <w:rFonts w:ascii="Arial Unicode MS" w:hAnsi="Arial Unicode MS"/>
          <w:sz w:val="34"/>
          <w:szCs w:val="34"/>
        </w:rPr>
        <w:t>09/12/2022</w:t>
      </w:r>
      <w:r w:rsidR="00AB3E68">
        <w:rPr>
          <w:rFonts w:ascii="Arial Unicode MS" w:hAnsi="Arial Unicode MS"/>
          <w:sz w:val="34"/>
          <w:szCs w:val="34"/>
        </w:rPr>
        <w:br w:type="page"/>
      </w:r>
    </w:p>
    <w:p w:rsidR="00BE617E" w:rsidRDefault="00AB3E68">
      <w:pPr>
        <w:pStyle w:val="Body"/>
        <w:rPr>
          <w:b/>
          <w:bCs/>
          <w:sz w:val="36"/>
          <w:szCs w:val="36"/>
        </w:rPr>
      </w:pPr>
      <w:r>
        <w:rPr>
          <w:b/>
          <w:bCs/>
          <w:sz w:val="36"/>
          <w:szCs w:val="36"/>
          <w:lang w:val="en-US"/>
        </w:rPr>
        <w:lastRenderedPageBreak/>
        <w:t>TABLE OF CONTENT</w:t>
      </w:r>
    </w:p>
    <w:p w:rsidR="00BE617E" w:rsidRDefault="00AB3E68">
      <w:pPr>
        <w:pStyle w:val="Body"/>
      </w:pPr>
      <w:r>
        <w:rPr>
          <w:b/>
          <w:bCs/>
        </w:rPr>
        <w:fldChar w:fldCharType="begin"/>
      </w:r>
      <w:r>
        <w:rPr>
          <w:b/>
          <w:bCs/>
        </w:rPr>
        <w:instrText xml:space="preserve"> TOC \o 2-3 \b _TOCRange </w:instrText>
      </w:r>
      <w:r>
        <w:rPr>
          <w:b/>
          <w:bCs/>
        </w:rPr>
        <w:fldChar w:fldCharType="separate"/>
      </w:r>
    </w:p>
    <w:p w:rsidR="00BE617E" w:rsidRDefault="00AB3E68">
      <w:pPr>
        <w:pStyle w:val="TOC2"/>
      </w:pPr>
      <w:r>
        <w:rPr>
          <w:lang w:val="en-US"/>
        </w:rPr>
        <w:t>EXECUTIVE SUMMARY</w:t>
      </w:r>
      <w:r>
        <w:rPr>
          <w:lang w:val="en-US"/>
        </w:rPr>
        <w:tab/>
      </w:r>
      <w:r>
        <w:fldChar w:fldCharType="begin"/>
      </w:r>
      <w:r>
        <w:instrText xml:space="preserve"> PAGEREF _Toc \h </w:instrText>
      </w:r>
      <w:r>
        <w:fldChar w:fldCharType="separate"/>
      </w:r>
      <w:r>
        <w:t>3</w:t>
      </w:r>
      <w:r>
        <w:fldChar w:fldCharType="end"/>
      </w:r>
    </w:p>
    <w:p w:rsidR="00BE617E" w:rsidRDefault="00AB3E68">
      <w:pPr>
        <w:pStyle w:val="TOC2"/>
      </w:pPr>
      <w:r>
        <w:rPr>
          <w:lang w:val="en-US"/>
        </w:rPr>
        <w:t>INTRODUCTION</w:t>
      </w:r>
      <w:r>
        <w:rPr>
          <w:lang w:val="en-US"/>
        </w:rPr>
        <w:tab/>
      </w:r>
      <w:r>
        <w:fldChar w:fldCharType="begin"/>
      </w:r>
      <w:r>
        <w:instrText xml:space="preserve"> PAGEREF _Toc1 \h </w:instrText>
      </w:r>
      <w:r>
        <w:fldChar w:fldCharType="separate"/>
      </w:r>
      <w:r>
        <w:t>4</w:t>
      </w:r>
      <w:r>
        <w:fldChar w:fldCharType="end"/>
      </w:r>
    </w:p>
    <w:p w:rsidR="00BE617E" w:rsidRDefault="00AB3E68">
      <w:pPr>
        <w:pStyle w:val="TOC2"/>
      </w:pPr>
      <w:r>
        <w:t>FINANCIAL ANALYSIS TRENDS</w:t>
      </w:r>
      <w:r>
        <w:tab/>
      </w:r>
      <w:r>
        <w:fldChar w:fldCharType="begin"/>
      </w:r>
      <w:r>
        <w:instrText xml:space="preserve"> PAGEREF _Toc2 \h </w:instrText>
      </w:r>
      <w:r>
        <w:fldChar w:fldCharType="separate"/>
      </w:r>
      <w:r>
        <w:t>5</w:t>
      </w:r>
      <w:r>
        <w:fldChar w:fldCharType="end"/>
      </w:r>
    </w:p>
    <w:p w:rsidR="00BE617E" w:rsidRDefault="00AB3E68">
      <w:pPr>
        <w:pStyle w:val="TOC3"/>
      </w:pPr>
      <w:r>
        <w:rPr>
          <w:lang w:val="en-US"/>
        </w:rPr>
        <w:t>P</w:t>
      </w:r>
      <w:r>
        <w:rPr>
          <w:lang w:val="en-US"/>
        </w:rPr>
        <w:t>ROFITABILITY RATIOS</w:t>
      </w:r>
      <w:r>
        <w:rPr>
          <w:lang w:val="en-US"/>
        </w:rPr>
        <w:tab/>
      </w:r>
      <w:r>
        <w:fldChar w:fldCharType="begin"/>
      </w:r>
      <w:r>
        <w:instrText xml:space="preserve"> PAGEREF _Toc3 \h </w:instrText>
      </w:r>
      <w:r>
        <w:fldChar w:fldCharType="separate"/>
      </w:r>
      <w:r>
        <w:t>5</w:t>
      </w:r>
      <w:r>
        <w:fldChar w:fldCharType="end"/>
      </w:r>
    </w:p>
    <w:p w:rsidR="00BE617E" w:rsidRDefault="00AB3E68">
      <w:pPr>
        <w:pStyle w:val="TOC3"/>
      </w:pPr>
      <w:r>
        <w:rPr>
          <w:lang w:val="en-US"/>
        </w:rPr>
        <w:t>LIQUIDITY RATIOS</w:t>
      </w:r>
      <w:r>
        <w:rPr>
          <w:lang w:val="en-US"/>
        </w:rPr>
        <w:tab/>
      </w:r>
      <w:r>
        <w:fldChar w:fldCharType="begin"/>
      </w:r>
      <w:r>
        <w:instrText xml:space="preserve"> PAGEREF _Toc4 \h </w:instrText>
      </w:r>
      <w:r>
        <w:fldChar w:fldCharType="separate"/>
      </w:r>
      <w:r>
        <w:t>6</w:t>
      </w:r>
      <w:r>
        <w:fldChar w:fldCharType="end"/>
      </w:r>
    </w:p>
    <w:p w:rsidR="00BE617E" w:rsidRDefault="00AB3E68">
      <w:pPr>
        <w:pStyle w:val="TOC3"/>
      </w:pPr>
      <w:r>
        <w:rPr>
          <w:lang w:val="en-US"/>
        </w:rPr>
        <w:t>GEARING RATIOS</w:t>
      </w:r>
      <w:r>
        <w:rPr>
          <w:lang w:val="en-US"/>
        </w:rPr>
        <w:tab/>
      </w:r>
      <w:r>
        <w:fldChar w:fldCharType="begin"/>
      </w:r>
      <w:r>
        <w:instrText xml:space="preserve"> PAGEREF _Toc5 \h </w:instrText>
      </w:r>
      <w:r>
        <w:fldChar w:fldCharType="separate"/>
      </w:r>
      <w:r>
        <w:t>7</w:t>
      </w:r>
      <w:r>
        <w:fldChar w:fldCharType="end"/>
      </w:r>
    </w:p>
    <w:p w:rsidR="00BE617E" w:rsidRDefault="00AB3E68">
      <w:pPr>
        <w:pStyle w:val="TOC2"/>
      </w:pPr>
      <w:r>
        <w:t>KNOWLEDGE FROM RATIO ANALYSIS</w:t>
      </w:r>
      <w:r>
        <w:tab/>
      </w:r>
      <w:r>
        <w:fldChar w:fldCharType="begin"/>
      </w:r>
      <w:r>
        <w:instrText xml:space="preserve"> PAGEREF _Toc6 \h </w:instrText>
      </w:r>
      <w:r>
        <w:fldChar w:fldCharType="separate"/>
      </w:r>
      <w:r>
        <w:t>8</w:t>
      </w:r>
      <w:r>
        <w:fldChar w:fldCharType="end"/>
      </w:r>
    </w:p>
    <w:p w:rsidR="00BE617E" w:rsidRDefault="00AB3E68">
      <w:pPr>
        <w:pStyle w:val="TOC2"/>
      </w:pPr>
      <w:r>
        <w:rPr>
          <w:lang w:val="en-US"/>
        </w:rPr>
        <w:t>BENEFITS AND LIMITATIONS OF RATIO ANALYSIS</w:t>
      </w:r>
      <w:r>
        <w:rPr>
          <w:lang w:val="en-US"/>
        </w:rPr>
        <w:tab/>
      </w:r>
      <w:r>
        <w:fldChar w:fldCharType="begin"/>
      </w:r>
      <w:r>
        <w:instrText xml:space="preserve"> PAGEREF _Toc7 \h </w:instrText>
      </w:r>
      <w:r>
        <w:fldChar w:fldCharType="separate"/>
      </w:r>
      <w:r>
        <w:t>9</w:t>
      </w:r>
      <w:r>
        <w:fldChar w:fldCharType="end"/>
      </w:r>
    </w:p>
    <w:p w:rsidR="00BE617E" w:rsidRDefault="00AB3E68">
      <w:pPr>
        <w:pStyle w:val="TOC2"/>
      </w:pPr>
      <w:r>
        <w:t>CONCLUSION</w:t>
      </w:r>
      <w:r>
        <w:tab/>
      </w:r>
      <w:r>
        <w:fldChar w:fldCharType="begin"/>
      </w:r>
      <w:r>
        <w:instrText xml:space="preserve"> PAGEREF _Toc8 \h </w:instrText>
      </w:r>
      <w:r>
        <w:fldChar w:fldCharType="separate"/>
      </w:r>
      <w:r>
        <w:t>10</w:t>
      </w:r>
      <w:r>
        <w:fldChar w:fldCharType="end"/>
      </w:r>
    </w:p>
    <w:p w:rsidR="00BE617E" w:rsidRDefault="00AB3E68">
      <w:pPr>
        <w:pStyle w:val="TOC2"/>
      </w:pPr>
      <w:r>
        <w:t>BIBLIOGRAPHY</w:t>
      </w:r>
      <w:r>
        <w:tab/>
      </w:r>
      <w:r>
        <w:fldChar w:fldCharType="begin"/>
      </w:r>
      <w:r>
        <w:instrText xml:space="preserve"> PAGEREF _Toc9 \h </w:instrText>
      </w:r>
      <w:r>
        <w:fldChar w:fldCharType="separate"/>
      </w:r>
      <w:r>
        <w:t>11</w:t>
      </w:r>
      <w:r>
        <w:fldChar w:fldCharType="end"/>
      </w:r>
    </w:p>
    <w:p w:rsidR="00BE617E" w:rsidRDefault="00AB3E68">
      <w:r>
        <w:rPr>
          <w:b/>
          <w:bCs/>
        </w:rPr>
        <w:fldChar w:fldCharType="end"/>
      </w:r>
      <w:r>
        <w:rPr>
          <w:rFonts w:ascii="Arial Unicode MS" w:hAnsi="Arial Unicode MS" w:cs="Arial Unicode MS"/>
        </w:rPr>
        <w:br w:type="page"/>
      </w:r>
    </w:p>
    <w:p w:rsidR="00BE617E" w:rsidRDefault="00AB3E68">
      <w:pPr>
        <w:pStyle w:val="Heading2"/>
      </w:pPr>
      <w:bookmarkStart w:id="2" w:name="_Toc"/>
      <w:r>
        <w:rPr>
          <w:rFonts w:eastAsia="Arial Unicode MS" w:cs="Arial Unicode MS"/>
          <w:lang w:val="en-US"/>
        </w:rPr>
        <w:lastRenderedPageBreak/>
        <w:t>EXECUTIVE SUMMARY</w:t>
      </w:r>
      <w:bookmarkEnd w:id="2"/>
    </w:p>
    <w:p w:rsidR="00BE617E" w:rsidRDefault="00BE617E">
      <w:pPr>
        <w:pStyle w:val="Body"/>
      </w:pPr>
    </w:p>
    <w:p w:rsidR="00BE617E" w:rsidRDefault="00AB3E68">
      <w:pPr>
        <w:pStyle w:val="Body"/>
      </w:pPr>
      <w:r>
        <w:rPr>
          <w:lang w:val="en-US"/>
        </w:rPr>
        <w:t xml:space="preserve">This report aims to </w:t>
      </w:r>
      <w:proofErr w:type="spellStart"/>
      <w:r>
        <w:rPr>
          <w:lang w:val="en-US"/>
        </w:rPr>
        <w:t>analyse</w:t>
      </w:r>
      <w:proofErr w:type="spellEnd"/>
      <w:r>
        <w:rPr>
          <w:lang w:val="en-US"/>
        </w:rPr>
        <w:t xml:space="preserve"> and evaluate th</w:t>
      </w:r>
      <w:r>
        <w:rPr>
          <w:lang w:val="en-US"/>
        </w:rPr>
        <w:t>e financial ratios of the company Marriott International Inc. It also contains the interpretation and discussion of different types of financial ratios and how they are useful to know about the financial performance and position of the company. We have dis</w:t>
      </w:r>
      <w:r>
        <w:rPr>
          <w:lang w:val="en-US"/>
        </w:rPr>
        <w:t>cussed in detail the profitability ratios, liquidity ratios as well as gearing ratios. Towards the end of this report, we have discussed the importance and limitations of the accounting ratios.</w:t>
      </w:r>
    </w:p>
    <w:p w:rsidR="00BE617E" w:rsidRDefault="00AB3E68">
      <w:pPr>
        <w:pStyle w:val="Body"/>
      </w:pPr>
      <w:r>
        <w:rPr>
          <w:rFonts w:ascii="Arial Unicode MS" w:hAnsi="Arial Unicode MS"/>
        </w:rPr>
        <w:br w:type="page"/>
      </w:r>
    </w:p>
    <w:p w:rsidR="00BE617E" w:rsidRDefault="00AB3E68">
      <w:pPr>
        <w:pStyle w:val="Heading2"/>
      </w:pPr>
      <w:bookmarkStart w:id="3" w:name="_Toc1"/>
      <w:r>
        <w:rPr>
          <w:rFonts w:eastAsia="Arial Unicode MS" w:cs="Arial Unicode MS"/>
          <w:lang w:val="en-US"/>
        </w:rPr>
        <w:lastRenderedPageBreak/>
        <w:t>INTRODUCTION</w:t>
      </w:r>
      <w:bookmarkEnd w:id="3"/>
    </w:p>
    <w:p w:rsidR="00BE617E" w:rsidRDefault="00BE617E">
      <w:pPr>
        <w:pStyle w:val="Body"/>
      </w:pPr>
    </w:p>
    <w:p w:rsidR="00BE617E" w:rsidRDefault="00AB3E68">
      <w:pPr>
        <w:pStyle w:val="Body"/>
      </w:pPr>
      <w:r>
        <w:rPr>
          <w:lang w:val="en-US"/>
        </w:rPr>
        <w:t xml:space="preserve">The purpose of the assignment is to evaluate and critically </w:t>
      </w:r>
      <w:proofErr w:type="spellStart"/>
      <w:r>
        <w:rPr>
          <w:lang w:val="en-US"/>
        </w:rPr>
        <w:t>analyse</w:t>
      </w:r>
      <w:proofErr w:type="spellEnd"/>
      <w:r>
        <w:rPr>
          <w:lang w:val="en-US"/>
        </w:rPr>
        <w:t xml:space="preserve"> the financial performance and position of the company for the financial years 2020 and 2021 using ratio analysis. Ratio analysis is a qualitative tool that helps to know about the differen</w:t>
      </w:r>
      <w:r>
        <w:rPr>
          <w:lang w:val="en-US"/>
        </w:rPr>
        <w:t xml:space="preserve">t aspects of the company, such as profitability, liquidity, stability, etc. This is majorly used by different stakeholders for making important decisions </w:t>
      </w:r>
      <w:r>
        <w:rPr>
          <w:lang w:val="es-ES_tradnl"/>
        </w:rPr>
        <w:t>(</w:t>
      </w:r>
      <w:proofErr w:type="spellStart"/>
      <w:r>
        <w:rPr>
          <w:lang w:val="es-ES_tradnl"/>
        </w:rPr>
        <w:t>Alvarez</w:t>
      </w:r>
      <w:proofErr w:type="spellEnd"/>
      <w:r>
        <w:rPr>
          <w:lang w:val="es-ES_tradnl"/>
        </w:rPr>
        <w:t>, 2013</w:t>
      </w:r>
      <w:proofErr w:type="gramStart"/>
      <w:r>
        <w:rPr>
          <w:lang w:val="es-ES_tradnl"/>
        </w:rPr>
        <w:t>).</w:t>
      </w:r>
      <w:r>
        <w:rPr>
          <w:lang w:val="en-US"/>
        </w:rPr>
        <w:t>.</w:t>
      </w:r>
      <w:proofErr w:type="gramEnd"/>
    </w:p>
    <w:p w:rsidR="00BE617E" w:rsidRDefault="00AB3E68">
      <w:pPr>
        <w:pStyle w:val="Body"/>
      </w:pPr>
      <w:r>
        <w:rPr>
          <w:lang w:val="en-US"/>
        </w:rPr>
        <w:t xml:space="preserve">In this report, we are </w:t>
      </w:r>
      <w:proofErr w:type="spellStart"/>
      <w:r>
        <w:rPr>
          <w:lang w:val="en-US"/>
        </w:rPr>
        <w:t>analysing</w:t>
      </w:r>
      <w:proofErr w:type="spellEnd"/>
      <w:r>
        <w:rPr>
          <w:lang w:val="en-US"/>
        </w:rPr>
        <w:t xml:space="preserve"> the financial statements of Marriott International </w:t>
      </w:r>
      <w:r>
        <w:rPr>
          <w:lang w:val="en-US"/>
        </w:rPr>
        <w:t>Inc. Marriott International Inc is a multinational company which operates in the hospitality industry. The headquarters of the company is located in Bethesda, Maryland. This company operates, licenses or franchises, including residential, hotels and timesh</w:t>
      </w:r>
      <w:r>
        <w:rPr>
          <w:lang w:val="en-US"/>
        </w:rPr>
        <w:t xml:space="preserve">are properties. It is considered the largest hotel chain in the world based on the available rooms. </w:t>
      </w:r>
    </w:p>
    <w:p w:rsidR="00BE617E" w:rsidRDefault="00BE617E">
      <w:pPr>
        <w:pStyle w:val="Body"/>
      </w:pPr>
    </w:p>
    <w:p w:rsidR="00BE617E" w:rsidRDefault="00AB3E68">
      <w:pPr>
        <w:pStyle w:val="Body"/>
      </w:pPr>
      <w:r>
        <w:rPr>
          <w:rFonts w:ascii="Arial Unicode MS" w:hAnsi="Arial Unicode MS"/>
        </w:rPr>
        <w:br w:type="page"/>
      </w:r>
    </w:p>
    <w:p w:rsidR="00BE617E" w:rsidRDefault="00AB3E68">
      <w:pPr>
        <w:pStyle w:val="Heading2"/>
      </w:pPr>
      <w:bookmarkStart w:id="4" w:name="_Toc2"/>
      <w:r>
        <w:rPr>
          <w:rFonts w:eastAsia="Arial Unicode MS" w:cs="Arial Unicode MS"/>
          <w:lang w:val="en-US"/>
        </w:rPr>
        <w:lastRenderedPageBreak/>
        <w:t>FINANCIAL ANALYSIS TRENDS</w:t>
      </w:r>
      <w:bookmarkEnd w:id="4"/>
    </w:p>
    <w:p w:rsidR="00BE617E" w:rsidRDefault="00BE617E">
      <w:pPr>
        <w:pStyle w:val="Body"/>
      </w:pPr>
    </w:p>
    <w:p w:rsidR="00BE617E" w:rsidRDefault="00AB3E68">
      <w:pPr>
        <w:pStyle w:val="Body"/>
      </w:pPr>
      <w:r>
        <w:rPr>
          <w:lang w:val="en-US"/>
        </w:rPr>
        <w:t xml:space="preserve">A financial analysis trend helps </w:t>
      </w:r>
      <w:proofErr w:type="spellStart"/>
      <w:r>
        <w:rPr>
          <w:lang w:val="en-US"/>
        </w:rPr>
        <w:t>analyse</w:t>
      </w:r>
      <w:proofErr w:type="spellEnd"/>
      <w:r>
        <w:rPr>
          <w:lang w:val="en-US"/>
        </w:rPr>
        <w:t xml:space="preserve"> a company's trends by collecting data from the financial statements. It helps to pre</w:t>
      </w:r>
      <w:r>
        <w:rPr>
          <w:lang w:val="en-US"/>
        </w:rPr>
        <w:t>dict the financial performance and positions based on the past trends of the company. This information helps to take a relevant decision based on the analysis. In this, financial information is collected for multiple periods and analysis is done on a horiz</w:t>
      </w:r>
      <w:r>
        <w:rPr>
          <w:lang w:val="en-US"/>
        </w:rPr>
        <w:t xml:space="preserve">ontal or vertical basis </w:t>
      </w:r>
      <w:r>
        <w:t>(Cochran, 2017)</w:t>
      </w:r>
      <w:r>
        <w:rPr>
          <w:lang w:val="en-US"/>
        </w:rPr>
        <w:t>.</w:t>
      </w:r>
    </w:p>
    <w:p w:rsidR="00BE617E" w:rsidRDefault="00AB3E68">
      <w:pPr>
        <w:pStyle w:val="Heading3"/>
      </w:pPr>
      <w:bookmarkStart w:id="5" w:name="_Toc3"/>
      <w:r>
        <w:rPr>
          <w:rFonts w:eastAsia="Arial Unicode MS" w:cs="Arial Unicode MS"/>
          <w:lang w:val="en-US"/>
        </w:rPr>
        <w:t>PROFITABILITY RATIOS</w:t>
      </w:r>
      <w:bookmarkEnd w:id="5"/>
    </w:p>
    <w:p w:rsidR="00BE617E" w:rsidRDefault="00AB3E68">
      <w:pPr>
        <w:pStyle w:val="Body"/>
      </w:pPr>
      <w:r>
        <w:rPr>
          <w:lang w:val="en-US"/>
        </w:rPr>
        <w:t>Profitability ratios are a financial metric that helps assess the company's financial performance over the years. It helps to know if the company can generate earnings based on its sales, costs,</w:t>
      </w:r>
      <w:r>
        <w:rPr>
          <w:lang w:val="en-US"/>
        </w:rPr>
        <w:t xml:space="preserve"> assets or equity. These ratios are considered to be higher the better. A company is said to have stable earnings and good financial performance if it has higher and increasing profitability ratios. There are different profitability ratios that are calcula</w:t>
      </w:r>
      <w:r>
        <w:rPr>
          <w:lang w:val="en-US"/>
        </w:rPr>
        <w:t>ted.</w:t>
      </w:r>
    </w:p>
    <w:p w:rsidR="00BE617E" w:rsidRDefault="00AB3E68">
      <w:pPr>
        <w:pStyle w:val="Body"/>
      </w:pPr>
      <w:r>
        <w:rPr>
          <w:lang w:val="en-US"/>
        </w:rPr>
        <w:t xml:space="preserve">Gross profit is the most commonly used profitability ratio. Gross profit is calculated by subtracting the cost of goods sold from revenues </w:t>
      </w:r>
      <w:r>
        <w:t>(Donohue, 2015)</w:t>
      </w:r>
      <w:r>
        <w:rPr>
          <w:lang w:val="en-US"/>
        </w:rPr>
        <w:t xml:space="preserve">. Gross profit when expressed as a percentage of sales Is known as the Gross profit ratio. From </w:t>
      </w:r>
      <w:r>
        <w:rPr>
          <w:lang w:val="en-US"/>
        </w:rPr>
        <w:t>the link provided, we can observe that the gross profit margin for 2020 and 2021 is 13.8% and 20.2% respectively. There is a rising trend in the ratio which shows that the company can earn profits over its costs. This also shows that the company's manageme</w:t>
      </w:r>
      <w:r>
        <w:rPr>
          <w:lang w:val="en-US"/>
        </w:rPr>
        <w:t xml:space="preserve">nt is efficient enough in managing its raw material cost and </w:t>
      </w:r>
      <w:proofErr w:type="spellStart"/>
      <w:r>
        <w:rPr>
          <w:lang w:val="en-US"/>
        </w:rPr>
        <w:t>labour</w:t>
      </w:r>
      <w:proofErr w:type="spellEnd"/>
      <w:r>
        <w:rPr>
          <w:lang w:val="en-US"/>
        </w:rPr>
        <w:t xml:space="preserve"> costs related to the production process.</w:t>
      </w:r>
    </w:p>
    <w:p w:rsidR="00BE617E" w:rsidRDefault="00AB3E68">
      <w:pPr>
        <w:pStyle w:val="Body"/>
      </w:pPr>
      <w:r>
        <w:rPr>
          <w:lang w:val="en-US"/>
        </w:rPr>
        <w:t>The operating profit is calculated after deducting all the variable costs that are related to production but does not eliminate the interest or tax</w:t>
      </w:r>
      <w:r>
        <w:rPr>
          <w:lang w:val="en-US"/>
        </w:rPr>
        <w:t xml:space="preserve">es paid </w:t>
      </w:r>
      <w:r>
        <w:rPr>
          <w:lang w:val="fr-FR"/>
        </w:rPr>
        <w:t>(</w:t>
      </w:r>
      <w:proofErr w:type="spellStart"/>
      <w:r>
        <w:rPr>
          <w:lang w:val="fr-FR"/>
        </w:rPr>
        <w:t>Taillard</w:t>
      </w:r>
      <w:proofErr w:type="spellEnd"/>
      <w:r>
        <w:rPr>
          <w:lang w:val="fr-FR"/>
        </w:rPr>
        <w:t>, 2013)</w:t>
      </w:r>
      <w:r>
        <w:rPr>
          <w:lang w:val="en-US"/>
        </w:rPr>
        <w:t xml:space="preserve">. The operating profit margin can be calculated by dividing operating profits by sales. A higher operating profit margin is considered to be </w:t>
      </w:r>
      <w:proofErr w:type="spellStart"/>
      <w:r>
        <w:rPr>
          <w:lang w:val="en-US"/>
        </w:rPr>
        <w:t>favourable</w:t>
      </w:r>
      <w:proofErr w:type="spellEnd"/>
      <w:r>
        <w:rPr>
          <w:lang w:val="en-US"/>
        </w:rPr>
        <w:t xml:space="preserve"> if it is rising over a period of time. The operating profit margin of the compan</w:t>
      </w:r>
      <w:r>
        <w:rPr>
          <w:lang w:val="en-US"/>
        </w:rPr>
        <w:t>y for 2020 was 0.79%, and for 2021 it was 12.63%. The drastic growth in the company’s operating profit margin reflects management’s control of variable costs, efficiency in managing resources and improved product pricing. However, the fluctuation in the ra</w:t>
      </w:r>
      <w:r>
        <w:rPr>
          <w:lang w:val="en-US"/>
        </w:rPr>
        <w:t>tio is quite large, indicating a high business risk involved.</w:t>
      </w:r>
    </w:p>
    <w:p w:rsidR="00BE617E" w:rsidRDefault="00AB3E68">
      <w:pPr>
        <w:pStyle w:val="Body"/>
      </w:pPr>
      <w:r>
        <w:rPr>
          <w:lang w:val="en-US"/>
        </w:rPr>
        <w:t>Net profits of the company are calculated after deducting all the operating, non-operating and financial costs that are incurred by the company. Net profit margin is calculated by dividing net i</w:t>
      </w:r>
      <w:r>
        <w:rPr>
          <w:lang w:val="en-US"/>
        </w:rPr>
        <w:t xml:space="preserve">ncome by sales. This ratio is considered an important indicator of the company’s financial health. It is easy to understand and interpret the trend of these ratios as they are expressed in percentage terms. </w:t>
      </w:r>
      <w:r>
        <w:rPr>
          <w:lang w:val="en-US"/>
        </w:rPr>
        <w:lastRenderedPageBreak/>
        <w:t>The net profit ratio of the company in the financ</w:t>
      </w:r>
      <w:r>
        <w:rPr>
          <w:lang w:val="en-US"/>
        </w:rPr>
        <w:t xml:space="preserve">ial year 2020 was -2.53% and 7.93% in 2021. This shows that the company has performed extremely well and shown </w:t>
      </w:r>
      <w:r w:rsidR="00353108">
        <w:rPr>
          <w:lang w:val="en-US"/>
        </w:rPr>
        <w:t>favorable</w:t>
      </w:r>
      <w:r>
        <w:rPr>
          <w:lang w:val="en-US"/>
        </w:rPr>
        <w:t xml:space="preserve"> growth in profitability. The company suffered a huge loss in 2020 but generated high and positive returns in 2021.</w:t>
      </w:r>
    </w:p>
    <w:p w:rsidR="00BE617E" w:rsidRDefault="00AB3E68">
      <w:pPr>
        <w:pStyle w:val="Heading3"/>
      </w:pPr>
      <w:bookmarkStart w:id="6" w:name="_Toc4"/>
      <w:r>
        <w:rPr>
          <w:rFonts w:eastAsia="Arial Unicode MS" w:cs="Arial Unicode MS"/>
          <w:lang w:val="en-US"/>
        </w:rPr>
        <w:t>LIQUIDITY RATIOS</w:t>
      </w:r>
      <w:bookmarkEnd w:id="6"/>
    </w:p>
    <w:p w:rsidR="00BE617E" w:rsidRDefault="00AB3E68">
      <w:pPr>
        <w:pStyle w:val="Body"/>
      </w:pPr>
      <w:r>
        <w:rPr>
          <w:lang w:val="en-US"/>
        </w:rPr>
        <w:t>Li</w:t>
      </w:r>
      <w:r>
        <w:rPr>
          <w:lang w:val="en-US"/>
        </w:rPr>
        <w:t xml:space="preserve">quidity ratios are calculated to determine a company’s capability to meet its short-term obligations without using any external funds </w:t>
      </w:r>
      <w:r>
        <w:t>(Elaine, 2015)</w:t>
      </w:r>
      <w:r>
        <w:rPr>
          <w:lang w:val="en-US"/>
        </w:rPr>
        <w:t>. In other words, liquidity is the ability to convert assets into cash in a very short span of time. There a</w:t>
      </w:r>
      <w:r>
        <w:rPr>
          <w:lang w:val="en-US"/>
        </w:rPr>
        <w:t xml:space="preserve">re different types of liquidity ratios such as the Current ratio, Quick ratio, Days sales outstanding, etc. A few important ratios have been calculated and </w:t>
      </w:r>
      <w:proofErr w:type="spellStart"/>
      <w:r w:rsidR="00353108">
        <w:rPr>
          <w:lang w:val="en-US"/>
        </w:rPr>
        <w:t>analysed</w:t>
      </w:r>
      <w:proofErr w:type="spellEnd"/>
      <w:r>
        <w:rPr>
          <w:lang w:val="en-US"/>
        </w:rPr>
        <w:t xml:space="preserve"> below: </w:t>
      </w:r>
    </w:p>
    <w:p w:rsidR="00BE617E" w:rsidRDefault="00AB3E68">
      <w:pPr>
        <w:pStyle w:val="Body"/>
      </w:pPr>
      <w:r>
        <w:rPr>
          <w:lang w:val="en-US"/>
        </w:rPr>
        <w:t xml:space="preserve">The current ratio is calculated by dividing current assets by current liabilities. </w:t>
      </w:r>
      <w:r>
        <w:rPr>
          <w:lang w:val="en-US"/>
        </w:rPr>
        <w:t>It gives an indication about the company of whether the company has the ability to pay off its current liabilities using the current assets that are available to them (White, 2013)</w:t>
      </w:r>
      <w:r>
        <w:fldChar w:fldCharType="begin"/>
      </w:r>
      <w:r>
        <w:instrText xml:space="preserve"> PAGE </w:instrText>
      </w:r>
      <w:r>
        <w:fldChar w:fldCharType="separate"/>
      </w:r>
      <w:r>
        <w:t>6</w:t>
      </w:r>
      <w:r>
        <w:fldChar w:fldCharType="end"/>
      </w:r>
      <w:r>
        <w:rPr>
          <w:lang w:val="en-US"/>
        </w:rPr>
        <w:t xml:space="preserve">. A current ratio </w:t>
      </w:r>
      <w:proofErr w:type="spellStart"/>
      <w:r>
        <w:rPr>
          <w:lang w:val="en-US"/>
        </w:rPr>
        <w:t>f</w:t>
      </w:r>
      <w:proofErr w:type="spellEnd"/>
      <w:r>
        <w:rPr>
          <w:lang w:val="en-US"/>
        </w:rPr>
        <w:t xml:space="preserve"> 1 is usually considered to be ideal. However, </w:t>
      </w:r>
      <w:r>
        <w:rPr>
          <w:lang w:val="en-US"/>
        </w:rPr>
        <w:t xml:space="preserve">a current ratio that is lower than 1 is considered to be </w:t>
      </w:r>
      <w:r w:rsidR="00353108">
        <w:rPr>
          <w:lang w:val="en-US"/>
        </w:rPr>
        <w:t>unfavorable</w:t>
      </w:r>
      <w:r>
        <w:rPr>
          <w:lang w:val="en-US"/>
        </w:rPr>
        <w:t xml:space="preserve"> by the stakeholders. A current ratio higher than the peers is considered a bad sign because it shows management’s inability to manage its resources inefficiently. The current ratio of th</w:t>
      </w:r>
      <w:r>
        <w:rPr>
          <w:lang w:val="en-US"/>
        </w:rPr>
        <w:t>e company for the financial year 2020 was 0.49, and for 2022 it was 0.57. The current ratios for both years are less than 1 which shows that the company might not be able to meet its short-term obligations using its current assets and may have to raise ext</w:t>
      </w:r>
      <w:r>
        <w:rPr>
          <w:lang w:val="en-US"/>
        </w:rPr>
        <w:t>ernal funding, which would ultimately increase the company's financial risk.</w:t>
      </w:r>
    </w:p>
    <w:p w:rsidR="00BE617E" w:rsidRDefault="00AB3E68">
      <w:pPr>
        <w:pStyle w:val="Body"/>
      </w:pPr>
      <w:r>
        <w:rPr>
          <w:lang w:val="en-US"/>
        </w:rPr>
        <w:t>The quick ratio is a more stringent measure of ascertaining the company's liquidity position. The difference between calculating a current ratio and a quick ratio is that the prep</w:t>
      </w:r>
      <w:r>
        <w:rPr>
          <w:lang w:val="en-US"/>
        </w:rPr>
        <w:t xml:space="preserve">aid and inventory is excluded from current assets because they cannot be immediately converted into cash. A higher ratio shows a good liquidity position and stable financial health whereas a low ratio indicates that the company is going to struggle to pay </w:t>
      </w:r>
      <w:r>
        <w:rPr>
          <w:lang w:val="en-US"/>
        </w:rPr>
        <w:t xml:space="preserve">off its debts. The quick liabilities of the company have remained stable over 2020 and 2021 which shows that the company did not have a huge addition in its liabilities. However, due to a lack of data, we are unable to provide a complete view of the quick </w:t>
      </w:r>
      <w:r>
        <w:rPr>
          <w:lang w:val="en-US"/>
        </w:rPr>
        <w:t>ratio of the company.</w:t>
      </w:r>
    </w:p>
    <w:p w:rsidR="00BE617E" w:rsidRDefault="00AB3E68">
      <w:pPr>
        <w:pStyle w:val="Heading3"/>
      </w:pPr>
      <w:bookmarkStart w:id="7" w:name="_Toc5"/>
      <w:r>
        <w:rPr>
          <w:rFonts w:eastAsia="Arial Unicode MS" w:cs="Arial Unicode MS"/>
          <w:lang w:val="en-US"/>
        </w:rPr>
        <w:t>GEARING RATIOS</w:t>
      </w:r>
      <w:bookmarkEnd w:id="7"/>
    </w:p>
    <w:p w:rsidR="00BE617E" w:rsidRDefault="00AB3E68">
      <w:pPr>
        <w:pStyle w:val="Body"/>
      </w:pPr>
      <w:r>
        <w:rPr>
          <w:lang w:val="en-US"/>
        </w:rPr>
        <w:t xml:space="preserve">Gearing ratios are mainly used to ascertain the level of financial leverage that is held by the company.  It involves comparing the shareholder’s equity to debt or other external funds borrowed by the company </w:t>
      </w:r>
      <w:r>
        <w:rPr>
          <w:lang w:val="pt-PT"/>
        </w:rPr>
        <w:t>(Fridson &amp;</w:t>
      </w:r>
      <w:r>
        <w:rPr>
          <w:lang w:val="pt-PT"/>
        </w:rPr>
        <w:t xml:space="preserve"> Alvarez, 2012)</w:t>
      </w:r>
      <w:r>
        <w:rPr>
          <w:lang w:val="en-US"/>
        </w:rPr>
        <w:t xml:space="preserve">. Gearing ratios are usually compared among companies in the same industry. However, the comparison can be done over a period of time also. Generally, a </w:t>
      </w:r>
      <w:r>
        <w:rPr>
          <w:lang w:val="en-US"/>
        </w:rPr>
        <w:lastRenderedPageBreak/>
        <w:t>company with a higher gearing ratio is considered to have a high level of financial leve</w:t>
      </w:r>
      <w:r>
        <w:rPr>
          <w:lang w:val="en-US"/>
        </w:rPr>
        <w:t xml:space="preserve">rage. A high level of financial leverage does not always indicate a company’s poor financial position but indicates high financial risk. </w:t>
      </w:r>
    </w:p>
    <w:p w:rsidR="00BE617E" w:rsidRDefault="00AB3E68">
      <w:pPr>
        <w:pStyle w:val="Body"/>
      </w:pPr>
      <w:r>
        <w:rPr>
          <w:lang w:val="en-US"/>
        </w:rPr>
        <w:t>The debt-equity ratio is used to ascertain and evaluate the financial leverage of the company. High financial leverage</w:t>
      </w:r>
      <w:r>
        <w:rPr>
          <w:lang w:val="en-US"/>
        </w:rPr>
        <w:t xml:space="preserve"> usually indicates high financial risk. If a company has a very low debt-to-equity ratio, then it suggests that the business is not taking advantage of debt financing to expand. This ratio is calculated by dividing total liabilities by total shareholder’s </w:t>
      </w:r>
      <w:r>
        <w:rPr>
          <w:lang w:val="en-US"/>
        </w:rPr>
        <w:t xml:space="preserve">equity. This shows the proportion of debt and equity that is used by the company to finance its operations. The debt-to-equity ratio for the financial year 2020 was </w:t>
      </w:r>
      <w:proofErr w:type="gramStart"/>
      <w:r>
        <w:rPr>
          <w:lang w:val="en-US"/>
        </w:rPr>
        <w:t>21.40  and</w:t>
      </w:r>
      <w:proofErr w:type="gramEnd"/>
      <w:r>
        <w:rPr>
          <w:lang w:val="en-US"/>
        </w:rPr>
        <w:t xml:space="preserve"> in 2021 was 6.60. </w:t>
      </w:r>
      <w:r>
        <w:rPr>
          <w:rFonts w:ascii="Arial Unicode MS" w:hAnsi="Arial Unicode MS"/>
        </w:rPr>
        <w:br w:type="page"/>
      </w:r>
    </w:p>
    <w:p w:rsidR="00BE617E" w:rsidRDefault="00AB3E68">
      <w:pPr>
        <w:pStyle w:val="Heading2"/>
      </w:pPr>
      <w:bookmarkStart w:id="8" w:name="_Toc6"/>
      <w:r>
        <w:rPr>
          <w:rFonts w:eastAsia="Arial Unicode MS" w:cs="Arial Unicode MS"/>
          <w:lang w:val="en-US"/>
        </w:rPr>
        <w:lastRenderedPageBreak/>
        <w:t>KNOWLEDGE FROM RATIO ANALYSIS</w:t>
      </w:r>
      <w:bookmarkEnd w:id="8"/>
    </w:p>
    <w:p w:rsidR="00BE617E" w:rsidRDefault="00BE617E">
      <w:pPr>
        <w:pStyle w:val="Body"/>
      </w:pPr>
    </w:p>
    <w:p w:rsidR="00BE617E" w:rsidRDefault="00AB3E68">
      <w:pPr>
        <w:pStyle w:val="Body"/>
      </w:pPr>
      <w:r>
        <w:rPr>
          <w:lang w:val="en-US"/>
        </w:rPr>
        <w:t xml:space="preserve">Ratio analysis is considered </w:t>
      </w:r>
      <w:r>
        <w:rPr>
          <w:lang w:val="en-US"/>
        </w:rPr>
        <w:t xml:space="preserve">to be a very important financial metric, and its importance is discussed later in the report </w:t>
      </w:r>
      <w:r>
        <w:t>(Hoyle, 2015)</w:t>
      </w:r>
      <w:r>
        <w:rPr>
          <w:lang w:val="en-US"/>
        </w:rPr>
        <w:t>. However, it also has certain limitations which have been discussed to prove that keeping in mind the fluctuations of the hospitality industry this t</w:t>
      </w:r>
      <w:r>
        <w:rPr>
          <w:lang w:val="en-US"/>
        </w:rPr>
        <w:t>ool might not always be helpful.</w:t>
      </w:r>
    </w:p>
    <w:p w:rsidR="00BE617E" w:rsidRDefault="00AB3E68">
      <w:pPr>
        <w:pStyle w:val="Body"/>
        <w:numPr>
          <w:ilvl w:val="0"/>
          <w:numId w:val="2"/>
        </w:numPr>
      </w:pPr>
      <w:r>
        <w:rPr>
          <w:lang w:val="en-US"/>
        </w:rPr>
        <w:t xml:space="preserve">Historical information: Financial statements contain information from the past. They do not include the current scenarios and therefore are not considered very reliable in predicting the future </w:t>
      </w:r>
      <w:r>
        <w:rPr>
          <w:lang w:val="it-IT"/>
        </w:rPr>
        <w:t>(Siciliano, 2015)</w:t>
      </w:r>
      <w:r>
        <w:rPr>
          <w:lang w:val="en-US"/>
        </w:rPr>
        <w:t>.</w:t>
      </w:r>
    </w:p>
    <w:p w:rsidR="00BE617E" w:rsidRDefault="00AB3E68">
      <w:pPr>
        <w:pStyle w:val="Body"/>
        <w:numPr>
          <w:ilvl w:val="0"/>
          <w:numId w:val="2"/>
        </w:numPr>
      </w:pPr>
      <w:r>
        <w:rPr>
          <w:lang w:val="en-US"/>
        </w:rPr>
        <w:t>The differ</w:t>
      </w:r>
      <w:r>
        <w:rPr>
          <w:lang w:val="en-US"/>
        </w:rPr>
        <w:t>ence in accounting policies: All the financial statements are valued and recorded based on the difference in various accounting policies. This makes the financial information of any two companies non-comparable.</w:t>
      </w:r>
    </w:p>
    <w:p w:rsidR="00BE617E" w:rsidRDefault="00AB3E68">
      <w:pPr>
        <w:pStyle w:val="Body"/>
        <w:numPr>
          <w:ilvl w:val="0"/>
          <w:numId w:val="2"/>
        </w:numPr>
      </w:pPr>
      <w:r>
        <w:rPr>
          <w:lang w:val="en-US"/>
        </w:rPr>
        <w:t>Only quantitative analysis: Financial ratios</w:t>
      </w:r>
      <w:r>
        <w:rPr>
          <w:lang w:val="en-US"/>
        </w:rPr>
        <w:t xml:space="preserve"> only gives a qualitative view of the company and ignore the qualitative aspect of the company completely </w:t>
      </w:r>
      <w:r>
        <w:t>(Pandey, 2015)</w:t>
      </w:r>
      <w:r>
        <w:rPr>
          <w:lang w:val="en-US"/>
        </w:rPr>
        <w:t>.</w:t>
      </w:r>
    </w:p>
    <w:p w:rsidR="00BE617E" w:rsidRDefault="00AB3E68">
      <w:pPr>
        <w:pStyle w:val="Body"/>
        <w:numPr>
          <w:ilvl w:val="0"/>
          <w:numId w:val="2"/>
        </w:numPr>
      </w:pPr>
      <w:r>
        <w:rPr>
          <w:lang w:val="en-US"/>
        </w:rPr>
        <w:t>Window Dressing: Window dressing means showing a good picture of the company through the financial statements that what really is. Thi</w:t>
      </w:r>
      <w:r>
        <w:rPr>
          <w:lang w:val="en-US"/>
        </w:rPr>
        <w:t>s distorts the purpose of calculating and interpreting accounting ratios.</w:t>
      </w:r>
    </w:p>
    <w:p w:rsidR="00BE617E" w:rsidRDefault="00AB3E68">
      <w:pPr>
        <w:pStyle w:val="Body"/>
        <w:numPr>
          <w:ilvl w:val="0"/>
          <w:numId w:val="2"/>
        </w:numPr>
      </w:pPr>
      <w:r>
        <w:rPr>
          <w:lang w:val="en-US"/>
        </w:rPr>
        <w:t>Ignorance of Seasonal factors: There are some businesses that are affected by seasons. Such factors should be included in the financial statements to give a true picture of the compa</w:t>
      </w:r>
      <w:r>
        <w:rPr>
          <w:lang w:val="en-US"/>
        </w:rPr>
        <w:t>ny.</w:t>
      </w:r>
    </w:p>
    <w:p w:rsidR="00BE617E" w:rsidRDefault="00BE617E">
      <w:pPr>
        <w:pStyle w:val="Body"/>
      </w:pPr>
    </w:p>
    <w:p w:rsidR="00BE617E" w:rsidRDefault="00BE617E">
      <w:pPr>
        <w:pStyle w:val="Body"/>
      </w:pPr>
    </w:p>
    <w:p w:rsidR="00BE617E" w:rsidRDefault="00BE617E">
      <w:pPr>
        <w:pStyle w:val="Body"/>
      </w:pPr>
    </w:p>
    <w:p w:rsidR="00BE617E" w:rsidRDefault="00AB3E68">
      <w:pPr>
        <w:pStyle w:val="Body"/>
      </w:pPr>
      <w:r>
        <w:rPr>
          <w:rFonts w:ascii="Arial Unicode MS" w:hAnsi="Arial Unicode MS"/>
        </w:rPr>
        <w:br w:type="page"/>
      </w:r>
    </w:p>
    <w:p w:rsidR="00BE617E" w:rsidRDefault="00AB3E68">
      <w:pPr>
        <w:pStyle w:val="Heading2"/>
      </w:pPr>
      <w:bookmarkStart w:id="9" w:name="_Toc7"/>
      <w:r>
        <w:rPr>
          <w:rFonts w:eastAsia="Arial Unicode MS" w:cs="Arial Unicode MS"/>
          <w:lang w:val="en-US"/>
        </w:rPr>
        <w:lastRenderedPageBreak/>
        <w:t>BENEFITS AND LIMITATIONS OF RATIO ANALYSIS</w:t>
      </w:r>
      <w:bookmarkEnd w:id="9"/>
    </w:p>
    <w:p w:rsidR="00BE617E" w:rsidRDefault="00BE617E">
      <w:pPr>
        <w:pStyle w:val="Body"/>
        <w:rPr>
          <w:b/>
          <w:bCs/>
        </w:rPr>
      </w:pPr>
    </w:p>
    <w:p w:rsidR="00BE617E" w:rsidRDefault="00AB3E68">
      <w:pPr>
        <w:pStyle w:val="Body"/>
      </w:pPr>
      <w:r>
        <w:rPr>
          <w:lang w:val="en-US"/>
        </w:rPr>
        <w:t xml:space="preserve">Ratio analysis is a financial tool that helps assess the company's financial performance and position. This tool is widely used by various stakeholders before taking any important decisions </w:t>
      </w:r>
      <w:r>
        <w:t xml:space="preserve">(Girard, </w:t>
      </w:r>
      <w:r>
        <w:t>2014)</w:t>
      </w:r>
      <w:r>
        <w:rPr>
          <w:lang w:val="en-US"/>
        </w:rPr>
        <w:t>. Like all the other tools available, ratio analysis also has certain benefits and limitations. A few advantages and limitations are discussed below:</w:t>
      </w:r>
    </w:p>
    <w:p w:rsidR="00BE617E" w:rsidRDefault="00AB3E68">
      <w:pPr>
        <w:pStyle w:val="Body"/>
        <w:rPr>
          <w:u w:val="single"/>
        </w:rPr>
      </w:pPr>
      <w:r>
        <w:rPr>
          <w:u w:val="single"/>
          <w:lang w:val="en-US"/>
        </w:rPr>
        <w:t>Benefits of using ratio analysis</w:t>
      </w:r>
    </w:p>
    <w:p w:rsidR="00BE617E" w:rsidRDefault="00AB3E68">
      <w:pPr>
        <w:pStyle w:val="Body"/>
        <w:numPr>
          <w:ilvl w:val="0"/>
          <w:numId w:val="3"/>
        </w:numPr>
      </w:pPr>
      <w:r>
        <w:rPr>
          <w:lang w:val="en-US"/>
        </w:rPr>
        <w:t>Forecasting: The trend that the company has followed in past years f</w:t>
      </w:r>
      <w:r>
        <w:rPr>
          <w:lang w:val="en-US"/>
        </w:rPr>
        <w:t>or revenues, costs and profits is expected to be followed in future. This helps to forecast the future and plan future business activities accordingly.</w:t>
      </w:r>
    </w:p>
    <w:p w:rsidR="00BE617E" w:rsidRDefault="00AB3E68">
      <w:pPr>
        <w:pStyle w:val="Body"/>
        <w:numPr>
          <w:ilvl w:val="0"/>
          <w:numId w:val="2"/>
        </w:numPr>
      </w:pPr>
      <w:r>
        <w:rPr>
          <w:lang w:val="en-US"/>
        </w:rPr>
        <w:t>Budgeting: A budget is an estimate that is prepared for future expenses based on past activities. Accoun</w:t>
      </w:r>
      <w:r>
        <w:rPr>
          <w:lang w:val="en-US"/>
        </w:rPr>
        <w:t>ting ratios help in the preparation of budgets on the basis of past trends that happened.</w:t>
      </w:r>
    </w:p>
    <w:p w:rsidR="00BE617E" w:rsidRDefault="00AB3E68">
      <w:pPr>
        <w:pStyle w:val="Body"/>
        <w:numPr>
          <w:ilvl w:val="0"/>
          <w:numId w:val="2"/>
        </w:numPr>
      </w:pPr>
      <w:r>
        <w:rPr>
          <w:lang w:val="en-US"/>
        </w:rPr>
        <w:t>Operational efficiency of the management: There are few accounting ratios which help to know the degree of efficiency by which the management of the company manages i</w:t>
      </w:r>
      <w:r>
        <w:rPr>
          <w:lang w:val="en-US"/>
        </w:rPr>
        <w:t xml:space="preserve">ts resources and uses its assets </w:t>
      </w:r>
      <w:r>
        <w:rPr>
          <w:lang w:val="de-DE"/>
        </w:rPr>
        <w:t>(Holtzman, 2013)</w:t>
      </w:r>
      <w:r>
        <w:rPr>
          <w:lang w:val="en-US"/>
        </w:rPr>
        <w:t>.</w:t>
      </w:r>
    </w:p>
    <w:p w:rsidR="00BE617E" w:rsidRDefault="00AB3E68">
      <w:pPr>
        <w:pStyle w:val="Body"/>
        <w:numPr>
          <w:ilvl w:val="0"/>
          <w:numId w:val="2"/>
        </w:numPr>
      </w:pPr>
      <w:r>
        <w:rPr>
          <w:lang w:val="en-US"/>
        </w:rPr>
        <w:t>Inter-firm comparison - It enables comparison between two firms and the less efficient firm can take suitable steps to improve its efficiency. The most common way of using this approach is to compare using</w:t>
      </w:r>
      <w:r>
        <w:rPr>
          <w:lang w:val="en-US"/>
        </w:rPr>
        <w:t xml:space="preserve"> the industry average ratios.</w:t>
      </w:r>
    </w:p>
    <w:p w:rsidR="00BE617E" w:rsidRDefault="00AB3E68">
      <w:pPr>
        <w:pStyle w:val="Body"/>
        <w:numPr>
          <w:ilvl w:val="0"/>
          <w:numId w:val="2"/>
        </w:numPr>
      </w:pPr>
      <w:r>
        <w:rPr>
          <w:lang w:val="en-US"/>
        </w:rPr>
        <w:t xml:space="preserve">Helps in decision-making: It helps different stakeholders of the funds to take relevant decisions. For example- it helps investors to know whether they should invest or not, and it helps the creditors to know whether to </w:t>
      </w:r>
      <w:r>
        <w:rPr>
          <w:lang w:val="en-US"/>
        </w:rPr>
        <w:t>provide credit or not and to what extent.</w:t>
      </w:r>
    </w:p>
    <w:p w:rsidR="00BE617E" w:rsidRDefault="00AB3E68">
      <w:pPr>
        <w:pStyle w:val="Body"/>
        <w:rPr>
          <w:u w:val="single"/>
        </w:rPr>
      </w:pPr>
      <w:r>
        <w:rPr>
          <w:u w:val="single"/>
          <w:lang w:val="en-US"/>
        </w:rPr>
        <w:t>Limitations of accounting ratios:</w:t>
      </w:r>
    </w:p>
    <w:p w:rsidR="00BE617E" w:rsidRDefault="00AB3E68">
      <w:pPr>
        <w:pStyle w:val="Body"/>
        <w:numPr>
          <w:ilvl w:val="0"/>
          <w:numId w:val="4"/>
        </w:numPr>
      </w:pPr>
      <w:r>
        <w:rPr>
          <w:lang w:val="en-US"/>
        </w:rPr>
        <w:t>Price level change: A few items, such as fixed assets, are recorded at cost. Any level of change in the price is not factored in which is a drawback of this tool.</w:t>
      </w:r>
    </w:p>
    <w:p w:rsidR="00BE617E" w:rsidRDefault="00AB3E68">
      <w:pPr>
        <w:pStyle w:val="Body"/>
        <w:numPr>
          <w:ilvl w:val="0"/>
          <w:numId w:val="2"/>
        </w:numPr>
      </w:pPr>
      <w:r>
        <w:rPr>
          <w:lang w:val="en-US"/>
        </w:rPr>
        <w:t>Only one variable</w:t>
      </w:r>
      <w:r>
        <w:rPr>
          <w:lang w:val="en-US"/>
        </w:rPr>
        <w:t xml:space="preserve"> is </w:t>
      </w:r>
      <w:proofErr w:type="gramStart"/>
      <w:r>
        <w:rPr>
          <w:lang w:val="en-US"/>
        </w:rPr>
        <w:t>taken into account</w:t>
      </w:r>
      <w:proofErr w:type="gramEnd"/>
      <w:r>
        <w:rPr>
          <w:lang w:val="en-US"/>
        </w:rPr>
        <w:t>: There are many factors that are ignored completely such as government policies, economic conditions, resource availability, etc.</w:t>
      </w:r>
    </w:p>
    <w:p w:rsidR="00BE617E" w:rsidRDefault="00AB3E68">
      <w:pPr>
        <w:pStyle w:val="Body"/>
        <w:numPr>
          <w:ilvl w:val="0"/>
          <w:numId w:val="2"/>
        </w:numPr>
      </w:pPr>
      <w:r>
        <w:rPr>
          <w:lang w:val="en-US"/>
        </w:rPr>
        <w:t>Cause-effect relationship: Only those figures must be considered that have a cause and effect; otherwis</w:t>
      </w:r>
      <w:r>
        <w:rPr>
          <w:lang w:val="en-US"/>
        </w:rPr>
        <w:t xml:space="preserve">e, the accounting ratio calculated can be misleading </w:t>
      </w:r>
      <w:r>
        <w:rPr>
          <w:lang w:val="it-IT"/>
        </w:rPr>
        <w:t>(Parrino, 2013)</w:t>
      </w:r>
      <w:r>
        <w:rPr>
          <w:lang w:val="en-US"/>
        </w:rPr>
        <w:t>.</w:t>
      </w:r>
      <w:r>
        <w:rPr>
          <w:rFonts w:ascii="Arial Unicode MS" w:hAnsi="Arial Unicode MS"/>
        </w:rPr>
        <w:br w:type="page"/>
      </w:r>
    </w:p>
    <w:p w:rsidR="00BE617E" w:rsidRDefault="00AB3E68">
      <w:pPr>
        <w:pStyle w:val="Heading2"/>
      </w:pPr>
      <w:bookmarkStart w:id="10" w:name="_Toc8"/>
      <w:r>
        <w:rPr>
          <w:rFonts w:eastAsia="Arial Unicode MS" w:cs="Arial Unicode MS"/>
          <w:lang w:val="en-US"/>
        </w:rPr>
        <w:lastRenderedPageBreak/>
        <w:t>CONCLUSION</w:t>
      </w:r>
      <w:bookmarkEnd w:id="10"/>
    </w:p>
    <w:p w:rsidR="00BE617E" w:rsidRDefault="00BE617E">
      <w:pPr>
        <w:pStyle w:val="Body"/>
        <w:rPr>
          <w:b/>
          <w:bCs/>
        </w:rPr>
      </w:pPr>
    </w:p>
    <w:p w:rsidR="00BE617E" w:rsidRDefault="00AB3E68">
      <w:pPr>
        <w:pStyle w:val="Body"/>
      </w:pPr>
      <w:r>
        <w:rPr>
          <w:lang w:val="en-US"/>
        </w:rPr>
        <w:t xml:space="preserve">This assignment gives an overview of the company's financial performance and position for two consecutive years </w:t>
      </w:r>
      <w:r>
        <w:t>(</w:t>
      </w:r>
      <w:proofErr w:type="spellStart"/>
      <w:r>
        <w:t>Narayanaswamy</w:t>
      </w:r>
      <w:proofErr w:type="spellEnd"/>
      <w:r>
        <w:t>, 2014)</w:t>
      </w:r>
      <w:r>
        <w:rPr>
          <w:lang w:val="en-US"/>
        </w:rPr>
        <w:t>. It talks about the various financial a</w:t>
      </w:r>
      <w:r>
        <w:rPr>
          <w:lang w:val="en-US"/>
        </w:rPr>
        <w:t>nalysis trends and different types of ratios. The different types of financial ratios that have been discussed in this assignment include - profitability ratios, liquidity ratios and gearing ratios.  This report also considers the importance and limitation</w:t>
      </w:r>
      <w:r>
        <w:rPr>
          <w:lang w:val="en-US"/>
        </w:rPr>
        <w:t xml:space="preserve">s of using accounting ratios. </w:t>
      </w:r>
    </w:p>
    <w:p w:rsidR="00BE617E" w:rsidRDefault="00AB3E68">
      <w:pPr>
        <w:pStyle w:val="Body"/>
      </w:pPr>
      <w:r>
        <w:rPr>
          <w:rFonts w:ascii="Arial Unicode MS" w:hAnsi="Arial Unicode MS"/>
        </w:rPr>
        <w:br w:type="page"/>
      </w:r>
    </w:p>
    <w:p w:rsidR="00BE617E" w:rsidRDefault="00AB3E68">
      <w:pPr>
        <w:pStyle w:val="Heading2"/>
      </w:pPr>
      <w:bookmarkStart w:id="11" w:name="_Toc9"/>
      <w:r>
        <w:rPr>
          <w:rFonts w:eastAsia="Arial Unicode MS" w:cs="Arial Unicode MS"/>
          <w:lang w:val="en-US"/>
        </w:rPr>
        <w:lastRenderedPageBreak/>
        <w:t>BIBLIOGRAPHY</w:t>
      </w:r>
      <w:bookmarkEnd w:id="11"/>
    </w:p>
    <w:p w:rsidR="00BE617E" w:rsidRDefault="00BE617E">
      <w:pPr>
        <w:pStyle w:val="Body"/>
        <w:rPr>
          <w:b/>
          <w:bCs/>
        </w:rPr>
      </w:pPr>
    </w:p>
    <w:p w:rsidR="00BE617E" w:rsidRDefault="00AB3E68">
      <w:pPr>
        <w:pStyle w:val="Body"/>
        <w:rPr>
          <w:rFonts w:eastAsia="Times New Roman" w:cs="Times New Roman"/>
        </w:rPr>
      </w:pPr>
      <w:proofErr w:type="spellStart"/>
      <w:r>
        <w:rPr>
          <w:lang w:val="es-ES_tradnl"/>
        </w:rPr>
        <w:t>Alvarez</w:t>
      </w:r>
      <w:proofErr w:type="spellEnd"/>
      <w:r>
        <w:rPr>
          <w:lang w:val="es-ES_tradnl"/>
        </w:rPr>
        <w:t xml:space="preserve">, F. (2013). </w:t>
      </w:r>
      <w:r>
        <w:rPr>
          <w:i/>
          <w:iCs/>
          <w:lang w:val="en-US"/>
        </w:rPr>
        <w:t>Financial statement analysis.</w:t>
      </w:r>
      <w:r>
        <w:t xml:space="preserve"> Hoboken, N.J.: Wiley.</w:t>
      </w:r>
    </w:p>
    <w:p w:rsidR="00BE617E" w:rsidRDefault="00AB3E68">
      <w:pPr>
        <w:pStyle w:val="Body"/>
      </w:pPr>
      <w:r>
        <w:t xml:space="preserve">Cochran, C. (2017). </w:t>
      </w:r>
      <w:r>
        <w:rPr>
          <w:i/>
          <w:iCs/>
          <w:lang w:val="en-US"/>
        </w:rPr>
        <w:t>Internal auditing in plain English.</w:t>
      </w:r>
      <w:r>
        <w:rPr>
          <w:lang w:val="it-IT"/>
        </w:rPr>
        <w:t xml:space="preserve"> Chico, California: Paton Professional.</w:t>
      </w:r>
    </w:p>
    <w:p w:rsidR="00BE617E" w:rsidRDefault="00AB3E68">
      <w:pPr>
        <w:pStyle w:val="Body"/>
        <w:rPr>
          <w:rFonts w:eastAsia="Times New Roman" w:cs="Times New Roman"/>
        </w:rPr>
      </w:pPr>
      <w:r>
        <w:t xml:space="preserve">Donohue, R. (2015). </w:t>
      </w:r>
      <w:r>
        <w:rPr>
          <w:i/>
          <w:iCs/>
          <w:lang w:val="en-US"/>
        </w:rPr>
        <w:t xml:space="preserve">An introduction to-- </w:t>
      </w:r>
      <w:r>
        <w:rPr>
          <w:i/>
          <w:iCs/>
          <w:lang w:val="en-US"/>
        </w:rPr>
        <w:t>cashflow analysis.</w:t>
      </w:r>
      <w:r>
        <w:rPr>
          <w:lang w:val="de-DE"/>
        </w:rPr>
        <w:t xml:space="preserve"> Mission Viejo, CA: Regent School Press.</w:t>
      </w:r>
    </w:p>
    <w:p w:rsidR="00BE617E" w:rsidRDefault="00AB3E68">
      <w:pPr>
        <w:pStyle w:val="Body"/>
        <w:rPr>
          <w:rFonts w:eastAsia="Times New Roman" w:cs="Times New Roman"/>
        </w:rPr>
      </w:pPr>
      <w:r>
        <w:rPr>
          <w:lang w:val="fr-FR"/>
        </w:rPr>
        <w:t xml:space="preserve">Elaine, H. (2015). </w:t>
      </w:r>
      <w:r>
        <w:rPr>
          <w:i/>
          <w:iCs/>
          <w:lang w:val="en-US"/>
        </w:rPr>
        <w:t>International financial statement analysis.</w:t>
      </w:r>
      <w:r>
        <w:t xml:space="preserve"> Hoboken: John Wiley &amp; Sons.</w:t>
      </w:r>
    </w:p>
    <w:p w:rsidR="00BE617E" w:rsidRDefault="00AB3E68">
      <w:pPr>
        <w:pStyle w:val="Body"/>
        <w:rPr>
          <w:rFonts w:eastAsia="Times New Roman" w:cs="Times New Roman"/>
        </w:rPr>
      </w:pPr>
      <w:r>
        <w:rPr>
          <w:lang w:val="pt-PT"/>
        </w:rPr>
        <w:t xml:space="preserve">Fridson, M., &amp; Alvarez, F. (2012). </w:t>
      </w:r>
      <w:r>
        <w:rPr>
          <w:i/>
          <w:iCs/>
          <w:lang w:val="en-US"/>
        </w:rPr>
        <w:t>Financial Statement Analysis: A Practitioner's Guide.</w:t>
      </w:r>
      <w:r>
        <w:rPr>
          <w:lang w:val="en-US"/>
        </w:rPr>
        <w:t xml:space="preserve"> New York: John Wiley &amp; Sons.</w:t>
      </w:r>
    </w:p>
    <w:p w:rsidR="00BE617E" w:rsidRDefault="00AB3E68">
      <w:pPr>
        <w:pStyle w:val="Body"/>
        <w:ind w:left="567" w:hanging="567"/>
        <w:rPr>
          <w:rFonts w:eastAsia="Times New Roman" w:cs="Times New Roman"/>
        </w:rPr>
      </w:pPr>
      <w:r>
        <w:t xml:space="preserve">Girard, S. L. (2014). </w:t>
      </w:r>
      <w:r>
        <w:rPr>
          <w:i/>
          <w:iCs/>
          <w:lang w:val="en-US"/>
        </w:rPr>
        <w:t>Business finance basics.</w:t>
      </w:r>
      <w:r>
        <w:rPr>
          <w:lang w:val="en-US"/>
        </w:rPr>
        <w:t xml:space="preserve"> Pompton Plains, NJ: Career Press.</w:t>
      </w:r>
    </w:p>
    <w:p w:rsidR="00BE617E" w:rsidRDefault="00AB3E68">
      <w:pPr>
        <w:pStyle w:val="Body"/>
        <w:ind w:left="567" w:hanging="567"/>
        <w:rPr>
          <w:rFonts w:eastAsia="Times New Roman" w:cs="Times New Roman"/>
        </w:rPr>
      </w:pPr>
      <w:r>
        <w:t xml:space="preserve">Holtzman, M. (2013). </w:t>
      </w:r>
      <w:r>
        <w:rPr>
          <w:i/>
          <w:iCs/>
          <w:lang w:val="en-US"/>
        </w:rPr>
        <w:t xml:space="preserve">Managerial Accounting </w:t>
      </w:r>
      <w:proofErr w:type="gramStart"/>
      <w:r>
        <w:rPr>
          <w:i/>
          <w:iCs/>
          <w:lang w:val="en-US"/>
        </w:rPr>
        <w:t>For</w:t>
      </w:r>
      <w:proofErr w:type="gramEnd"/>
      <w:r>
        <w:rPr>
          <w:i/>
          <w:iCs/>
          <w:lang w:val="en-US"/>
        </w:rPr>
        <w:t xml:space="preserve"> Dummies.</w:t>
      </w:r>
      <w:r>
        <w:t xml:space="preserve"> Hoboken, NJ: Wiley.</w:t>
      </w:r>
    </w:p>
    <w:p w:rsidR="00BE617E" w:rsidRDefault="00AB3E68">
      <w:pPr>
        <w:pStyle w:val="Body"/>
        <w:rPr>
          <w:rFonts w:eastAsia="Times New Roman" w:cs="Times New Roman"/>
        </w:rPr>
      </w:pPr>
      <w:r>
        <w:t xml:space="preserve">Hoyle, J., Schaefer, T. and </w:t>
      </w:r>
      <w:proofErr w:type="spellStart"/>
      <w:r>
        <w:t>Doupnik</w:t>
      </w:r>
      <w:proofErr w:type="spellEnd"/>
      <w:r>
        <w:t xml:space="preserve">, T. (2015). </w:t>
      </w:r>
      <w:r>
        <w:rPr>
          <w:i/>
          <w:iCs/>
          <w:lang w:val="en-US"/>
        </w:rPr>
        <w:t>Advanced accounting.</w:t>
      </w:r>
      <w:r>
        <w:rPr>
          <w:lang w:val="en-US"/>
        </w:rPr>
        <w:t xml:space="preserve"> 1st ed. New York, NY: McGraw-Hill Education.</w:t>
      </w:r>
    </w:p>
    <w:p w:rsidR="00BE617E" w:rsidRDefault="00AB3E68">
      <w:pPr>
        <w:pStyle w:val="Body"/>
        <w:rPr>
          <w:rFonts w:eastAsia="Times New Roman" w:cs="Times New Roman"/>
        </w:rPr>
      </w:pPr>
      <w:proofErr w:type="spellStart"/>
      <w:r>
        <w:t>Narayanaswamy</w:t>
      </w:r>
      <w:proofErr w:type="spellEnd"/>
      <w:r>
        <w:t xml:space="preserve">, R. (2014). </w:t>
      </w:r>
      <w:r>
        <w:rPr>
          <w:i/>
          <w:iCs/>
          <w:lang w:val="en-US"/>
        </w:rPr>
        <w:t>Financial accounting</w:t>
      </w:r>
      <w:r>
        <w:rPr>
          <w:lang w:val="en-US"/>
        </w:rPr>
        <w:t xml:space="preserve"> (1st ed.). [Place of publication not identified]: Prentice-Hall </w:t>
      </w:r>
      <w:proofErr w:type="gramStart"/>
      <w:r>
        <w:rPr>
          <w:lang w:val="en-US"/>
        </w:rPr>
        <w:t>Of</w:t>
      </w:r>
      <w:proofErr w:type="gramEnd"/>
      <w:r>
        <w:rPr>
          <w:lang w:val="en-US"/>
        </w:rPr>
        <w:t xml:space="preserve"> India.</w:t>
      </w:r>
    </w:p>
    <w:p w:rsidR="00BE617E" w:rsidRDefault="00AB3E68">
      <w:pPr>
        <w:pStyle w:val="Body"/>
        <w:rPr>
          <w:rFonts w:eastAsia="Times New Roman" w:cs="Times New Roman"/>
        </w:rPr>
      </w:pPr>
      <w:r>
        <w:rPr>
          <w:lang w:val="it-IT"/>
        </w:rPr>
        <w:t xml:space="preserve">Parrino, R. (2013). </w:t>
      </w:r>
      <w:r>
        <w:rPr>
          <w:i/>
          <w:iCs/>
          <w:lang w:val="en-US"/>
        </w:rPr>
        <w:t>Fundamentals of Corporate Finance, 2nd Edition.</w:t>
      </w:r>
      <w:r>
        <w:rPr>
          <w:lang w:val="de-DE"/>
        </w:rPr>
        <w:t xml:space="preserve"> Milton: John Wiley &amp;Sons.</w:t>
      </w:r>
    </w:p>
    <w:p w:rsidR="00BE617E" w:rsidRDefault="00AB3E68">
      <w:pPr>
        <w:pStyle w:val="Body"/>
        <w:rPr>
          <w:rFonts w:eastAsia="Times New Roman" w:cs="Times New Roman"/>
        </w:rPr>
      </w:pPr>
      <w:r>
        <w:t xml:space="preserve">Pandey, I. (2015). </w:t>
      </w:r>
      <w:r>
        <w:rPr>
          <w:i/>
          <w:iCs/>
          <w:lang w:val="en-US"/>
        </w:rPr>
        <w:t>Financial management</w:t>
      </w:r>
      <w:r>
        <w:rPr>
          <w:lang w:val="en-US"/>
        </w:rPr>
        <w:t xml:space="preserve"> (1st ed.). New Delhi: Vikas Publishing House PVT LTD.</w:t>
      </w:r>
    </w:p>
    <w:p w:rsidR="00BE617E" w:rsidRDefault="00AB3E68">
      <w:pPr>
        <w:pStyle w:val="Body"/>
        <w:ind w:left="709" w:hanging="709"/>
        <w:rPr>
          <w:rFonts w:eastAsia="Times New Roman" w:cs="Times New Roman"/>
        </w:rPr>
      </w:pPr>
      <w:r>
        <w:rPr>
          <w:lang w:val="it-IT"/>
        </w:rPr>
        <w:t xml:space="preserve">Siciliano, G. (2015). </w:t>
      </w:r>
      <w:r>
        <w:rPr>
          <w:i/>
          <w:iCs/>
          <w:lang w:val="en-US"/>
        </w:rPr>
        <w:t>Finance for Nonfinancial Managers.</w:t>
      </w:r>
      <w:r>
        <w:rPr>
          <w:lang w:val="en-US"/>
        </w:rPr>
        <w:t xml:space="preserve"> New York: McGraw-Hill.</w:t>
      </w:r>
    </w:p>
    <w:p w:rsidR="00BE617E" w:rsidRDefault="00AB3E68">
      <w:pPr>
        <w:pStyle w:val="Body"/>
        <w:rPr>
          <w:rFonts w:eastAsia="Times New Roman" w:cs="Times New Roman"/>
        </w:rPr>
      </w:pPr>
      <w:proofErr w:type="spellStart"/>
      <w:r>
        <w:rPr>
          <w:lang w:val="fr-FR"/>
        </w:rPr>
        <w:t>Taillard</w:t>
      </w:r>
      <w:proofErr w:type="spellEnd"/>
      <w:r>
        <w:rPr>
          <w:lang w:val="fr-FR"/>
        </w:rPr>
        <w:t xml:space="preserve">, M. (2013). </w:t>
      </w:r>
      <w:r>
        <w:rPr>
          <w:i/>
          <w:iCs/>
        </w:rPr>
        <w:t>Corporate finance for dummies.</w:t>
      </w:r>
      <w:r>
        <w:t xml:space="preserve"> Hoboken, N.J.: Wiley.</w:t>
      </w:r>
    </w:p>
    <w:p w:rsidR="00BE617E" w:rsidRDefault="00AB3E68">
      <w:pPr>
        <w:pStyle w:val="Body"/>
      </w:pPr>
      <w:r>
        <w:rPr>
          <w:lang w:val="en-US"/>
        </w:rPr>
        <w:t xml:space="preserve">White, T. S. (2013). </w:t>
      </w:r>
      <w:r>
        <w:rPr>
          <w:i/>
          <w:iCs/>
          <w:lang w:val="en-US"/>
        </w:rPr>
        <w:t xml:space="preserve">The </w:t>
      </w:r>
      <w:proofErr w:type="gramStart"/>
      <w:r>
        <w:rPr>
          <w:i/>
          <w:iCs/>
          <w:lang w:val="en-US"/>
        </w:rPr>
        <w:t>60 minute</w:t>
      </w:r>
      <w:proofErr w:type="gramEnd"/>
      <w:r>
        <w:rPr>
          <w:i/>
          <w:iCs/>
          <w:lang w:val="en-US"/>
        </w:rPr>
        <w:t xml:space="preserve"> ABC book.</w:t>
      </w:r>
      <w:r>
        <w:rPr>
          <w:lang w:val="en-US"/>
        </w:rPr>
        <w:t xml:space="preserve"> Bedford: Consortium for Advanced Manufacturing International.</w:t>
      </w:r>
      <w:bookmarkEnd w:id="0"/>
    </w:p>
    <w:sectPr w:rsidR="00BE617E">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E68" w:rsidRDefault="00AB3E68">
      <w:r>
        <w:separator/>
      </w:r>
    </w:p>
  </w:endnote>
  <w:endnote w:type="continuationSeparator" w:id="0">
    <w:p w:rsidR="00AB3E68" w:rsidRDefault="00AB3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E68" w:rsidRDefault="00AB3E68">
      <w:r>
        <w:separator/>
      </w:r>
    </w:p>
  </w:footnote>
  <w:footnote w:type="continuationSeparator" w:id="0">
    <w:p w:rsidR="00AB3E68" w:rsidRDefault="00AB3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E7FC1"/>
    <w:multiLevelType w:val="hybridMultilevel"/>
    <w:tmpl w:val="D9843C88"/>
    <w:styleLink w:val="Numbered"/>
    <w:lvl w:ilvl="0" w:tplc="7E1EE2B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C8E579A">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2892B886">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A0882C84">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1F44E6B4">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19B8FCFC">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DF0C899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D1C88F5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FA8C8A3E">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4A12840"/>
    <w:multiLevelType w:val="hybridMultilevel"/>
    <w:tmpl w:val="D9843C88"/>
    <w:numStyleLink w:val="Numbered"/>
  </w:abstractNum>
  <w:num w:numId="1">
    <w:abstractNumId w:val="0"/>
  </w:num>
  <w:num w:numId="2">
    <w:abstractNumId w:val="1"/>
  </w:num>
  <w:num w:numId="3">
    <w:abstractNumId w:val="1"/>
    <w:lvlOverride w:ilvl="0">
      <w:startOverride w:val="1"/>
    </w:lvlOverride>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17E"/>
    <w:rsid w:val="00353108"/>
    <w:rsid w:val="00436726"/>
    <w:rsid w:val="00AB3E68"/>
    <w:rsid w:val="00BE6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A765D"/>
  <w15:docId w15:val="{4713C222-4FDB-40F8-A2EC-8EC093369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436726"/>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next w:val="Body"/>
    <w:uiPriority w:val="9"/>
    <w:unhideWhenUsed/>
    <w:qFormat/>
    <w:pPr>
      <w:keepNext/>
      <w:outlineLvl w:val="1"/>
    </w:pPr>
    <w:rPr>
      <w:rFonts w:ascii="Helvetica Neue" w:eastAsia="Helvetica Neue" w:hAnsi="Helvetica Neue" w:cs="Helvetica Neue"/>
      <w:b/>
      <w:bCs/>
      <w:color w:val="000000"/>
      <w:sz w:val="32"/>
      <w:szCs w:val="32"/>
      <w14:textOutline w14:w="0" w14:cap="flat" w14:cmpd="sng" w14:algn="ctr">
        <w14:noFill/>
        <w14:prstDash w14:val="solid"/>
        <w14:bevel/>
      </w14:textOutline>
    </w:rPr>
  </w:style>
  <w:style w:type="paragraph" w:styleId="Heading3">
    <w:name w:val="heading 3"/>
    <w:next w:val="Body"/>
    <w:uiPriority w:val="9"/>
    <w:unhideWhenUsed/>
    <w:qFormat/>
    <w:pPr>
      <w:keepNext/>
      <w:pBdr>
        <w:top w:val="single" w:sz="4" w:space="0" w:color="515151"/>
      </w:pBdr>
      <w:spacing w:before="360" w:after="40" w:line="288" w:lineRule="auto"/>
      <w:outlineLvl w:val="2"/>
    </w:pPr>
    <w:rPr>
      <w:rFonts w:ascii="Helvetica Neue" w:eastAsia="Helvetica Neue" w:hAnsi="Helvetica Neue" w:cs="Helvetica Neue"/>
      <w:color w:val="000000"/>
      <w:spacing w:val="5"/>
      <w:sz w:val="28"/>
      <w:szCs w:val="28"/>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Body">
    <w:name w:val="Body"/>
    <w:pPr>
      <w:spacing w:after="200" w:line="360" w:lineRule="auto"/>
      <w:jc w:val="both"/>
    </w:pPr>
    <w:rPr>
      <w:rFonts w:cs="Arial Unicode MS"/>
      <w:color w:val="000000"/>
      <w:sz w:val="24"/>
      <w:szCs w:val="24"/>
      <w:u w:color="000000"/>
      <w14:textOutline w14:w="0" w14:cap="flat" w14:cmpd="sng" w14:algn="ctr">
        <w14:noFill/>
        <w14:prstDash w14:val="solid"/>
        <w14:bevel/>
      </w14:textOutline>
    </w:rPr>
  </w:style>
  <w:style w:type="paragraph" w:customStyle="1" w:styleId="TOC2parent">
    <w:name w:val="TOC 2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2">
    <w:name w:val="toc 2"/>
    <w:basedOn w:val="TOC2parent"/>
    <w:next w:val="TOC2parent"/>
    <w:uiPriority w:val="39"/>
    <w:rPr>
      <w:sz w:val="22"/>
      <w:szCs w:val="22"/>
    </w:rPr>
  </w:style>
  <w:style w:type="paragraph" w:customStyle="1" w:styleId="TOC3parent">
    <w:name w:val="TOC 3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3">
    <w:name w:val="toc 3"/>
    <w:basedOn w:val="TOC3parent"/>
    <w:next w:val="TOC3parent"/>
    <w:uiPriority w:val="39"/>
    <w:rPr>
      <w:sz w:val="22"/>
      <w:szCs w:val="22"/>
    </w:rPr>
  </w:style>
  <w:style w:type="numbering" w:customStyle="1" w:styleId="Numbered">
    <w:name w:val="Numbered"/>
    <w:pPr>
      <w:numPr>
        <w:numId w:val="1"/>
      </w:numPr>
    </w:pPr>
  </w:style>
  <w:style w:type="paragraph" w:styleId="NoSpacing">
    <w:name w:val="No Spacing"/>
    <w:link w:val="NoSpacingChar"/>
    <w:uiPriority w:val="1"/>
    <w:qFormat/>
    <w:rsid w:val="0043672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en-US"/>
    </w:rPr>
  </w:style>
  <w:style w:type="character" w:customStyle="1" w:styleId="NoSpacingChar">
    <w:name w:val="No Spacing Char"/>
    <w:basedOn w:val="DefaultParagraphFont"/>
    <w:link w:val="NoSpacing"/>
    <w:uiPriority w:val="1"/>
    <w:rsid w:val="00436726"/>
    <w:rPr>
      <w:rFonts w:asciiTheme="minorHAnsi" w:eastAsiaTheme="minorEastAsia" w:hAnsiTheme="minorHAnsi" w:cstheme="minorBidi"/>
      <w:sz w:val="22"/>
      <w:szCs w:val="22"/>
      <w:bdr w:val="none" w:sz="0" w:space="0" w:color="auto"/>
      <w:lang w:val="en-US" w:eastAsia="en-US"/>
    </w:rPr>
  </w:style>
  <w:style w:type="character" w:customStyle="1" w:styleId="Heading1Char">
    <w:name w:val="Heading 1 Char"/>
    <w:basedOn w:val="DefaultParagraphFont"/>
    <w:link w:val="Heading1"/>
    <w:uiPriority w:val="9"/>
    <w:rsid w:val="00436726"/>
    <w:rPr>
      <w:rFonts w:asciiTheme="majorHAnsi" w:eastAsiaTheme="majorEastAsia" w:hAnsiTheme="majorHAnsi" w:cstheme="majorBidi"/>
      <w:color w:val="0079BF" w:themeColor="accent1" w:themeShade="BF"/>
      <w:sz w:val="32"/>
      <w:szCs w:val="32"/>
      <w:lang w:val="en-US" w:eastAsia="en-US"/>
    </w:rPr>
  </w:style>
  <w:style w:type="paragraph" w:styleId="TOCHeading">
    <w:name w:val="TOC Heading"/>
    <w:basedOn w:val="Heading1"/>
    <w:next w:val="Normal"/>
    <w:uiPriority w:val="39"/>
    <w:unhideWhenUsed/>
    <w:qFormat/>
    <w:rsid w:val="00436726"/>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6250437">
      <w:bodyDiv w:val="1"/>
      <w:marLeft w:val="0"/>
      <w:marRight w:val="0"/>
      <w:marTop w:val="0"/>
      <w:marBottom w:val="0"/>
      <w:divBdr>
        <w:top w:val="none" w:sz="0" w:space="0" w:color="auto"/>
        <w:left w:val="none" w:sz="0" w:space="0" w:color="auto"/>
        <w:bottom w:val="none" w:sz="0" w:space="0" w:color="auto"/>
        <w:right w:val="none" w:sz="0" w:space="0" w:color="auto"/>
      </w:divBdr>
      <w:divsChild>
        <w:div w:id="1055204827">
          <w:marLeft w:val="0"/>
          <w:marRight w:val="0"/>
          <w:marTop w:val="0"/>
          <w:marBottom w:val="0"/>
          <w:divBdr>
            <w:top w:val="none" w:sz="0" w:space="0" w:color="auto"/>
            <w:left w:val="none" w:sz="0" w:space="0" w:color="auto"/>
            <w:bottom w:val="none" w:sz="0" w:space="0" w:color="auto"/>
            <w:right w:val="none" w:sz="0" w:space="0" w:color="auto"/>
          </w:divBdr>
          <w:divsChild>
            <w:div w:id="816652298">
              <w:marLeft w:val="0"/>
              <w:marRight w:val="0"/>
              <w:marTop w:val="0"/>
              <w:marBottom w:val="0"/>
              <w:divBdr>
                <w:top w:val="none" w:sz="0" w:space="0" w:color="auto"/>
                <w:left w:val="none" w:sz="0" w:space="0" w:color="auto"/>
                <w:bottom w:val="none" w:sz="0" w:space="0" w:color="auto"/>
                <w:right w:val="none" w:sz="0" w:space="0" w:color="auto"/>
              </w:divBdr>
              <w:divsChild>
                <w:div w:id="10494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0" hangingPunct="0">
          <a:lnSpc>
            <a:spcPct val="150000"/>
          </a:lnSpc>
          <a:spcBef>
            <a:spcPts val="100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B822DF-3C4F-4E93-8855-067E0AA68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Verdes, Alexandra</dc:creator>
  <cp:lastModifiedBy>Alexandra, Verdes</cp:lastModifiedBy>
  <cp:revision>2</cp:revision>
  <dcterms:created xsi:type="dcterms:W3CDTF">2022-12-09T08:44:00Z</dcterms:created>
  <dcterms:modified xsi:type="dcterms:W3CDTF">2022-12-09T08:44:00Z</dcterms:modified>
</cp:coreProperties>
</file>