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6FC8F" w14:textId="1848B253" w:rsidR="00AC5834" w:rsidRPr="002421F2" w:rsidRDefault="00AC5834">
      <w:pPr>
        <w:rPr>
          <w:rFonts w:ascii="Arial" w:hAnsi="Arial" w:cs="Arial"/>
          <w:noProof/>
          <w:sz w:val="22"/>
          <w:szCs w:val="22"/>
        </w:rPr>
      </w:pPr>
      <w:r w:rsidRPr="002421F2">
        <w:rPr>
          <w:rFonts w:ascii="Arial" w:hAnsi="Arial" w:cs="Arial"/>
          <w:noProof/>
          <w:sz w:val="22"/>
          <w:szCs w:val="22"/>
        </w:rPr>
        <w:drawing>
          <wp:inline distT="0" distB="0" distL="0" distR="0" wp14:anchorId="3DD640A1" wp14:editId="759D0576">
            <wp:extent cx="4617720" cy="1532718"/>
            <wp:effectExtent l="0" t="0" r="0" b="0"/>
            <wp:docPr id="14645671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9994" cy="1540111"/>
                    </a:xfrm>
                    <a:prstGeom prst="rect">
                      <a:avLst/>
                    </a:prstGeom>
                    <a:noFill/>
                    <a:ln>
                      <a:noFill/>
                    </a:ln>
                  </pic:spPr>
                </pic:pic>
              </a:graphicData>
            </a:graphic>
          </wp:inline>
        </w:drawing>
      </w:r>
    </w:p>
    <w:p w14:paraId="489A2C7C" w14:textId="77777777" w:rsidR="00AC5834" w:rsidRPr="002421F2" w:rsidRDefault="00AC5834">
      <w:pPr>
        <w:rPr>
          <w:rFonts w:ascii="Arial" w:hAnsi="Arial" w:cs="Arial"/>
          <w:sz w:val="22"/>
          <w:szCs w:val="22"/>
        </w:rPr>
      </w:pPr>
    </w:p>
    <w:p w14:paraId="12370D34" w14:textId="77777777" w:rsidR="00AC5834" w:rsidRPr="002421F2" w:rsidRDefault="00AC5834">
      <w:pPr>
        <w:rPr>
          <w:rFonts w:ascii="Arial" w:hAnsi="Arial" w:cs="Arial"/>
          <w:sz w:val="22"/>
          <w:szCs w:val="22"/>
        </w:rPr>
      </w:pPr>
    </w:p>
    <w:p w14:paraId="21AB3BF8" w14:textId="77777777" w:rsidR="00AC5834" w:rsidRPr="002421F2" w:rsidRDefault="00AC5834">
      <w:pPr>
        <w:rPr>
          <w:rFonts w:ascii="Arial" w:hAnsi="Arial" w:cs="Arial"/>
          <w:sz w:val="22"/>
          <w:szCs w:val="22"/>
        </w:rPr>
      </w:pPr>
    </w:p>
    <w:p w14:paraId="43C05B2F" w14:textId="77777777" w:rsidR="00AC5834" w:rsidRPr="002421F2" w:rsidRDefault="00AC5834">
      <w:pPr>
        <w:rPr>
          <w:rFonts w:ascii="Arial" w:hAnsi="Arial" w:cs="Arial"/>
          <w:sz w:val="22"/>
          <w:szCs w:val="22"/>
        </w:rPr>
      </w:pPr>
    </w:p>
    <w:p w14:paraId="00DE9EAC" w14:textId="11D7D015" w:rsidR="00AC5834" w:rsidRPr="002421F2" w:rsidRDefault="00AC5834" w:rsidP="00AC5834">
      <w:pPr>
        <w:rPr>
          <w:rFonts w:ascii="Arial" w:hAnsi="Arial" w:cs="Arial"/>
          <w:sz w:val="22"/>
          <w:szCs w:val="22"/>
        </w:rPr>
      </w:pPr>
      <w:r w:rsidRPr="002421F2">
        <w:rPr>
          <w:rFonts w:ascii="Arial" w:hAnsi="Arial" w:cs="Arial"/>
          <w:b/>
          <w:bCs/>
          <w:sz w:val="22"/>
          <w:szCs w:val="22"/>
        </w:rPr>
        <w:t xml:space="preserve">Student Name: </w:t>
      </w:r>
      <w:r w:rsidRPr="002421F2">
        <w:rPr>
          <w:rFonts w:ascii="Arial" w:hAnsi="Arial" w:cs="Arial"/>
          <w:sz w:val="22"/>
          <w:szCs w:val="22"/>
        </w:rPr>
        <w:t>Pablo Model Rodrigues</w:t>
      </w:r>
    </w:p>
    <w:p w14:paraId="1A0D4C7B" w14:textId="0B3BD7F0" w:rsidR="00AC5834" w:rsidRPr="002421F2" w:rsidRDefault="00AC5834" w:rsidP="00AC5834">
      <w:pPr>
        <w:rPr>
          <w:rFonts w:ascii="Arial" w:hAnsi="Arial" w:cs="Arial"/>
          <w:sz w:val="22"/>
          <w:szCs w:val="22"/>
        </w:rPr>
      </w:pPr>
      <w:r w:rsidRPr="002421F2">
        <w:rPr>
          <w:rFonts w:ascii="Arial" w:hAnsi="Arial" w:cs="Arial"/>
          <w:b/>
          <w:bCs/>
          <w:sz w:val="22"/>
          <w:szCs w:val="22"/>
        </w:rPr>
        <w:t xml:space="preserve">Student ID: </w:t>
      </w:r>
      <w:r w:rsidRPr="002421F2">
        <w:rPr>
          <w:rFonts w:ascii="Arial" w:hAnsi="Arial" w:cs="Arial"/>
          <w:sz w:val="22"/>
          <w:szCs w:val="22"/>
        </w:rPr>
        <w:t>2503092</w:t>
      </w:r>
    </w:p>
    <w:p w14:paraId="1493873E" w14:textId="28EED89A" w:rsidR="00AC5834" w:rsidRPr="002421F2" w:rsidRDefault="00AC5834" w:rsidP="00AC5834">
      <w:pPr>
        <w:rPr>
          <w:rFonts w:ascii="Arial" w:hAnsi="Arial" w:cs="Arial"/>
          <w:sz w:val="22"/>
          <w:szCs w:val="22"/>
        </w:rPr>
      </w:pPr>
      <w:r w:rsidRPr="002421F2">
        <w:rPr>
          <w:rFonts w:ascii="Arial" w:hAnsi="Arial" w:cs="Arial"/>
          <w:b/>
          <w:bCs/>
          <w:sz w:val="22"/>
          <w:szCs w:val="22"/>
        </w:rPr>
        <w:t>Programme:</w:t>
      </w:r>
      <w:r w:rsidRPr="002421F2">
        <w:rPr>
          <w:rFonts w:ascii="Arial" w:hAnsi="Arial" w:cs="Arial"/>
          <w:sz w:val="22"/>
          <w:szCs w:val="22"/>
        </w:rPr>
        <w:t xml:space="preserve"> </w:t>
      </w:r>
      <w:r w:rsidR="009B0899" w:rsidRPr="002421F2">
        <w:rPr>
          <w:rFonts w:ascii="Arial" w:hAnsi="Arial" w:cs="Arial"/>
          <w:sz w:val="22"/>
          <w:szCs w:val="22"/>
        </w:rPr>
        <w:t>BEng Automotive/Motorcycle/Motorsport Engineering</w:t>
      </w:r>
    </w:p>
    <w:p w14:paraId="7AB80699" w14:textId="346B055E" w:rsidR="00AC5834" w:rsidRPr="002421F2" w:rsidRDefault="00AC5834" w:rsidP="00AC5834">
      <w:pPr>
        <w:rPr>
          <w:rFonts w:ascii="Arial" w:hAnsi="Arial" w:cs="Arial"/>
          <w:sz w:val="22"/>
          <w:szCs w:val="22"/>
        </w:rPr>
      </w:pPr>
      <w:r w:rsidRPr="002421F2">
        <w:rPr>
          <w:rFonts w:ascii="Arial" w:hAnsi="Arial" w:cs="Arial"/>
          <w:b/>
          <w:bCs/>
          <w:sz w:val="22"/>
          <w:szCs w:val="22"/>
        </w:rPr>
        <w:t>Module Code:</w:t>
      </w:r>
      <w:r w:rsidRPr="002421F2">
        <w:rPr>
          <w:rFonts w:ascii="Arial" w:hAnsi="Arial" w:cs="Arial"/>
          <w:sz w:val="22"/>
          <w:szCs w:val="22"/>
        </w:rPr>
        <w:t xml:space="preserve"> ACHA402</w:t>
      </w:r>
      <w:r w:rsidR="009B0899" w:rsidRPr="002421F2">
        <w:rPr>
          <w:rFonts w:ascii="Arial" w:hAnsi="Arial" w:cs="Arial"/>
          <w:sz w:val="22"/>
          <w:szCs w:val="22"/>
        </w:rPr>
        <w:t>5</w:t>
      </w:r>
    </w:p>
    <w:p w14:paraId="40E93064" w14:textId="0798561B" w:rsidR="009B0899" w:rsidRPr="002421F2" w:rsidRDefault="00AC5834" w:rsidP="00AC5834">
      <w:pPr>
        <w:rPr>
          <w:rFonts w:ascii="Arial" w:hAnsi="Arial" w:cs="Arial"/>
          <w:sz w:val="22"/>
          <w:szCs w:val="22"/>
        </w:rPr>
      </w:pPr>
      <w:r w:rsidRPr="002421F2">
        <w:rPr>
          <w:rFonts w:ascii="Arial" w:hAnsi="Arial" w:cs="Arial"/>
          <w:b/>
          <w:bCs/>
          <w:sz w:val="22"/>
          <w:szCs w:val="22"/>
        </w:rPr>
        <w:t>Assignment Title:</w:t>
      </w:r>
      <w:r w:rsidRPr="002421F2">
        <w:rPr>
          <w:rFonts w:ascii="Arial" w:hAnsi="Arial" w:cs="Arial"/>
          <w:sz w:val="22"/>
          <w:szCs w:val="22"/>
        </w:rPr>
        <w:t xml:space="preserve"> </w:t>
      </w:r>
      <w:r w:rsidR="009B0899" w:rsidRPr="002421F2">
        <w:rPr>
          <w:rFonts w:ascii="Arial" w:hAnsi="Arial" w:cs="Arial"/>
          <w:bCs/>
          <w:sz w:val="22"/>
          <w:szCs w:val="22"/>
        </w:rPr>
        <w:t>Engineering Materials</w:t>
      </w:r>
    </w:p>
    <w:p w14:paraId="7D2B6185" w14:textId="49A49588" w:rsidR="00AC5834" w:rsidRPr="002421F2" w:rsidRDefault="00AC5834" w:rsidP="00AC5834">
      <w:pPr>
        <w:rPr>
          <w:rFonts w:ascii="Arial" w:hAnsi="Arial" w:cs="Arial"/>
          <w:sz w:val="22"/>
          <w:szCs w:val="22"/>
        </w:rPr>
      </w:pPr>
    </w:p>
    <w:p w14:paraId="4693425A" w14:textId="77777777" w:rsidR="00AC5834" w:rsidRPr="002421F2" w:rsidRDefault="00AC5834">
      <w:pPr>
        <w:rPr>
          <w:rFonts w:ascii="Arial" w:hAnsi="Arial" w:cs="Arial"/>
          <w:sz w:val="22"/>
          <w:szCs w:val="22"/>
        </w:rPr>
      </w:pPr>
    </w:p>
    <w:p w14:paraId="513EC027" w14:textId="77777777" w:rsidR="00AC5834" w:rsidRPr="002421F2" w:rsidRDefault="00AC5834">
      <w:pPr>
        <w:rPr>
          <w:rFonts w:ascii="Arial" w:hAnsi="Arial" w:cs="Arial"/>
          <w:sz w:val="22"/>
          <w:szCs w:val="22"/>
        </w:rPr>
      </w:pPr>
    </w:p>
    <w:p w14:paraId="159904C8" w14:textId="77777777" w:rsidR="00AC5834" w:rsidRPr="002421F2" w:rsidRDefault="00AC5834">
      <w:pPr>
        <w:rPr>
          <w:rFonts w:ascii="Arial" w:hAnsi="Arial" w:cs="Arial"/>
          <w:sz w:val="22"/>
          <w:szCs w:val="22"/>
        </w:rPr>
      </w:pPr>
    </w:p>
    <w:p w14:paraId="381B8B0F" w14:textId="77777777" w:rsidR="00AC5834" w:rsidRPr="002421F2" w:rsidRDefault="00AC5834">
      <w:pPr>
        <w:rPr>
          <w:rFonts w:ascii="Arial" w:hAnsi="Arial" w:cs="Arial"/>
          <w:sz w:val="22"/>
          <w:szCs w:val="22"/>
        </w:rPr>
      </w:pPr>
    </w:p>
    <w:p w14:paraId="44A8EAA4" w14:textId="77777777" w:rsidR="00AC5834" w:rsidRPr="002421F2" w:rsidRDefault="00AC5834">
      <w:pPr>
        <w:rPr>
          <w:rFonts w:ascii="Arial" w:hAnsi="Arial" w:cs="Arial"/>
          <w:sz w:val="22"/>
          <w:szCs w:val="22"/>
        </w:rPr>
      </w:pPr>
    </w:p>
    <w:p w14:paraId="3B61953B" w14:textId="77777777" w:rsidR="00AC5834" w:rsidRPr="002421F2" w:rsidRDefault="00AC5834">
      <w:pPr>
        <w:rPr>
          <w:rFonts w:ascii="Arial" w:hAnsi="Arial" w:cs="Arial"/>
          <w:sz w:val="22"/>
          <w:szCs w:val="22"/>
        </w:rPr>
      </w:pPr>
    </w:p>
    <w:p w14:paraId="7EACE6CE" w14:textId="77777777" w:rsidR="00AC5834" w:rsidRPr="002421F2" w:rsidRDefault="00AC5834">
      <w:pPr>
        <w:rPr>
          <w:rFonts w:ascii="Arial" w:hAnsi="Arial" w:cs="Arial"/>
          <w:sz w:val="22"/>
          <w:szCs w:val="22"/>
        </w:rPr>
      </w:pPr>
    </w:p>
    <w:p w14:paraId="34CED18D" w14:textId="77777777" w:rsidR="00AC5834" w:rsidRPr="002421F2" w:rsidRDefault="00AC5834">
      <w:pPr>
        <w:rPr>
          <w:rFonts w:ascii="Arial" w:hAnsi="Arial" w:cs="Arial"/>
          <w:sz w:val="22"/>
          <w:szCs w:val="22"/>
        </w:rPr>
      </w:pPr>
    </w:p>
    <w:p w14:paraId="14BABD9F" w14:textId="77777777" w:rsidR="00AC5834" w:rsidRPr="002421F2" w:rsidRDefault="00AC5834">
      <w:pPr>
        <w:rPr>
          <w:rFonts w:ascii="Arial" w:hAnsi="Arial" w:cs="Arial"/>
          <w:sz w:val="22"/>
          <w:szCs w:val="22"/>
        </w:rPr>
      </w:pPr>
    </w:p>
    <w:p w14:paraId="0AA9248B" w14:textId="77777777" w:rsidR="00AC5834" w:rsidRPr="002421F2" w:rsidRDefault="00AC5834">
      <w:pPr>
        <w:rPr>
          <w:rFonts w:ascii="Arial" w:hAnsi="Arial" w:cs="Arial"/>
          <w:sz w:val="22"/>
          <w:szCs w:val="22"/>
        </w:rPr>
      </w:pPr>
    </w:p>
    <w:p w14:paraId="0A4CF6D3" w14:textId="77777777" w:rsidR="00AC5834" w:rsidRPr="002421F2" w:rsidRDefault="00AC5834">
      <w:pPr>
        <w:rPr>
          <w:rFonts w:ascii="Arial" w:hAnsi="Arial" w:cs="Arial"/>
          <w:sz w:val="22"/>
          <w:szCs w:val="22"/>
        </w:rPr>
      </w:pPr>
    </w:p>
    <w:p w14:paraId="4AEB4862" w14:textId="77777777" w:rsidR="00AC5834" w:rsidRPr="002421F2" w:rsidRDefault="00AC5834">
      <w:pPr>
        <w:rPr>
          <w:rFonts w:ascii="Arial" w:hAnsi="Arial" w:cs="Arial"/>
          <w:sz w:val="22"/>
          <w:szCs w:val="22"/>
        </w:rPr>
      </w:pPr>
    </w:p>
    <w:p w14:paraId="06B22558" w14:textId="77777777" w:rsidR="00A57A36" w:rsidRPr="002421F2" w:rsidRDefault="00A57A36" w:rsidP="00873C23">
      <w:pPr>
        <w:rPr>
          <w:rFonts w:ascii="Arial" w:hAnsi="Arial" w:cs="Arial"/>
          <w:b/>
          <w:bCs/>
          <w:sz w:val="22"/>
          <w:szCs w:val="22"/>
        </w:rPr>
      </w:pPr>
    </w:p>
    <w:p w14:paraId="2CFFEFBE" w14:textId="21374F01" w:rsidR="003E75AF" w:rsidRPr="002421F2" w:rsidRDefault="003E75AF">
      <w:pPr>
        <w:rPr>
          <w:rFonts w:ascii="Arial" w:hAnsi="Arial" w:cs="Arial"/>
          <w:b/>
          <w:bCs/>
          <w:sz w:val="22"/>
          <w:szCs w:val="22"/>
        </w:rPr>
      </w:pPr>
      <w:r w:rsidRPr="002421F2">
        <w:rPr>
          <w:rFonts w:ascii="Arial" w:hAnsi="Arial" w:cs="Arial"/>
          <w:b/>
          <w:bCs/>
          <w:sz w:val="22"/>
          <w:szCs w:val="22"/>
        </w:rPr>
        <w:br w:type="page"/>
      </w:r>
    </w:p>
    <w:sdt>
      <w:sdtPr>
        <w:rPr>
          <w:rFonts w:ascii="Arial" w:eastAsiaTheme="minorHAnsi" w:hAnsi="Arial" w:cs="Arial"/>
          <w:color w:val="auto"/>
          <w:kern w:val="2"/>
          <w:sz w:val="24"/>
          <w:szCs w:val="24"/>
          <w:lang w:val="en-IO"/>
          <w14:ligatures w14:val="standardContextual"/>
        </w:rPr>
        <w:id w:val="1988052110"/>
        <w:docPartObj>
          <w:docPartGallery w:val="Table of Contents"/>
          <w:docPartUnique/>
        </w:docPartObj>
      </w:sdtPr>
      <w:sdtEndPr>
        <w:rPr>
          <w:b/>
          <w:bCs/>
          <w:noProof/>
        </w:rPr>
      </w:sdtEndPr>
      <w:sdtContent>
        <w:p w14:paraId="2EE91756" w14:textId="2C91F269" w:rsidR="003E75AF" w:rsidRPr="002421F2" w:rsidRDefault="003E75AF" w:rsidP="00517111">
          <w:pPr>
            <w:pStyle w:val="TOCHeading"/>
            <w:tabs>
              <w:tab w:val="right" w:pos="8504"/>
            </w:tabs>
            <w:rPr>
              <w:rFonts w:ascii="Arial" w:hAnsi="Arial" w:cs="Arial"/>
              <w:b/>
              <w:bCs/>
              <w:sz w:val="24"/>
              <w:szCs w:val="24"/>
            </w:rPr>
          </w:pPr>
          <w:r w:rsidRPr="002421F2">
            <w:rPr>
              <w:rFonts w:ascii="Arial" w:hAnsi="Arial" w:cs="Arial"/>
              <w:b/>
              <w:bCs/>
              <w:sz w:val="24"/>
              <w:szCs w:val="24"/>
            </w:rPr>
            <w:t>Table of Contents</w:t>
          </w:r>
          <w:r w:rsidR="00517111" w:rsidRPr="002421F2">
            <w:rPr>
              <w:rFonts w:ascii="Arial" w:hAnsi="Arial" w:cs="Arial"/>
              <w:b/>
              <w:bCs/>
              <w:sz w:val="24"/>
              <w:szCs w:val="24"/>
            </w:rPr>
            <w:tab/>
          </w:r>
        </w:p>
        <w:p w14:paraId="7454E785" w14:textId="05CE1652" w:rsidR="002421F2" w:rsidRDefault="003E75AF">
          <w:pPr>
            <w:pStyle w:val="TOC1"/>
            <w:tabs>
              <w:tab w:val="right" w:leader="dot" w:pos="8494"/>
            </w:tabs>
            <w:rPr>
              <w:rFonts w:eastAsiaTheme="minorEastAsia"/>
              <w:noProof/>
              <w:lang w:eastAsia="en-IO"/>
            </w:rPr>
          </w:pPr>
          <w:r w:rsidRPr="002421F2">
            <w:rPr>
              <w:rFonts w:ascii="Arial" w:hAnsi="Arial" w:cs="Arial"/>
            </w:rPr>
            <w:fldChar w:fldCharType="begin"/>
          </w:r>
          <w:r w:rsidRPr="002421F2">
            <w:rPr>
              <w:rFonts w:ascii="Arial" w:hAnsi="Arial" w:cs="Arial"/>
            </w:rPr>
            <w:instrText xml:space="preserve"> TOC \o "1-3" \h \z \u </w:instrText>
          </w:r>
          <w:r w:rsidRPr="002421F2">
            <w:rPr>
              <w:rFonts w:ascii="Arial" w:hAnsi="Arial" w:cs="Arial"/>
            </w:rPr>
            <w:fldChar w:fldCharType="separate"/>
          </w:r>
          <w:hyperlink w:anchor="_Toc227311363" w:history="1">
            <w:r w:rsidR="002421F2" w:rsidRPr="00E72877">
              <w:rPr>
                <w:rStyle w:val="Hyperlink"/>
                <w:rFonts w:ascii="Arial" w:hAnsi="Arial" w:cs="Arial"/>
                <w:b/>
                <w:bCs/>
                <w:noProof/>
              </w:rPr>
              <w:t>1.0 Introduction</w:t>
            </w:r>
            <w:r w:rsidR="002421F2">
              <w:rPr>
                <w:noProof/>
                <w:webHidden/>
              </w:rPr>
              <w:tab/>
            </w:r>
            <w:r w:rsidR="002421F2">
              <w:rPr>
                <w:noProof/>
                <w:webHidden/>
              </w:rPr>
              <w:fldChar w:fldCharType="begin"/>
            </w:r>
            <w:r w:rsidR="002421F2">
              <w:rPr>
                <w:noProof/>
                <w:webHidden/>
              </w:rPr>
              <w:instrText xml:space="preserve"> PAGEREF _Toc227311363 \h </w:instrText>
            </w:r>
            <w:r w:rsidR="002421F2">
              <w:rPr>
                <w:noProof/>
                <w:webHidden/>
              </w:rPr>
            </w:r>
            <w:r w:rsidR="002421F2">
              <w:rPr>
                <w:noProof/>
                <w:webHidden/>
              </w:rPr>
              <w:fldChar w:fldCharType="separate"/>
            </w:r>
            <w:r w:rsidR="002421F2">
              <w:rPr>
                <w:noProof/>
                <w:webHidden/>
              </w:rPr>
              <w:t>3</w:t>
            </w:r>
            <w:r w:rsidR="002421F2">
              <w:rPr>
                <w:noProof/>
                <w:webHidden/>
              </w:rPr>
              <w:fldChar w:fldCharType="end"/>
            </w:r>
          </w:hyperlink>
        </w:p>
        <w:p w14:paraId="7842D89E" w14:textId="4A9A90C9" w:rsidR="002421F2" w:rsidRDefault="002421F2">
          <w:pPr>
            <w:pStyle w:val="TOC1"/>
            <w:tabs>
              <w:tab w:val="right" w:leader="dot" w:pos="8494"/>
            </w:tabs>
            <w:rPr>
              <w:rFonts w:eastAsiaTheme="minorEastAsia"/>
              <w:noProof/>
              <w:lang w:eastAsia="en-IO"/>
            </w:rPr>
          </w:pPr>
          <w:hyperlink w:anchor="_Toc227311364" w:history="1">
            <w:r w:rsidRPr="00E72877">
              <w:rPr>
                <w:rStyle w:val="Hyperlink"/>
                <w:rFonts w:ascii="Arial" w:hAnsi="Arial" w:cs="Arial"/>
                <w:b/>
                <w:bCs/>
                <w:noProof/>
              </w:rPr>
              <w:t>1.1 Literature review</w:t>
            </w:r>
            <w:r>
              <w:rPr>
                <w:noProof/>
                <w:webHidden/>
              </w:rPr>
              <w:tab/>
            </w:r>
            <w:r>
              <w:rPr>
                <w:noProof/>
                <w:webHidden/>
              </w:rPr>
              <w:fldChar w:fldCharType="begin"/>
            </w:r>
            <w:r>
              <w:rPr>
                <w:noProof/>
                <w:webHidden/>
              </w:rPr>
              <w:instrText xml:space="preserve"> PAGEREF _Toc227311364 \h </w:instrText>
            </w:r>
            <w:r>
              <w:rPr>
                <w:noProof/>
                <w:webHidden/>
              </w:rPr>
            </w:r>
            <w:r>
              <w:rPr>
                <w:noProof/>
                <w:webHidden/>
              </w:rPr>
              <w:fldChar w:fldCharType="separate"/>
            </w:r>
            <w:r>
              <w:rPr>
                <w:noProof/>
                <w:webHidden/>
              </w:rPr>
              <w:t>4</w:t>
            </w:r>
            <w:r>
              <w:rPr>
                <w:noProof/>
                <w:webHidden/>
              </w:rPr>
              <w:fldChar w:fldCharType="end"/>
            </w:r>
          </w:hyperlink>
        </w:p>
        <w:p w14:paraId="377D169E" w14:textId="79CC3706" w:rsidR="002421F2" w:rsidRDefault="002421F2">
          <w:pPr>
            <w:pStyle w:val="TOC1"/>
            <w:tabs>
              <w:tab w:val="right" w:leader="dot" w:pos="8494"/>
            </w:tabs>
            <w:rPr>
              <w:rFonts w:eastAsiaTheme="minorEastAsia"/>
              <w:noProof/>
              <w:lang w:eastAsia="en-IO"/>
            </w:rPr>
          </w:pPr>
          <w:hyperlink w:anchor="_Toc227311365" w:history="1">
            <w:r w:rsidRPr="00E72877">
              <w:rPr>
                <w:rStyle w:val="Hyperlink"/>
                <w:rFonts w:ascii="Arial" w:hAnsi="Arial" w:cs="Arial"/>
                <w:b/>
                <w:bCs/>
                <w:noProof/>
              </w:rPr>
              <w:t>1.2 Methodology</w:t>
            </w:r>
            <w:r>
              <w:rPr>
                <w:noProof/>
                <w:webHidden/>
              </w:rPr>
              <w:tab/>
            </w:r>
            <w:r>
              <w:rPr>
                <w:noProof/>
                <w:webHidden/>
              </w:rPr>
              <w:fldChar w:fldCharType="begin"/>
            </w:r>
            <w:r>
              <w:rPr>
                <w:noProof/>
                <w:webHidden/>
              </w:rPr>
              <w:instrText xml:space="preserve"> PAGEREF _Toc227311365 \h </w:instrText>
            </w:r>
            <w:r>
              <w:rPr>
                <w:noProof/>
                <w:webHidden/>
              </w:rPr>
            </w:r>
            <w:r>
              <w:rPr>
                <w:noProof/>
                <w:webHidden/>
              </w:rPr>
              <w:fldChar w:fldCharType="separate"/>
            </w:r>
            <w:r>
              <w:rPr>
                <w:noProof/>
                <w:webHidden/>
              </w:rPr>
              <w:t>5</w:t>
            </w:r>
            <w:r>
              <w:rPr>
                <w:noProof/>
                <w:webHidden/>
              </w:rPr>
              <w:fldChar w:fldCharType="end"/>
            </w:r>
          </w:hyperlink>
        </w:p>
        <w:p w14:paraId="54D9708E" w14:textId="6B5E5F74" w:rsidR="002421F2" w:rsidRDefault="002421F2">
          <w:pPr>
            <w:pStyle w:val="TOC1"/>
            <w:tabs>
              <w:tab w:val="right" w:leader="dot" w:pos="8494"/>
            </w:tabs>
            <w:rPr>
              <w:rFonts w:eastAsiaTheme="minorEastAsia"/>
              <w:noProof/>
              <w:lang w:eastAsia="en-IO"/>
            </w:rPr>
          </w:pPr>
          <w:hyperlink w:anchor="_Toc227311366" w:history="1">
            <w:r w:rsidRPr="00E72877">
              <w:rPr>
                <w:rStyle w:val="Hyperlink"/>
                <w:rFonts w:ascii="Arial" w:hAnsi="Arial" w:cs="Arial"/>
                <w:b/>
                <w:bCs/>
                <w:noProof/>
              </w:rPr>
              <w:t>1.3 Analysis</w:t>
            </w:r>
            <w:r>
              <w:rPr>
                <w:noProof/>
                <w:webHidden/>
              </w:rPr>
              <w:tab/>
            </w:r>
            <w:r>
              <w:rPr>
                <w:noProof/>
                <w:webHidden/>
              </w:rPr>
              <w:fldChar w:fldCharType="begin"/>
            </w:r>
            <w:r>
              <w:rPr>
                <w:noProof/>
                <w:webHidden/>
              </w:rPr>
              <w:instrText xml:space="preserve"> PAGEREF _Toc227311366 \h </w:instrText>
            </w:r>
            <w:r>
              <w:rPr>
                <w:noProof/>
                <w:webHidden/>
              </w:rPr>
            </w:r>
            <w:r>
              <w:rPr>
                <w:noProof/>
                <w:webHidden/>
              </w:rPr>
              <w:fldChar w:fldCharType="separate"/>
            </w:r>
            <w:r>
              <w:rPr>
                <w:noProof/>
                <w:webHidden/>
              </w:rPr>
              <w:t>6</w:t>
            </w:r>
            <w:r>
              <w:rPr>
                <w:noProof/>
                <w:webHidden/>
              </w:rPr>
              <w:fldChar w:fldCharType="end"/>
            </w:r>
          </w:hyperlink>
        </w:p>
        <w:p w14:paraId="34BFEA87" w14:textId="500568A5" w:rsidR="002421F2" w:rsidRDefault="002421F2">
          <w:pPr>
            <w:pStyle w:val="TOC1"/>
            <w:tabs>
              <w:tab w:val="right" w:leader="dot" w:pos="8494"/>
            </w:tabs>
            <w:rPr>
              <w:rFonts w:eastAsiaTheme="minorEastAsia"/>
              <w:noProof/>
              <w:lang w:eastAsia="en-IO"/>
            </w:rPr>
          </w:pPr>
          <w:hyperlink w:anchor="_Toc227311367" w:history="1">
            <w:r w:rsidRPr="00E72877">
              <w:rPr>
                <w:rStyle w:val="Hyperlink"/>
                <w:rFonts w:ascii="Arial" w:hAnsi="Arial" w:cs="Arial"/>
                <w:b/>
                <w:bCs/>
                <w:noProof/>
              </w:rPr>
              <w:t>1.4 Conclusion</w:t>
            </w:r>
            <w:r>
              <w:rPr>
                <w:noProof/>
                <w:webHidden/>
              </w:rPr>
              <w:tab/>
            </w:r>
            <w:r>
              <w:rPr>
                <w:noProof/>
                <w:webHidden/>
              </w:rPr>
              <w:fldChar w:fldCharType="begin"/>
            </w:r>
            <w:r>
              <w:rPr>
                <w:noProof/>
                <w:webHidden/>
              </w:rPr>
              <w:instrText xml:space="preserve"> PAGEREF _Toc227311367 \h </w:instrText>
            </w:r>
            <w:r>
              <w:rPr>
                <w:noProof/>
                <w:webHidden/>
              </w:rPr>
            </w:r>
            <w:r>
              <w:rPr>
                <w:noProof/>
                <w:webHidden/>
              </w:rPr>
              <w:fldChar w:fldCharType="separate"/>
            </w:r>
            <w:r>
              <w:rPr>
                <w:noProof/>
                <w:webHidden/>
              </w:rPr>
              <w:t>9</w:t>
            </w:r>
            <w:r>
              <w:rPr>
                <w:noProof/>
                <w:webHidden/>
              </w:rPr>
              <w:fldChar w:fldCharType="end"/>
            </w:r>
          </w:hyperlink>
        </w:p>
        <w:p w14:paraId="419508F2" w14:textId="789257D4" w:rsidR="002421F2" w:rsidRDefault="002421F2">
          <w:pPr>
            <w:pStyle w:val="TOC1"/>
            <w:tabs>
              <w:tab w:val="right" w:leader="dot" w:pos="8494"/>
            </w:tabs>
            <w:rPr>
              <w:rFonts w:eastAsiaTheme="minorEastAsia"/>
              <w:noProof/>
              <w:lang w:eastAsia="en-IO"/>
            </w:rPr>
          </w:pPr>
          <w:hyperlink w:anchor="_Toc227311368" w:history="1">
            <w:r w:rsidRPr="00E72877">
              <w:rPr>
                <w:rStyle w:val="Hyperlink"/>
                <w:rFonts w:ascii="Arial" w:hAnsi="Arial" w:cs="Arial"/>
                <w:b/>
                <w:bCs/>
                <w:noProof/>
              </w:rPr>
              <w:t>1.5 Reference list</w:t>
            </w:r>
            <w:r>
              <w:rPr>
                <w:noProof/>
                <w:webHidden/>
              </w:rPr>
              <w:tab/>
            </w:r>
            <w:r>
              <w:rPr>
                <w:noProof/>
                <w:webHidden/>
              </w:rPr>
              <w:fldChar w:fldCharType="begin"/>
            </w:r>
            <w:r>
              <w:rPr>
                <w:noProof/>
                <w:webHidden/>
              </w:rPr>
              <w:instrText xml:space="preserve"> PAGEREF _Toc227311368 \h </w:instrText>
            </w:r>
            <w:r>
              <w:rPr>
                <w:noProof/>
                <w:webHidden/>
              </w:rPr>
            </w:r>
            <w:r>
              <w:rPr>
                <w:noProof/>
                <w:webHidden/>
              </w:rPr>
              <w:fldChar w:fldCharType="separate"/>
            </w:r>
            <w:r>
              <w:rPr>
                <w:noProof/>
                <w:webHidden/>
              </w:rPr>
              <w:t>10</w:t>
            </w:r>
            <w:r>
              <w:rPr>
                <w:noProof/>
                <w:webHidden/>
              </w:rPr>
              <w:fldChar w:fldCharType="end"/>
            </w:r>
          </w:hyperlink>
        </w:p>
        <w:p w14:paraId="3F311CE1" w14:textId="0D8505D5" w:rsidR="003E75AF" w:rsidRPr="002421F2" w:rsidRDefault="003E75AF">
          <w:pPr>
            <w:rPr>
              <w:rFonts w:ascii="Arial" w:hAnsi="Arial" w:cs="Arial"/>
            </w:rPr>
          </w:pPr>
          <w:r w:rsidRPr="002421F2">
            <w:rPr>
              <w:rFonts w:ascii="Arial" w:hAnsi="Arial" w:cs="Arial"/>
              <w:b/>
              <w:bCs/>
              <w:noProof/>
            </w:rPr>
            <w:fldChar w:fldCharType="end"/>
          </w:r>
        </w:p>
      </w:sdtContent>
    </w:sdt>
    <w:p w14:paraId="0F5C0B08" w14:textId="77777777" w:rsidR="00C46ABD" w:rsidRPr="002421F2" w:rsidRDefault="003E75AF" w:rsidP="00C46ABD">
      <w:pPr>
        <w:rPr>
          <w:rFonts w:ascii="Arial" w:hAnsi="Arial" w:cs="Arial"/>
        </w:rPr>
      </w:pPr>
      <w:r w:rsidRPr="002421F2">
        <w:rPr>
          <w:rFonts w:ascii="Arial" w:hAnsi="Arial" w:cs="Arial"/>
        </w:rPr>
        <w:br w:type="page"/>
      </w:r>
    </w:p>
    <w:p w14:paraId="387EA8F6" w14:textId="4BC7B229" w:rsidR="00C46ABD" w:rsidRPr="002421F2" w:rsidRDefault="00C46ABD" w:rsidP="00C46ABD">
      <w:pPr>
        <w:pStyle w:val="Heading1"/>
        <w:rPr>
          <w:rFonts w:ascii="Arial" w:hAnsi="Arial" w:cs="Arial"/>
          <w:b/>
          <w:bCs/>
          <w:color w:val="000000" w:themeColor="text1"/>
          <w:sz w:val="24"/>
          <w:szCs w:val="24"/>
        </w:rPr>
      </w:pPr>
      <w:bookmarkStart w:id="0" w:name="_Toc227311363"/>
      <w:r w:rsidRPr="002421F2">
        <w:rPr>
          <w:rFonts w:ascii="Arial" w:hAnsi="Arial" w:cs="Arial"/>
          <w:b/>
          <w:bCs/>
          <w:color w:val="000000" w:themeColor="text1"/>
          <w:sz w:val="24"/>
          <w:szCs w:val="24"/>
        </w:rPr>
        <w:lastRenderedPageBreak/>
        <w:t>1.0 Introduction</w:t>
      </w:r>
      <w:bookmarkEnd w:id="0"/>
    </w:p>
    <w:p w14:paraId="143DD51E" w14:textId="77777777" w:rsidR="00C46ABD" w:rsidRPr="002421F2" w:rsidRDefault="00C46ABD" w:rsidP="00C46ABD">
      <w:pPr>
        <w:rPr>
          <w:rFonts w:ascii="Arial" w:hAnsi="Arial" w:cs="Arial"/>
        </w:rPr>
      </w:pPr>
    </w:p>
    <w:p w14:paraId="6A2E3D81" w14:textId="6E24C8F2" w:rsidR="00C46ABD" w:rsidRPr="002421F2" w:rsidRDefault="00C46ABD" w:rsidP="00C46ABD">
      <w:pPr>
        <w:rPr>
          <w:rFonts w:ascii="Arial" w:hAnsi="Arial" w:cs="Arial"/>
          <w:sz w:val="22"/>
          <w:szCs w:val="22"/>
        </w:rPr>
      </w:pPr>
      <w:r w:rsidRPr="002421F2">
        <w:rPr>
          <w:rFonts w:ascii="Arial" w:hAnsi="Arial" w:cs="Arial"/>
          <w:sz w:val="22"/>
          <w:szCs w:val="22"/>
        </w:rPr>
        <w:t>In motorsport environments such as the Dakar Rally, mechanical components are exposed to very high loads, vibrations and harsh working conditions. Because of this, it is important that the materials used are strong and reliable enough to avoid failure. If a component fails, it can lead to serious problems like loss of performance, damage to the system and possible safety risks (Ashby &amp; Jones, 2012).</w:t>
      </w:r>
    </w:p>
    <w:p w14:paraId="0AFA6F50" w14:textId="77777777" w:rsidR="00C46ABD" w:rsidRPr="002421F2" w:rsidRDefault="00C46ABD" w:rsidP="00C46ABD">
      <w:pPr>
        <w:rPr>
          <w:rFonts w:ascii="Arial" w:hAnsi="Arial" w:cs="Arial"/>
          <w:sz w:val="22"/>
          <w:szCs w:val="22"/>
        </w:rPr>
      </w:pPr>
      <w:r w:rsidRPr="002421F2">
        <w:rPr>
          <w:rFonts w:ascii="Arial" w:hAnsi="Arial" w:cs="Arial"/>
          <w:sz w:val="22"/>
          <w:szCs w:val="22"/>
        </w:rPr>
        <w:t>During the fourth and fifth stages of the Dakar Rally, the drive shafts of two vehicles failed completely, which caused both cars to retire from the race. The components were made using the same design and manufacturing process as previous versions that worked well. However, there was a recent change in the aluminium supplier, so the issue could be related to the material properties. It was also reported that the maximum stress acting on the component during operation was around 90 MPa.</w:t>
      </w:r>
    </w:p>
    <w:p w14:paraId="448CF454" w14:textId="77777777" w:rsidR="00C46ABD" w:rsidRPr="002421F2" w:rsidRDefault="00C46ABD" w:rsidP="00C46ABD">
      <w:pPr>
        <w:rPr>
          <w:rFonts w:ascii="Arial" w:hAnsi="Arial" w:cs="Arial"/>
          <w:sz w:val="22"/>
          <w:szCs w:val="22"/>
        </w:rPr>
      </w:pPr>
      <w:r w:rsidRPr="002421F2">
        <w:rPr>
          <w:rFonts w:ascii="Arial" w:hAnsi="Arial" w:cs="Arial"/>
          <w:sz w:val="22"/>
          <w:szCs w:val="22"/>
        </w:rPr>
        <w:t>This report aims to investigate the cause of the failure by carrying out a tensile test on the material sample provided. The data collected from the test will be used to calculate important mechanical properties such as Young’s modulus, yield strength and ultimate tensile strength. These results will then be analysed to check if the material was suitable for the application and to understand what may have caused the failure. Finally, some recommendations will be suggested to help avoid similar problems in the future (Shigley et al., 2015).</w:t>
      </w:r>
    </w:p>
    <w:p w14:paraId="75626A47" w14:textId="6E86110E" w:rsidR="00A57A36" w:rsidRPr="002421F2" w:rsidRDefault="00A57A36" w:rsidP="00C46ABD">
      <w:pPr>
        <w:rPr>
          <w:rFonts w:ascii="Arial" w:hAnsi="Arial" w:cs="Arial"/>
          <w:sz w:val="22"/>
          <w:szCs w:val="22"/>
        </w:rPr>
      </w:pPr>
    </w:p>
    <w:p w14:paraId="4467965D" w14:textId="77777777" w:rsidR="00C46ABD" w:rsidRPr="002421F2" w:rsidRDefault="00C46ABD" w:rsidP="00C46ABD">
      <w:pPr>
        <w:rPr>
          <w:rFonts w:ascii="Arial" w:hAnsi="Arial" w:cs="Arial"/>
          <w:sz w:val="22"/>
          <w:szCs w:val="22"/>
        </w:rPr>
      </w:pPr>
    </w:p>
    <w:p w14:paraId="3F097F28" w14:textId="77777777" w:rsidR="00C46ABD" w:rsidRPr="002421F2" w:rsidRDefault="00C46ABD" w:rsidP="00C46ABD">
      <w:pPr>
        <w:rPr>
          <w:rFonts w:ascii="Arial" w:hAnsi="Arial" w:cs="Arial"/>
          <w:sz w:val="22"/>
          <w:szCs w:val="22"/>
        </w:rPr>
      </w:pPr>
    </w:p>
    <w:p w14:paraId="7BDFCF50" w14:textId="77777777" w:rsidR="00C46ABD" w:rsidRPr="002421F2" w:rsidRDefault="00C46ABD" w:rsidP="00C46ABD">
      <w:pPr>
        <w:rPr>
          <w:rFonts w:ascii="Arial" w:hAnsi="Arial" w:cs="Arial"/>
          <w:sz w:val="22"/>
          <w:szCs w:val="22"/>
        </w:rPr>
      </w:pPr>
    </w:p>
    <w:p w14:paraId="17AFF92D" w14:textId="77777777" w:rsidR="00C46ABD" w:rsidRPr="002421F2" w:rsidRDefault="00C46ABD" w:rsidP="00C46ABD">
      <w:pPr>
        <w:rPr>
          <w:rFonts w:ascii="Arial" w:hAnsi="Arial" w:cs="Arial"/>
          <w:sz w:val="22"/>
          <w:szCs w:val="22"/>
        </w:rPr>
      </w:pPr>
    </w:p>
    <w:p w14:paraId="235A6C47" w14:textId="77777777" w:rsidR="00C46ABD" w:rsidRPr="002421F2" w:rsidRDefault="00C46ABD" w:rsidP="00C46ABD">
      <w:pPr>
        <w:rPr>
          <w:rFonts w:ascii="Arial" w:hAnsi="Arial" w:cs="Arial"/>
          <w:sz w:val="22"/>
          <w:szCs w:val="22"/>
        </w:rPr>
      </w:pPr>
    </w:p>
    <w:p w14:paraId="039AD432" w14:textId="77777777" w:rsidR="00C46ABD" w:rsidRPr="002421F2" w:rsidRDefault="00C46ABD" w:rsidP="00C46ABD">
      <w:pPr>
        <w:rPr>
          <w:rFonts w:ascii="Arial" w:hAnsi="Arial" w:cs="Arial"/>
          <w:sz w:val="22"/>
          <w:szCs w:val="22"/>
        </w:rPr>
      </w:pPr>
    </w:p>
    <w:p w14:paraId="4073BF23" w14:textId="77777777" w:rsidR="00C46ABD" w:rsidRPr="002421F2" w:rsidRDefault="00C46ABD" w:rsidP="00C46ABD">
      <w:pPr>
        <w:rPr>
          <w:rFonts w:ascii="Arial" w:hAnsi="Arial" w:cs="Arial"/>
          <w:sz w:val="22"/>
          <w:szCs w:val="22"/>
        </w:rPr>
      </w:pPr>
    </w:p>
    <w:p w14:paraId="309EA2F5" w14:textId="77777777" w:rsidR="00C46ABD" w:rsidRPr="002421F2" w:rsidRDefault="00C46ABD" w:rsidP="00C46ABD">
      <w:pPr>
        <w:rPr>
          <w:rFonts w:ascii="Arial" w:hAnsi="Arial" w:cs="Arial"/>
          <w:sz w:val="22"/>
          <w:szCs w:val="22"/>
        </w:rPr>
      </w:pPr>
    </w:p>
    <w:p w14:paraId="7D516DAF" w14:textId="77777777" w:rsidR="00C46ABD" w:rsidRPr="002421F2" w:rsidRDefault="00C46ABD" w:rsidP="00C46ABD">
      <w:pPr>
        <w:rPr>
          <w:rFonts w:ascii="Arial" w:hAnsi="Arial" w:cs="Arial"/>
          <w:sz w:val="22"/>
          <w:szCs w:val="22"/>
        </w:rPr>
      </w:pPr>
    </w:p>
    <w:p w14:paraId="1F8756A2" w14:textId="77777777" w:rsidR="00C46ABD" w:rsidRPr="002421F2" w:rsidRDefault="00C46ABD" w:rsidP="00C46ABD">
      <w:pPr>
        <w:rPr>
          <w:rFonts w:ascii="Arial" w:hAnsi="Arial" w:cs="Arial"/>
          <w:sz w:val="22"/>
          <w:szCs w:val="22"/>
        </w:rPr>
      </w:pPr>
    </w:p>
    <w:p w14:paraId="4B75D3E7" w14:textId="77777777" w:rsidR="00C46ABD" w:rsidRPr="002421F2" w:rsidRDefault="00C46ABD" w:rsidP="00C46ABD">
      <w:pPr>
        <w:rPr>
          <w:rFonts w:ascii="Arial" w:hAnsi="Arial" w:cs="Arial"/>
          <w:sz w:val="22"/>
          <w:szCs w:val="22"/>
        </w:rPr>
      </w:pPr>
    </w:p>
    <w:p w14:paraId="2F1CB881" w14:textId="77777777" w:rsidR="00C46ABD" w:rsidRPr="002421F2" w:rsidRDefault="00C46ABD" w:rsidP="00C46ABD">
      <w:pPr>
        <w:rPr>
          <w:rFonts w:ascii="Arial" w:hAnsi="Arial" w:cs="Arial"/>
          <w:sz w:val="22"/>
          <w:szCs w:val="22"/>
        </w:rPr>
      </w:pPr>
    </w:p>
    <w:p w14:paraId="358FB5E3" w14:textId="77777777" w:rsidR="00C46ABD" w:rsidRPr="002421F2" w:rsidRDefault="00C46ABD" w:rsidP="00C46ABD">
      <w:pPr>
        <w:rPr>
          <w:rFonts w:ascii="Arial" w:hAnsi="Arial" w:cs="Arial"/>
          <w:sz w:val="22"/>
          <w:szCs w:val="22"/>
        </w:rPr>
      </w:pPr>
    </w:p>
    <w:p w14:paraId="1F27E06D" w14:textId="77777777" w:rsidR="00C46ABD" w:rsidRPr="002421F2" w:rsidRDefault="00C46ABD" w:rsidP="00C46ABD">
      <w:pPr>
        <w:rPr>
          <w:rFonts w:ascii="Arial" w:hAnsi="Arial" w:cs="Arial"/>
          <w:sz w:val="22"/>
          <w:szCs w:val="22"/>
        </w:rPr>
      </w:pPr>
    </w:p>
    <w:p w14:paraId="64801D2E" w14:textId="77777777" w:rsidR="00C46ABD" w:rsidRPr="002421F2" w:rsidRDefault="00C46ABD" w:rsidP="00C46ABD">
      <w:pPr>
        <w:rPr>
          <w:rFonts w:ascii="Arial" w:hAnsi="Arial" w:cs="Arial"/>
          <w:sz w:val="22"/>
          <w:szCs w:val="22"/>
        </w:rPr>
      </w:pPr>
    </w:p>
    <w:p w14:paraId="02DA82DF" w14:textId="32C6050F" w:rsidR="00C46ABD" w:rsidRPr="002421F2" w:rsidRDefault="00C46ABD" w:rsidP="00C46ABD">
      <w:pPr>
        <w:pStyle w:val="Heading1"/>
        <w:rPr>
          <w:rFonts w:ascii="Arial" w:hAnsi="Arial" w:cs="Arial"/>
          <w:b/>
          <w:bCs/>
          <w:color w:val="000000" w:themeColor="text1"/>
          <w:sz w:val="24"/>
          <w:szCs w:val="24"/>
        </w:rPr>
      </w:pPr>
      <w:bookmarkStart w:id="1" w:name="_Toc227311364"/>
      <w:r w:rsidRPr="002421F2">
        <w:rPr>
          <w:rFonts w:ascii="Arial" w:hAnsi="Arial" w:cs="Arial"/>
          <w:b/>
          <w:bCs/>
          <w:color w:val="000000" w:themeColor="text1"/>
          <w:sz w:val="24"/>
          <w:szCs w:val="24"/>
        </w:rPr>
        <w:lastRenderedPageBreak/>
        <w:t>1.1 Literature review</w:t>
      </w:r>
      <w:bookmarkEnd w:id="1"/>
      <w:r w:rsidRPr="002421F2">
        <w:rPr>
          <w:rFonts w:ascii="Arial" w:hAnsi="Arial" w:cs="Arial"/>
          <w:b/>
          <w:bCs/>
          <w:color w:val="000000" w:themeColor="text1"/>
          <w:sz w:val="24"/>
          <w:szCs w:val="24"/>
        </w:rPr>
        <w:t xml:space="preserve"> </w:t>
      </w:r>
    </w:p>
    <w:p w14:paraId="0D4B1E45" w14:textId="77777777" w:rsidR="00C46ABD" w:rsidRPr="002421F2" w:rsidRDefault="00C46ABD" w:rsidP="00C46ABD">
      <w:pPr>
        <w:pStyle w:val="ListParagraph"/>
        <w:ind w:left="372"/>
        <w:rPr>
          <w:rFonts w:ascii="Arial" w:hAnsi="Arial" w:cs="Arial"/>
          <w:sz w:val="22"/>
          <w:szCs w:val="22"/>
        </w:rPr>
      </w:pPr>
    </w:p>
    <w:p w14:paraId="26DBC154" w14:textId="77777777" w:rsidR="00CF4BA6" w:rsidRPr="002421F2" w:rsidRDefault="00CF4BA6" w:rsidP="00CF4BA6">
      <w:pPr>
        <w:rPr>
          <w:rFonts w:ascii="Arial" w:hAnsi="Arial" w:cs="Arial"/>
        </w:rPr>
      </w:pPr>
      <w:r w:rsidRPr="002421F2">
        <w:rPr>
          <w:rFonts w:ascii="Arial" w:hAnsi="Arial" w:cs="Arial"/>
        </w:rPr>
        <w:t>For a drive shaft application, the choice of material is very important because the component needs to work under load, vibration and repeated use. The material must be strong enough to resist failure, but also able to handle small deformations without breaking. Important properties include stiffness, yield strength, ultimate tensile strength, ductility and fatigue resistance. A good material should not only support the applied loads, but also keep its performance over time, especially in harsh working conditions like those found in motorsport (Ashby &amp; Jones, 2012; Shigley et al., 2015).</w:t>
      </w:r>
    </w:p>
    <w:p w14:paraId="04AC2F1D" w14:textId="0FF8D25A" w:rsidR="00C46ABD" w:rsidRPr="002421F2" w:rsidRDefault="00CF4BA6" w:rsidP="00CF4BA6">
      <w:pPr>
        <w:rPr>
          <w:rFonts w:ascii="Arial" w:hAnsi="Arial" w:cs="Arial"/>
        </w:rPr>
      </w:pPr>
      <w:r w:rsidRPr="002421F2">
        <w:rPr>
          <w:rFonts w:ascii="Arial" w:hAnsi="Arial" w:cs="Arial"/>
        </w:rPr>
        <w:t>Tensile testing is used to understand how a material behaves under stretching. Stress is calculated as force divided by area, while strain is the change in length compared to the original length. In the elastic region, the material returns to its original shape and stress is proportional to strain. The slope of the stress–strain graph represents Young’s modulus, which indicates stiffness. As the load increases, the material reaches the yield point, where permanent deformation begins, and continues to deform until it reaches the ultimate tensile strength (</w:t>
      </w:r>
      <w:proofErr w:type="spellStart"/>
      <w:r w:rsidRPr="002421F2">
        <w:rPr>
          <w:rFonts w:ascii="Arial" w:hAnsi="Arial" w:cs="Arial"/>
        </w:rPr>
        <w:t>TecQuipment</w:t>
      </w:r>
      <w:proofErr w:type="spellEnd"/>
      <w:r w:rsidRPr="002421F2">
        <w:rPr>
          <w:rFonts w:ascii="Arial" w:hAnsi="Arial" w:cs="Arial"/>
        </w:rPr>
        <w:t>, 2012).</w:t>
      </w:r>
    </w:p>
    <w:p w14:paraId="517075A0" w14:textId="60B244F2" w:rsidR="00CF4BA6" w:rsidRPr="002421F2" w:rsidRDefault="00452281" w:rsidP="00CF4BA6">
      <w:pPr>
        <w:rPr>
          <w:rFonts w:ascii="Arial" w:hAnsi="Arial" w:cs="Arial"/>
        </w:rPr>
      </w:pPr>
      <w:r w:rsidRPr="002421F2">
        <w:rPr>
          <w:rFonts w:ascii="Arial" w:hAnsi="Arial" w:cs="Arial"/>
        </w:rPr>
        <w:t>These mechanical properties are important for this investigation because they help to understand if the material used in the drive shaft was suitable for the application. Yield strength shows the stress level where the material starts to deform permanently, while ultimate tensile strength represents the maximum stress the material can withstand before breaking. Elongation is also important, as it indicates how much the material can stretch before failure, helping to identify if the behaviour is more ductile or brittle. If the measured values are lower than expected, or not suitable for the working conditions, this may suggest that the material was not appropriate or that there was a problem with its quality or processing (Callister and Rethwisch, 2020).</w:t>
      </w:r>
    </w:p>
    <w:p w14:paraId="60BBD7D0" w14:textId="77777777" w:rsidR="00452281" w:rsidRPr="002421F2" w:rsidRDefault="00452281" w:rsidP="00CF4BA6">
      <w:pPr>
        <w:rPr>
          <w:rFonts w:ascii="Arial" w:hAnsi="Arial" w:cs="Arial"/>
        </w:rPr>
      </w:pPr>
    </w:p>
    <w:p w14:paraId="0F6A85EF" w14:textId="77777777" w:rsidR="00452281" w:rsidRPr="002421F2" w:rsidRDefault="00452281" w:rsidP="00CF4BA6">
      <w:pPr>
        <w:rPr>
          <w:rFonts w:ascii="Arial" w:hAnsi="Arial" w:cs="Arial"/>
        </w:rPr>
      </w:pPr>
    </w:p>
    <w:p w14:paraId="53F8BB9B" w14:textId="77777777" w:rsidR="00C46ABD" w:rsidRPr="002421F2" w:rsidRDefault="00C46ABD" w:rsidP="00CF4BA6">
      <w:pPr>
        <w:rPr>
          <w:rFonts w:ascii="Arial" w:hAnsi="Arial" w:cs="Arial"/>
        </w:rPr>
      </w:pPr>
    </w:p>
    <w:p w14:paraId="66DEA1B7" w14:textId="77777777" w:rsidR="00C46ABD" w:rsidRPr="002421F2" w:rsidRDefault="00C46ABD" w:rsidP="00CF4BA6">
      <w:pPr>
        <w:rPr>
          <w:rFonts w:ascii="Arial" w:hAnsi="Arial" w:cs="Arial"/>
        </w:rPr>
      </w:pPr>
    </w:p>
    <w:p w14:paraId="398D6FFD" w14:textId="77777777" w:rsidR="00C46ABD" w:rsidRPr="002421F2" w:rsidRDefault="00C46ABD" w:rsidP="00C46ABD">
      <w:pPr>
        <w:rPr>
          <w:rFonts w:ascii="Arial" w:hAnsi="Arial" w:cs="Arial"/>
        </w:rPr>
      </w:pPr>
    </w:p>
    <w:p w14:paraId="0B907319" w14:textId="77777777" w:rsidR="00452281" w:rsidRPr="002421F2" w:rsidRDefault="00452281" w:rsidP="00C46ABD">
      <w:pPr>
        <w:rPr>
          <w:rFonts w:ascii="Arial" w:hAnsi="Arial" w:cs="Arial"/>
        </w:rPr>
      </w:pPr>
    </w:p>
    <w:p w14:paraId="678F9229" w14:textId="77777777" w:rsidR="00452281" w:rsidRPr="002421F2" w:rsidRDefault="00452281" w:rsidP="00C46ABD">
      <w:pPr>
        <w:rPr>
          <w:rFonts w:ascii="Arial" w:hAnsi="Arial" w:cs="Arial"/>
        </w:rPr>
      </w:pPr>
    </w:p>
    <w:p w14:paraId="04B90740" w14:textId="77777777" w:rsidR="00452281" w:rsidRPr="002421F2" w:rsidRDefault="00452281" w:rsidP="00C46ABD">
      <w:pPr>
        <w:rPr>
          <w:rFonts w:ascii="Arial" w:hAnsi="Arial" w:cs="Arial"/>
        </w:rPr>
      </w:pPr>
    </w:p>
    <w:p w14:paraId="490B399D" w14:textId="0C8C7BE3" w:rsidR="00452281" w:rsidRPr="002421F2" w:rsidRDefault="00452281" w:rsidP="00452281">
      <w:pPr>
        <w:pStyle w:val="Heading1"/>
        <w:rPr>
          <w:rFonts w:ascii="Arial" w:hAnsi="Arial" w:cs="Arial"/>
          <w:b/>
          <w:bCs/>
          <w:color w:val="000000" w:themeColor="text1"/>
          <w:sz w:val="24"/>
          <w:szCs w:val="24"/>
        </w:rPr>
      </w:pPr>
      <w:bookmarkStart w:id="2" w:name="_Toc227311365"/>
      <w:r w:rsidRPr="002421F2">
        <w:rPr>
          <w:rFonts w:ascii="Arial" w:hAnsi="Arial" w:cs="Arial"/>
          <w:b/>
          <w:bCs/>
          <w:color w:val="000000" w:themeColor="text1"/>
          <w:sz w:val="24"/>
          <w:szCs w:val="24"/>
        </w:rPr>
        <w:lastRenderedPageBreak/>
        <w:t>1.2 Methodology</w:t>
      </w:r>
      <w:bookmarkEnd w:id="2"/>
    </w:p>
    <w:p w14:paraId="703E246C" w14:textId="77777777" w:rsidR="00C46ABD" w:rsidRPr="002421F2" w:rsidRDefault="00C46ABD" w:rsidP="00C46ABD">
      <w:pPr>
        <w:rPr>
          <w:rFonts w:ascii="Arial" w:hAnsi="Arial" w:cs="Arial"/>
        </w:rPr>
      </w:pPr>
    </w:p>
    <w:p w14:paraId="2BA9B153" w14:textId="14DA771B" w:rsidR="00784522" w:rsidRPr="002421F2" w:rsidRDefault="00784522" w:rsidP="00C46ABD">
      <w:pPr>
        <w:rPr>
          <w:rFonts w:ascii="Arial" w:hAnsi="Arial" w:cs="Arial"/>
          <w:sz w:val="22"/>
          <w:szCs w:val="22"/>
        </w:rPr>
      </w:pPr>
      <w:r w:rsidRPr="002421F2">
        <w:rPr>
          <w:rFonts w:ascii="Arial" w:hAnsi="Arial" w:cs="Arial"/>
          <w:sz w:val="22"/>
          <w:szCs w:val="22"/>
        </w:rPr>
        <w:t>As shown in Figure 1 t</w:t>
      </w:r>
      <w:r w:rsidR="00452281" w:rsidRPr="002421F2">
        <w:rPr>
          <w:rFonts w:ascii="Arial" w:hAnsi="Arial" w:cs="Arial"/>
          <w:sz w:val="22"/>
          <w:szCs w:val="22"/>
        </w:rPr>
        <w:t>he tensile test was carried out using the ES6 tensile testing machine. Before starting the test, the dimensions of the specimen were measured to determine the cross-sectional area and the original gauge length. The specimen was then fixed securely in the machine, and the dial indicator was set to zero to ensure accurate readings.</w:t>
      </w:r>
    </w:p>
    <w:p w14:paraId="47863D82" w14:textId="5FF857A7" w:rsidR="00452281" w:rsidRPr="002421F2" w:rsidRDefault="00452281" w:rsidP="00C46ABD">
      <w:pPr>
        <w:rPr>
          <w:rFonts w:ascii="Arial" w:hAnsi="Arial" w:cs="Arial"/>
          <w:sz w:val="22"/>
          <w:szCs w:val="22"/>
        </w:rPr>
      </w:pPr>
      <w:r w:rsidRPr="002421F2">
        <w:rPr>
          <w:rFonts w:ascii="Arial" w:hAnsi="Arial" w:cs="Arial"/>
          <w:sz w:val="22"/>
          <w:szCs w:val="22"/>
        </w:rPr>
        <w:t xml:space="preserve">The load was applied gradually by turning the load nut in increments of 0.2 mm. At each step, the dial indicator reading was recorded. The force applied to the specimen was calculated by multiplying the dial reading by 100, based on the calibration of the machine. The extension was determined by subtracting the dial indicator reading from the load nut </w:t>
      </w:r>
      <w:proofErr w:type="spellStart"/>
      <w:proofErr w:type="gramStart"/>
      <w:r w:rsidRPr="002421F2">
        <w:rPr>
          <w:rFonts w:ascii="Arial" w:hAnsi="Arial" w:cs="Arial"/>
          <w:sz w:val="22"/>
          <w:szCs w:val="22"/>
        </w:rPr>
        <w:t>displacement.The</w:t>
      </w:r>
      <w:proofErr w:type="spellEnd"/>
      <w:proofErr w:type="gramEnd"/>
      <w:r w:rsidRPr="002421F2">
        <w:rPr>
          <w:rFonts w:ascii="Arial" w:hAnsi="Arial" w:cs="Arial"/>
          <w:sz w:val="22"/>
          <w:szCs w:val="22"/>
        </w:rPr>
        <w:t xml:space="preserve"> collected data was then used to calculate stress and nominal strain values for each step. Stress was calculated by dividing the applied force by the cross-sectional area, while nominal strain was calculated by dividing the extension by the original length of the specimen. Finally, a stress–strain graph was plotted to analyse the mechanical behaviour of the material</w:t>
      </w:r>
      <w:r w:rsidR="00AE09FA" w:rsidRPr="002421F2">
        <w:rPr>
          <w:rFonts w:ascii="Arial" w:hAnsi="Arial" w:cs="Arial"/>
          <w:sz w:val="22"/>
          <w:szCs w:val="22"/>
        </w:rPr>
        <w:t xml:space="preserve">. </w:t>
      </w:r>
      <w:r w:rsidRPr="002421F2">
        <w:rPr>
          <w:rFonts w:ascii="Arial" w:hAnsi="Arial" w:cs="Arial"/>
          <w:sz w:val="22"/>
          <w:szCs w:val="22"/>
        </w:rPr>
        <w:t>(</w:t>
      </w:r>
      <w:proofErr w:type="spellStart"/>
      <w:r w:rsidRPr="002421F2">
        <w:rPr>
          <w:rFonts w:ascii="Arial" w:hAnsi="Arial" w:cs="Arial"/>
          <w:sz w:val="22"/>
          <w:szCs w:val="22"/>
        </w:rPr>
        <w:t>TecQuipment</w:t>
      </w:r>
      <w:proofErr w:type="spellEnd"/>
      <w:r w:rsidRPr="002421F2">
        <w:rPr>
          <w:rFonts w:ascii="Arial" w:hAnsi="Arial" w:cs="Arial"/>
          <w:sz w:val="22"/>
          <w:szCs w:val="22"/>
        </w:rPr>
        <w:t>, 2012).</w:t>
      </w:r>
    </w:p>
    <w:p w14:paraId="50A26073" w14:textId="77777777" w:rsidR="00452281" w:rsidRPr="002421F2" w:rsidRDefault="00452281" w:rsidP="00C46ABD">
      <w:pPr>
        <w:rPr>
          <w:rFonts w:ascii="Arial" w:hAnsi="Arial" w:cs="Arial"/>
          <w:sz w:val="22"/>
          <w:szCs w:val="22"/>
        </w:rPr>
      </w:pPr>
    </w:p>
    <w:p w14:paraId="23E56CD6" w14:textId="667032F2" w:rsidR="00C46ABD" w:rsidRPr="002421F2" w:rsidRDefault="00452281" w:rsidP="00C46ABD">
      <w:pPr>
        <w:rPr>
          <w:rFonts w:ascii="Arial" w:hAnsi="Arial" w:cs="Arial"/>
        </w:rPr>
      </w:pPr>
      <w:r w:rsidRPr="002421F2">
        <w:rPr>
          <w:rFonts w:ascii="Arial" w:hAnsi="Arial" w:cs="Arial"/>
          <w:b/>
          <w:bCs/>
        </w:rPr>
        <w:t>Figure 1:</w:t>
      </w:r>
      <w:r w:rsidRPr="002421F2">
        <w:rPr>
          <w:rFonts w:ascii="Arial" w:hAnsi="Arial" w:cs="Arial"/>
        </w:rPr>
        <w:t xml:space="preserve"> Tensile testing machine (ES6)</w:t>
      </w:r>
    </w:p>
    <w:p w14:paraId="43B6B00B" w14:textId="4714BFB2" w:rsidR="00C46ABD" w:rsidRPr="002421F2" w:rsidRDefault="00452281" w:rsidP="00C46ABD">
      <w:pPr>
        <w:rPr>
          <w:rFonts w:ascii="Arial" w:hAnsi="Arial" w:cs="Arial"/>
        </w:rPr>
      </w:pPr>
      <w:r w:rsidRPr="002421F2">
        <w:rPr>
          <w:rFonts w:ascii="Arial" w:hAnsi="Arial" w:cs="Arial"/>
          <w:noProof/>
        </w:rPr>
        <w:drawing>
          <wp:inline distT="0" distB="0" distL="0" distR="0" wp14:anchorId="231F4590" wp14:editId="6BA5F032">
            <wp:extent cx="4455160" cy="4792980"/>
            <wp:effectExtent l="0" t="0" r="2540" b="7620"/>
            <wp:docPr id="992463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7628" t="3175" r="5932" b="11246"/>
                    <a:stretch>
                      <a:fillRect/>
                    </a:stretch>
                  </pic:blipFill>
                  <pic:spPr bwMode="auto">
                    <a:xfrm>
                      <a:off x="0" y="0"/>
                      <a:ext cx="4455515" cy="4793362"/>
                    </a:xfrm>
                    <a:prstGeom prst="rect">
                      <a:avLst/>
                    </a:prstGeom>
                    <a:noFill/>
                    <a:ln>
                      <a:noFill/>
                    </a:ln>
                    <a:extLst>
                      <a:ext uri="{53640926-AAD7-44D8-BBD7-CCE9431645EC}">
                        <a14:shadowObscured xmlns:a14="http://schemas.microsoft.com/office/drawing/2010/main"/>
                      </a:ext>
                    </a:extLst>
                  </pic:spPr>
                </pic:pic>
              </a:graphicData>
            </a:graphic>
          </wp:inline>
        </w:drawing>
      </w:r>
    </w:p>
    <w:p w14:paraId="5ABE119E" w14:textId="77777777" w:rsidR="009C589A" w:rsidRPr="002421F2" w:rsidRDefault="009C589A" w:rsidP="009C589A">
      <w:pPr>
        <w:rPr>
          <w:rFonts w:ascii="Arial" w:hAnsi="Arial" w:cs="Arial"/>
          <w:b/>
          <w:bCs/>
        </w:rPr>
      </w:pPr>
      <w:r w:rsidRPr="002421F2">
        <w:rPr>
          <w:rFonts w:ascii="Arial" w:hAnsi="Arial" w:cs="Arial"/>
          <w:b/>
          <w:bCs/>
        </w:rPr>
        <w:lastRenderedPageBreak/>
        <w:t>The following equations were used in the calculations:</w:t>
      </w:r>
    </w:p>
    <w:p w14:paraId="48B6C2D9" w14:textId="77777777" w:rsidR="009C589A" w:rsidRPr="002421F2" w:rsidRDefault="009C589A" w:rsidP="009C589A">
      <w:pPr>
        <w:rPr>
          <w:rFonts w:ascii="Arial" w:hAnsi="Arial" w:cs="Arial"/>
          <w:b/>
          <w:bCs/>
        </w:rPr>
      </w:pPr>
      <w:r w:rsidRPr="002421F2">
        <w:rPr>
          <w:rFonts w:ascii="Arial" w:hAnsi="Arial" w:cs="Arial"/>
          <w:b/>
          <w:bCs/>
        </w:rPr>
        <w:t>Stress:</w:t>
      </w:r>
    </w:p>
    <w:p w14:paraId="265DE09E" w14:textId="76BB0500" w:rsidR="009C589A" w:rsidRPr="002421F2" w:rsidRDefault="009C589A" w:rsidP="009C589A">
      <w:pPr>
        <w:rPr>
          <w:rFonts w:ascii="Arial" w:hAnsi="Arial" w:cs="Arial"/>
          <w:b/>
          <w:bCs/>
        </w:rPr>
      </w:pPr>
      <m:oMathPara>
        <m:oMath>
          <m:r>
            <m:rPr>
              <m:sty m:val="bi"/>
            </m:rPr>
            <w:rPr>
              <w:rFonts w:ascii="Cambria Math" w:hAnsi="Cambria Math" w:cs="Arial"/>
            </w:rPr>
            <m:t>σ=</m:t>
          </m:r>
          <m:f>
            <m:fPr>
              <m:ctrlPr>
                <w:rPr>
                  <w:rFonts w:ascii="Cambria Math" w:hAnsi="Cambria Math" w:cs="Arial"/>
                  <w:b/>
                  <w:bCs/>
                </w:rPr>
              </m:ctrlPr>
            </m:fPr>
            <m:num>
              <m:r>
                <m:rPr>
                  <m:sty m:val="bi"/>
                </m:rPr>
                <w:rPr>
                  <w:rFonts w:ascii="Cambria Math" w:hAnsi="Cambria Math" w:cs="Arial"/>
                </w:rPr>
                <m:t>F</m:t>
              </m:r>
            </m:num>
            <m:den>
              <m:r>
                <m:rPr>
                  <m:sty m:val="bi"/>
                </m:rPr>
                <w:rPr>
                  <w:rFonts w:ascii="Cambria Math" w:hAnsi="Cambria Math" w:cs="Arial"/>
                </w:rPr>
                <m:t>A</m:t>
              </m:r>
            </m:den>
          </m:f>
          <m:r>
            <m:rPr>
              <m:sty m:val="b"/>
            </m:rPr>
            <w:rPr>
              <w:rFonts w:ascii="Cambria Math" w:hAnsi="Cambria Math" w:cs="Arial"/>
            </w:rPr>
            <w:br/>
          </m:r>
        </m:oMath>
      </m:oMathPara>
    </w:p>
    <w:p w14:paraId="7A7EC272" w14:textId="77777777" w:rsidR="009C589A" w:rsidRPr="002421F2" w:rsidRDefault="009C589A" w:rsidP="009C589A">
      <w:pPr>
        <w:rPr>
          <w:rFonts w:ascii="Arial" w:hAnsi="Arial" w:cs="Arial"/>
          <w:b/>
          <w:bCs/>
        </w:rPr>
      </w:pPr>
      <w:r w:rsidRPr="002421F2">
        <w:rPr>
          <w:rFonts w:ascii="Arial" w:hAnsi="Arial" w:cs="Arial"/>
          <w:b/>
          <w:bCs/>
        </w:rPr>
        <w:t>Nominal strain:</w:t>
      </w:r>
    </w:p>
    <w:p w14:paraId="0F54272D" w14:textId="0E15F74E" w:rsidR="009C589A" w:rsidRPr="002421F2" w:rsidRDefault="009C589A" w:rsidP="009C589A">
      <w:pPr>
        <w:rPr>
          <w:rFonts w:ascii="Arial" w:hAnsi="Arial" w:cs="Arial"/>
          <w:b/>
          <w:bCs/>
        </w:rPr>
      </w:pPr>
      <m:oMathPara>
        <m:oMath>
          <m:r>
            <m:rPr>
              <m:sty m:val="bi"/>
            </m:rPr>
            <w:rPr>
              <w:rFonts w:ascii="Cambria Math" w:hAnsi="Cambria Math" w:cs="Arial"/>
            </w:rPr>
            <m:t>ε=</m:t>
          </m:r>
          <m:f>
            <m:fPr>
              <m:ctrlPr>
                <w:rPr>
                  <w:rFonts w:ascii="Cambria Math" w:hAnsi="Cambria Math" w:cs="Arial"/>
                  <w:b/>
                  <w:bCs/>
                </w:rPr>
              </m:ctrlPr>
            </m:fPr>
            <m:num>
              <m:r>
                <m:rPr>
                  <m:sty m:val="b"/>
                </m:rPr>
                <w:rPr>
                  <w:rFonts w:ascii="Cambria Math" w:hAnsi="Cambria Math" w:cs="Arial"/>
                </w:rPr>
                <m:t>Δ</m:t>
              </m:r>
              <m:r>
                <m:rPr>
                  <m:sty m:val="bi"/>
                </m:rPr>
                <w:rPr>
                  <w:rFonts w:ascii="Cambria Math" w:hAnsi="Cambria Math" w:cs="Arial"/>
                </w:rPr>
                <m:t>L</m:t>
              </m:r>
            </m:num>
            <m:den>
              <m:sSub>
                <m:sSubPr>
                  <m:ctrlPr>
                    <w:rPr>
                      <w:rFonts w:ascii="Cambria Math" w:hAnsi="Cambria Math" w:cs="Arial"/>
                      <w:b/>
                      <w:bCs/>
                    </w:rPr>
                  </m:ctrlPr>
                </m:sSubPr>
                <m:e>
                  <m:r>
                    <m:rPr>
                      <m:sty m:val="bi"/>
                    </m:rPr>
                    <w:rPr>
                      <w:rFonts w:ascii="Cambria Math" w:hAnsi="Cambria Math" w:cs="Arial"/>
                    </w:rPr>
                    <m:t>L</m:t>
                  </m:r>
                </m:e>
                <m:sub>
                  <m:r>
                    <m:rPr>
                      <m:sty m:val="bi"/>
                    </m:rPr>
                    <w:rPr>
                      <w:rFonts w:ascii="Cambria Math" w:hAnsi="Cambria Math" w:cs="Arial"/>
                    </w:rPr>
                    <m:t>0</m:t>
                  </m:r>
                </m:sub>
              </m:sSub>
            </m:den>
          </m:f>
          <m:r>
            <m:rPr>
              <m:sty m:val="b"/>
            </m:rPr>
            <w:rPr>
              <w:rFonts w:ascii="Cambria Math" w:hAnsi="Cambria Math" w:cs="Arial"/>
            </w:rPr>
            <w:br/>
          </m:r>
        </m:oMath>
      </m:oMathPara>
    </w:p>
    <w:p w14:paraId="7B2CF410" w14:textId="77777777" w:rsidR="00142B1C" w:rsidRPr="002421F2" w:rsidRDefault="00142B1C" w:rsidP="009C589A">
      <w:pPr>
        <w:rPr>
          <w:rFonts w:ascii="Arial" w:hAnsi="Arial" w:cs="Arial"/>
          <w:b/>
          <w:bCs/>
        </w:rPr>
      </w:pPr>
    </w:p>
    <w:p w14:paraId="02F80CA8" w14:textId="77777777" w:rsidR="00142B1C" w:rsidRPr="002421F2" w:rsidRDefault="00142B1C" w:rsidP="009C589A">
      <w:pPr>
        <w:rPr>
          <w:rFonts w:ascii="Arial" w:hAnsi="Arial" w:cs="Arial"/>
          <w:b/>
          <w:bCs/>
        </w:rPr>
      </w:pPr>
    </w:p>
    <w:p w14:paraId="28CA4839" w14:textId="73417338" w:rsidR="004E759D" w:rsidRPr="002421F2" w:rsidRDefault="00AE09FA" w:rsidP="004E759D">
      <w:pPr>
        <w:pStyle w:val="Heading1"/>
        <w:rPr>
          <w:rFonts w:ascii="Arial" w:hAnsi="Arial" w:cs="Arial"/>
          <w:b/>
          <w:bCs/>
          <w:color w:val="000000" w:themeColor="text1"/>
          <w:sz w:val="24"/>
          <w:szCs w:val="24"/>
        </w:rPr>
      </w:pPr>
      <w:bookmarkStart w:id="3" w:name="_Toc227311366"/>
      <w:r w:rsidRPr="002421F2">
        <w:rPr>
          <w:rFonts w:ascii="Arial" w:hAnsi="Arial" w:cs="Arial"/>
          <w:b/>
          <w:bCs/>
          <w:color w:val="000000" w:themeColor="text1"/>
          <w:sz w:val="24"/>
          <w:szCs w:val="24"/>
        </w:rPr>
        <w:t>1.3 Analysis</w:t>
      </w:r>
      <w:bookmarkEnd w:id="3"/>
    </w:p>
    <w:p w14:paraId="638D34E6" w14:textId="77777777" w:rsidR="002421F2" w:rsidRPr="002421F2" w:rsidRDefault="002421F2" w:rsidP="002421F2">
      <w:pPr>
        <w:rPr>
          <w:rFonts w:ascii="Arial" w:hAnsi="Arial" w:cs="Arial"/>
          <w:sz w:val="22"/>
          <w:szCs w:val="22"/>
        </w:rPr>
      </w:pPr>
      <w:r w:rsidRPr="002421F2">
        <w:rPr>
          <w:rFonts w:ascii="Arial" w:hAnsi="Arial" w:cs="Arial"/>
          <w:sz w:val="22"/>
          <w:szCs w:val="22"/>
        </w:rPr>
        <w:t>The processed test data was analysed using the stress-strain graph obtained from the aluminium specimen. This graph was used to examine the general behaviour of the material under tensile loading and to identify key regions such as the elastic region, yield point and ultimate tensile strength. By observing the shape of the curve, it was possible to understand how the material responds to increasing load and how it transitions from elastic to plastic behaviour. In the initial linear region, the material follows Hooke’s Law, where stress is directly proportional to strain, which indicates elastic behaviour and allows the estimation of Young’s modulus (Gere and Goodno, 2012).</w:t>
      </w:r>
    </w:p>
    <w:p w14:paraId="3B334055" w14:textId="1B5A6D09" w:rsidR="002421F2" w:rsidRPr="002421F2" w:rsidRDefault="002421F2" w:rsidP="002421F2">
      <w:pPr>
        <w:rPr>
          <w:rFonts w:ascii="Arial" w:hAnsi="Arial" w:cs="Arial"/>
          <w:sz w:val="22"/>
          <w:szCs w:val="22"/>
        </w:rPr>
      </w:pPr>
      <w:r w:rsidRPr="002421F2">
        <w:rPr>
          <w:rFonts w:ascii="Arial" w:hAnsi="Arial" w:cs="Arial"/>
          <w:sz w:val="22"/>
          <w:szCs w:val="22"/>
        </w:rPr>
        <w:t>As the load increases beyond this region, the graph begins to curve, showing that the material is no longer behaving elastically. This marks the beginning of plastic deformation, where permanent changes in shape occur. This stage is particularly important in engineering applications, as it indicates that the material has exceeded its safe working limit and may not full recover after unloading.</w:t>
      </w:r>
    </w:p>
    <w:p w14:paraId="3837E27C" w14:textId="77777777" w:rsidR="002421F2" w:rsidRPr="002421F2" w:rsidRDefault="002421F2" w:rsidP="002421F2">
      <w:pPr>
        <w:rPr>
          <w:rFonts w:ascii="Arial" w:hAnsi="Arial" w:cs="Arial"/>
          <w:sz w:val="22"/>
          <w:szCs w:val="22"/>
        </w:rPr>
      </w:pPr>
      <w:r w:rsidRPr="002421F2">
        <w:rPr>
          <w:rFonts w:ascii="Arial" w:hAnsi="Arial" w:cs="Arial"/>
          <w:sz w:val="22"/>
          <w:szCs w:val="22"/>
        </w:rPr>
        <w:t>In addition, the values obtained from the graph were used to evaluate important mechanical properties, including stiffness and strength. These results were then compared with the operating conditions given in the case study, particularly the reported working stress of 90 MPa, to assess whether the material was suitable for the drive shaft application. This comparison helps to determine if the failure was caused by insufficient material strength or by other factors affecting performance in real conditions.</w:t>
      </w:r>
    </w:p>
    <w:p w14:paraId="52F86E36" w14:textId="77777777" w:rsidR="002421F2" w:rsidRPr="002421F2" w:rsidRDefault="002421F2" w:rsidP="002421F2">
      <w:pPr>
        <w:rPr>
          <w:rFonts w:ascii="Arial" w:hAnsi="Arial" w:cs="Arial"/>
          <w:sz w:val="22"/>
          <w:szCs w:val="22"/>
        </w:rPr>
      </w:pPr>
      <w:r w:rsidRPr="002421F2">
        <w:rPr>
          <w:rFonts w:ascii="Arial" w:hAnsi="Arial" w:cs="Arial"/>
          <w:sz w:val="22"/>
          <w:szCs w:val="22"/>
        </w:rPr>
        <w:t>It is also important to consider that laboratory testing conditions are controlled and may not fully represent real service conditions. In practice, components such as drive shafts are exposed to varying loads, dynamic forces and environmental effects, which can influence material behaviour and contribute to failure over time.</w:t>
      </w:r>
    </w:p>
    <w:p w14:paraId="310B38D9" w14:textId="77777777" w:rsidR="00C46ABD" w:rsidRPr="002421F2" w:rsidRDefault="00C46ABD" w:rsidP="00C46ABD">
      <w:pPr>
        <w:rPr>
          <w:rFonts w:ascii="Arial" w:hAnsi="Arial" w:cs="Arial"/>
        </w:rPr>
      </w:pPr>
    </w:p>
    <w:p w14:paraId="18DFBDB5" w14:textId="77777777" w:rsidR="002421F2" w:rsidRDefault="002421F2" w:rsidP="004E759D">
      <w:pPr>
        <w:rPr>
          <w:rFonts w:ascii="Arial" w:hAnsi="Arial" w:cs="Arial"/>
          <w:b/>
          <w:bCs/>
        </w:rPr>
      </w:pPr>
    </w:p>
    <w:p w14:paraId="77798702" w14:textId="31B571E9" w:rsidR="004E759D" w:rsidRPr="002421F2" w:rsidRDefault="004E759D" w:rsidP="004E759D">
      <w:pPr>
        <w:rPr>
          <w:rFonts w:ascii="Arial" w:hAnsi="Arial" w:cs="Arial"/>
        </w:rPr>
      </w:pPr>
      <w:r w:rsidRPr="002421F2">
        <w:rPr>
          <w:rFonts w:ascii="Arial" w:hAnsi="Arial" w:cs="Arial"/>
          <w:b/>
          <w:bCs/>
        </w:rPr>
        <w:lastRenderedPageBreak/>
        <w:t xml:space="preserve">Table 1: </w:t>
      </w:r>
      <w:r w:rsidRPr="002421F2">
        <w:rPr>
          <w:rFonts w:ascii="Arial" w:hAnsi="Arial" w:cs="Arial"/>
        </w:rPr>
        <w:t>Processed tensile test results</w:t>
      </w:r>
    </w:p>
    <w:tbl>
      <w:tblPr>
        <w:tblW w:w="8980" w:type="dxa"/>
        <w:tblLook w:val="04A0" w:firstRow="1" w:lastRow="0" w:firstColumn="1" w:lastColumn="0" w:noHBand="0" w:noVBand="1"/>
      </w:tblPr>
      <w:tblGrid>
        <w:gridCol w:w="1124"/>
        <w:gridCol w:w="1162"/>
        <w:gridCol w:w="1222"/>
        <w:gridCol w:w="1268"/>
        <w:gridCol w:w="1378"/>
        <w:gridCol w:w="1406"/>
        <w:gridCol w:w="1420"/>
      </w:tblGrid>
      <w:tr w:rsidR="004E759D" w:rsidRPr="002421F2" w14:paraId="40744E96" w14:textId="77777777" w:rsidTr="004E759D">
        <w:trPr>
          <w:trHeight w:val="576"/>
        </w:trPr>
        <w:tc>
          <w:tcPr>
            <w:tcW w:w="1140" w:type="dxa"/>
            <w:tcBorders>
              <w:top w:val="single" w:sz="4" w:space="0" w:color="auto"/>
              <w:left w:val="single" w:sz="4" w:space="0" w:color="auto"/>
              <w:bottom w:val="single" w:sz="4" w:space="0" w:color="auto"/>
              <w:right w:val="single" w:sz="4" w:space="0" w:color="auto"/>
            </w:tcBorders>
            <w:vAlign w:val="center"/>
            <w:hideMark/>
          </w:tcPr>
          <w:p w14:paraId="37B3BC74" w14:textId="77777777" w:rsidR="004E759D" w:rsidRPr="002421F2" w:rsidRDefault="004E759D" w:rsidP="004E759D">
            <w:pPr>
              <w:spacing w:after="0" w:line="240" w:lineRule="auto"/>
              <w:jc w:val="center"/>
              <w:rPr>
                <w:rFonts w:ascii="Arial" w:eastAsia="Times New Roman" w:hAnsi="Arial" w:cs="Arial"/>
                <w:b/>
                <w:bCs/>
                <w:color w:val="000000"/>
                <w:kern w:val="0"/>
                <w:sz w:val="22"/>
                <w:szCs w:val="22"/>
                <w:lang w:eastAsia="en-IO"/>
                <w14:ligatures w14:val="none"/>
              </w:rPr>
            </w:pPr>
            <w:r w:rsidRPr="002421F2">
              <w:rPr>
                <w:rFonts w:ascii="Arial" w:eastAsia="Times New Roman" w:hAnsi="Arial" w:cs="Arial"/>
                <w:b/>
                <w:bCs/>
                <w:color w:val="000000"/>
                <w:kern w:val="0"/>
                <w:sz w:val="22"/>
                <w:szCs w:val="22"/>
                <w:lang w:eastAsia="en-IO"/>
                <w14:ligatures w14:val="none"/>
              </w:rPr>
              <w:t>Load nut (mm)</w:t>
            </w:r>
          </w:p>
        </w:tc>
        <w:tc>
          <w:tcPr>
            <w:tcW w:w="1180" w:type="dxa"/>
            <w:tcBorders>
              <w:top w:val="single" w:sz="4" w:space="0" w:color="auto"/>
              <w:left w:val="nil"/>
              <w:bottom w:val="single" w:sz="4" w:space="0" w:color="auto"/>
              <w:right w:val="single" w:sz="4" w:space="0" w:color="auto"/>
            </w:tcBorders>
            <w:vAlign w:val="center"/>
            <w:hideMark/>
          </w:tcPr>
          <w:p w14:paraId="05518F2D" w14:textId="77777777" w:rsidR="004E759D" w:rsidRPr="002421F2" w:rsidRDefault="004E759D" w:rsidP="004E759D">
            <w:pPr>
              <w:spacing w:after="0" w:line="240" w:lineRule="auto"/>
              <w:jc w:val="center"/>
              <w:rPr>
                <w:rFonts w:ascii="Arial" w:eastAsia="Times New Roman" w:hAnsi="Arial" w:cs="Arial"/>
                <w:b/>
                <w:bCs/>
                <w:color w:val="000000"/>
                <w:kern w:val="0"/>
                <w:sz w:val="22"/>
                <w:szCs w:val="22"/>
                <w:lang w:eastAsia="en-IO"/>
                <w14:ligatures w14:val="none"/>
              </w:rPr>
            </w:pPr>
            <w:r w:rsidRPr="002421F2">
              <w:rPr>
                <w:rFonts w:ascii="Arial" w:eastAsia="Times New Roman" w:hAnsi="Arial" w:cs="Arial"/>
                <w:b/>
                <w:bCs/>
                <w:color w:val="000000"/>
                <w:kern w:val="0"/>
                <w:sz w:val="22"/>
                <w:szCs w:val="22"/>
                <w:lang w:eastAsia="en-IO"/>
                <w14:ligatures w14:val="none"/>
              </w:rPr>
              <w:t>Dial (mm)</w:t>
            </w:r>
          </w:p>
        </w:tc>
        <w:tc>
          <w:tcPr>
            <w:tcW w:w="1240" w:type="dxa"/>
            <w:tcBorders>
              <w:top w:val="single" w:sz="4" w:space="0" w:color="auto"/>
              <w:left w:val="nil"/>
              <w:bottom w:val="single" w:sz="4" w:space="0" w:color="auto"/>
              <w:right w:val="single" w:sz="4" w:space="0" w:color="auto"/>
            </w:tcBorders>
            <w:vAlign w:val="center"/>
            <w:hideMark/>
          </w:tcPr>
          <w:p w14:paraId="24EE6D71" w14:textId="77777777" w:rsidR="004E759D" w:rsidRPr="002421F2" w:rsidRDefault="004E759D" w:rsidP="004E759D">
            <w:pPr>
              <w:spacing w:after="0" w:line="240" w:lineRule="auto"/>
              <w:jc w:val="center"/>
              <w:rPr>
                <w:rFonts w:ascii="Arial" w:eastAsia="Times New Roman" w:hAnsi="Arial" w:cs="Arial"/>
                <w:b/>
                <w:bCs/>
                <w:color w:val="000000"/>
                <w:kern w:val="0"/>
                <w:sz w:val="22"/>
                <w:szCs w:val="22"/>
                <w:lang w:eastAsia="en-IO"/>
                <w14:ligatures w14:val="none"/>
              </w:rPr>
            </w:pPr>
            <w:r w:rsidRPr="002421F2">
              <w:rPr>
                <w:rFonts w:ascii="Arial" w:eastAsia="Times New Roman" w:hAnsi="Arial" w:cs="Arial"/>
                <w:b/>
                <w:bCs/>
                <w:color w:val="000000"/>
                <w:kern w:val="0"/>
                <w:sz w:val="22"/>
                <w:szCs w:val="22"/>
                <w:lang w:eastAsia="en-IO"/>
                <w14:ligatures w14:val="none"/>
              </w:rPr>
              <w:t>Force (N)</w:t>
            </w:r>
          </w:p>
        </w:tc>
        <w:tc>
          <w:tcPr>
            <w:tcW w:w="1180" w:type="dxa"/>
            <w:tcBorders>
              <w:top w:val="single" w:sz="4" w:space="0" w:color="auto"/>
              <w:left w:val="nil"/>
              <w:bottom w:val="single" w:sz="4" w:space="0" w:color="auto"/>
              <w:right w:val="single" w:sz="4" w:space="0" w:color="auto"/>
            </w:tcBorders>
            <w:vAlign w:val="center"/>
            <w:hideMark/>
          </w:tcPr>
          <w:p w14:paraId="69E95573" w14:textId="77777777" w:rsidR="004E759D" w:rsidRPr="002421F2" w:rsidRDefault="004E759D" w:rsidP="004E759D">
            <w:pPr>
              <w:spacing w:after="0" w:line="240" w:lineRule="auto"/>
              <w:jc w:val="center"/>
              <w:rPr>
                <w:rFonts w:ascii="Arial" w:eastAsia="Times New Roman" w:hAnsi="Arial" w:cs="Arial"/>
                <w:b/>
                <w:bCs/>
                <w:color w:val="000000"/>
                <w:kern w:val="0"/>
                <w:sz w:val="22"/>
                <w:szCs w:val="22"/>
                <w:lang w:eastAsia="en-IO"/>
                <w14:ligatures w14:val="none"/>
              </w:rPr>
            </w:pPr>
            <w:r w:rsidRPr="002421F2">
              <w:rPr>
                <w:rFonts w:ascii="Arial" w:eastAsia="Times New Roman" w:hAnsi="Arial" w:cs="Arial"/>
                <w:b/>
                <w:bCs/>
                <w:color w:val="000000"/>
                <w:kern w:val="0"/>
                <w:sz w:val="22"/>
                <w:szCs w:val="22"/>
                <w:lang w:eastAsia="en-IO"/>
                <w14:ligatures w14:val="none"/>
              </w:rPr>
              <w:t>Extension (mm)</w:t>
            </w:r>
          </w:p>
        </w:tc>
        <w:tc>
          <w:tcPr>
            <w:tcW w:w="1400" w:type="dxa"/>
            <w:tcBorders>
              <w:top w:val="single" w:sz="4" w:space="0" w:color="auto"/>
              <w:left w:val="nil"/>
              <w:bottom w:val="single" w:sz="4" w:space="0" w:color="auto"/>
              <w:right w:val="single" w:sz="4" w:space="0" w:color="auto"/>
            </w:tcBorders>
            <w:vAlign w:val="center"/>
            <w:hideMark/>
          </w:tcPr>
          <w:p w14:paraId="37800EF8" w14:textId="77777777" w:rsidR="004E759D" w:rsidRPr="002421F2" w:rsidRDefault="004E759D" w:rsidP="004E759D">
            <w:pPr>
              <w:spacing w:after="0" w:line="240" w:lineRule="auto"/>
              <w:jc w:val="center"/>
              <w:rPr>
                <w:rFonts w:ascii="Arial" w:eastAsia="Times New Roman" w:hAnsi="Arial" w:cs="Arial"/>
                <w:b/>
                <w:bCs/>
                <w:color w:val="000000"/>
                <w:kern w:val="0"/>
                <w:sz w:val="22"/>
                <w:szCs w:val="22"/>
                <w:lang w:eastAsia="en-IO"/>
                <w14:ligatures w14:val="none"/>
              </w:rPr>
            </w:pPr>
            <w:r w:rsidRPr="002421F2">
              <w:rPr>
                <w:rFonts w:ascii="Arial" w:eastAsia="Times New Roman" w:hAnsi="Arial" w:cs="Arial"/>
                <w:b/>
                <w:bCs/>
                <w:color w:val="000000"/>
                <w:kern w:val="0"/>
                <w:sz w:val="22"/>
                <w:szCs w:val="22"/>
                <w:lang w:eastAsia="en-IO"/>
                <w14:ligatures w14:val="none"/>
              </w:rPr>
              <w:t>Stress (N/m²)</w:t>
            </w:r>
          </w:p>
        </w:tc>
        <w:tc>
          <w:tcPr>
            <w:tcW w:w="1420" w:type="dxa"/>
            <w:tcBorders>
              <w:top w:val="single" w:sz="4" w:space="0" w:color="auto"/>
              <w:left w:val="nil"/>
              <w:bottom w:val="single" w:sz="4" w:space="0" w:color="auto"/>
              <w:right w:val="single" w:sz="4" w:space="0" w:color="auto"/>
            </w:tcBorders>
            <w:vAlign w:val="center"/>
            <w:hideMark/>
          </w:tcPr>
          <w:p w14:paraId="46CB130A" w14:textId="77777777" w:rsidR="004E759D" w:rsidRPr="002421F2" w:rsidRDefault="004E759D" w:rsidP="004E759D">
            <w:pPr>
              <w:spacing w:after="0" w:line="240" w:lineRule="auto"/>
              <w:jc w:val="center"/>
              <w:rPr>
                <w:rFonts w:ascii="Arial" w:eastAsia="Times New Roman" w:hAnsi="Arial" w:cs="Arial"/>
                <w:b/>
                <w:bCs/>
                <w:color w:val="000000"/>
                <w:kern w:val="0"/>
                <w:sz w:val="22"/>
                <w:szCs w:val="22"/>
                <w:lang w:eastAsia="en-IO"/>
                <w14:ligatures w14:val="none"/>
              </w:rPr>
            </w:pPr>
            <w:r w:rsidRPr="002421F2">
              <w:rPr>
                <w:rFonts w:ascii="Arial" w:eastAsia="Times New Roman" w:hAnsi="Arial" w:cs="Arial"/>
                <w:b/>
                <w:bCs/>
                <w:color w:val="000000"/>
                <w:kern w:val="0"/>
                <w:sz w:val="22"/>
                <w:szCs w:val="22"/>
                <w:lang w:eastAsia="en-IO"/>
                <w14:ligatures w14:val="none"/>
              </w:rPr>
              <w:t>Nominal strain</w:t>
            </w:r>
          </w:p>
        </w:tc>
        <w:tc>
          <w:tcPr>
            <w:tcW w:w="1420" w:type="dxa"/>
            <w:tcBorders>
              <w:top w:val="single" w:sz="4" w:space="0" w:color="auto"/>
              <w:left w:val="nil"/>
              <w:bottom w:val="single" w:sz="4" w:space="0" w:color="auto"/>
              <w:right w:val="single" w:sz="4" w:space="0" w:color="auto"/>
            </w:tcBorders>
            <w:noWrap/>
            <w:vAlign w:val="bottom"/>
            <w:hideMark/>
          </w:tcPr>
          <w:p w14:paraId="77A64364" w14:textId="77777777" w:rsidR="004E759D" w:rsidRPr="002421F2" w:rsidRDefault="004E759D" w:rsidP="004E759D">
            <w:pPr>
              <w:spacing w:after="0" w:line="240" w:lineRule="auto"/>
              <w:rPr>
                <w:rFonts w:ascii="Arial" w:eastAsia="Times New Roman" w:hAnsi="Arial" w:cs="Arial"/>
                <w:b/>
                <w:bCs/>
                <w:color w:val="000000"/>
                <w:kern w:val="0"/>
                <w:sz w:val="22"/>
                <w:szCs w:val="22"/>
                <w:lang w:eastAsia="en-IO"/>
                <w14:ligatures w14:val="none"/>
              </w:rPr>
            </w:pPr>
            <w:r w:rsidRPr="002421F2">
              <w:rPr>
                <w:rFonts w:ascii="Arial" w:eastAsia="Times New Roman" w:hAnsi="Arial" w:cs="Arial"/>
                <w:b/>
                <w:bCs/>
                <w:color w:val="000000"/>
                <w:kern w:val="0"/>
                <w:sz w:val="22"/>
                <w:szCs w:val="22"/>
                <w:lang w:eastAsia="en-IO"/>
                <w14:ligatures w14:val="none"/>
              </w:rPr>
              <w:t>Stress MPa</w:t>
            </w:r>
          </w:p>
        </w:tc>
      </w:tr>
      <w:tr w:rsidR="004E759D" w:rsidRPr="002421F2" w14:paraId="23127B39"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48F7A2B0"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w:t>
            </w:r>
          </w:p>
        </w:tc>
        <w:tc>
          <w:tcPr>
            <w:tcW w:w="1180" w:type="dxa"/>
            <w:tcBorders>
              <w:top w:val="nil"/>
              <w:left w:val="nil"/>
              <w:bottom w:val="single" w:sz="4" w:space="0" w:color="auto"/>
              <w:right w:val="single" w:sz="4" w:space="0" w:color="auto"/>
            </w:tcBorders>
            <w:vAlign w:val="center"/>
            <w:hideMark/>
          </w:tcPr>
          <w:p w14:paraId="5F291DB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w:t>
            </w:r>
          </w:p>
        </w:tc>
        <w:tc>
          <w:tcPr>
            <w:tcW w:w="1240" w:type="dxa"/>
            <w:tcBorders>
              <w:top w:val="nil"/>
              <w:left w:val="nil"/>
              <w:bottom w:val="single" w:sz="4" w:space="0" w:color="auto"/>
              <w:right w:val="single" w:sz="4" w:space="0" w:color="auto"/>
            </w:tcBorders>
            <w:vAlign w:val="center"/>
            <w:hideMark/>
          </w:tcPr>
          <w:p w14:paraId="4766D9C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w:t>
            </w:r>
          </w:p>
        </w:tc>
        <w:tc>
          <w:tcPr>
            <w:tcW w:w="1180" w:type="dxa"/>
            <w:tcBorders>
              <w:top w:val="nil"/>
              <w:left w:val="nil"/>
              <w:bottom w:val="single" w:sz="4" w:space="0" w:color="auto"/>
              <w:right w:val="single" w:sz="4" w:space="0" w:color="auto"/>
            </w:tcBorders>
            <w:vAlign w:val="center"/>
            <w:hideMark/>
          </w:tcPr>
          <w:p w14:paraId="4FBD029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w:t>
            </w:r>
          </w:p>
        </w:tc>
        <w:tc>
          <w:tcPr>
            <w:tcW w:w="1400" w:type="dxa"/>
            <w:tcBorders>
              <w:top w:val="nil"/>
              <w:left w:val="nil"/>
              <w:bottom w:val="single" w:sz="4" w:space="0" w:color="auto"/>
              <w:right w:val="single" w:sz="4" w:space="0" w:color="auto"/>
            </w:tcBorders>
            <w:vAlign w:val="center"/>
            <w:hideMark/>
          </w:tcPr>
          <w:p w14:paraId="2118C17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w:t>
            </w:r>
          </w:p>
        </w:tc>
        <w:tc>
          <w:tcPr>
            <w:tcW w:w="1420" w:type="dxa"/>
            <w:tcBorders>
              <w:top w:val="nil"/>
              <w:left w:val="nil"/>
              <w:bottom w:val="single" w:sz="4" w:space="0" w:color="auto"/>
              <w:right w:val="single" w:sz="4" w:space="0" w:color="auto"/>
            </w:tcBorders>
            <w:vAlign w:val="center"/>
            <w:hideMark/>
          </w:tcPr>
          <w:p w14:paraId="4DC2693D"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w:t>
            </w:r>
          </w:p>
        </w:tc>
        <w:tc>
          <w:tcPr>
            <w:tcW w:w="1420" w:type="dxa"/>
            <w:tcBorders>
              <w:top w:val="nil"/>
              <w:left w:val="nil"/>
              <w:bottom w:val="single" w:sz="4" w:space="0" w:color="auto"/>
              <w:right w:val="single" w:sz="4" w:space="0" w:color="auto"/>
            </w:tcBorders>
            <w:noWrap/>
            <w:vAlign w:val="center"/>
            <w:hideMark/>
          </w:tcPr>
          <w:p w14:paraId="364C2ACB"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0</w:t>
            </w:r>
          </w:p>
        </w:tc>
      </w:tr>
      <w:tr w:rsidR="004E759D" w:rsidRPr="002421F2" w14:paraId="385E7D1F"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70E0C8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w:t>
            </w:r>
          </w:p>
        </w:tc>
        <w:tc>
          <w:tcPr>
            <w:tcW w:w="1180" w:type="dxa"/>
            <w:tcBorders>
              <w:top w:val="nil"/>
              <w:left w:val="nil"/>
              <w:bottom w:val="single" w:sz="4" w:space="0" w:color="auto"/>
              <w:right w:val="single" w:sz="4" w:space="0" w:color="auto"/>
            </w:tcBorders>
            <w:vAlign w:val="center"/>
            <w:hideMark/>
          </w:tcPr>
          <w:p w14:paraId="11027FB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0.12</w:t>
            </w:r>
          </w:p>
        </w:tc>
        <w:tc>
          <w:tcPr>
            <w:tcW w:w="1240" w:type="dxa"/>
            <w:tcBorders>
              <w:top w:val="nil"/>
              <w:left w:val="nil"/>
              <w:bottom w:val="single" w:sz="4" w:space="0" w:color="auto"/>
              <w:right w:val="single" w:sz="4" w:space="0" w:color="auto"/>
            </w:tcBorders>
            <w:vAlign w:val="center"/>
            <w:hideMark/>
          </w:tcPr>
          <w:p w14:paraId="27E9601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12</w:t>
            </w:r>
          </w:p>
        </w:tc>
        <w:tc>
          <w:tcPr>
            <w:tcW w:w="1180" w:type="dxa"/>
            <w:tcBorders>
              <w:top w:val="nil"/>
              <w:left w:val="nil"/>
              <w:bottom w:val="single" w:sz="4" w:space="0" w:color="auto"/>
              <w:right w:val="single" w:sz="4" w:space="0" w:color="auto"/>
            </w:tcBorders>
            <w:vAlign w:val="center"/>
            <w:hideMark/>
          </w:tcPr>
          <w:p w14:paraId="3F178A4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0.08</w:t>
            </w:r>
          </w:p>
        </w:tc>
        <w:tc>
          <w:tcPr>
            <w:tcW w:w="1400" w:type="dxa"/>
            <w:tcBorders>
              <w:top w:val="nil"/>
              <w:left w:val="nil"/>
              <w:bottom w:val="single" w:sz="4" w:space="0" w:color="auto"/>
              <w:right w:val="single" w:sz="4" w:space="0" w:color="auto"/>
            </w:tcBorders>
            <w:vAlign w:val="center"/>
            <w:hideMark/>
          </w:tcPr>
          <w:p w14:paraId="05208350"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6.00 × 10⁶</w:t>
            </w:r>
          </w:p>
        </w:tc>
        <w:tc>
          <w:tcPr>
            <w:tcW w:w="1420" w:type="dxa"/>
            <w:tcBorders>
              <w:top w:val="nil"/>
              <w:left w:val="nil"/>
              <w:bottom w:val="single" w:sz="4" w:space="0" w:color="auto"/>
              <w:right w:val="single" w:sz="4" w:space="0" w:color="auto"/>
            </w:tcBorders>
            <w:vAlign w:val="center"/>
            <w:hideMark/>
          </w:tcPr>
          <w:p w14:paraId="4B5A4C6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0.00256</w:t>
            </w:r>
          </w:p>
        </w:tc>
        <w:tc>
          <w:tcPr>
            <w:tcW w:w="1420" w:type="dxa"/>
            <w:tcBorders>
              <w:top w:val="nil"/>
              <w:left w:val="nil"/>
              <w:bottom w:val="single" w:sz="4" w:space="0" w:color="auto"/>
              <w:right w:val="single" w:sz="4" w:space="0" w:color="auto"/>
            </w:tcBorders>
            <w:noWrap/>
            <w:vAlign w:val="center"/>
            <w:hideMark/>
          </w:tcPr>
          <w:p w14:paraId="62322266"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6</w:t>
            </w:r>
          </w:p>
        </w:tc>
      </w:tr>
      <w:tr w:rsidR="004E759D" w:rsidRPr="002421F2" w14:paraId="1124DA3F"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BF2CE7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0.4</w:t>
            </w:r>
          </w:p>
        </w:tc>
        <w:tc>
          <w:tcPr>
            <w:tcW w:w="1180" w:type="dxa"/>
            <w:tcBorders>
              <w:top w:val="nil"/>
              <w:left w:val="nil"/>
              <w:bottom w:val="single" w:sz="4" w:space="0" w:color="auto"/>
              <w:right w:val="single" w:sz="4" w:space="0" w:color="auto"/>
            </w:tcBorders>
            <w:vAlign w:val="center"/>
            <w:hideMark/>
          </w:tcPr>
          <w:p w14:paraId="4CE7EB5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0.28</w:t>
            </w:r>
          </w:p>
        </w:tc>
        <w:tc>
          <w:tcPr>
            <w:tcW w:w="1240" w:type="dxa"/>
            <w:tcBorders>
              <w:top w:val="nil"/>
              <w:left w:val="nil"/>
              <w:bottom w:val="single" w:sz="4" w:space="0" w:color="auto"/>
              <w:right w:val="single" w:sz="4" w:space="0" w:color="auto"/>
            </w:tcBorders>
            <w:vAlign w:val="center"/>
            <w:hideMark/>
          </w:tcPr>
          <w:p w14:paraId="783C84A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28</w:t>
            </w:r>
          </w:p>
        </w:tc>
        <w:tc>
          <w:tcPr>
            <w:tcW w:w="1180" w:type="dxa"/>
            <w:tcBorders>
              <w:top w:val="nil"/>
              <w:left w:val="nil"/>
              <w:bottom w:val="single" w:sz="4" w:space="0" w:color="auto"/>
              <w:right w:val="single" w:sz="4" w:space="0" w:color="auto"/>
            </w:tcBorders>
            <w:vAlign w:val="center"/>
            <w:hideMark/>
          </w:tcPr>
          <w:p w14:paraId="44BAEEC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0.12</w:t>
            </w:r>
          </w:p>
        </w:tc>
        <w:tc>
          <w:tcPr>
            <w:tcW w:w="1400" w:type="dxa"/>
            <w:tcBorders>
              <w:top w:val="nil"/>
              <w:left w:val="nil"/>
              <w:bottom w:val="single" w:sz="4" w:space="0" w:color="auto"/>
              <w:right w:val="single" w:sz="4" w:space="0" w:color="auto"/>
            </w:tcBorders>
            <w:vAlign w:val="center"/>
            <w:hideMark/>
          </w:tcPr>
          <w:p w14:paraId="526689E0"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1.40 × 10⁷</w:t>
            </w:r>
          </w:p>
        </w:tc>
        <w:tc>
          <w:tcPr>
            <w:tcW w:w="1420" w:type="dxa"/>
            <w:tcBorders>
              <w:top w:val="nil"/>
              <w:left w:val="nil"/>
              <w:bottom w:val="single" w:sz="4" w:space="0" w:color="auto"/>
              <w:right w:val="single" w:sz="4" w:space="0" w:color="auto"/>
            </w:tcBorders>
            <w:vAlign w:val="center"/>
            <w:hideMark/>
          </w:tcPr>
          <w:p w14:paraId="42C44AD0"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0.00385</w:t>
            </w:r>
          </w:p>
        </w:tc>
        <w:tc>
          <w:tcPr>
            <w:tcW w:w="1420" w:type="dxa"/>
            <w:tcBorders>
              <w:top w:val="nil"/>
              <w:left w:val="nil"/>
              <w:bottom w:val="single" w:sz="4" w:space="0" w:color="auto"/>
              <w:right w:val="single" w:sz="4" w:space="0" w:color="auto"/>
            </w:tcBorders>
            <w:noWrap/>
            <w:vAlign w:val="center"/>
            <w:hideMark/>
          </w:tcPr>
          <w:p w14:paraId="7F76F1BD"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14</w:t>
            </w:r>
          </w:p>
        </w:tc>
      </w:tr>
      <w:tr w:rsidR="004E759D" w:rsidRPr="002421F2" w14:paraId="46BBB393"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4DD55CA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0.6</w:t>
            </w:r>
          </w:p>
        </w:tc>
        <w:tc>
          <w:tcPr>
            <w:tcW w:w="1180" w:type="dxa"/>
            <w:tcBorders>
              <w:top w:val="nil"/>
              <w:left w:val="nil"/>
              <w:bottom w:val="single" w:sz="4" w:space="0" w:color="auto"/>
              <w:right w:val="single" w:sz="4" w:space="0" w:color="auto"/>
            </w:tcBorders>
            <w:vAlign w:val="center"/>
            <w:hideMark/>
          </w:tcPr>
          <w:p w14:paraId="0D50749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0.48</w:t>
            </w:r>
          </w:p>
        </w:tc>
        <w:tc>
          <w:tcPr>
            <w:tcW w:w="1240" w:type="dxa"/>
            <w:tcBorders>
              <w:top w:val="nil"/>
              <w:left w:val="nil"/>
              <w:bottom w:val="single" w:sz="4" w:space="0" w:color="auto"/>
              <w:right w:val="single" w:sz="4" w:space="0" w:color="auto"/>
            </w:tcBorders>
            <w:vAlign w:val="center"/>
            <w:hideMark/>
          </w:tcPr>
          <w:p w14:paraId="6295C3B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48</w:t>
            </w:r>
          </w:p>
        </w:tc>
        <w:tc>
          <w:tcPr>
            <w:tcW w:w="1180" w:type="dxa"/>
            <w:tcBorders>
              <w:top w:val="nil"/>
              <w:left w:val="nil"/>
              <w:bottom w:val="single" w:sz="4" w:space="0" w:color="auto"/>
              <w:right w:val="single" w:sz="4" w:space="0" w:color="auto"/>
            </w:tcBorders>
            <w:vAlign w:val="center"/>
            <w:hideMark/>
          </w:tcPr>
          <w:p w14:paraId="2681E47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0.12</w:t>
            </w:r>
          </w:p>
        </w:tc>
        <w:tc>
          <w:tcPr>
            <w:tcW w:w="1400" w:type="dxa"/>
            <w:tcBorders>
              <w:top w:val="nil"/>
              <w:left w:val="nil"/>
              <w:bottom w:val="single" w:sz="4" w:space="0" w:color="auto"/>
              <w:right w:val="single" w:sz="4" w:space="0" w:color="auto"/>
            </w:tcBorders>
            <w:vAlign w:val="center"/>
            <w:hideMark/>
          </w:tcPr>
          <w:p w14:paraId="6025E69E"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2.40 × 10⁷</w:t>
            </w:r>
          </w:p>
        </w:tc>
        <w:tc>
          <w:tcPr>
            <w:tcW w:w="1420" w:type="dxa"/>
            <w:tcBorders>
              <w:top w:val="nil"/>
              <w:left w:val="nil"/>
              <w:bottom w:val="single" w:sz="4" w:space="0" w:color="auto"/>
              <w:right w:val="single" w:sz="4" w:space="0" w:color="auto"/>
            </w:tcBorders>
            <w:vAlign w:val="center"/>
            <w:hideMark/>
          </w:tcPr>
          <w:p w14:paraId="290D293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0.00385</w:t>
            </w:r>
          </w:p>
        </w:tc>
        <w:tc>
          <w:tcPr>
            <w:tcW w:w="1420" w:type="dxa"/>
            <w:tcBorders>
              <w:top w:val="nil"/>
              <w:left w:val="nil"/>
              <w:bottom w:val="single" w:sz="4" w:space="0" w:color="auto"/>
              <w:right w:val="single" w:sz="4" w:space="0" w:color="auto"/>
            </w:tcBorders>
            <w:noWrap/>
            <w:vAlign w:val="center"/>
            <w:hideMark/>
          </w:tcPr>
          <w:p w14:paraId="78F4144D"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24</w:t>
            </w:r>
          </w:p>
        </w:tc>
      </w:tr>
      <w:tr w:rsidR="004E759D" w:rsidRPr="002421F2" w14:paraId="37F57C50"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29E4F3E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0.8</w:t>
            </w:r>
          </w:p>
        </w:tc>
        <w:tc>
          <w:tcPr>
            <w:tcW w:w="1180" w:type="dxa"/>
            <w:tcBorders>
              <w:top w:val="nil"/>
              <w:left w:val="nil"/>
              <w:bottom w:val="single" w:sz="4" w:space="0" w:color="auto"/>
              <w:right w:val="single" w:sz="4" w:space="0" w:color="auto"/>
            </w:tcBorders>
            <w:vAlign w:val="center"/>
            <w:hideMark/>
          </w:tcPr>
          <w:p w14:paraId="4F6ED00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0.65</w:t>
            </w:r>
          </w:p>
        </w:tc>
        <w:tc>
          <w:tcPr>
            <w:tcW w:w="1240" w:type="dxa"/>
            <w:tcBorders>
              <w:top w:val="nil"/>
              <w:left w:val="nil"/>
              <w:bottom w:val="single" w:sz="4" w:space="0" w:color="auto"/>
              <w:right w:val="single" w:sz="4" w:space="0" w:color="auto"/>
            </w:tcBorders>
            <w:vAlign w:val="center"/>
            <w:hideMark/>
          </w:tcPr>
          <w:p w14:paraId="692F327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65</w:t>
            </w:r>
          </w:p>
        </w:tc>
        <w:tc>
          <w:tcPr>
            <w:tcW w:w="1180" w:type="dxa"/>
            <w:tcBorders>
              <w:top w:val="nil"/>
              <w:left w:val="nil"/>
              <w:bottom w:val="single" w:sz="4" w:space="0" w:color="auto"/>
              <w:right w:val="single" w:sz="4" w:space="0" w:color="auto"/>
            </w:tcBorders>
            <w:vAlign w:val="center"/>
            <w:hideMark/>
          </w:tcPr>
          <w:p w14:paraId="52B1147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0.15</w:t>
            </w:r>
          </w:p>
        </w:tc>
        <w:tc>
          <w:tcPr>
            <w:tcW w:w="1400" w:type="dxa"/>
            <w:tcBorders>
              <w:top w:val="nil"/>
              <w:left w:val="nil"/>
              <w:bottom w:val="single" w:sz="4" w:space="0" w:color="auto"/>
              <w:right w:val="single" w:sz="4" w:space="0" w:color="auto"/>
            </w:tcBorders>
            <w:vAlign w:val="center"/>
            <w:hideMark/>
          </w:tcPr>
          <w:p w14:paraId="6E6A18E0"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3.25 × 10⁷</w:t>
            </w:r>
          </w:p>
        </w:tc>
        <w:tc>
          <w:tcPr>
            <w:tcW w:w="1420" w:type="dxa"/>
            <w:tcBorders>
              <w:top w:val="nil"/>
              <w:left w:val="nil"/>
              <w:bottom w:val="single" w:sz="4" w:space="0" w:color="auto"/>
              <w:right w:val="single" w:sz="4" w:space="0" w:color="auto"/>
            </w:tcBorders>
            <w:vAlign w:val="center"/>
            <w:hideMark/>
          </w:tcPr>
          <w:p w14:paraId="774943C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0.00481</w:t>
            </w:r>
          </w:p>
        </w:tc>
        <w:tc>
          <w:tcPr>
            <w:tcW w:w="1420" w:type="dxa"/>
            <w:tcBorders>
              <w:top w:val="nil"/>
              <w:left w:val="nil"/>
              <w:bottom w:val="single" w:sz="4" w:space="0" w:color="auto"/>
              <w:right w:val="single" w:sz="4" w:space="0" w:color="auto"/>
            </w:tcBorders>
            <w:noWrap/>
            <w:vAlign w:val="center"/>
            <w:hideMark/>
          </w:tcPr>
          <w:p w14:paraId="50BB2E8B"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32.5</w:t>
            </w:r>
          </w:p>
        </w:tc>
      </w:tr>
      <w:tr w:rsidR="004E759D" w:rsidRPr="002421F2" w14:paraId="6F58FE04"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5FAEDF8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w:t>
            </w:r>
          </w:p>
        </w:tc>
        <w:tc>
          <w:tcPr>
            <w:tcW w:w="1180" w:type="dxa"/>
            <w:tcBorders>
              <w:top w:val="nil"/>
              <w:left w:val="nil"/>
              <w:bottom w:val="single" w:sz="4" w:space="0" w:color="auto"/>
              <w:right w:val="single" w:sz="4" w:space="0" w:color="auto"/>
            </w:tcBorders>
            <w:vAlign w:val="center"/>
            <w:hideMark/>
          </w:tcPr>
          <w:p w14:paraId="52C22F6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0.84</w:t>
            </w:r>
          </w:p>
        </w:tc>
        <w:tc>
          <w:tcPr>
            <w:tcW w:w="1240" w:type="dxa"/>
            <w:tcBorders>
              <w:top w:val="nil"/>
              <w:left w:val="nil"/>
              <w:bottom w:val="single" w:sz="4" w:space="0" w:color="auto"/>
              <w:right w:val="single" w:sz="4" w:space="0" w:color="auto"/>
            </w:tcBorders>
            <w:vAlign w:val="center"/>
            <w:hideMark/>
          </w:tcPr>
          <w:p w14:paraId="7EA1A22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84</w:t>
            </w:r>
          </w:p>
        </w:tc>
        <w:tc>
          <w:tcPr>
            <w:tcW w:w="1180" w:type="dxa"/>
            <w:tcBorders>
              <w:top w:val="nil"/>
              <w:left w:val="nil"/>
              <w:bottom w:val="single" w:sz="4" w:space="0" w:color="auto"/>
              <w:right w:val="single" w:sz="4" w:space="0" w:color="auto"/>
            </w:tcBorders>
            <w:vAlign w:val="center"/>
            <w:hideMark/>
          </w:tcPr>
          <w:p w14:paraId="19D708FD"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0.16</w:t>
            </w:r>
          </w:p>
        </w:tc>
        <w:tc>
          <w:tcPr>
            <w:tcW w:w="1400" w:type="dxa"/>
            <w:tcBorders>
              <w:top w:val="nil"/>
              <w:left w:val="nil"/>
              <w:bottom w:val="single" w:sz="4" w:space="0" w:color="auto"/>
              <w:right w:val="single" w:sz="4" w:space="0" w:color="auto"/>
            </w:tcBorders>
            <w:vAlign w:val="center"/>
            <w:hideMark/>
          </w:tcPr>
          <w:p w14:paraId="6980A2C1"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4.20 × 10⁷</w:t>
            </w:r>
          </w:p>
        </w:tc>
        <w:tc>
          <w:tcPr>
            <w:tcW w:w="1420" w:type="dxa"/>
            <w:tcBorders>
              <w:top w:val="nil"/>
              <w:left w:val="nil"/>
              <w:bottom w:val="single" w:sz="4" w:space="0" w:color="auto"/>
              <w:right w:val="single" w:sz="4" w:space="0" w:color="auto"/>
            </w:tcBorders>
            <w:vAlign w:val="center"/>
            <w:hideMark/>
          </w:tcPr>
          <w:p w14:paraId="06F0C5F2"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0.00513</w:t>
            </w:r>
          </w:p>
        </w:tc>
        <w:tc>
          <w:tcPr>
            <w:tcW w:w="1420" w:type="dxa"/>
            <w:tcBorders>
              <w:top w:val="nil"/>
              <w:left w:val="nil"/>
              <w:bottom w:val="single" w:sz="4" w:space="0" w:color="auto"/>
              <w:right w:val="single" w:sz="4" w:space="0" w:color="auto"/>
            </w:tcBorders>
            <w:noWrap/>
            <w:vAlign w:val="center"/>
            <w:hideMark/>
          </w:tcPr>
          <w:p w14:paraId="5DE683BE"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42</w:t>
            </w:r>
          </w:p>
        </w:tc>
      </w:tr>
      <w:tr w:rsidR="004E759D" w:rsidRPr="002421F2" w14:paraId="1FCF882F"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4415D22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1.2</w:t>
            </w:r>
          </w:p>
        </w:tc>
        <w:tc>
          <w:tcPr>
            <w:tcW w:w="1180" w:type="dxa"/>
            <w:tcBorders>
              <w:top w:val="nil"/>
              <w:left w:val="nil"/>
              <w:bottom w:val="single" w:sz="4" w:space="0" w:color="auto"/>
              <w:right w:val="single" w:sz="4" w:space="0" w:color="auto"/>
            </w:tcBorders>
            <w:vAlign w:val="center"/>
            <w:hideMark/>
          </w:tcPr>
          <w:p w14:paraId="142C990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1.1</w:t>
            </w:r>
          </w:p>
        </w:tc>
        <w:tc>
          <w:tcPr>
            <w:tcW w:w="1240" w:type="dxa"/>
            <w:tcBorders>
              <w:top w:val="nil"/>
              <w:left w:val="nil"/>
              <w:bottom w:val="single" w:sz="4" w:space="0" w:color="auto"/>
              <w:right w:val="single" w:sz="4" w:space="0" w:color="auto"/>
            </w:tcBorders>
            <w:vAlign w:val="center"/>
            <w:hideMark/>
          </w:tcPr>
          <w:p w14:paraId="0DF89B5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110</w:t>
            </w:r>
          </w:p>
        </w:tc>
        <w:tc>
          <w:tcPr>
            <w:tcW w:w="1180" w:type="dxa"/>
            <w:tcBorders>
              <w:top w:val="nil"/>
              <w:left w:val="nil"/>
              <w:bottom w:val="single" w:sz="4" w:space="0" w:color="auto"/>
              <w:right w:val="single" w:sz="4" w:space="0" w:color="auto"/>
            </w:tcBorders>
            <w:vAlign w:val="center"/>
            <w:hideMark/>
          </w:tcPr>
          <w:p w14:paraId="156BDF4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0.1</w:t>
            </w:r>
          </w:p>
        </w:tc>
        <w:tc>
          <w:tcPr>
            <w:tcW w:w="1400" w:type="dxa"/>
            <w:tcBorders>
              <w:top w:val="nil"/>
              <w:left w:val="nil"/>
              <w:bottom w:val="single" w:sz="4" w:space="0" w:color="auto"/>
              <w:right w:val="single" w:sz="4" w:space="0" w:color="auto"/>
            </w:tcBorders>
            <w:vAlign w:val="center"/>
            <w:hideMark/>
          </w:tcPr>
          <w:p w14:paraId="666160A3"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5.50 × 10⁷</w:t>
            </w:r>
          </w:p>
        </w:tc>
        <w:tc>
          <w:tcPr>
            <w:tcW w:w="1420" w:type="dxa"/>
            <w:tcBorders>
              <w:top w:val="nil"/>
              <w:left w:val="nil"/>
              <w:bottom w:val="single" w:sz="4" w:space="0" w:color="auto"/>
              <w:right w:val="single" w:sz="4" w:space="0" w:color="auto"/>
            </w:tcBorders>
            <w:vAlign w:val="center"/>
            <w:hideMark/>
          </w:tcPr>
          <w:p w14:paraId="40C52FB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0.00321</w:t>
            </w:r>
          </w:p>
        </w:tc>
        <w:tc>
          <w:tcPr>
            <w:tcW w:w="1420" w:type="dxa"/>
            <w:tcBorders>
              <w:top w:val="nil"/>
              <w:left w:val="nil"/>
              <w:bottom w:val="single" w:sz="4" w:space="0" w:color="auto"/>
              <w:right w:val="single" w:sz="4" w:space="0" w:color="auto"/>
            </w:tcBorders>
            <w:noWrap/>
            <w:vAlign w:val="center"/>
            <w:hideMark/>
          </w:tcPr>
          <w:p w14:paraId="67C586C1"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55</w:t>
            </w:r>
          </w:p>
        </w:tc>
      </w:tr>
      <w:tr w:rsidR="004E759D" w:rsidRPr="002421F2" w14:paraId="4F8D3132"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77A8466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1.4</w:t>
            </w:r>
          </w:p>
        </w:tc>
        <w:tc>
          <w:tcPr>
            <w:tcW w:w="1180" w:type="dxa"/>
            <w:tcBorders>
              <w:top w:val="nil"/>
              <w:left w:val="nil"/>
              <w:bottom w:val="single" w:sz="4" w:space="0" w:color="auto"/>
              <w:right w:val="single" w:sz="4" w:space="0" w:color="auto"/>
            </w:tcBorders>
            <w:vAlign w:val="center"/>
            <w:hideMark/>
          </w:tcPr>
          <w:p w14:paraId="0DA169E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1.2</w:t>
            </w:r>
          </w:p>
        </w:tc>
        <w:tc>
          <w:tcPr>
            <w:tcW w:w="1240" w:type="dxa"/>
            <w:tcBorders>
              <w:top w:val="nil"/>
              <w:left w:val="nil"/>
              <w:bottom w:val="single" w:sz="4" w:space="0" w:color="auto"/>
              <w:right w:val="single" w:sz="4" w:space="0" w:color="auto"/>
            </w:tcBorders>
            <w:vAlign w:val="center"/>
            <w:hideMark/>
          </w:tcPr>
          <w:p w14:paraId="0469B63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120</w:t>
            </w:r>
          </w:p>
        </w:tc>
        <w:tc>
          <w:tcPr>
            <w:tcW w:w="1180" w:type="dxa"/>
            <w:tcBorders>
              <w:top w:val="nil"/>
              <w:left w:val="nil"/>
              <w:bottom w:val="single" w:sz="4" w:space="0" w:color="auto"/>
              <w:right w:val="single" w:sz="4" w:space="0" w:color="auto"/>
            </w:tcBorders>
            <w:vAlign w:val="center"/>
            <w:hideMark/>
          </w:tcPr>
          <w:p w14:paraId="667F2A6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w:t>
            </w:r>
          </w:p>
        </w:tc>
        <w:tc>
          <w:tcPr>
            <w:tcW w:w="1400" w:type="dxa"/>
            <w:tcBorders>
              <w:top w:val="nil"/>
              <w:left w:val="nil"/>
              <w:bottom w:val="single" w:sz="4" w:space="0" w:color="auto"/>
              <w:right w:val="single" w:sz="4" w:space="0" w:color="auto"/>
            </w:tcBorders>
            <w:vAlign w:val="center"/>
            <w:hideMark/>
          </w:tcPr>
          <w:p w14:paraId="378A7887"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6.00 × 10⁷</w:t>
            </w:r>
          </w:p>
        </w:tc>
        <w:tc>
          <w:tcPr>
            <w:tcW w:w="1420" w:type="dxa"/>
            <w:tcBorders>
              <w:top w:val="nil"/>
              <w:left w:val="nil"/>
              <w:bottom w:val="single" w:sz="4" w:space="0" w:color="auto"/>
              <w:right w:val="single" w:sz="4" w:space="0" w:color="auto"/>
            </w:tcBorders>
            <w:vAlign w:val="center"/>
            <w:hideMark/>
          </w:tcPr>
          <w:p w14:paraId="563E94F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0.00641</w:t>
            </w:r>
          </w:p>
        </w:tc>
        <w:tc>
          <w:tcPr>
            <w:tcW w:w="1420" w:type="dxa"/>
            <w:tcBorders>
              <w:top w:val="nil"/>
              <w:left w:val="nil"/>
              <w:bottom w:val="single" w:sz="4" w:space="0" w:color="auto"/>
              <w:right w:val="single" w:sz="4" w:space="0" w:color="auto"/>
            </w:tcBorders>
            <w:noWrap/>
            <w:vAlign w:val="center"/>
            <w:hideMark/>
          </w:tcPr>
          <w:p w14:paraId="39E63507"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60</w:t>
            </w:r>
          </w:p>
        </w:tc>
      </w:tr>
      <w:tr w:rsidR="004E759D" w:rsidRPr="002421F2" w14:paraId="15A6D093"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76A53B5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1.6</w:t>
            </w:r>
          </w:p>
        </w:tc>
        <w:tc>
          <w:tcPr>
            <w:tcW w:w="1180" w:type="dxa"/>
            <w:tcBorders>
              <w:top w:val="nil"/>
              <w:left w:val="nil"/>
              <w:bottom w:val="single" w:sz="4" w:space="0" w:color="auto"/>
              <w:right w:val="single" w:sz="4" w:space="0" w:color="auto"/>
            </w:tcBorders>
            <w:vAlign w:val="center"/>
            <w:hideMark/>
          </w:tcPr>
          <w:p w14:paraId="3BE2027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1.39</w:t>
            </w:r>
          </w:p>
        </w:tc>
        <w:tc>
          <w:tcPr>
            <w:tcW w:w="1240" w:type="dxa"/>
            <w:tcBorders>
              <w:top w:val="nil"/>
              <w:left w:val="nil"/>
              <w:bottom w:val="single" w:sz="4" w:space="0" w:color="auto"/>
              <w:right w:val="single" w:sz="4" w:space="0" w:color="auto"/>
            </w:tcBorders>
            <w:vAlign w:val="center"/>
            <w:hideMark/>
          </w:tcPr>
          <w:p w14:paraId="68869B1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139</w:t>
            </w:r>
          </w:p>
        </w:tc>
        <w:tc>
          <w:tcPr>
            <w:tcW w:w="1180" w:type="dxa"/>
            <w:tcBorders>
              <w:top w:val="nil"/>
              <w:left w:val="nil"/>
              <w:bottom w:val="single" w:sz="4" w:space="0" w:color="auto"/>
              <w:right w:val="single" w:sz="4" w:space="0" w:color="auto"/>
            </w:tcBorders>
            <w:vAlign w:val="center"/>
            <w:hideMark/>
          </w:tcPr>
          <w:p w14:paraId="0EF8190C"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0.21</w:t>
            </w:r>
          </w:p>
        </w:tc>
        <w:tc>
          <w:tcPr>
            <w:tcW w:w="1400" w:type="dxa"/>
            <w:tcBorders>
              <w:top w:val="nil"/>
              <w:left w:val="nil"/>
              <w:bottom w:val="single" w:sz="4" w:space="0" w:color="auto"/>
              <w:right w:val="single" w:sz="4" w:space="0" w:color="auto"/>
            </w:tcBorders>
            <w:vAlign w:val="center"/>
            <w:hideMark/>
          </w:tcPr>
          <w:p w14:paraId="5EE59F79"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6.95 × 10⁷</w:t>
            </w:r>
          </w:p>
        </w:tc>
        <w:tc>
          <w:tcPr>
            <w:tcW w:w="1420" w:type="dxa"/>
            <w:tcBorders>
              <w:top w:val="nil"/>
              <w:left w:val="nil"/>
              <w:bottom w:val="single" w:sz="4" w:space="0" w:color="auto"/>
              <w:right w:val="single" w:sz="4" w:space="0" w:color="auto"/>
            </w:tcBorders>
            <w:vAlign w:val="center"/>
            <w:hideMark/>
          </w:tcPr>
          <w:p w14:paraId="2A23D50D"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0.00673</w:t>
            </w:r>
          </w:p>
        </w:tc>
        <w:tc>
          <w:tcPr>
            <w:tcW w:w="1420" w:type="dxa"/>
            <w:tcBorders>
              <w:top w:val="nil"/>
              <w:left w:val="nil"/>
              <w:bottom w:val="single" w:sz="4" w:space="0" w:color="auto"/>
              <w:right w:val="single" w:sz="4" w:space="0" w:color="auto"/>
            </w:tcBorders>
            <w:noWrap/>
            <w:vAlign w:val="center"/>
            <w:hideMark/>
          </w:tcPr>
          <w:p w14:paraId="3BB1235F"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69.5</w:t>
            </w:r>
          </w:p>
        </w:tc>
      </w:tr>
      <w:tr w:rsidR="004E759D" w:rsidRPr="002421F2" w14:paraId="31BE2A93"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3B9C61C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1.8</w:t>
            </w:r>
          </w:p>
        </w:tc>
        <w:tc>
          <w:tcPr>
            <w:tcW w:w="1180" w:type="dxa"/>
            <w:tcBorders>
              <w:top w:val="nil"/>
              <w:left w:val="nil"/>
              <w:bottom w:val="single" w:sz="4" w:space="0" w:color="auto"/>
              <w:right w:val="single" w:sz="4" w:space="0" w:color="auto"/>
            </w:tcBorders>
            <w:vAlign w:val="center"/>
            <w:hideMark/>
          </w:tcPr>
          <w:p w14:paraId="796103D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1.59</w:t>
            </w:r>
          </w:p>
        </w:tc>
        <w:tc>
          <w:tcPr>
            <w:tcW w:w="1240" w:type="dxa"/>
            <w:tcBorders>
              <w:top w:val="nil"/>
              <w:left w:val="nil"/>
              <w:bottom w:val="single" w:sz="4" w:space="0" w:color="auto"/>
              <w:right w:val="single" w:sz="4" w:space="0" w:color="auto"/>
            </w:tcBorders>
            <w:vAlign w:val="center"/>
            <w:hideMark/>
          </w:tcPr>
          <w:p w14:paraId="19DD071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159</w:t>
            </w:r>
          </w:p>
        </w:tc>
        <w:tc>
          <w:tcPr>
            <w:tcW w:w="1180" w:type="dxa"/>
            <w:tcBorders>
              <w:top w:val="nil"/>
              <w:left w:val="nil"/>
              <w:bottom w:val="single" w:sz="4" w:space="0" w:color="auto"/>
              <w:right w:val="single" w:sz="4" w:space="0" w:color="auto"/>
            </w:tcBorders>
            <w:vAlign w:val="center"/>
            <w:hideMark/>
          </w:tcPr>
          <w:p w14:paraId="4F65581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0.21</w:t>
            </w:r>
          </w:p>
        </w:tc>
        <w:tc>
          <w:tcPr>
            <w:tcW w:w="1400" w:type="dxa"/>
            <w:tcBorders>
              <w:top w:val="nil"/>
              <w:left w:val="nil"/>
              <w:bottom w:val="single" w:sz="4" w:space="0" w:color="auto"/>
              <w:right w:val="single" w:sz="4" w:space="0" w:color="auto"/>
            </w:tcBorders>
            <w:vAlign w:val="center"/>
            <w:hideMark/>
          </w:tcPr>
          <w:p w14:paraId="7DF2462B"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7.95 × 10⁷</w:t>
            </w:r>
          </w:p>
        </w:tc>
        <w:tc>
          <w:tcPr>
            <w:tcW w:w="1420" w:type="dxa"/>
            <w:tcBorders>
              <w:top w:val="nil"/>
              <w:left w:val="nil"/>
              <w:bottom w:val="single" w:sz="4" w:space="0" w:color="auto"/>
              <w:right w:val="single" w:sz="4" w:space="0" w:color="auto"/>
            </w:tcBorders>
            <w:vAlign w:val="center"/>
            <w:hideMark/>
          </w:tcPr>
          <w:p w14:paraId="527AE69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0.00673</w:t>
            </w:r>
          </w:p>
        </w:tc>
        <w:tc>
          <w:tcPr>
            <w:tcW w:w="1420" w:type="dxa"/>
            <w:tcBorders>
              <w:top w:val="nil"/>
              <w:left w:val="nil"/>
              <w:bottom w:val="single" w:sz="4" w:space="0" w:color="auto"/>
              <w:right w:val="single" w:sz="4" w:space="0" w:color="auto"/>
            </w:tcBorders>
            <w:noWrap/>
            <w:vAlign w:val="center"/>
            <w:hideMark/>
          </w:tcPr>
          <w:p w14:paraId="4FEC27C2"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79.5</w:t>
            </w:r>
          </w:p>
        </w:tc>
      </w:tr>
      <w:tr w:rsidR="004E759D" w:rsidRPr="002421F2" w14:paraId="79AF7868"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67740EDC"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w:t>
            </w:r>
          </w:p>
        </w:tc>
        <w:tc>
          <w:tcPr>
            <w:tcW w:w="1180" w:type="dxa"/>
            <w:tcBorders>
              <w:top w:val="nil"/>
              <w:left w:val="nil"/>
              <w:bottom w:val="single" w:sz="4" w:space="0" w:color="auto"/>
              <w:right w:val="single" w:sz="4" w:space="0" w:color="auto"/>
            </w:tcBorders>
            <w:vAlign w:val="center"/>
            <w:hideMark/>
          </w:tcPr>
          <w:p w14:paraId="6A6AF65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1.77</w:t>
            </w:r>
          </w:p>
        </w:tc>
        <w:tc>
          <w:tcPr>
            <w:tcW w:w="1240" w:type="dxa"/>
            <w:tcBorders>
              <w:top w:val="nil"/>
              <w:left w:val="nil"/>
              <w:bottom w:val="single" w:sz="4" w:space="0" w:color="auto"/>
              <w:right w:val="single" w:sz="4" w:space="0" w:color="auto"/>
            </w:tcBorders>
            <w:vAlign w:val="center"/>
            <w:hideMark/>
          </w:tcPr>
          <w:p w14:paraId="247A7C4C"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177</w:t>
            </w:r>
          </w:p>
        </w:tc>
        <w:tc>
          <w:tcPr>
            <w:tcW w:w="1180" w:type="dxa"/>
            <w:tcBorders>
              <w:top w:val="nil"/>
              <w:left w:val="nil"/>
              <w:bottom w:val="single" w:sz="4" w:space="0" w:color="auto"/>
              <w:right w:val="single" w:sz="4" w:space="0" w:color="auto"/>
            </w:tcBorders>
            <w:vAlign w:val="center"/>
            <w:hideMark/>
          </w:tcPr>
          <w:p w14:paraId="09FF24A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0.23</w:t>
            </w:r>
          </w:p>
        </w:tc>
        <w:tc>
          <w:tcPr>
            <w:tcW w:w="1400" w:type="dxa"/>
            <w:tcBorders>
              <w:top w:val="nil"/>
              <w:left w:val="nil"/>
              <w:bottom w:val="single" w:sz="4" w:space="0" w:color="auto"/>
              <w:right w:val="single" w:sz="4" w:space="0" w:color="auto"/>
            </w:tcBorders>
            <w:vAlign w:val="center"/>
            <w:hideMark/>
          </w:tcPr>
          <w:p w14:paraId="1C2E31F3"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8.85 × 10⁷</w:t>
            </w:r>
          </w:p>
        </w:tc>
        <w:tc>
          <w:tcPr>
            <w:tcW w:w="1420" w:type="dxa"/>
            <w:tcBorders>
              <w:top w:val="nil"/>
              <w:left w:val="nil"/>
              <w:bottom w:val="single" w:sz="4" w:space="0" w:color="auto"/>
              <w:right w:val="single" w:sz="4" w:space="0" w:color="auto"/>
            </w:tcBorders>
            <w:vAlign w:val="center"/>
            <w:hideMark/>
          </w:tcPr>
          <w:p w14:paraId="333F06D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0.00737</w:t>
            </w:r>
          </w:p>
        </w:tc>
        <w:tc>
          <w:tcPr>
            <w:tcW w:w="1420" w:type="dxa"/>
            <w:tcBorders>
              <w:top w:val="nil"/>
              <w:left w:val="nil"/>
              <w:bottom w:val="single" w:sz="4" w:space="0" w:color="auto"/>
              <w:right w:val="single" w:sz="4" w:space="0" w:color="auto"/>
            </w:tcBorders>
            <w:noWrap/>
            <w:vAlign w:val="center"/>
            <w:hideMark/>
          </w:tcPr>
          <w:p w14:paraId="13F6AF4A"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88.5</w:t>
            </w:r>
          </w:p>
        </w:tc>
      </w:tr>
      <w:tr w:rsidR="004E759D" w:rsidRPr="002421F2" w14:paraId="5B2AE89A"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5BAB156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2.2</w:t>
            </w:r>
          </w:p>
        </w:tc>
        <w:tc>
          <w:tcPr>
            <w:tcW w:w="1180" w:type="dxa"/>
            <w:tcBorders>
              <w:top w:val="nil"/>
              <w:left w:val="nil"/>
              <w:bottom w:val="single" w:sz="4" w:space="0" w:color="auto"/>
              <w:right w:val="single" w:sz="4" w:space="0" w:color="auto"/>
            </w:tcBorders>
            <w:vAlign w:val="center"/>
            <w:hideMark/>
          </w:tcPr>
          <w:p w14:paraId="4D6118B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1.96</w:t>
            </w:r>
          </w:p>
        </w:tc>
        <w:tc>
          <w:tcPr>
            <w:tcW w:w="1240" w:type="dxa"/>
            <w:tcBorders>
              <w:top w:val="nil"/>
              <w:left w:val="nil"/>
              <w:bottom w:val="single" w:sz="4" w:space="0" w:color="auto"/>
              <w:right w:val="single" w:sz="4" w:space="0" w:color="auto"/>
            </w:tcBorders>
            <w:vAlign w:val="center"/>
            <w:hideMark/>
          </w:tcPr>
          <w:p w14:paraId="20FDE77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196</w:t>
            </w:r>
          </w:p>
        </w:tc>
        <w:tc>
          <w:tcPr>
            <w:tcW w:w="1180" w:type="dxa"/>
            <w:tcBorders>
              <w:top w:val="nil"/>
              <w:left w:val="nil"/>
              <w:bottom w:val="single" w:sz="4" w:space="0" w:color="auto"/>
              <w:right w:val="single" w:sz="4" w:space="0" w:color="auto"/>
            </w:tcBorders>
            <w:vAlign w:val="center"/>
            <w:hideMark/>
          </w:tcPr>
          <w:p w14:paraId="47A5A8E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0.24</w:t>
            </w:r>
          </w:p>
        </w:tc>
        <w:tc>
          <w:tcPr>
            <w:tcW w:w="1400" w:type="dxa"/>
            <w:tcBorders>
              <w:top w:val="nil"/>
              <w:left w:val="nil"/>
              <w:bottom w:val="single" w:sz="4" w:space="0" w:color="auto"/>
              <w:right w:val="single" w:sz="4" w:space="0" w:color="auto"/>
            </w:tcBorders>
            <w:vAlign w:val="center"/>
            <w:hideMark/>
          </w:tcPr>
          <w:p w14:paraId="394D9C9B"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9.80 × 10⁷</w:t>
            </w:r>
          </w:p>
        </w:tc>
        <w:tc>
          <w:tcPr>
            <w:tcW w:w="1420" w:type="dxa"/>
            <w:tcBorders>
              <w:top w:val="nil"/>
              <w:left w:val="nil"/>
              <w:bottom w:val="single" w:sz="4" w:space="0" w:color="auto"/>
              <w:right w:val="single" w:sz="4" w:space="0" w:color="auto"/>
            </w:tcBorders>
            <w:vAlign w:val="center"/>
            <w:hideMark/>
          </w:tcPr>
          <w:p w14:paraId="717DB55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0.00769</w:t>
            </w:r>
          </w:p>
        </w:tc>
        <w:tc>
          <w:tcPr>
            <w:tcW w:w="1420" w:type="dxa"/>
            <w:tcBorders>
              <w:top w:val="nil"/>
              <w:left w:val="nil"/>
              <w:bottom w:val="single" w:sz="4" w:space="0" w:color="auto"/>
              <w:right w:val="single" w:sz="4" w:space="0" w:color="auto"/>
            </w:tcBorders>
            <w:noWrap/>
            <w:vAlign w:val="center"/>
            <w:hideMark/>
          </w:tcPr>
          <w:p w14:paraId="7EA35619"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98</w:t>
            </w:r>
          </w:p>
        </w:tc>
      </w:tr>
      <w:tr w:rsidR="004E759D" w:rsidRPr="002421F2" w14:paraId="761853CC"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82A4EF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2.4</w:t>
            </w:r>
          </w:p>
        </w:tc>
        <w:tc>
          <w:tcPr>
            <w:tcW w:w="1180" w:type="dxa"/>
            <w:tcBorders>
              <w:top w:val="nil"/>
              <w:left w:val="nil"/>
              <w:bottom w:val="single" w:sz="4" w:space="0" w:color="auto"/>
              <w:right w:val="single" w:sz="4" w:space="0" w:color="auto"/>
            </w:tcBorders>
            <w:vAlign w:val="center"/>
            <w:hideMark/>
          </w:tcPr>
          <w:p w14:paraId="2A24063D"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2.14</w:t>
            </w:r>
          </w:p>
        </w:tc>
        <w:tc>
          <w:tcPr>
            <w:tcW w:w="1240" w:type="dxa"/>
            <w:tcBorders>
              <w:top w:val="nil"/>
              <w:left w:val="nil"/>
              <w:bottom w:val="single" w:sz="4" w:space="0" w:color="auto"/>
              <w:right w:val="single" w:sz="4" w:space="0" w:color="auto"/>
            </w:tcBorders>
            <w:vAlign w:val="center"/>
            <w:hideMark/>
          </w:tcPr>
          <w:p w14:paraId="431027F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214</w:t>
            </w:r>
          </w:p>
        </w:tc>
        <w:tc>
          <w:tcPr>
            <w:tcW w:w="1180" w:type="dxa"/>
            <w:tcBorders>
              <w:top w:val="nil"/>
              <w:left w:val="nil"/>
              <w:bottom w:val="single" w:sz="4" w:space="0" w:color="auto"/>
              <w:right w:val="single" w:sz="4" w:space="0" w:color="auto"/>
            </w:tcBorders>
            <w:vAlign w:val="center"/>
            <w:hideMark/>
          </w:tcPr>
          <w:p w14:paraId="5DD994A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0.26</w:t>
            </w:r>
          </w:p>
        </w:tc>
        <w:tc>
          <w:tcPr>
            <w:tcW w:w="1400" w:type="dxa"/>
            <w:tcBorders>
              <w:top w:val="nil"/>
              <w:left w:val="nil"/>
              <w:bottom w:val="single" w:sz="4" w:space="0" w:color="auto"/>
              <w:right w:val="single" w:sz="4" w:space="0" w:color="auto"/>
            </w:tcBorders>
            <w:vAlign w:val="center"/>
            <w:hideMark/>
          </w:tcPr>
          <w:p w14:paraId="7F28C2C6"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1.07 × 10⁸</w:t>
            </w:r>
          </w:p>
        </w:tc>
        <w:tc>
          <w:tcPr>
            <w:tcW w:w="1420" w:type="dxa"/>
            <w:tcBorders>
              <w:top w:val="nil"/>
              <w:left w:val="nil"/>
              <w:bottom w:val="single" w:sz="4" w:space="0" w:color="auto"/>
              <w:right w:val="single" w:sz="4" w:space="0" w:color="auto"/>
            </w:tcBorders>
            <w:vAlign w:val="center"/>
            <w:hideMark/>
          </w:tcPr>
          <w:p w14:paraId="59C52CA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0.00833</w:t>
            </w:r>
          </w:p>
        </w:tc>
        <w:tc>
          <w:tcPr>
            <w:tcW w:w="1420" w:type="dxa"/>
            <w:tcBorders>
              <w:top w:val="nil"/>
              <w:left w:val="nil"/>
              <w:bottom w:val="single" w:sz="4" w:space="0" w:color="auto"/>
              <w:right w:val="single" w:sz="4" w:space="0" w:color="auto"/>
            </w:tcBorders>
            <w:noWrap/>
            <w:vAlign w:val="center"/>
            <w:hideMark/>
          </w:tcPr>
          <w:p w14:paraId="7C4ECCEB"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107</w:t>
            </w:r>
          </w:p>
        </w:tc>
      </w:tr>
      <w:tr w:rsidR="004E759D" w:rsidRPr="002421F2" w14:paraId="6F412744"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E539FD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2.6</w:t>
            </w:r>
          </w:p>
        </w:tc>
        <w:tc>
          <w:tcPr>
            <w:tcW w:w="1180" w:type="dxa"/>
            <w:tcBorders>
              <w:top w:val="nil"/>
              <w:left w:val="nil"/>
              <w:bottom w:val="single" w:sz="4" w:space="0" w:color="auto"/>
              <w:right w:val="single" w:sz="4" w:space="0" w:color="auto"/>
            </w:tcBorders>
            <w:vAlign w:val="center"/>
            <w:hideMark/>
          </w:tcPr>
          <w:p w14:paraId="0927AFC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2.33</w:t>
            </w:r>
          </w:p>
        </w:tc>
        <w:tc>
          <w:tcPr>
            <w:tcW w:w="1240" w:type="dxa"/>
            <w:tcBorders>
              <w:top w:val="nil"/>
              <w:left w:val="nil"/>
              <w:bottom w:val="single" w:sz="4" w:space="0" w:color="auto"/>
              <w:right w:val="single" w:sz="4" w:space="0" w:color="auto"/>
            </w:tcBorders>
            <w:vAlign w:val="center"/>
            <w:hideMark/>
          </w:tcPr>
          <w:p w14:paraId="528F59B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233</w:t>
            </w:r>
          </w:p>
        </w:tc>
        <w:tc>
          <w:tcPr>
            <w:tcW w:w="1180" w:type="dxa"/>
            <w:tcBorders>
              <w:top w:val="nil"/>
              <w:left w:val="nil"/>
              <w:bottom w:val="single" w:sz="4" w:space="0" w:color="auto"/>
              <w:right w:val="single" w:sz="4" w:space="0" w:color="auto"/>
            </w:tcBorders>
            <w:vAlign w:val="center"/>
            <w:hideMark/>
          </w:tcPr>
          <w:p w14:paraId="60723F1C"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0.27</w:t>
            </w:r>
          </w:p>
        </w:tc>
        <w:tc>
          <w:tcPr>
            <w:tcW w:w="1400" w:type="dxa"/>
            <w:tcBorders>
              <w:top w:val="nil"/>
              <w:left w:val="nil"/>
              <w:bottom w:val="single" w:sz="4" w:space="0" w:color="auto"/>
              <w:right w:val="single" w:sz="4" w:space="0" w:color="auto"/>
            </w:tcBorders>
            <w:vAlign w:val="center"/>
            <w:hideMark/>
          </w:tcPr>
          <w:p w14:paraId="19EC0FC2"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1.16 × 10⁸</w:t>
            </w:r>
          </w:p>
        </w:tc>
        <w:tc>
          <w:tcPr>
            <w:tcW w:w="1420" w:type="dxa"/>
            <w:tcBorders>
              <w:top w:val="nil"/>
              <w:left w:val="nil"/>
              <w:bottom w:val="single" w:sz="4" w:space="0" w:color="auto"/>
              <w:right w:val="single" w:sz="4" w:space="0" w:color="auto"/>
            </w:tcBorders>
            <w:vAlign w:val="center"/>
            <w:hideMark/>
          </w:tcPr>
          <w:p w14:paraId="10253F40"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0.00865</w:t>
            </w:r>
          </w:p>
        </w:tc>
        <w:tc>
          <w:tcPr>
            <w:tcW w:w="1420" w:type="dxa"/>
            <w:tcBorders>
              <w:top w:val="nil"/>
              <w:left w:val="nil"/>
              <w:bottom w:val="single" w:sz="4" w:space="0" w:color="auto"/>
              <w:right w:val="single" w:sz="4" w:space="0" w:color="auto"/>
            </w:tcBorders>
            <w:noWrap/>
            <w:vAlign w:val="center"/>
            <w:hideMark/>
          </w:tcPr>
          <w:p w14:paraId="7FF82F72"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116</w:t>
            </w:r>
          </w:p>
        </w:tc>
      </w:tr>
      <w:tr w:rsidR="004E759D" w:rsidRPr="002421F2" w14:paraId="342134B6"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318C497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2.8</w:t>
            </w:r>
          </w:p>
        </w:tc>
        <w:tc>
          <w:tcPr>
            <w:tcW w:w="1180" w:type="dxa"/>
            <w:tcBorders>
              <w:top w:val="nil"/>
              <w:left w:val="nil"/>
              <w:bottom w:val="single" w:sz="4" w:space="0" w:color="auto"/>
              <w:right w:val="single" w:sz="4" w:space="0" w:color="auto"/>
            </w:tcBorders>
            <w:vAlign w:val="center"/>
            <w:hideMark/>
          </w:tcPr>
          <w:p w14:paraId="6DEB84D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2.52</w:t>
            </w:r>
          </w:p>
        </w:tc>
        <w:tc>
          <w:tcPr>
            <w:tcW w:w="1240" w:type="dxa"/>
            <w:tcBorders>
              <w:top w:val="nil"/>
              <w:left w:val="nil"/>
              <w:bottom w:val="single" w:sz="4" w:space="0" w:color="auto"/>
              <w:right w:val="single" w:sz="4" w:space="0" w:color="auto"/>
            </w:tcBorders>
            <w:vAlign w:val="center"/>
            <w:hideMark/>
          </w:tcPr>
          <w:p w14:paraId="7F541CC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252</w:t>
            </w:r>
          </w:p>
        </w:tc>
        <w:tc>
          <w:tcPr>
            <w:tcW w:w="1180" w:type="dxa"/>
            <w:tcBorders>
              <w:top w:val="nil"/>
              <w:left w:val="nil"/>
              <w:bottom w:val="single" w:sz="4" w:space="0" w:color="auto"/>
              <w:right w:val="single" w:sz="4" w:space="0" w:color="auto"/>
            </w:tcBorders>
            <w:vAlign w:val="center"/>
            <w:hideMark/>
          </w:tcPr>
          <w:p w14:paraId="58E19F2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0.28</w:t>
            </w:r>
          </w:p>
        </w:tc>
        <w:tc>
          <w:tcPr>
            <w:tcW w:w="1400" w:type="dxa"/>
            <w:tcBorders>
              <w:top w:val="nil"/>
              <w:left w:val="nil"/>
              <w:bottom w:val="single" w:sz="4" w:space="0" w:color="auto"/>
              <w:right w:val="single" w:sz="4" w:space="0" w:color="auto"/>
            </w:tcBorders>
            <w:vAlign w:val="center"/>
            <w:hideMark/>
          </w:tcPr>
          <w:p w14:paraId="62A30A9B"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1.26 × 10⁸</w:t>
            </w:r>
          </w:p>
        </w:tc>
        <w:tc>
          <w:tcPr>
            <w:tcW w:w="1420" w:type="dxa"/>
            <w:tcBorders>
              <w:top w:val="nil"/>
              <w:left w:val="nil"/>
              <w:bottom w:val="single" w:sz="4" w:space="0" w:color="auto"/>
              <w:right w:val="single" w:sz="4" w:space="0" w:color="auto"/>
            </w:tcBorders>
            <w:vAlign w:val="center"/>
            <w:hideMark/>
          </w:tcPr>
          <w:p w14:paraId="23DAD70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0.00897</w:t>
            </w:r>
          </w:p>
        </w:tc>
        <w:tc>
          <w:tcPr>
            <w:tcW w:w="1420" w:type="dxa"/>
            <w:tcBorders>
              <w:top w:val="nil"/>
              <w:left w:val="nil"/>
              <w:bottom w:val="single" w:sz="4" w:space="0" w:color="auto"/>
              <w:right w:val="single" w:sz="4" w:space="0" w:color="auto"/>
            </w:tcBorders>
            <w:noWrap/>
            <w:vAlign w:val="center"/>
            <w:hideMark/>
          </w:tcPr>
          <w:p w14:paraId="1D7888B4"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126</w:t>
            </w:r>
          </w:p>
        </w:tc>
      </w:tr>
      <w:tr w:rsidR="004E759D" w:rsidRPr="002421F2" w14:paraId="46A839EE"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78F0035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w:t>
            </w:r>
          </w:p>
        </w:tc>
        <w:tc>
          <w:tcPr>
            <w:tcW w:w="1180" w:type="dxa"/>
            <w:tcBorders>
              <w:top w:val="nil"/>
              <w:left w:val="nil"/>
              <w:bottom w:val="single" w:sz="4" w:space="0" w:color="auto"/>
              <w:right w:val="single" w:sz="4" w:space="0" w:color="auto"/>
            </w:tcBorders>
            <w:vAlign w:val="center"/>
            <w:hideMark/>
          </w:tcPr>
          <w:p w14:paraId="2ABDA0B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2.71</w:t>
            </w:r>
          </w:p>
        </w:tc>
        <w:tc>
          <w:tcPr>
            <w:tcW w:w="1240" w:type="dxa"/>
            <w:tcBorders>
              <w:top w:val="nil"/>
              <w:left w:val="nil"/>
              <w:bottom w:val="single" w:sz="4" w:space="0" w:color="auto"/>
              <w:right w:val="single" w:sz="4" w:space="0" w:color="auto"/>
            </w:tcBorders>
            <w:vAlign w:val="center"/>
            <w:hideMark/>
          </w:tcPr>
          <w:p w14:paraId="47CB3A4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271</w:t>
            </w:r>
          </w:p>
        </w:tc>
        <w:tc>
          <w:tcPr>
            <w:tcW w:w="1180" w:type="dxa"/>
            <w:tcBorders>
              <w:top w:val="nil"/>
              <w:left w:val="nil"/>
              <w:bottom w:val="single" w:sz="4" w:space="0" w:color="auto"/>
              <w:right w:val="single" w:sz="4" w:space="0" w:color="auto"/>
            </w:tcBorders>
            <w:vAlign w:val="center"/>
            <w:hideMark/>
          </w:tcPr>
          <w:p w14:paraId="5A86F58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0.29</w:t>
            </w:r>
          </w:p>
        </w:tc>
        <w:tc>
          <w:tcPr>
            <w:tcW w:w="1400" w:type="dxa"/>
            <w:tcBorders>
              <w:top w:val="nil"/>
              <w:left w:val="nil"/>
              <w:bottom w:val="single" w:sz="4" w:space="0" w:color="auto"/>
              <w:right w:val="single" w:sz="4" w:space="0" w:color="auto"/>
            </w:tcBorders>
            <w:vAlign w:val="center"/>
            <w:hideMark/>
          </w:tcPr>
          <w:p w14:paraId="0685358D"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1.36 × 10⁸</w:t>
            </w:r>
          </w:p>
        </w:tc>
        <w:tc>
          <w:tcPr>
            <w:tcW w:w="1420" w:type="dxa"/>
            <w:tcBorders>
              <w:top w:val="nil"/>
              <w:left w:val="nil"/>
              <w:bottom w:val="single" w:sz="4" w:space="0" w:color="auto"/>
              <w:right w:val="single" w:sz="4" w:space="0" w:color="auto"/>
            </w:tcBorders>
            <w:vAlign w:val="center"/>
            <w:hideMark/>
          </w:tcPr>
          <w:p w14:paraId="3F6413F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0.00929</w:t>
            </w:r>
          </w:p>
        </w:tc>
        <w:tc>
          <w:tcPr>
            <w:tcW w:w="1420" w:type="dxa"/>
            <w:tcBorders>
              <w:top w:val="nil"/>
              <w:left w:val="nil"/>
              <w:bottom w:val="single" w:sz="4" w:space="0" w:color="auto"/>
              <w:right w:val="single" w:sz="4" w:space="0" w:color="auto"/>
            </w:tcBorders>
            <w:noWrap/>
            <w:vAlign w:val="center"/>
            <w:hideMark/>
          </w:tcPr>
          <w:p w14:paraId="7D5F28AC"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136</w:t>
            </w:r>
          </w:p>
        </w:tc>
      </w:tr>
      <w:tr w:rsidR="004E759D" w:rsidRPr="002421F2" w14:paraId="451374F6"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3EC34B9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3.2</w:t>
            </w:r>
          </w:p>
        </w:tc>
        <w:tc>
          <w:tcPr>
            <w:tcW w:w="1180" w:type="dxa"/>
            <w:tcBorders>
              <w:top w:val="nil"/>
              <w:left w:val="nil"/>
              <w:bottom w:val="single" w:sz="4" w:space="0" w:color="auto"/>
              <w:right w:val="single" w:sz="4" w:space="0" w:color="auto"/>
            </w:tcBorders>
            <w:vAlign w:val="center"/>
            <w:hideMark/>
          </w:tcPr>
          <w:p w14:paraId="6537711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2.9</w:t>
            </w:r>
          </w:p>
        </w:tc>
        <w:tc>
          <w:tcPr>
            <w:tcW w:w="1240" w:type="dxa"/>
            <w:tcBorders>
              <w:top w:val="nil"/>
              <w:left w:val="nil"/>
              <w:bottom w:val="single" w:sz="4" w:space="0" w:color="auto"/>
              <w:right w:val="single" w:sz="4" w:space="0" w:color="auto"/>
            </w:tcBorders>
            <w:vAlign w:val="center"/>
            <w:hideMark/>
          </w:tcPr>
          <w:p w14:paraId="1AFA50A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290</w:t>
            </w:r>
          </w:p>
        </w:tc>
        <w:tc>
          <w:tcPr>
            <w:tcW w:w="1180" w:type="dxa"/>
            <w:tcBorders>
              <w:top w:val="nil"/>
              <w:left w:val="nil"/>
              <w:bottom w:val="single" w:sz="4" w:space="0" w:color="auto"/>
              <w:right w:val="single" w:sz="4" w:space="0" w:color="auto"/>
            </w:tcBorders>
            <w:vAlign w:val="center"/>
            <w:hideMark/>
          </w:tcPr>
          <w:p w14:paraId="0FF4F39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0.3</w:t>
            </w:r>
          </w:p>
        </w:tc>
        <w:tc>
          <w:tcPr>
            <w:tcW w:w="1400" w:type="dxa"/>
            <w:tcBorders>
              <w:top w:val="nil"/>
              <w:left w:val="nil"/>
              <w:bottom w:val="single" w:sz="4" w:space="0" w:color="auto"/>
              <w:right w:val="single" w:sz="4" w:space="0" w:color="auto"/>
            </w:tcBorders>
            <w:vAlign w:val="center"/>
            <w:hideMark/>
          </w:tcPr>
          <w:p w14:paraId="43315799"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1.45 × 10⁸</w:t>
            </w:r>
          </w:p>
        </w:tc>
        <w:tc>
          <w:tcPr>
            <w:tcW w:w="1420" w:type="dxa"/>
            <w:tcBorders>
              <w:top w:val="nil"/>
              <w:left w:val="nil"/>
              <w:bottom w:val="single" w:sz="4" w:space="0" w:color="auto"/>
              <w:right w:val="single" w:sz="4" w:space="0" w:color="auto"/>
            </w:tcBorders>
            <w:vAlign w:val="center"/>
            <w:hideMark/>
          </w:tcPr>
          <w:p w14:paraId="56FA527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0.00962</w:t>
            </w:r>
          </w:p>
        </w:tc>
        <w:tc>
          <w:tcPr>
            <w:tcW w:w="1420" w:type="dxa"/>
            <w:tcBorders>
              <w:top w:val="nil"/>
              <w:left w:val="nil"/>
              <w:bottom w:val="single" w:sz="4" w:space="0" w:color="auto"/>
              <w:right w:val="single" w:sz="4" w:space="0" w:color="auto"/>
            </w:tcBorders>
            <w:noWrap/>
            <w:vAlign w:val="center"/>
            <w:hideMark/>
          </w:tcPr>
          <w:p w14:paraId="5C3A5674"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145</w:t>
            </w:r>
          </w:p>
        </w:tc>
      </w:tr>
      <w:tr w:rsidR="004E759D" w:rsidRPr="002421F2" w14:paraId="1D4F147D"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67ACC8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3.4</w:t>
            </w:r>
          </w:p>
        </w:tc>
        <w:tc>
          <w:tcPr>
            <w:tcW w:w="1180" w:type="dxa"/>
            <w:tcBorders>
              <w:top w:val="nil"/>
              <w:left w:val="nil"/>
              <w:bottom w:val="single" w:sz="4" w:space="0" w:color="auto"/>
              <w:right w:val="single" w:sz="4" w:space="0" w:color="auto"/>
            </w:tcBorders>
            <w:vAlign w:val="center"/>
            <w:hideMark/>
          </w:tcPr>
          <w:p w14:paraId="0004EB4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3.09</w:t>
            </w:r>
          </w:p>
        </w:tc>
        <w:tc>
          <w:tcPr>
            <w:tcW w:w="1240" w:type="dxa"/>
            <w:tcBorders>
              <w:top w:val="nil"/>
              <w:left w:val="nil"/>
              <w:bottom w:val="single" w:sz="4" w:space="0" w:color="auto"/>
              <w:right w:val="single" w:sz="4" w:space="0" w:color="auto"/>
            </w:tcBorders>
            <w:vAlign w:val="center"/>
            <w:hideMark/>
          </w:tcPr>
          <w:p w14:paraId="57C2B7E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309</w:t>
            </w:r>
          </w:p>
        </w:tc>
        <w:tc>
          <w:tcPr>
            <w:tcW w:w="1180" w:type="dxa"/>
            <w:tcBorders>
              <w:top w:val="nil"/>
              <w:left w:val="nil"/>
              <w:bottom w:val="single" w:sz="4" w:space="0" w:color="auto"/>
              <w:right w:val="single" w:sz="4" w:space="0" w:color="auto"/>
            </w:tcBorders>
            <w:vAlign w:val="center"/>
            <w:hideMark/>
          </w:tcPr>
          <w:p w14:paraId="641683E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0.31</w:t>
            </w:r>
          </w:p>
        </w:tc>
        <w:tc>
          <w:tcPr>
            <w:tcW w:w="1400" w:type="dxa"/>
            <w:tcBorders>
              <w:top w:val="nil"/>
              <w:left w:val="nil"/>
              <w:bottom w:val="single" w:sz="4" w:space="0" w:color="auto"/>
              <w:right w:val="single" w:sz="4" w:space="0" w:color="auto"/>
            </w:tcBorders>
            <w:vAlign w:val="center"/>
            <w:hideMark/>
          </w:tcPr>
          <w:p w14:paraId="4ECEC181"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1.54 × 10⁸</w:t>
            </w:r>
          </w:p>
        </w:tc>
        <w:tc>
          <w:tcPr>
            <w:tcW w:w="1420" w:type="dxa"/>
            <w:tcBorders>
              <w:top w:val="nil"/>
              <w:left w:val="nil"/>
              <w:bottom w:val="single" w:sz="4" w:space="0" w:color="auto"/>
              <w:right w:val="single" w:sz="4" w:space="0" w:color="auto"/>
            </w:tcBorders>
            <w:vAlign w:val="center"/>
            <w:hideMark/>
          </w:tcPr>
          <w:p w14:paraId="6CE25F7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0.00994</w:t>
            </w:r>
          </w:p>
        </w:tc>
        <w:tc>
          <w:tcPr>
            <w:tcW w:w="1420" w:type="dxa"/>
            <w:tcBorders>
              <w:top w:val="nil"/>
              <w:left w:val="nil"/>
              <w:bottom w:val="single" w:sz="4" w:space="0" w:color="auto"/>
              <w:right w:val="single" w:sz="4" w:space="0" w:color="auto"/>
            </w:tcBorders>
            <w:noWrap/>
            <w:vAlign w:val="center"/>
            <w:hideMark/>
          </w:tcPr>
          <w:p w14:paraId="4375E7EC"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154</w:t>
            </w:r>
          </w:p>
        </w:tc>
      </w:tr>
      <w:tr w:rsidR="004E759D" w:rsidRPr="002421F2" w14:paraId="5EE4E34E"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7DD1CB62"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3.6</w:t>
            </w:r>
          </w:p>
        </w:tc>
        <w:tc>
          <w:tcPr>
            <w:tcW w:w="1180" w:type="dxa"/>
            <w:tcBorders>
              <w:top w:val="nil"/>
              <w:left w:val="nil"/>
              <w:bottom w:val="single" w:sz="4" w:space="0" w:color="auto"/>
              <w:right w:val="single" w:sz="4" w:space="0" w:color="auto"/>
            </w:tcBorders>
            <w:vAlign w:val="center"/>
            <w:hideMark/>
          </w:tcPr>
          <w:p w14:paraId="747475D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3.28</w:t>
            </w:r>
          </w:p>
        </w:tc>
        <w:tc>
          <w:tcPr>
            <w:tcW w:w="1240" w:type="dxa"/>
            <w:tcBorders>
              <w:top w:val="nil"/>
              <w:left w:val="nil"/>
              <w:bottom w:val="single" w:sz="4" w:space="0" w:color="auto"/>
              <w:right w:val="single" w:sz="4" w:space="0" w:color="auto"/>
            </w:tcBorders>
            <w:vAlign w:val="center"/>
            <w:hideMark/>
          </w:tcPr>
          <w:p w14:paraId="32D9DA6D"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328</w:t>
            </w:r>
          </w:p>
        </w:tc>
        <w:tc>
          <w:tcPr>
            <w:tcW w:w="1180" w:type="dxa"/>
            <w:tcBorders>
              <w:top w:val="nil"/>
              <w:left w:val="nil"/>
              <w:bottom w:val="single" w:sz="4" w:space="0" w:color="auto"/>
              <w:right w:val="single" w:sz="4" w:space="0" w:color="auto"/>
            </w:tcBorders>
            <w:vAlign w:val="center"/>
            <w:hideMark/>
          </w:tcPr>
          <w:p w14:paraId="6A9D644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0.32</w:t>
            </w:r>
          </w:p>
        </w:tc>
        <w:tc>
          <w:tcPr>
            <w:tcW w:w="1400" w:type="dxa"/>
            <w:tcBorders>
              <w:top w:val="nil"/>
              <w:left w:val="nil"/>
              <w:bottom w:val="single" w:sz="4" w:space="0" w:color="auto"/>
              <w:right w:val="single" w:sz="4" w:space="0" w:color="auto"/>
            </w:tcBorders>
            <w:vAlign w:val="center"/>
            <w:hideMark/>
          </w:tcPr>
          <w:p w14:paraId="331D1272"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1.64 × 10⁸</w:t>
            </w:r>
          </w:p>
        </w:tc>
        <w:tc>
          <w:tcPr>
            <w:tcW w:w="1420" w:type="dxa"/>
            <w:tcBorders>
              <w:top w:val="nil"/>
              <w:left w:val="nil"/>
              <w:bottom w:val="single" w:sz="4" w:space="0" w:color="auto"/>
              <w:right w:val="single" w:sz="4" w:space="0" w:color="auto"/>
            </w:tcBorders>
            <w:vAlign w:val="center"/>
            <w:hideMark/>
          </w:tcPr>
          <w:p w14:paraId="7D5975A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0.01026</w:t>
            </w:r>
          </w:p>
        </w:tc>
        <w:tc>
          <w:tcPr>
            <w:tcW w:w="1420" w:type="dxa"/>
            <w:tcBorders>
              <w:top w:val="nil"/>
              <w:left w:val="nil"/>
              <w:bottom w:val="single" w:sz="4" w:space="0" w:color="auto"/>
              <w:right w:val="single" w:sz="4" w:space="0" w:color="auto"/>
            </w:tcBorders>
            <w:noWrap/>
            <w:vAlign w:val="center"/>
            <w:hideMark/>
          </w:tcPr>
          <w:p w14:paraId="6C038A7E"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164</w:t>
            </w:r>
          </w:p>
        </w:tc>
      </w:tr>
      <w:tr w:rsidR="004E759D" w:rsidRPr="002421F2" w14:paraId="561CA94B"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0DF117F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3.8</w:t>
            </w:r>
          </w:p>
        </w:tc>
        <w:tc>
          <w:tcPr>
            <w:tcW w:w="1180" w:type="dxa"/>
            <w:tcBorders>
              <w:top w:val="nil"/>
              <w:left w:val="nil"/>
              <w:bottom w:val="single" w:sz="4" w:space="0" w:color="auto"/>
              <w:right w:val="single" w:sz="4" w:space="0" w:color="auto"/>
            </w:tcBorders>
            <w:vAlign w:val="center"/>
            <w:hideMark/>
          </w:tcPr>
          <w:p w14:paraId="7530C5B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3.48</w:t>
            </w:r>
          </w:p>
        </w:tc>
        <w:tc>
          <w:tcPr>
            <w:tcW w:w="1240" w:type="dxa"/>
            <w:tcBorders>
              <w:top w:val="nil"/>
              <w:left w:val="nil"/>
              <w:bottom w:val="single" w:sz="4" w:space="0" w:color="auto"/>
              <w:right w:val="single" w:sz="4" w:space="0" w:color="auto"/>
            </w:tcBorders>
            <w:vAlign w:val="center"/>
            <w:hideMark/>
          </w:tcPr>
          <w:p w14:paraId="6B1D70F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348</w:t>
            </w:r>
          </w:p>
        </w:tc>
        <w:tc>
          <w:tcPr>
            <w:tcW w:w="1180" w:type="dxa"/>
            <w:tcBorders>
              <w:top w:val="nil"/>
              <w:left w:val="nil"/>
              <w:bottom w:val="single" w:sz="4" w:space="0" w:color="auto"/>
              <w:right w:val="single" w:sz="4" w:space="0" w:color="auto"/>
            </w:tcBorders>
            <w:vAlign w:val="center"/>
            <w:hideMark/>
          </w:tcPr>
          <w:p w14:paraId="6383A73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0.32</w:t>
            </w:r>
          </w:p>
        </w:tc>
        <w:tc>
          <w:tcPr>
            <w:tcW w:w="1400" w:type="dxa"/>
            <w:tcBorders>
              <w:top w:val="nil"/>
              <w:left w:val="nil"/>
              <w:bottom w:val="single" w:sz="4" w:space="0" w:color="auto"/>
              <w:right w:val="single" w:sz="4" w:space="0" w:color="auto"/>
            </w:tcBorders>
            <w:vAlign w:val="center"/>
            <w:hideMark/>
          </w:tcPr>
          <w:p w14:paraId="4CB1FF8E"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1.74 × 10⁸</w:t>
            </w:r>
          </w:p>
        </w:tc>
        <w:tc>
          <w:tcPr>
            <w:tcW w:w="1420" w:type="dxa"/>
            <w:tcBorders>
              <w:top w:val="nil"/>
              <w:left w:val="nil"/>
              <w:bottom w:val="single" w:sz="4" w:space="0" w:color="auto"/>
              <w:right w:val="single" w:sz="4" w:space="0" w:color="auto"/>
            </w:tcBorders>
            <w:vAlign w:val="center"/>
            <w:hideMark/>
          </w:tcPr>
          <w:p w14:paraId="63A5D4F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0.01026</w:t>
            </w:r>
          </w:p>
        </w:tc>
        <w:tc>
          <w:tcPr>
            <w:tcW w:w="1420" w:type="dxa"/>
            <w:tcBorders>
              <w:top w:val="nil"/>
              <w:left w:val="nil"/>
              <w:bottom w:val="single" w:sz="4" w:space="0" w:color="auto"/>
              <w:right w:val="single" w:sz="4" w:space="0" w:color="auto"/>
            </w:tcBorders>
            <w:noWrap/>
            <w:vAlign w:val="center"/>
            <w:hideMark/>
          </w:tcPr>
          <w:p w14:paraId="6BE89EB0"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174</w:t>
            </w:r>
          </w:p>
        </w:tc>
      </w:tr>
      <w:tr w:rsidR="004E759D" w:rsidRPr="002421F2" w14:paraId="0E3F82C0"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249776B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w:t>
            </w:r>
          </w:p>
        </w:tc>
        <w:tc>
          <w:tcPr>
            <w:tcW w:w="1180" w:type="dxa"/>
            <w:tcBorders>
              <w:top w:val="nil"/>
              <w:left w:val="nil"/>
              <w:bottom w:val="single" w:sz="4" w:space="0" w:color="auto"/>
              <w:right w:val="single" w:sz="4" w:space="0" w:color="auto"/>
            </w:tcBorders>
            <w:vAlign w:val="center"/>
            <w:hideMark/>
          </w:tcPr>
          <w:p w14:paraId="61B132F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3.65</w:t>
            </w:r>
          </w:p>
        </w:tc>
        <w:tc>
          <w:tcPr>
            <w:tcW w:w="1240" w:type="dxa"/>
            <w:tcBorders>
              <w:top w:val="nil"/>
              <w:left w:val="nil"/>
              <w:bottom w:val="single" w:sz="4" w:space="0" w:color="auto"/>
              <w:right w:val="single" w:sz="4" w:space="0" w:color="auto"/>
            </w:tcBorders>
            <w:vAlign w:val="center"/>
            <w:hideMark/>
          </w:tcPr>
          <w:p w14:paraId="65FD700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365</w:t>
            </w:r>
          </w:p>
        </w:tc>
        <w:tc>
          <w:tcPr>
            <w:tcW w:w="1180" w:type="dxa"/>
            <w:tcBorders>
              <w:top w:val="nil"/>
              <w:left w:val="nil"/>
              <w:bottom w:val="single" w:sz="4" w:space="0" w:color="auto"/>
              <w:right w:val="single" w:sz="4" w:space="0" w:color="auto"/>
            </w:tcBorders>
            <w:vAlign w:val="center"/>
            <w:hideMark/>
          </w:tcPr>
          <w:p w14:paraId="46BF496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0.35</w:t>
            </w:r>
          </w:p>
        </w:tc>
        <w:tc>
          <w:tcPr>
            <w:tcW w:w="1400" w:type="dxa"/>
            <w:tcBorders>
              <w:top w:val="nil"/>
              <w:left w:val="nil"/>
              <w:bottom w:val="single" w:sz="4" w:space="0" w:color="auto"/>
              <w:right w:val="single" w:sz="4" w:space="0" w:color="auto"/>
            </w:tcBorders>
            <w:vAlign w:val="center"/>
            <w:hideMark/>
          </w:tcPr>
          <w:p w14:paraId="3370E418"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1.82 × 10⁸</w:t>
            </w:r>
          </w:p>
        </w:tc>
        <w:tc>
          <w:tcPr>
            <w:tcW w:w="1420" w:type="dxa"/>
            <w:tcBorders>
              <w:top w:val="nil"/>
              <w:left w:val="nil"/>
              <w:bottom w:val="single" w:sz="4" w:space="0" w:color="auto"/>
              <w:right w:val="single" w:sz="4" w:space="0" w:color="auto"/>
            </w:tcBorders>
            <w:vAlign w:val="center"/>
            <w:hideMark/>
          </w:tcPr>
          <w:p w14:paraId="0CEB2C1D"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0.01122</w:t>
            </w:r>
          </w:p>
        </w:tc>
        <w:tc>
          <w:tcPr>
            <w:tcW w:w="1420" w:type="dxa"/>
            <w:tcBorders>
              <w:top w:val="nil"/>
              <w:left w:val="nil"/>
              <w:bottom w:val="single" w:sz="4" w:space="0" w:color="auto"/>
              <w:right w:val="single" w:sz="4" w:space="0" w:color="auto"/>
            </w:tcBorders>
            <w:noWrap/>
            <w:vAlign w:val="center"/>
            <w:hideMark/>
          </w:tcPr>
          <w:p w14:paraId="3507FB46"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182</w:t>
            </w:r>
          </w:p>
        </w:tc>
      </w:tr>
      <w:tr w:rsidR="004E759D" w:rsidRPr="002421F2" w14:paraId="7B7DA735"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3587BCD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4.2</w:t>
            </w:r>
          </w:p>
        </w:tc>
        <w:tc>
          <w:tcPr>
            <w:tcW w:w="1180" w:type="dxa"/>
            <w:tcBorders>
              <w:top w:val="nil"/>
              <w:left w:val="nil"/>
              <w:bottom w:val="single" w:sz="4" w:space="0" w:color="auto"/>
              <w:right w:val="single" w:sz="4" w:space="0" w:color="auto"/>
            </w:tcBorders>
            <w:vAlign w:val="center"/>
            <w:hideMark/>
          </w:tcPr>
          <w:p w14:paraId="3363793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3.85</w:t>
            </w:r>
          </w:p>
        </w:tc>
        <w:tc>
          <w:tcPr>
            <w:tcW w:w="1240" w:type="dxa"/>
            <w:tcBorders>
              <w:top w:val="nil"/>
              <w:left w:val="nil"/>
              <w:bottom w:val="single" w:sz="4" w:space="0" w:color="auto"/>
              <w:right w:val="single" w:sz="4" w:space="0" w:color="auto"/>
            </w:tcBorders>
            <w:vAlign w:val="center"/>
            <w:hideMark/>
          </w:tcPr>
          <w:p w14:paraId="0A2D096C"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385</w:t>
            </w:r>
          </w:p>
        </w:tc>
        <w:tc>
          <w:tcPr>
            <w:tcW w:w="1180" w:type="dxa"/>
            <w:tcBorders>
              <w:top w:val="nil"/>
              <w:left w:val="nil"/>
              <w:bottom w:val="single" w:sz="4" w:space="0" w:color="auto"/>
              <w:right w:val="single" w:sz="4" w:space="0" w:color="auto"/>
            </w:tcBorders>
            <w:vAlign w:val="center"/>
            <w:hideMark/>
          </w:tcPr>
          <w:p w14:paraId="7CCF25A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0.35</w:t>
            </w:r>
          </w:p>
        </w:tc>
        <w:tc>
          <w:tcPr>
            <w:tcW w:w="1400" w:type="dxa"/>
            <w:tcBorders>
              <w:top w:val="nil"/>
              <w:left w:val="nil"/>
              <w:bottom w:val="single" w:sz="4" w:space="0" w:color="auto"/>
              <w:right w:val="single" w:sz="4" w:space="0" w:color="auto"/>
            </w:tcBorders>
            <w:vAlign w:val="center"/>
            <w:hideMark/>
          </w:tcPr>
          <w:p w14:paraId="31E5A648"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1.92 × 10⁸</w:t>
            </w:r>
          </w:p>
        </w:tc>
        <w:tc>
          <w:tcPr>
            <w:tcW w:w="1420" w:type="dxa"/>
            <w:tcBorders>
              <w:top w:val="nil"/>
              <w:left w:val="nil"/>
              <w:bottom w:val="single" w:sz="4" w:space="0" w:color="auto"/>
              <w:right w:val="single" w:sz="4" w:space="0" w:color="auto"/>
            </w:tcBorders>
            <w:vAlign w:val="center"/>
            <w:hideMark/>
          </w:tcPr>
          <w:p w14:paraId="5228EDCC"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0.01122</w:t>
            </w:r>
          </w:p>
        </w:tc>
        <w:tc>
          <w:tcPr>
            <w:tcW w:w="1420" w:type="dxa"/>
            <w:tcBorders>
              <w:top w:val="nil"/>
              <w:left w:val="nil"/>
              <w:bottom w:val="single" w:sz="4" w:space="0" w:color="auto"/>
              <w:right w:val="single" w:sz="4" w:space="0" w:color="auto"/>
            </w:tcBorders>
            <w:noWrap/>
            <w:vAlign w:val="center"/>
            <w:hideMark/>
          </w:tcPr>
          <w:p w14:paraId="07379C8E"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192</w:t>
            </w:r>
          </w:p>
        </w:tc>
      </w:tr>
      <w:tr w:rsidR="004E759D" w:rsidRPr="002421F2" w14:paraId="52502115"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E84A23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4.4</w:t>
            </w:r>
          </w:p>
        </w:tc>
        <w:tc>
          <w:tcPr>
            <w:tcW w:w="1180" w:type="dxa"/>
            <w:tcBorders>
              <w:top w:val="nil"/>
              <w:left w:val="nil"/>
              <w:bottom w:val="single" w:sz="4" w:space="0" w:color="auto"/>
              <w:right w:val="single" w:sz="4" w:space="0" w:color="auto"/>
            </w:tcBorders>
            <w:vAlign w:val="center"/>
            <w:hideMark/>
          </w:tcPr>
          <w:p w14:paraId="61505C3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4.03</w:t>
            </w:r>
          </w:p>
        </w:tc>
        <w:tc>
          <w:tcPr>
            <w:tcW w:w="1240" w:type="dxa"/>
            <w:tcBorders>
              <w:top w:val="nil"/>
              <w:left w:val="nil"/>
              <w:bottom w:val="single" w:sz="4" w:space="0" w:color="auto"/>
              <w:right w:val="single" w:sz="4" w:space="0" w:color="auto"/>
            </w:tcBorders>
            <w:vAlign w:val="center"/>
            <w:hideMark/>
          </w:tcPr>
          <w:p w14:paraId="62EE9F5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403</w:t>
            </w:r>
          </w:p>
        </w:tc>
        <w:tc>
          <w:tcPr>
            <w:tcW w:w="1180" w:type="dxa"/>
            <w:tcBorders>
              <w:top w:val="nil"/>
              <w:left w:val="nil"/>
              <w:bottom w:val="single" w:sz="4" w:space="0" w:color="auto"/>
              <w:right w:val="single" w:sz="4" w:space="0" w:color="auto"/>
            </w:tcBorders>
            <w:vAlign w:val="center"/>
            <w:hideMark/>
          </w:tcPr>
          <w:p w14:paraId="7762D17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0.37</w:t>
            </w:r>
          </w:p>
        </w:tc>
        <w:tc>
          <w:tcPr>
            <w:tcW w:w="1400" w:type="dxa"/>
            <w:tcBorders>
              <w:top w:val="nil"/>
              <w:left w:val="nil"/>
              <w:bottom w:val="single" w:sz="4" w:space="0" w:color="auto"/>
              <w:right w:val="single" w:sz="4" w:space="0" w:color="auto"/>
            </w:tcBorders>
            <w:vAlign w:val="center"/>
            <w:hideMark/>
          </w:tcPr>
          <w:p w14:paraId="250BE4A2"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2.02 × 10⁸</w:t>
            </w:r>
          </w:p>
        </w:tc>
        <w:tc>
          <w:tcPr>
            <w:tcW w:w="1420" w:type="dxa"/>
            <w:tcBorders>
              <w:top w:val="nil"/>
              <w:left w:val="nil"/>
              <w:bottom w:val="single" w:sz="4" w:space="0" w:color="auto"/>
              <w:right w:val="single" w:sz="4" w:space="0" w:color="auto"/>
            </w:tcBorders>
            <w:vAlign w:val="center"/>
            <w:hideMark/>
          </w:tcPr>
          <w:p w14:paraId="544ED91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0.01186</w:t>
            </w:r>
          </w:p>
        </w:tc>
        <w:tc>
          <w:tcPr>
            <w:tcW w:w="1420" w:type="dxa"/>
            <w:tcBorders>
              <w:top w:val="nil"/>
              <w:left w:val="nil"/>
              <w:bottom w:val="single" w:sz="4" w:space="0" w:color="auto"/>
              <w:right w:val="single" w:sz="4" w:space="0" w:color="auto"/>
            </w:tcBorders>
            <w:noWrap/>
            <w:vAlign w:val="center"/>
            <w:hideMark/>
          </w:tcPr>
          <w:p w14:paraId="6FEC2B90"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202</w:t>
            </w:r>
          </w:p>
        </w:tc>
      </w:tr>
      <w:tr w:rsidR="004E759D" w:rsidRPr="002421F2" w14:paraId="63154166"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6712008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4.6</w:t>
            </w:r>
          </w:p>
        </w:tc>
        <w:tc>
          <w:tcPr>
            <w:tcW w:w="1180" w:type="dxa"/>
            <w:tcBorders>
              <w:top w:val="nil"/>
              <w:left w:val="nil"/>
              <w:bottom w:val="single" w:sz="4" w:space="0" w:color="auto"/>
              <w:right w:val="single" w:sz="4" w:space="0" w:color="auto"/>
            </w:tcBorders>
            <w:vAlign w:val="center"/>
            <w:hideMark/>
          </w:tcPr>
          <w:p w14:paraId="38AA924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4.22</w:t>
            </w:r>
          </w:p>
        </w:tc>
        <w:tc>
          <w:tcPr>
            <w:tcW w:w="1240" w:type="dxa"/>
            <w:tcBorders>
              <w:top w:val="nil"/>
              <w:left w:val="nil"/>
              <w:bottom w:val="single" w:sz="4" w:space="0" w:color="auto"/>
              <w:right w:val="single" w:sz="4" w:space="0" w:color="auto"/>
            </w:tcBorders>
            <w:vAlign w:val="center"/>
            <w:hideMark/>
          </w:tcPr>
          <w:p w14:paraId="02BAB53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422</w:t>
            </w:r>
          </w:p>
        </w:tc>
        <w:tc>
          <w:tcPr>
            <w:tcW w:w="1180" w:type="dxa"/>
            <w:tcBorders>
              <w:top w:val="nil"/>
              <w:left w:val="nil"/>
              <w:bottom w:val="single" w:sz="4" w:space="0" w:color="auto"/>
              <w:right w:val="single" w:sz="4" w:space="0" w:color="auto"/>
            </w:tcBorders>
            <w:vAlign w:val="center"/>
            <w:hideMark/>
          </w:tcPr>
          <w:p w14:paraId="4FC5D4E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0.38</w:t>
            </w:r>
          </w:p>
        </w:tc>
        <w:tc>
          <w:tcPr>
            <w:tcW w:w="1400" w:type="dxa"/>
            <w:tcBorders>
              <w:top w:val="nil"/>
              <w:left w:val="nil"/>
              <w:bottom w:val="single" w:sz="4" w:space="0" w:color="auto"/>
              <w:right w:val="single" w:sz="4" w:space="0" w:color="auto"/>
            </w:tcBorders>
            <w:vAlign w:val="center"/>
            <w:hideMark/>
          </w:tcPr>
          <w:p w14:paraId="73852298"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2.11 × 10⁸</w:t>
            </w:r>
          </w:p>
        </w:tc>
        <w:tc>
          <w:tcPr>
            <w:tcW w:w="1420" w:type="dxa"/>
            <w:tcBorders>
              <w:top w:val="nil"/>
              <w:left w:val="nil"/>
              <w:bottom w:val="single" w:sz="4" w:space="0" w:color="auto"/>
              <w:right w:val="single" w:sz="4" w:space="0" w:color="auto"/>
            </w:tcBorders>
            <w:vAlign w:val="center"/>
            <w:hideMark/>
          </w:tcPr>
          <w:p w14:paraId="558D040C"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0.01218</w:t>
            </w:r>
          </w:p>
        </w:tc>
        <w:tc>
          <w:tcPr>
            <w:tcW w:w="1420" w:type="dxa"/>
            <w:tcBorders>
              <w:top w:val="nil"/>
              <w:left w:val="nil"/>
              <w:bottom w:val="single" w:sz="4" w:space="0" w:color="auto"/>
              <w:right w:val="single" w:sz="4" w:space="0" w:color="auto"/>
            </w:tcBorders>
            <w:noWrap/>
            <w:vAlign w:val="center"/>
            <w:hideMark/>
          </w:tcPr>
          <w:p w14:paraId="1DE130AE"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211</w:t>
            </w:r>
          </w:p>
        </w:tc>
      </w:tr>
      <w:tr w:rsidR="004E759D" w:rsidRPr="002421F2" w14:paraId="520EE294"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417ADD1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4.8</w:t>
            </w:r>
          </w:p>
        </w:tc>
        <w:tc>
          <w:tcPr>
            <w:tcW w:w="1180" w:type="dxa"/>
            <w:tcBorders>
              <w:top w:val="nil"/>
              <w:left w:val="nil"/>
              <w:bottom w:val="single" w:sz="4" w:space="0" w:color="auto"/>
              <w:right w:val="single" w:sz="4" w:space="0" w:color="auto"/>
            </w:tcBorders>
            <w:vAlign w:val="center"/>
            <w:hideMark/>
          </w:tcPr>
          <w:p w14:paraId="2181936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4.41</w:t>
            </w:r>
          </w:p>
        </w:tc>
        <w:tc>
          <w:tcPr>
            <w:tcW w:w="1240" w:type="dxa"/>
            <w:tcBorders>
              <w:top w:val="nil"/>
              <w:left w:val="nil"/>
              <w:bottom w:val="single" w:sz="4" w:space="0" w:color="auto"/>
              <w:right w:val="single" w:sz="4" w:space="0" w:color="auto"/>
            </w:tcBorders>
            <w:vAlign w:val="center"/>
            <w:hideMark/>
          </w:tcPr>
          <w:p w14:paraId="03019A0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441</w:t>
            </w:r>
          </w:p>
        </w:tc>
        <w:tc>
          <w:tcPr>
            <w:tcW w:w="1180" w:type="dxa"/>
            <w:tcBorders>
              <w:top w:val="nil"/>
              <w:left w:val="nil"/>
              <w:bottom w:val="single" w:sz="4" w:space="0" w:color="auto"/>
              <w:right w:val="single" w:sz="4" w:space="0" w:color="auto"/>
            </w:tcBorders>
            <w:vAlign w:val="center"/>
            <w:hideMark/>
          </w:tcPr>
          <w:p w14:paraId="6F7F122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0.39</w:t>
            </w:r>
          </w:p>
        </w:tc>
        <w:tc>
          <w:tcPr>
            <w:tcW w:w="1400" w:type="dxa"/>
            <w:tcBorders>
              <w:top w:val="nil"/>
              <w:left w:val="nil"/>
              <w:bottom w:val="single" w:sz="4" w:space="0" w:color="auto"/>
              <w:right w:val="single" w:sz="4" w:space="0" w:color="auto"/>
            </w:tcBorders>
            <w:vAlign w:val="center"/>
            <w:hideMark/>
          </w:tcPr>
          <w:p w14:paraId="78E83590"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2.20 × 10⁸</w:t>
            </w:r>
          </w:p>
        </w:tc>
        <w:tc>
          <w:tcPr>
            <w:tcW w:w="1420" w:type="dxa"/>
            <w:tcBorders>
              <w:top w:val="nil"/>
              <w:left w:val="nil"/>
              <w:bottom w:val="single" w:sz="4" w:space="0" w:color="auto"/>
              <w:right w:val="single" w:sz="4" w:space="0" w:color="auto"/>
            </w:tcBorders>
            <w:vAlign w:val="center"/>
            <w:hideMark/>
          </w:tcPr>
          <w:p w14:paraId="7F5BCC8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0.0125</w:t>
            </w:r>
          </w:p>
        </w:tc>
        <w:tc>
          <w:tcPr>
            <w:tcW w:w="1420" w:type="dxa"/>
            <w:tcBorders>
              <w:top w:val="nil"/>
              <w:left w:val="nil"/>
              <w:bottom w:val="single" w:sz="4" w:space="0" w:color="auto"/>
              <w:right w:val="single" w:sz="4" w:space="0" w:color="auto"/>
            </w:tcBorders>
            <w:noWrap/>
            <w:vAlign w:val="center"/>
            <w:hideMark/>
          </w:tcPr>
          <w:p w14:paraId="7FC20A37"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220</w:t>
            </w:r>
          </w:p>
        </w:tc>
      </w:tr>
      <w:tr w:rsidR="004E759D" w:rsidRPr="002421F2" w14:paraId="7CD73A53"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201738A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w:t>
            </w:r>
          </w:p>
        </w:tc>
        <w:tc>
          <w:tcPr>
            <w:tcW w:w="1180" w:type="dxa"/>
            <w:tcBorders>
              <w:top w:val="nil"/>
              <w:left w:val="nil"/>
              <w:bottom w:val="single" w:sz="4" w:space="0" w:color="auto"/>
              <w:right w:val="single" w:sz="4" w:space="0" w:color="auto"/>
            </w:tcBorders>
            <w:vAlign w:val="center"/>
            <w:hideMark/>
          </w:tcPr>
          <w:p w14:paraId="35E6612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4.56</w:t>
            </w:r>
          </w:p>
        </w:tc>
        <w:tc>
          <w:tcPr>
            <w:tcW w:w="1240" w:type="dxa"/>
            <w:tcBorders>
              <w:top w:val="nil"/>
              <w:left w:val="nil"/>
              <w:bottom w:val="single" w:sz="4" w:space="0" w:color="auto"/>
              <w:right w:val="single" w:sz="4" w:space="0" w:color="auto"/>
            </w:tcBorders>
            <w:vAlign w:val="center"/>
            <w:hideMark/>
          </w:tcPr>
          <w:p w14:paraId="6229C4E5"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456</w:t>
            </w:r>
          </w:p>
        </w:tc>
        <w:tc>
          <w:tcPr>
            <w:tcW w:w="1180" w:type="dxa"/>
            <w:tcBorders>
              <w:top w:val="nil"/>
              <w:left w:val="nil"/>
              <w:bottom w:val="single" w:sz="4" w:space="0" w:color="auto"/>
              <w:right w:val="single" w:sz="4" w:space="0" w:color="auto"/>
            </w:tcBorders>
            <w:vAlign w:val="center"/>
            <w:hideMark/>
          </w:tcPr>
          <w:p w14:paraId="77737A1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0.44</w:t>
            </w:r>
          </w:p>
        </w:tc>
        <w:tc>
          <w:tcPr>
            <w:tcW w:w="1400" w:type="dxa"/>
            <w:tcBorders>
              <w:top w:val="nil"/>
              <w:left w:val="nil"/>
              <w:bottom w:val="single" w:sz="4" w:space="0" w:color="auto"/>
              <w:right w:val="single" w:sz="4" w:space="0" w:color="auto"/>
            </w:tcBorders>
            <w:vAlign w:val="center"/>
            <w:hideMark/>
          </w:tcPr>
          <w:p w14:paraId="241F38E5"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2.28 × 10⁸</w:t>
            </w:r>
          </w:p>
        </w:tc>
        <w:tc>
          <w:tcPr>
            <w:tcW w:w="1420" w:type="dxa"/>
            <w:tcBorders>
              <w:top w:val="nil"/>
              <w:left w:val="nil"/>
              <w:bottom w:val="single" w:sz="4" w:space="0" w:color="auto"/>
              <w:right w:val="single" w:sz="4" w:space="0" w:color="auto"/>
            </w:tcBorders>
            <w:vAlign w:val="center"/>
            <w:hideMark/>
          </w:tcPr>
          <w:p w14:paraId="5CD664C2"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0.0141</w:t>
            </w:r>
          </w:p>
        </w:tc>
        <w:tc>
          <w:tcPr>
            <w:tcW w:w="1420" w:type="dxa"/>
            <w:tcBorders>
              <w:top w:val="nil"/>
              <w:left w:val="nil"/>
              <w:bottom w:val="single" w:sz="4" w:space="0" w:color="auto"/>
              <w:right w:val="single" w:sz="4" w:space="0" w:color="auto"/>
            </w:tcBorders>
            <w:noWrap/>
            <w:vAlign w:val="center"/>
            <w:hideMark/>
          </w:tcPr>
          <w:p w14:paraId="27E44FD4"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228</w:t>
            </w:r>
          </w:p>
        </w:tc>
      </w:tr>
      <w:tr w:rsidR="004E759D" w:rsidRPr="002421F2" w14:paraId="36B7361A"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67E578D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5.2</w:t>
            </w:r>
          </w:p>
        </w:tc>
        <w:tc>
          <w:tcPr>
            <w:tcW w:w="1180" w:type="dxa"/>
            <w:tcBorders>
              <w:top w:val="nil"/>
              <w:left w:val="nil"/>
              <w:bottom w:val="single" w:sz="4" w:space="0" w:color="auto"/>
              <w:right w:val="single" w:sz="4" w:space="0" w:color="auto"/>
            </w:tcBorders>
            <w:vAlign w:val="center"/>
            <w:hideMark/>
          </w:tcPr>
          <w:p w14:paraId="69599F2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4.76</w:t>
            </w:r>
          </w:p>
        </w:tc>
        <w:tc>
          <w:tcPr>
            <w:tcW w:w="1240" w:type="dxa"/>
            <w:tcBorders>
              <w:top w:val="nil"/>
              <w:left w:val="nil"/>
              <w:bottom w:val="single" w:sz="4" w:space="0" w:color="auto"/>
              <w:right w:val="single" w:sz="4" w:space="0" w:color="auto"/>
            </w:tcBorders>
            <w:vAlign w:val="center"/>
            <w:hideMark/>
          </w:tcPr>
          <w:p w14:paraId="2E3B8D3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476</w:t>
            </w:r>
          </w:p>
        </w:tc>
        <w:tc>
          <w:tcPr>
            <w:tcW w:w="1180" w:type="dxa"/>
            <w:tcBorders>
              <w:top w:val="nil"/>
              <w:left w:val="nil"/>
              <w:bottom w:val="single" w:sz="4" w:space="0" w:color="auto"/>
              <w:right w:val="single" w:sz="4" w:space="0" w:color="auto"/>
            </w:tcBorders>
            <w:vAlign w:val="center"/>
            <w:hideMark/>
          </w:tcPr>
          <w:p w14:paraId="3DA515A0"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0.44</w:t>
            </w:r>
          </w:p>
        </w:tc>
        <w:tc>
          <w:tcPr>
            <w:tcW w:w="1400" w:type="dxa"/>
            <w:tcBorders>
              <w:top w:val="nil"/>
              <w:left w:val="nil"/>
              <w:bottom w:val="single" w:sz="4" w:space="0" w:color="auto"/>
              <w:right w:val="single" w:sz="4" w:space="0" w:color="auto"/>
            </w:tcBorders>
            <w:vAlign w:val="center"/>
            <w:hideMark/>
          </w:tcPr>
          <w:p w14:paraId="013B8022"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2.38 × 10⁸</w:t>
            </w:r>
          </w:p>
        </w:tc>
        <w:tc>
          <w:tcPr>
            <w:tcW w:w="1420" w:type="dxa"/>
            <w:tcBorders>
              <w:top w:val="nil"/>
              <w:left w:val="nil"/>
              <w:bottom w:val="single" w:sz="4" w:space="0" w:color="auto"/>
              <w:right w:val="single" w:sz="4" w:space="0" w:color="auto"/>
            </w:tcBorders>
            <w:vAlign w:val="center"/>
            <w:hideMark/>
          </w:tcPr>
          <w:p w14:paraId="62AF4622"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0.0141</w:t>
            </w:r>
          </w:p>
        </w:tc>
        <w:tc>
          <w:tcPr>
            <w:tcW w:w="1420" w:type="dxa"/>
            <w:tcBorders>
              <w:top w:val="nil"/>
              <w:left w:val="nil"/>
              <w:bottom w:val="single" w:sz="4" w:space="0" w:color="auto"/>
              <w:right w:val="single" w:sz="4" w:space="0" w:color="auto"/>
            </w:tcBorders>
            <w:noWrap/>
            <w:vAlign w:val="center"/>
            <w:hideMark/>
          </w:tcPr>
          <w:p w14:paraId="79225F84"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238</w:t>
            </w:r>
          </w:p>
        </w:tc>
      </w:tr>
      <w:tr w:rsidR="004E759D" w:rsidRPr="002421F2" w14:paraId="566D9C7A"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2DA353B2"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5.4</w:t>
            </w:r>
          </w:p>
        </w:tc>
        <w:tc>
          <w:tcPr>
            <w:tcW w:w="1180" w:type="dxa"/>
            <w:tcBorders>
              <w:top w:val="nil"/>
              <w:left w:val="nil"/>
              <w:bottom w:val="single" w:sz="4" w:space="0" w:color="auto"/>
              <w:right w:val="single" w:sz="4" w:space="0" w:color="auto"/>
            </w:tcBorders>
            <w:vAlign w:val="center"/>
            <w:hideMark/>
          </w:tcPr>
          <w:p w14:paraId="6DCE9BB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4.94</w:t>
            </w:r>
          </w:p>
        </w:tc>
        <w:tc>
          <w:tcPr>
            <w:tcW w:w="1240" w:type="dxa"/>
            <w:tcBorders>
              <w:top w:val="nil"/>
              <w:left w:val="nil"/>
              <w:bottom w:val="single" w:sz="4" w:space="0" w:color="auto"/>
              <w:right w:val="single" w:sz="4" w:space="0" w:color="auto"/>
            </w:tcBorders>
            <w:vAlign w:val="center"/>
            <w:hideMark/>
          </w:tcPr>
          <w:p w14:paraId="2A39BE30"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494</w:t>
            </w:r>
          </w:p>
        </w:tc>
        <w:tc>
          <w:tcPr>
            <w:tcW w:w="1180" w:type="dxa"/>
            <w:tcBorders>
              <w:top w:val="nil"/>
              <w:left w:val="nil"/>
              <w:bottom w:val="single" w:sz="4" w:space="0" w:color="auto"/>
              <w:right w:val="single" w:sz="4" w:space="0" w:color="auto"/>
            </w:tcBorders>
            <w:vAlign w:val="center"/>
            <w:hideMark/>
          </w:tcPr>
          <w:p w14:paraId="0441FC27"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0.46</w:t>
            </w:r>
          </w:p>
        </w:tc>
        <w:tc>
          <w:tcPr>
            <w:tcW w:w="1400" w:type="dxa"/>
            <w:tcBorders>
              <w:top w:val="nil"/>
              <w:left w:val="nil"/>
              <w:bottom w:val="single" w:sz="4" w:space="0" w:color="auto"/>
              <w:right w:val="single" w:sz="4" w:space="0" w:color="auto"/>
            </w:tcBorders>
            <w:vAlign w:val="center"/>
            <w:hideMark/>
          </w:tcPr>
          <w:p w14:paraId="727306EF"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2.47 × 10⁸</w:t>
            </w:r>
          </w:p>
        </w:tc>
        <w:tc>
          <w:tcPr>
            <w:tcW w:w="1420" w:type="dxa"/>
            <w:tcBorders>
              <w:top w:val="nil"/>
              <w:left w:val="nil"/>
              <w:bottom w:val="single" w:sz="4" w:space="0" w:color="auto"/>
              <w:right w:val="single" w:sz="4" w:space="0" w:color="auto"/>
            </w:tcBorders>
            <w:vAlign w:val="center"/>
            <w:hideMark/>
          </w:tcPr>
          <w:p w14:paraId="41DDE37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0.01474</w:t>
            </w:r>
          </w:p>
        </w:tc>
        <w:tc>
          <w:tcPr>
            <w:tcW w:w="1420" w:type="dxa"/>
            <w:tcBorders>
              <w:top w:val="nil"/>
              <w:left w:val="nil"/>
              <w:bottom w:val="single" w:sz="4" w:space="0" w:color="auto"/>
              <w:right w:val="single" w:sz="4" w:space="0" w:color="auto"/>
            </w:tcBorders>
            <w:noWrap/>
            <w:vAlign w:val="center"/>
            <w:hideMark/>
          </w:tcPr>
          <w:p w14:paraId="786BB0E1"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247</w:t>
            </w:r>
          </w:p>
        </w:tc>
      </w:tr>
      <w:tr w:rsidR="004E759D" w:rsidRPr="002421F2" w14:paraId="555E27A9"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4618CE2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5.6</w:t>
            </w:r>
          </w:p>
        </w:tc>
        <w:tc>
          <w:tcPr>
            <w:tcW w:w="1180" w:type="dxa"/>
            <w:tcBorders>
              <w:top w:val="nil"/>
              <w:left w:val="nil"/>
              <w:bottom w:val="single" w:sz="4" w:space="0" w:color="auto"/>
              <w:right w:val="single" w:sz="4" w:space="0" w:color="auto"/>
            </w:tcBorders>
            <w:vAlign w:val="center"/>
            <w:hideMark/>
          </w:tcPr>
          <w:p w14:paraId="40A9CC9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5.11</w:t>
            </w:r>
          </w:p>
        </w:tc>
        <w:tc>
          <w:tcPr>
            <w:tcW w:w="1240" w:type="dxa"/>
            <w:tcBorders>
              <w:top w:val="nil"/>
              <w:left w:val="nil"/>
              <w:bottom w:val="single" w:sz="4" w:space="0" w:color="auto"/>
              <w:right w:val="single" w:sz="4" w:space="0" w:color="auto"/>
            </w:tcBorders>
            <w:vAlign w:val="center"/>
            <w:hideMark/>
          </w:tcPr>
          <w:p w14:paraId="4D19B01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511</w:t>
            </w:r>
          </w:p>
        </w:tc>
        <w:tc>
          <w:tcPr>
            <w:tcW w:w="1180" w:type="dxa"/>
            <w:tcBorders>
              <w:top w:val="nil"/>
              <w:left w:val="nil"/>
              <w:bottom w:val="single" w:sz="4" w:space="0" w:color="auto"/>
              <w:right w:val="single" w:sz="4" w:space="0" w:color="auto"/>
            </w:tcBorders>
            <w:vAlign w:val="center"/>
            <w:hideMark/>
          </w:tcPr>
          <w:p w14:paraId="6D844A6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0.49</w:t>
            </w:r>
          </w:p>
        </w:tc>
        <w:tc>
          <w:tcPr>
            <w:tcW w:w="1400" w:type="dxa"/>
            <w:tcBorders>
              <w:top w:val="nil"/>
              <w:left w:val="nil"/>
              <w:bottom w:val="single" w:sz="4" w:space="0" w:color="auto"/>
              <w:right w:val="single" w:sz="4" w:space="0" w:color="auto"/>
            </w:tcBorders>
            <w:vAlign w:val="center"/>
            <w:hideMark/>
          </w:tcPr>
          <w:p w14:paraId="07271D2D"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2.56 × 10⁸</w:t>
            </w:r>
          </w:p>
        </w:tc>
        <w:tc>
          <w:tcPr>
            <w:tcW w:w="1420" w:type="dxa"/>
            <w:tcBorders>
              <w:top w:val="nil"/>
              <w:left w:val="nil"/>
              <w:bottom w:val="single" w:sz="4" w:space="0" w:color="auto"/>
              <w:right w:val="single" w:sz="4" w:space="0" w:color="auto"/>
            </w:tcBorders>
            <w:vAlign w:val="center"/>
            <w:hideMark/>
          </w:tcPr>
          <w:p w14:paraId="0296ED0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0.01571</w:t>
            </w:r>
          </w:p>
        </w:tc>
        <w:tc>
          <w:tcPr>
            <w:tcW w:w="1420" w:type="dxa"/>
            <w:tcBorders>
              <w:top w:val="nil"/>
              <w:left w:val="nil"/>
              <w:bottom w:val="single" w:sz="4" w:space="0" w:color="auto"/>
              <w:right w:val="single" w:sz="4" w:space="0" w:color="auto"/>
            </w:tcBorders>
            <w:noWrap/>
            <w:vAlign w:val="center"/>
            <w:hideMark/>
          </w:tcPr>
          <w:p w14:paraId="73105A1E"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256</w:t>
            </w:r>
          </w:p>
        </w:tc>
      </w:tr>
      <w:tr w:rsidR="004E759D" w:rsidRPr="002421F2" w14:paraId="55D2DAA5"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8246B6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5.8</w:t>
            </w:r>
          </w:p>
        </w:tc>
        <w:tc>
          <w:tcPr>
            <w:tcW w:w="1180" w:type="dxa"/>
            <w:tcBorders>
              <w:top w:val="nil"/>
              <w:left w:val="nil"/>
              <w:bottom w:val="single" w:sz="4" w:space="0" w:color="auto"/>
              <w:right w:val="single" w:sz="4" w:space="0" w:color="auto"/>
            </w:tcBorders>
            <w:vAlign w:val="center"/>
            <w:hideMark/>
          </w:tcPr>
          <w:p w14:paraId="4839A65C"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5.25</w:t>
            </w:r>
          </w:p>
        </w:tc>
        <w:tc>
          <w:tcPr>
            <w:tcW w:w="1240" w:type="dxa"/>
            <w:tcBorders>
              <w:top w:val="nil"/>
              <w:left w:val="nil"/>
              <w:bottom w:val="single" w:sz="4" w:space="0" w:color="auto"/>
              <w:right w:val="single" w:sz="4" w:space="0" w:color="auto"/>
            </w:tcBorders>
            <w:vAlign w:val="center"/>
            <w:hideMark/>
          </w:tcPr>
          <w:p w14:paraId="66B003F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525</w:t>
            </w:r>
          </w:p>
        </w:tc>
        <w:tc>
          <w:tcPr>
            <w:tcW w:w="1180" w:type="dxa"/>
            <w:tcBorders>
              <w:top w:val="nil"/>
              <w:left w:val="nil"/>
              <w:bottom w:val="single" w:sz="4" w:space="0" w:color="auto"/>
              <w:right w:val="single" w:sz="4" w:space="0" w:color="auto"/>
            </w:tcBorders>
            <w:vAlign w:val="center"/>
            <w:hideMark/>
          </w:tcPr>
          <w:p w14:paraId="099608AF"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0.55</w:t>
            </w:r>
          </w:p>
        </w:tc>
        <w:tc>
          <w:tcPr>
            <w:tcW w:w="1400" w:type="dxa"/>
            <w:tcBorders>
              <w:top w:val="nil"/>
              <w:left w:val="nil"/>
              <w:bottom w:val="single" w:sz="4" w:space="0" w:color="auto"/>
              <w:right w:val="single" w:sz="4" w:space="0" w:color="auto"/>
            </w:tcBorders>
            <w:vAlign w:val="center"/>
            <w:hideMark/>
          </w:tcPr>
          <w:p w14:paraId="5BD7DA25"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2.62 × 10⁸</w:t>
            </w:r>
          </w:p>
        </w:tc>
        <w:tc>
          <w:tcPr>
            <w:tcW w:w="1420" w:type="dxa"/>
            <w:tcBorders>
              <w:top w:val="nil"/>
              <w:left w:val="nil"/>
              <w:bottom w:val="single" w:sz="4" w:space="0" w:color="auto"/>
              <w:right w:val="single" w:sz="4" w:space="0" w:color="auto"/>
            </w:tcBorders>
            <w:vAlign w:val="center"/>
            <w:hideMark/>
          </w:tcPr>
          <w:p w14:paraId="02D89C9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0.01763</w:t>
            </w:r>
          </w:p>
        </w:tc>
        <w:tc>
          <w:tcPr>
            <w:tcW w:w="1420" w:type="dxa"/>
            <w:tcBorders>
              <w:top w:val="nil"/>
              <w:left w:val="nil"/>
              <w:bottom w:val="single" w:sz="4" w:space="0" w:color="auto"/>
              <w:right w:val="single" w:sz="4" w:space="0" w:color="auto"/>
            </w:tcBorders>
            <w:noWrap/>
            <w:vAlign w:val="center"/>
            <w:hideMark/>
          </w:tcPr>
          <w:p w14:paraId="4AFC8DA5"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262</w:t>
            </w:r>
          </w:p>
        </w:tc>
      </w:tr>
      <w:tr w:rsidR="004E759D" w:rsidRPr="002421F2" w14:paraId="3E6F784A"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51AC56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6</w:t>
            </w:r>
          </w:p>
        </w:tc>
        <w:tc>
          <w:tcPr>
            <w:tcW w:w="1180" w:type="dxa"/>
            <w:tcBorders>
              <w:top w:val="nil"/>
              <w:left w:val="nil"/>
              <w:bottom w:val="single" w:sz="4" w:space="0" w:color="auto"/>
              <w:right w:val="single" w:sz="4" w:space="0" w:color="auto"/>
            </w:tcBorders>
            <w:vAlign w:val="center"/>
            <w:hideMark/>
          </w:tcPr>
          <w:p w14:paraId="3F13FBF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5.39</w:t>
            </w:r>
          </w:p>
        </w:tc>
        <w:tc>
          <w:tcPr>
            <w:tcW w:w="1240" w:type="dxa"/>
            <w:tcBorders>
              <w:top w:val="nil"/>
              <w:left w:val="nil"/>
              <w:bottom w:val="single" w:sz="4" w:space="0" w:color="auto"/>
              <w:right w:val="single" w:sz="4" w:space="0" w:color="auto"/>
            </w:tcBorders>
            <w:vAlign w:val="center"/>
            <w:hideMark/>
          </w:tcPr>
          <w:p w14:paraId="7CB66D7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539</w:t>
            </w:r>
          </w:p>
        </w:tc>
        <w:tc>
          <w:tcPr>
            <w:tcW w:w="1180" w:type="dxa"/>
            <w:tcBorders>
              <w:top w:val="nil"/>
              <w:left w:val="nil"/>
              <w:bottom w:val="single" w:sz="4" w:space="0" w:color="auto"/>
              <w:right w:val="single" w:sz="4" w:space="0" w:color="auto"/>
            </w:tcBorders>
            <w:vAlign w:val="center"/>
            <w:hideMark/>
          </w:tcPr>
          <w:p w14:paraId="7D91C77D"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0.61</w:t>
            </w:r>
          </w:p>
        </w:tc>
        <w:tc>
          <w:tcPr>
            <w:tcW w:w="1400" w:type="dxa"/>
            <w:tcBorders>
              <w:top w:val="nil"/>
              <w:left w:val="nil"/>
              <w:bottom w:val="single" w:sz="4" w:space="0" w:color="auto"/>
              <w:right w:val="single" w:sz="4" w:space="0" w:color="auto"/>
            </w:tcBorders>
            <w:vAlign w:val="center"/>
            <w:hideMark/>
          </w:tcPr>
          <w:p w14:paraId="5C9F0A35"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2.70 × 10⁸</w:t>
            </w:r>
          </w:p>
        </w:tc>
        <w:tc>
          <w:tcPr>
            <w:tcW w:w="1420" w:type="dxa"/>
            <w:tcBorders>
              <w:top w:val="nil"/>
              <w:left w:val="nil"/>
              <w:bottom w:val="single" w:sz="4" w:space="0" w:color="auto"/>
              <w:right w:val="single" w:sz="4" w:space="0" w:color="auto"/>
            </w:tcBorders>
            <w:vAlign w:val="center"/>
            <w:hideMark/>
          </w:tcPr>
          <w:p w14:paraId="5C57809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0.01955</w:t>
            </w:r>
          </w:p>
        </w:tc>
        <w:tc>
          <w:tcPr>
            <w:tcW w:w="1420" w:type="dxa"/>
            <w:tcBorders>
              <w:top w:val="nil"/>
              <w:left w:val="nil"/>
              <w:bottom w:val="single" w:sz="4" w:space="0" w:color="auto"/>
              <w:right w:val="single" w:sz="4" w:space="0" w:color="auto"/>
            </w:tcBorders>
            <w:noWrap/>
            <w:vAlign w:val="center"/>
            <w:hideMark/>
          </w:tcPr>
          <w:p w14:paraId="23EC61C5"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270</w:t>
            </w:r>
          </w:p>
        </w:tc>
      </w:tr>
      <w:tr w:rsidR="004E759D" w:rsidRPr="002421F2" w14:paraId="77733746"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556691C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6.2</w:t>
            </w:r>
          </w:p>
        </w:tc>
        <w:tc>
          <w:tcPr>
            <w:tcW w:w="1180" w:type="dxa"/>
            <w:tcBorders>
              <w:top w:val="nil"/>
              <w:left w:val="nil"/>
              <w:bottom w:val="single" w:sz="4" w:space="0" w:color="auto"/>
              <w:right w:val="single" w:sz="4" w:space="0" w:color="auto"/>
            </w:tcBorders>
            <w:vAlign w:val="center"/>
            <w:hideMark/>
          </w:tcPr>
          <w:p w14:paraId="5AF3C33B"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5.46</w:t>
            </w:r>
          </w:p>
        </w:tc>
        <w:tc>
          <w:tcPr>
            <w:tcW w:w="1240" w:type="dxa"/>
            <w:tcBorders>
              <w:top w:val="nil"/>
              <w:left w:val="nil"/>
              <w:bottom w:val="single" w:sz="4" w:space="0" w:color="auto"/>
              <w:right w:val="single" w:sz="4" w:space="0" w:color="auto"/>
            </w:tcBorders>
            <w:vAlign w:val="center"/>
            <w:hideMark/>
          </w:tcPr>
          <w:p w14:paraId="549587E6"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546</w:t>
            </w:r>
          </w:p>
        </w:tc>
        <w:tc>
          <w:tcPr>
            <w:tcW w:w="1180" w:type="dxa"/>
            <w:tcBorders>
              <w:top w:val="nil"/>
              <w:left w:val="nil"/>
              <w:bottom w:val="single" w:sz="4" w:space="0" w:color="auto"/>
              <w:right w:val="single" w:sz="4" w:space="0" w:color="auto"/>
            </w:tcBorders>
            <w:vAlign w:val="center"/>
            <w:hideMark/>
          </w:tcPr>
          <w:p w14:paraId="078B57C0"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0.74</w:t>
            </w:r>
          </w:p>
        </w:tc>
        <w:tc>
          <w:tcPr>
            <w:tcW w:w="1400" w:type="dxa"/>
            <w:tcBorders>
              <w:top w:val="nil"/>
              <w:left w:val="nil"/>
              <w:bottom w:val="single" w:sz="4" w:space="0" w:color="auto"/>
              <w:right w:val="single" w:sz="4" w:space="0" w:color="auto"/>
            </w:tcBorders>
            <w:vAlign w:val="center"/>
            <w:hideMark/>
          </w:tcPr>
          <w:p w14:paraId="07B22863"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2.73 × 10⁸</w:t>
            </w:r>
          </w:p>
        </w:tc>
        <w:tc>
          <w:tcPr>
            <w:tcW w:w="1420" w:type="dxa"/>
            <w:tcBorders>
              <w:top w:val="nil"/>
              <w:left w:val="nil"/>
              <w:bottom w:val="single" w:sz="4" w:space="0" w:color="auto"/>
              <w:right w:val="single" w:sz="4" w:space="0" w:color="auto"/>
            </w:tcBorders>
            <w:vAlign w:val="center"/>
            <w:hideMark/>
          </w:tcPr>
          <w:p w14:paraId="58C403F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0.02372</w:t>
            </w:r>
          </w:p>
        </w:tc>
        <w:tc>
          <w:tcPr>
            <w:tcW w:w="1420" w:type="dxa"/>
            <w:tcBorders>
              <w:top w:val="nil"/>
              <w:left w:val="nil"/>
              <w:bottom w:val="single" w:sz="4" w:space="0" w:color="auto"/>
              <w:right w:val="single" w:sz="4" w:space="0" w:color="auto"/>
            </w:tcBorders>
            <w:noWrap/>
            <w:vAlign w:val="center"/>
            <w:hideMark/>
          </w:tcPr>
          <w:p w14:paraId="72D88500"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273</w:t>
            </w:r>
          </w:p>
        </w:tc>
      </w:tr>
      <w:tr w:rsidR="004E759D" w:rsidRPr="002421F2" w14:paraId="39BE8D28"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A1C766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6.4</w:t>
            </w:r>
          </w:p>
        </w:tc>
        <w:tc>
          <w:tcPr>
            <w:tcW w:w="1180" w:type="dxa"/>
            <w:tcBorders>
              <w:top w:val="nil"/>
              <w:left w:val="nil"/>
              <w:bottom w:val="single" w:sz="4" w:space="0" w:color="auto"/>
              <w:right w:val="single" w:sz="4" w:space="0" w:color="auto"/>
            </w:tcBorders>
            <w:vAlign w:val="center"/>
            <w:hideMark/>
          </w:tcPr>
          <w:p w14:paraId="50F6747A"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5.6</w:t>
            </w:r>
          </w:p>
        </w:tc>
        <w:tc>
          <w:tcPr>
            <w:tcW w:w="1240" w:type="dxa"/>
            <w:tcBorders>
              <w:top w:val="nil"/>
              <w:left w:val="nil"/>
              <w:bottom w:val="single" w:sz="4" w:space="0" w:color="auto"/>
              <w:right w:val="single" w:sz="4" w:space="0" w:color="auto"/>
            </w:tcBorders>
            <w:vAlign w:val="center"/>
            <w:hideMark/>
          </w:tcPr>
          <w:p w14:paraId="19DF553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560</w:t>
            </w:r>
          </w:p>
        </w:tc>
        <w:tc>
          <w:tcPr>
            <w:tcW w:w="1180" w:type="dxa"/>
            <w:tcBorders>
              <w:top w:val="nil"/>
              <w:left w:val="nil"/>
              <w:bottom w:val="single" w:sz="4" w:space="0" w:color="auto"/>
              <w:right w:val="single" w:sz="4" w:space="0" w:color="auto"/>
            </w:tcBorders>
            <w:vAlign w:val="center"/>
            <w:hideMark/>
          </w:tcPr>
          <w:p w14:paraId="27D52A93"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0.8</w:t>
            </w:r>
          </w:p>
        </w:tc>
        <w:tc>
          <w:tcPr>
            <w:tcW w:w="1400" w:type="dxa"/>
            <w:tcBorders>
              <w:top w:val="nil"/>
              <w:left w:val="nil"/>
              <w:bottom w:val="single" w:sz="4" w:space="0" w:color="auto"/>
              <w:right w:val="single" w:sz="4" w:space="0" w:color="auto"/>
            </w:tcBorders>
            <w:vAlign w:val="center"/>
            <w:hideMark/>
          </w:tcPr>
          <w:p w14:paraId="37CF0C17"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2.80 × 10⁸</w:t>
            </w:r>
          </w:p>
        </w:tc>
        <w:tc>
          <w:tcPr>
            <w:tcW w:w="1420" w:type="dxa"/>
            <w:tcBorders>
              <w:top w:val="nil"/>
              <w:left w:val="nil"/>
              <w:bottom w:val="single" w:sz="4" w:space="0" w:color="auto"/>
              <w:right w:val="single" w:sz="4" w:space="0" w:color="auto"/>
            </w:tcBorders>
            <w:vAlign w:val="center"/>
            <w:hideMark/>
          </w:tcPr>
          <w:p w14:paraId="1D0F9B2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0.02564</w:t>
            </w:r>
          </w:p>
        </w:tc>
        <w:tc>
          <w:tcPr>
            <w:tcW w:w="1420" w:type="dxa"/>
            <w:tcBorders>
              <w:top w:val="nil"/>
              <w:left w:val="nil"/>
              <w:bottom w:val="single" w:sz="4" w:space="0" w:color="auto"/>
              <w:right w:val="single" w:sz="4" w:space="0" w:color="auto"/>
            </w:tcBorders>
            <w:noWrap/>
            <w:vAlign w:val="center"/>
            <w:hideMark/>
          </w:tcPr>
          <w:p w14:paraId="7AC02E56"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280</w:t>
            </w:r>
          </w:p>
        </w:tc>
      </w:tr>
      <w:tr w:rsidR="004E759D" w:rsidRPr="002421F2" w14:paraId="55460BD7"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5E3A115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6.6</w:t>
            </w:r>
          </w:p>
        </w:tc>
        <w:tc>
          <w:tcPr>
            <w:tcW w:w="1180" w:type="dxa"/>
            <w:tcBorders>
              <w:top w:val="nil"/>
              <w:left w:val="nil"/>
              <w:bottom w:val="single" w:sz="4" w:space="0" w:color="auto"/>
              <w:right w:val="single" w:sz="4" w:space="0" w:color="auto"/>
            </w:tcBorders>
            <w:vAlign w:val="center"/>
            <w:hideMark/>
          </w:tcPr>
          <w:p w14:paraId="74B93B2E"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5.6</w:t>
            </w:r>
          </w:p>
        </w:tc>
        <w:tc>
          <w:tcPr>
            <w:tcW w:w="1240" w:type="dxa"/>
            <w:tcBorders>
              <w:top w:val="nil"/>
              <w:left w:val="nil"/>
              <w:bottom w:val="single" w:sz="4" w:space="0" w:color="auto"/>
              <w:right w:val="single" w:sz="4" w:space="0" w:color="auto"/>
            </w:tcBorders>
            <w:vAlign w:val="center"/>
            <w:hideMark/>
          </w:tcPr>
          <w:p w14:paraId="0120537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560</w:t>
            </w:r>
          </w:p>
        </w:tc>
        <w:tc>
          <w:tcPr>
            <w:tcW w:w="1180" w:type="dxa"/>
            <w:tcBorders>
              <w:top w:val="nil"/>
              <w:left w:val="nil"/>
              <w:bottom w:val="single" w:sz="4" w:space="0" w:color="auto"/>
              <w:right w:val="single" w:sz="4" w:space="0" w:color="auto"/>
            </w:tcBorders>
            <w:vAlign w:val="center"/>
            <w:hideMark/>
          </w:tcPr>
          <w:p w14:paraId="502ECA8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w:t>
            </w:r>
          </w:p>
        </w:tc>
        <w:tc>
          <w:tcPr>
            <w:tcW w:w="1400" w:type="dxa"/>
            <w:tcBorders>
              <w:top w:val="nil"/>
              <w:left w:val="nil"/>
              <w:bottom w:val="single" w:sz="4" w:space="0" w:color="auto"/>
              <w:right w:val="single" w:sz="4" w:space="0" w:color="auto"/>
            </w:tcBorders>
            <w:vAlign w:val="center"/>
            <w:hideMark/>
          </w:tcPr>
          <w:p w14:paraId="2E1C9621"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2.80 × 10⁸</w:t>
            </w:r>
          </w:p>
        </w:tc>
        <w:tc>
          <w:tcPr>
            <w:tcW w:w="1420" w:type="dxa"/>
            <w:tcBorders>
              <w:top w:val="nil"/>
              <w:left w:val="nil"/>
              <w:bottom w:val="single" w:sz="4" w:space="0" w:color="auto"/>
              <w:right w:val="single" w:sz="4" w:space="0" w:color="auto"/>
            </w:tcBorders>
            <w:vAlign w:val="center"/>
            <w:hideMark/>
          </w:tcPr>
          <w:p w14:paraId="19B84350"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0.03205</w:t>
            </w:r>
          </w:p>
        </w:tc>
        <w:tc>
          <w:tcPr>
            <w:tcW w:w="1420" w:type="dxa"/>
            <w:tcBorders>
              <w:top w:val="nil"/>
              <w:left w:val="nil"/>
              <w:bottom w:val="single" w:sz="4" w:space="0" w:color="auto"/>
              <w:right w:val="single" w:sz="4" w:space="0" w:color="auto"/>
            </w:tcBorders>
            <w:noWrap/>
            <w:vAlign w:val="center"/>
            <w:hideMark/>
          </w:tcPr>
          <w:p w14:paraId="4CFB06F0"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280</w:t>
            </w:r>
          </w:p>
        </w:tc>
      </w:tr>
      <w:tr w:rsidR="004E759D" w:rsidRPr="002421F2" w14:paraId="66BA8F41"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7B410B19"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6.8</w:t>
            </w:r>
          </w:p>
        </w:tc>
        <w:tc>
          <w:tcPr>
            <w:tcW w:w="1180" w:type="dxa"/>
            <w:tcBorders>
              <w:top w:val="nil"/>
              <w:left w:val="nil"/>
              <w:bottom w:val="single" w:sz="4" w:space="0" w:color="auto"/>
              <w:right w:val="single" w:sz="4" w:space="0" w:color="auto"/>
            </w:tcBorders>
            <w:vAlign w:val="center"/>
            <w:hideMark/>
          </w:tcPr>
          <w:p w14:paraId="0953AFAD"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5.65</w:t>
            </w:r>
          </w:p>
        </w:tc>
        <w:tc>
          <w:tcPr>
            <w:tcW w:w="1240" w:type="dxa"/>
            <w:tcBorders>
              <w:top w:val="nil"/>
              <w:left w:val="nil"/>
              <w:bottom w:val="single" w:sz="4" w:space="0" w:color="auto"/>
              <w:right w:val="single" w:sz="4" w:space="0" w:color="auto"/>
            </w:tcBorders>
            <w:vAlign w:val="center"/>
            <w:hideMark/>
          </w:tcPr>
          <w:p w14:paraId="6A87416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565</w:t>
            </w:r>
          </w:p>
        </w:tc>
        <w:tc>
          <w:tcPr>
            <w:tcW w:w="1180" w:type="dxa"/>
            <w:tcBorders>
              <w:top w:val="nil"/>
              <w:left w:val="nil"/>
              <w:bottom w:val="single" w:sz="4" w:space="0" w:color="auto"/>
              <w:right w:val="single" w:sz="4" w:space="0" w:color="auto"/>
            </w:tcBorders>
            <w:vAlign w:val="center"/>
            <w:hideMark/>
          </w:tcPr>
          <w:p w14:paraId="61E53082"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1.15</w:t>
            </w:r>
          </w:p>
        </w:tc>
        <w:tc>
          <w:tcPr>
            <w:tcW w:w="1400" w:type="dxa"/>
            <w:tcBorders>
              <w:top w:val="nil"/>
              <w:left w:val="nil"/>
              <w:bottom w:val="single" w:sz="4" w:space="0" w:color="auto"/>
              <w:right w:val="single" w:sz="4" w:space="0" w:color="auto"/>
            </w:tcBorders>
            <w:vAlign w:val="center"/>
            <w:hideMark/>
          </w:tcPr>
          <w:p w14:paraId="3082E37D"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2.82 × 10⁸</w:t>
            </w:r>
          </w:p>
        </w:tc>
        <w:tc>
          <w:tcPr>
            <w:tcW w:w="1420" w:type="dxa"/>
            <w:tcBorders>
              <w:top w:val="nil"/>
              <w:left w:val="nil"/>
              <w:bottom w:val="single" w:sz="4" w:space="0" w:color="auto"/>
              <w:right w:val="single" w:sz="4" w:space="0" w:color="auto"/>
            </w:tcBorders>
            <w:vAlign w:val="center"/>
            <w:hideMark/>
          </w:tcPr>
          <w:p w14:paraId="285DFA58"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0.03686</w:t>
            </w:r>
          </w:p>
        </w:tc>
        <w:tc>
          <w:tcPr>
            <w:tcW w:w="1420" w:type="dxa"/>
            <w:tcBorders>
              <w:top w:val="nil"/>
              <w:left w:val="nil"/>
              <w:bottom w:val="single" w:sz="4" w:space="0" w:color="auto"/>
              <w:right w:val="single" w:sz="4" w:space="0" w:color="auto"/>
            </w:tcBorders>
            <w:noWrap/>
            <w:vAlign w:val="center"/>
            <w:hideMark/>
          </w:tcPr>
          <w:p w14:paraId="3859C3D5"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282</w:t>
            </w:r>
          </w:p>
        </w:tc>
      </w:tr>
      <w:tr w:rsidR="004E759D" w:rsidRPr="002421F2" w14:paraId="0C304275" w14:textId="77777777" w:rsidTr="004E759D">
        <w:trPr>
          <w:trHeight w:val="288"/>
        </w:trPr>
        <w:tc>
          <w:tcPr>
            <w:tcW w:w="1140" w:type="dxa"/>
            <w:tcBorders>
              <w:top w:val="nil"/>
              <w:left w:val="single" w:sz="4" w:space="0" w:color="auto"/>
              <w:bottom w:val="single" w:sz="4" w:space="0" w:color="auto"/>
              <w:right w:val="single" w:sz="4" w:space="0" w:color="auto"/>
            </w:tcBorders>
            <w:vAlign w:val="center"/>
            <w:hideMark/>
          </w:tcPr>
          <w:p w14:paraId="1E16986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7</w:t>
            </w:r>
          </w:p>
        </w:tc>
        <w:tc>
          <w:tcPr>
            <w:tcW w:w="1180" w:type="dxa"/>
            <w:tcBorders>
              <w:top w:val="nil"/>
              <w:left w:val="nil"/>
              <w:bottom w:val="single" w:sz="4" w:space="0" w:color="auto"/>
              <w:right w:val="single" w:sz="4" w:space="0" w:color="auto"/>
            </w:tcBorders>
            <w:vAlign w:val="center"/>
            <w:hideMark/>
          </w:tcPr>
          <w:p w14:paraId="63E0FDC2"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5.7</w:t>
            </w:r>
          </w:p>
        </w:tc>
        <w:tc>
          <w:tcPr>
            <w:tcW w:w="1240" w:type="dxa"/>
            <w:tcBorders>
              <w:top w:val="nil"/>
              <w:left w:val="nil"/>
              <w:bottom w:val="single" w:sz="4" w:space="0" w:color="auto"/>
              <w:right w:val="single" w:sz="4" w:space="0" w:color="auto"/>
            </w:tcBorders>
            <w:vAlign w:val="center"/>
            <w:hideMark/>
          </w:tcPr>
          <w:p w14:paraId="4973D59D"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570</w:t>
            </w:r>
          </w:p>
        </w:tc>
        <w:tc>
          <w:tcPr>
            <w:tcW w:w="1180" w:type="dxa"/>
            <w:tcBorders>
              <w:top w:val="nil"/>
              <w:left w:val="nil"/>
              <w:bottom w:val="single" w:sz="4" w:space="0" w:color="auto"/>
              <w:right w:val="single" w:sz="4" w:space="0" w:color="auto"/>
            </w:tcBorders>
            <w:vAlign w:val="center"/>
            <w:hideMark/>
          </w:tcPr>
          <w:p w14:paraId="7BD6D594"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1.3</w:t>
            </w:r>
          </w:p>
        </w:tc>
        <w:tc>
          <w:tcPr>
            <w:tcW w:w="1400" w:type="dxa"/>
            <w:tcBorders>
              <w:top w:val="nil"/>
              <w:left w:val="nil"/>
              <w:bottom w:val="single" w:sz="4" w:space="0" w:color="auto"/>
              <w:right w:val="single" w:sz="4" w:space="0" w:color="auto"/>
            </w:tcBorders>
            <w:vAlign w:val="center"/>
            <w:hideMark/>
          </w:tcPr>
          <w:p w14:paraId="7BCC7E08" w14:textId="77777777" w:rsidR="004E759D" w:rsidRPr="002421F2" w:rsidRDefault="004E759D" w:rsidP="004E759D">
            <w:pPr>
              <w:spacing w:after="0" w:line="240" w:lineRule="auto"/>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2.85 × 10⁸</w:t>
            </w:r>
          </w:p>
        </w:tc>
        <w:tc>
          <w:tcPr>
            <w:tcW w:w="1420" w:type="dxa"/>
            <w:tcBorders>
              <w:top w:val="nil"/>
              <w:left w:val="nil"/>
              <w:bottom w:val="single" w:sz="4" w:space="0" w:color="auto"/>
              <w:right w:val="single" w:sz="4" w:space="0" w:color="auto"/>
            </w:tcBorders>
            <w:vAlign w:val="center"/>
            <w:hideMark/>
          </w:tcPr>
          <w:p w14:paraId="6F0BEF11" w14:textId="77777777" w:rsidR="004E759D" w:rsidRPr="002421F2" w:rsidRDefault="004E759D" w:rsidP="004E759D">
            <w:pPr>
              <w:spacing w:after="0" w:line="240" w:lineRule="auto"/>
              <w:jc w:val="right"/>
              <w:rPr>
                <w:rFonts w:ascii="Arial" w:eastAsia="Times New Roman" w:hAnsi="Arial" w:cs="Arial"/>
                <w:color w:val="000000"/>
                <w:kern w:val="0"/>
                <w:sz w:val="22"/>
                <w:szCs w:val="22"/>
                <w:lang w:eastAsia="en-IO"/>
                <w14:ligatures w14:val="none"/>
              </w:rPr>
            </w:pPr>
            <w:r w:rsidRPr="002421F2">
              <w:rPr>
                <w:rFonts w:ascii="Arial" w:eastAsia="Times New Roman" w:hAnsi="Arial" w:cs="Arial"/>
                <w:color w:val="000000"/>
                <w:kern w:val="0"/>
                <w:sz w:val="22"/>
                <w:szCs w:val="22"/>
                <w:lang w:eastAsia="en-IO"/>
                <w14:ligatures w14:val="none"/>
              </w:rPr>
              <w:t>0.04167</w:t>
            </w:r>
          </w:p>
        </w:tc>
        <w:tc>
          <w:tcPr>
            <w:tcW w:w="1420" w:type="dxa"/>
            <w:tcBorders>
              <w:top w:val="nil"/>
              <w:left w:val="nil"/>
              <w:bottom w:val="single" w:sz="4" w:space="0" w:color="auto"/>
              <w:right w:val="single" w:sz="4" w:space="0" w:color="auto"/>
            </w:tcBorders>
            <w:noWrap/>
            <w:vAlign w:val="center"/>
            <w:hideMark/>
          </w:tcPr>
          <w:p w14:paraId="37DF4A40" w14:textId="77777777" w:rsidR="004E759D" w:rsidRPr="002421F2" w:rsidRDefault="004E759D" w:rsidP="004E759D">
            <w:pPr>
              <w:spacing w:after="0" w:line="240" w:lineRule="auto"/>
              <w:jc w:val="right"/>
              <w:rPr>
                <w:rFonts w:ascii="Arial" w:eastAsia="Times New Roman" w:hAnsi="Arial" w:cs="Arial"/>
                <w:color w:val="000000"/>
                <w:kern w:val="0"/>
                <w:sz w:val="20"/>
                <w:szCs w:val="20"/>
                <w:lang w:eastAsia="en-IO"/>
                <w14:ligatures w14:val="none"/>
              </w:rPr>
            </w:pPr>
            <w:r w:rsidRPr="002421F2">
              <w:rPr>
                <w:rFonts w:ascii="Arial" w:eastAsia="Times New Roman" w:hAnsi="Arial" w:cs="Arial"/>
                <w:color w:val="000000"/>
                <w:kern w:val="0"/>
                <w:sz w:val="20"/>
                <w:szCs w:val="20"/>
                <w:lang w:eastAsia="en-IO"/>
                <w14:ligatures w14:val="none"/>
              </w:rPr>
              <w:t>285</w:t>
            </w:r>
          </w:p>
        </w:tc>
      </w:tr>
    </w:tbl>
    <w:p w14:paraId="09350BCE" w14:textId="77777777" w:rsidR="004E759D" w:rsidRPr="002421F2" w:rsidRDefault="004E759D" w:rsidP="00C46ABD">
      <w:pPr>
        <w:rPr>
          <w:rFonts w:ascii="Arial" w:hAnsi="Arial" w:cs="Arial"/>
        </w:rPr>
      </w:pPr>
    </w:p>
    <w:p w14:paraId="46D6EC03" w14:textId="2F8E62BC" w:rsidR="00C46ABD" w:rsidRPr="002421F2" w:rsidRDefault="00B24FA3" w:rsidP="00C46ABD">
      <w:pPr>
        <w:rPr>
          <w:rFonts w:ascii="Arial" w:hAnsi="Arial" w:cs="Arial"/>
          <w:sz w:val="22"/>
          <w:szCs w:val="22"/>
        </w:rPr>
      </w:pPr>
      <w:r w:rsidRPr="002421F2">
        <w:rPr>
          <w:rFonts w:ascii="Arial" w:hAnsi="Arial" w:cs="Arial"/>
          <w:sz w:val="22"/>
          <w:szCs w:val="22"/>
        </w:rPr>
        <w:t>The data presented in Table 1 was used to create the stress–strain graph shown in Figure 2.</w:t>
      </w:r>
    </w:p>
    <w:p w14:paraId="20FFA78A" w14:textId="77777777" w:rsidR="00B24FA3" w:rsidRPr="002421F2" w:rsidRDefault="00B24FA3" w:rsidP="00C46ABD">
      <w:pPr>
        <w:rPr>
          <w:rFonts w:ascii="Arial" w:hAnsi="Arial" w:cs="Arial"/>
        </w:rPr>
      </w:pPr>
    </w:p>
    <w:p w14:paraId="1A1F601A" w14:textId="77777777" w:rsidR="002421F2" w:rsidRDefault="002421F2" w:rsidP="00C46ABD">
      <w:pPr>
        <w:rPr>
          <w:rFonts w:ascii="Arial" w:hAnsi="Arial" w:cs="Arial"/>
          <w:b/>
          <w:bCs/>
        </w:rPr>
      </w:pPr>
    </w:p>
    <w:p w14:paraId="10E1370E" w14:textId="5A7D75DC" w:rsidR="00C46ABD" w:rsidRPr="002421F2" w:rsidRDefault="004E759D" w:rsidP="00C46ABD">
      <w:pPr>
        <w:rPr>
          <w:rFonts w:ascii="Arial" w:hAnsi="Arial" w:cs="Arial"/>
        </w:rPr>
      </w:pPr>
      <w:r w:rsidRPr="002421F2">
        <w:rPr>
          <w:rFonts w:ascii="Arial" w:hAnsi="Arial" w:cs="Arial"/>
          <w:b/>
          <w:bCs/>
        </w:rPr>
        <w:lastRenderedPageBreak/>
        <w:t>Figure 2:</w:t>
      </w:r>
      <w:r w:rsidRPr="002421F2">
        <w:rPr>
          <w:rFonts w:ascii="Arial" w:hAnsi="Arial" w:cs="Arial"/>
        </w:rPr>
        <w:t xml:space="preserve"> Stress–strain graph for the aluminium specimen</w:t>
      </w:r>
    </w:p>
    <w:p w14:paraId="30D51583" w14:textId="4C39D3A9" w:rsidR="00C46ABD" w:rsidRPr="002421F2" w:rsidRDefault="004E759D" w:rsidP="00C46ABD">
      <w:pPr>
        <w:rPr>
          <w:rFonts w:ascii="Arial" w:hAnsi="Arial" w:cs="Arial"/>
        </w:rPr>
      </w:pPr>
      <w:r w:rsidRPr="002421F2">
        <w:rPr>
          <w:rFonts w:ascii="Arial" w:hAnsi="Arial" w:cs="Arial"/>
          <w:noProof/>
        </w:rPr>
        <w:drawing>
          <wp:inline distT="0" distB="0" distL="0" distR="0" wp14:anchorId="6179CC37" wp14:editId="189C414F">
            <wp:extent cx="4572000" cy="2743200"/>
            <wp:effectExtent l="0" t="0" r="0" b="0"/>
            <wp:docPr id="1491369812" name="Chart 1">
              <a:extLst xmlns:a="http://schemas.openxmlformats.org/drawingml/2006/main">
                <a:ext uri="{FF2B5EF4-FFF2-40B4-BE49-F238E27FC236}">
                  <a16:creationId xmlns:a16="http://schemas.microsoft.com/office/drawing/2014/main" id="{301E82B2-83AC-805D-9496-3B93B3DD88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987AA52" w14:textId="77777777" w:rsidR="00C46ABD" w:rsidRPr="002421F2" w:rsidRDefault="00C46ABD" w:rsidP="00C46ABD">
      <w:pPr>
        <w:rPr>
          <w:rFonts w:ascii="Arial" w:hAnsi="Arial" w:cs="Arial"/>
        </w:rPr>
      </w:pPr>
    </w:p>
    <w:p w14:paraId="122EF6C5" w14:textId="77777777" w:rsidR="00842CB0" w:rsidRPr="002421F2" w:rsidRDefault="00842CB0" w:rsidP="00842CB0">
      <w:pPr>
        <w:rPr>
          <w:rFonts w:ascii="Arial" w:hAnsi="Arial" w:cs="Arial"/>
          <w:sz w:val="22"/>
          <w:szCs w:val="22"/>
        </w:rPr>
      </w:pPr>
      <w:r w:rsidRPr="002421F2">
        <w:rPr>
          <w:rFonts w:ascii="Arial" w:hAnsi="Arial" w:cs="Arial"/>
          <w:sz w:val="22"/>
          <w:szCs w:val="22"/>
        </w:rPr>
        <w:t>Figure 2 shows the stress–strain graph obtained from the tensile test. At the beginning, the graph increases in a straight line, which shows that the material is behaving in an elastic way. In this stage, the material would return to its original shape if the load was removed. As the test continues, the graph starts to curve, showing that the material is no longer behaving elastically and has entered the plastic region, where permanent deformation occurs.</w:t>
      </w:r>
    </w:p>
    <w:p w14:paraId="7E7AA81C" w14:textId="4F163AA6" w:rsidR="00C46ABD" w:rsidRPr="002421F2" w:rsidRDefault="00842CB0" w:rsidP="00C46ABD">
      <w:pPr>
        <w:rPr>
          <w:rFonts w:ascii="Arial" w:hAnsi="Arial" w:cs="Arial"/>
          <w:sz w:val="22"/>
          <w:szCs w:val="22"/>
        </w:rPr>
      </w:pPr>
      <w:r w:rsidRPr="002421F2">
        <w:rPr>
          <w:rFonts w:ascii="Arial" w:hAnsi="Arial" w:cs="Arial"/>
          <w:sz w:val="22"/>
          <w:szCs w:val="22"/>
        </w:rPr>
        <w:t xml:space="preserve">From the straight-line section of the graph, the Young’s modulus was estimated to be around 7.6 </w:t>
      </w:r>
      <w:proofErr w:type="spellStart"/>
      <w:r w:rsidRPr="002421F2">
        <w:rPr>
          <w:rFonts w:ascii="Arial" w:hAnsi="Arial" w:cs="Arial"/>
          <w:sz w:val="22"/>
          <w:szCs w:val="22"/>
        </w:rPr>
        <w:t>GPa</w:t>
      </w:r>
      <w:proofErr w:type="spellEnd"/>
      <w:r w:rsidRPr="002421F2">
        <w:rPr>
          <w:rFonts w:ascii="Arial" w:hAnsi="Arial" w:cs="Arial"/>
          <w:sz w:val="22"/>
          <w:szCs w:val="22"/>
        </w:rPr>
        <w:t xml:space="preserve">. This value is much lower than the typical value for aluminium, which is usually between 60 and 70 </w:t>
      </w:r>
      <w:proofErr w:type="spellStart"/>
      <w:r w:rsidRPr="002421F2">
        <w:rPr>
          <w:rFonts w:ascii="Arial" w:hAnsi="Arial" w:cs="Arial"/>
          <w:sz w:val="22"/>
          <w:szCs w:val="22"/>
        </w:rPr>
        <w:t>GPa</w:t>
      </w:r>
      <w:proofErr w:type="spellEnd"/>
      <w:r w:rsidRPr="002421F2">
        <w:rPr>
          <w:rFonts w:ascii="Arial" w:hAnsi="Arial" w:cs="Arial"/>
          <w:sz w:val="22"/>
          <w:szCs w:val="22"/>
        </w:rPr>
        <w:t xml:space="preserve">. This difference is likely due to experimental limitations, such as the use of nominal strain and possible inaccuracies when taking manual readings during the </w:t>
      </w:r>
      <w:proofErr w:type="spellStart"/>
      <w:proofErr w:type="gramStart"/>
      <w:r w:rsidRPr="002421F2">
        <w:rPr>
          <w:rFonts w:ascii="Arial" w:hAnsi="Arial" w:cs="Arial"/>
          <w:sz w:val="22"/>
          <w:szCs w:val="22"/>
        </w:rPr>
        <w:t>test.The</w:t>
      </w:r>
      <w:proofErr w:type="spellEnd"/>
      <w:proofErr w:type="gramEnd"/>
      <w:r w:rsidRPr="002421F2">
        <w:rPr>
          <w:rFonts w:ascii="Arial" w:hAnsi="Arial" w:cs="Arial"/>
          <w:sz w:val="22"/>
          <w:szCs w:val="22"/>
        </w:rPr>
        <w:t xml:space="preserve"> highest stress recorded during the test was approximately 285 MPa, which represents the ultimate tensile strength of the material. This shows the maximum stress the material can handle before failure.</w:t>
      </w:r>
    </w:p>
    <w:p w14:paraId="09A389E3" w14:textId="77777777" w:rsidR="002421F2" w:rsidRPr="002421F2" w:rsidRDefault="001654C6" w:rsidP="002421F2">
      <w:pPr>
        <w:rPr>
          <w:rFonts w:ascii="Arial" w:hAnsi="Arial" w:cs="Arial"/>
          <w:b/>
          <w:bCs/>
          <w:sz w:val="22"/>
          <w:szCs w:val="22"/>
        </w:rPr>
      </w:pPr>
      <w:r w:rsidRPr="002421F2">
        <w:rPr>
          <w:rFonts w:ascii="Arial" w:hAnsi="Arial" w:cs="Arial"/>
          <w:sz w:val="22"/>
          <w:szCs w:val="22"/>
        </w:rPr>
        <w:t xml:space="preserve">The material exhibited a maximum tensile strength of approximately 285 MPa, significantly higher than the reported working stress of 90 MPa, yet failure still occurred in the drive shaft. This suggests that the failure was not caused by simple overload. One possible reason could be the presence of defects or inconsistencies in the material, which may have been introduced due to a change in the </w:t>
      </w:r>
      <w:proofErr w:type="spellStart"/>
      <w:r w:rsidRPr="002421F2">
        <w:rPr>
          <w:rFonts w:ascii="Arial" w:hAnsi="Arial" w:cs="Arial"/>
          <w:sz w:val="22"/>
          <w:szCs w:val="22"/>
        </w:rPr>
        <w:t>aluminum</w:t>
      </w:r>
      <w:proofErr w:type="spellEnd"/>
      <w:r w:rsidRPr="002421F2">
        <w:rPr>
          <w:rFonts w:ascii="Arial" w:hAnsi="Arial" w:cs="Arial"/>
          <w:sz w:val="22"/>
          <w:szCs w:val="22"/>
        </w:rPr>
        <w:t xml:space="preserve"> supplier. Furthermore, the drive shaft is subjected to repeated loads and vibrations during operation, meaning that fatigue may also have contributed to the failure over time. Therefore, even if the material appears quite strong based solely on tensile strength, other factors such as fatigue, defects, or variations in material properties may have led to the failure </w:t>
      </w:r>
      <w:r w:rsidRPr="002421F2">
        <w:rPr>
          <w:rFonts w:ascii="Arial" w:hAnsi="Arial" w:cs="Arial"/>
          <w:b/>
          <w:bCs/>
          <w:sz w:val="22"/>
          <w:szCs w:val="22"/>
        </w:rPr>
        <w:t>(ASM International, 1990).</w:t>
      </w:r>
      <w:bookmarkStart w:id="4" w:name="_Toc227311367"/>
    </w:p>
    <w:p w14:paraId="6EB3DD29" w14:textId="77777777" w:rsidR="002421F2" w:rsidRDefault="002421F2" w:rsidP="002421F2">
      <w:pPr>
        <w:rPr>
          <w:rFonts w:ascii="Arial" w:hAnsi="Arial" w:cs="Arial"/>
          <w:b/>
          <w:bCs/>
          <w:color w:val="000000" w:themeColor="text1"/>
        </w:rPr>
      </w:pPr>
    </w:p>
    <w:p w14:paraId="5E97416A" w14:textId="77777777" w:rsidR="002421F2" w:rsidRDefault="002421F2" w:rsidP="002421F2">
      <w:pPr>
        <w:rPr>
          <w:rFonts w:ascii="Arial" w:hAnsi="Arial" w:cs="Arial"/>
          <w:b/>
          <w:bCs/>
          <w:color w:val="000000" w:themeColor="text1"/>
        </w:rPr>
      </w:pPr>
    </w:p>
    <w:p w14:paraId="2956844E" w14:textId="77777777" w:rsidR="002421F2" w:rsidRDefault="002421F2" w:rsidP="002421F2">
      <w:pPr>
        <w:rPr>
          <w:rFonts w:ascii="Arial" w:hAnsi="Arial" w:cs="Arial"/>
          <w:b/>
          <w:bCs/>
          <w:color w:val="000000" w:themeColor="text1"/>
        </w:rPr>
      </w:pPr>
    </w:p>
    <w:p w14:paraId="24EC915F" w14:textId="6BB567A8" w:rsidR="00C46ABD" w:rsidRPr="002421F2" w:rsidRDefault="001654C6" w:rsidP="002421F2">
      <w:pPr>
        <w:rPr>
          <w:rFonts w:ascii="Arial" w:hAnsi="Arial" w:cs="Arial"/>
        </w:rPr>
      </w:pPr>
      <w:r w:rsidRPr="002421F2">
        <w:rPr>
          <w:rFonts w:ascii="Arial" w:hAnsi="Arial" w:cs="Arial"/>
          <w:b/>
          <w:bCs/>
          <w:color w:val="000000" w:themeColor="text1"/>
        </w:rPr>
        <w:lastRenderedPageBreak/>
        <w:t>1.4 Conclusion</w:t>
      </w:r>
      <w:bookmarkEnd w:id="4"/>
    </w:p>
    <w:p w14:paraId="09028D3F" w14:textId="77777777" w:rsidR="001654C6" w:rsidRPr="002421F2" w:rsidRDefault="001654C6" w:rsidP="001654C6">
      <w:pPr>
        <w:rPr>
          <w:rFonts w:ascii="Arial" w:hAnsi="Arial" w:cs="Arial"/>
          <w:sz w:val="22"/>
          <w:szCs w:val="22"/>
        </w:rPr>
      </w:pPr>
      <w:r w:rsidRPr="002421F2">
        <w:rPr>
          <w:rFonts w:ascii="Arial" w:hAnsi="Arial" w:cs="Arial"/>
          <w:sz w:val="22"/>
          <w:szCs w:val="22"/>
        </w:rPr>
        <w:t>This report looked at the failure of a drive shaft by analysing the tensile properties of the aluminium material provided. The tensile test was used to find important properties such as Young’s modulus, yield behaviour and ultimate tensile strength.</w:t>
      </w:r>
    </w:p>
    <w:p w14:paraId="41F1502D" w14:textId="77777777" w:rsidR="001654C6" w:rsidRPr="002421F2" w:rsidRDefault="001654C6" w:rsidP="001654C6">
      <w:pPr>
        <w:rPr>
          <w:rFonts w:ascii="Arial" w:hAnsi="Arial" w:cs="Arial"/>
          <w:sz w:val="22"/>
          <w:szCs w:val="22"/>
        </w:rPr>
      </w:pPr>
      <w:r w:rsidRPr="002421F2">
        <w:rPr>
          <w:rFonts w:ascii="Arial" w:hAnsi="Arial" w:cs="Arial"/>
          <w:sz w:val="22"/>
          <w:szCs w:val="22"/>
        </w:rPr>
        <w:t>The results showed that the material reached a maximum stress of around 285 MPa, which is much higher than the working stress of 90 MPa. Even so, the component still failed, which shows that the problem was not caused by overload alone. This means that tensile strength by itself is not enough to fully understand how the material behaves in real conditions.</w:t>
      </w:r>
    </w:p>
    <w:p w14:paraId="619DA137" w14:textId="77777777" w:rsidR="001654C6" w:rsidRPr="002421F2" w:rsidRDefault="001654C6" w:rsidP="001654C6">
      <w:pPr>
        <w:rPr>
          <w:rFonts w:ascii="Arial" w:hAnsi="Arial" w:cs="Arial"/>
          <w:sz w:val="22"/>
          <w:szCs w:val="22"/>
        </w:rPr>
      </w:pPr>
      <w:r w:rsidRPr="002421F2">
        <w:rPr>
          <w:rFonts w:ascii="Arial" w:hAnsi="Arial" w:cs="Arial"/>
          <w:sz w:val="22"/>
          <w:szCs w:val="22"/>
        </w:rPr>
        <w:t>It is likely that other factors played a role in the failure, such as fatigue caused by repeated loading, as well as possible defects or variations in the material due to the change in aluminium supplier. Over time, these factors can weaken the material and lead to failure even when the applied stress is lower than the maximum strength (Dowling, 2013; Dieter, 1986).</w:t>
      </w:r>
    </w:p>
    <w:p w14:paraId="773EB722" w14:textId="77777777" w:rsidR="001654C6" w:rsidRPr="002421F2" w:rsidRDefault="001654C6" w:rsidP="001654C6">
      <w:pPr>
        <w:rPr>
          <w:rFonts w:ascii="Arial" w:hAnsi="Arial" w:cs="Arial"/>
          <w:sz w:val="22"/>
          <w:szCs w:val="22"/>
        </w:rPr>
      </w:pPr>
      <w:r w:rsidRPr="002421F2">
        <w:rPr>
          <w:rFonts w:ascii="Arial" w:hAnsi="Arial" w:cs="Arial"/>
          <w:sz w:val="22"/>
          <w:szCs w:val="22"/>
        </w:rPr>
        <w:t>To avoid similar problems in the future, better control of material quality and supplier consistency is recommended. It would also be useful to carry out additional tests, such as fatigue testing, to better understand how the material behaves under real working conditions. Overall, this work shows the importance of considering both material properties and real-life conditions when analysing engineering failures.</w:t>
      </w:r>
    </w:p>
    <w:p w14:paraId="49A8E4D7" w14:textId="77777777" w:rsidR="00C46ABD" w:rsidRPr="002421F2" w:rsidRDefault="00C46ABD" w:rsidP="00C46ABD">
      <w:pPr>
        <w:rPr>
          <w:rFonts w:ascii="Arial" w:hAnsi="Arial" w:cs="Arial"/>
          <w:sz w:val="22"/>
          <w:szCs w:val="22"/>
        </w:rPr>
      </w:pPr>
    </w:p>
    <w:p w14:paraId="4B322BA3" w14:textId="77777777" w:rsidR="00C46ABD" w:rsidRPr="002421F2" w:rsidRDefault="00C46ABD" w:rsidP="00C46ABD">
      <w:pPr>
        <w:rPr>
          <w:rFonts w:ascii="Arial" w:hAnsi="Arial" w:cs="Arial"/>
        </w:rPr>
      </w:pPr>
    </w:p>
    <w:p w14:paraId="2C5FD511" w14:textId="77777777" w:rsidR="00C46ABD" w:rsidRPr="002421F2" w:rsidRDefault="00C46ABD" w:rsidP="00C46ABD">
      <w:pPr>
        <w:rPr>
          <w:rFonts w:ascii="Arial" w:hAnsi="Arial" w:cs="Arial"/>
        </w:rPr>
      </w:pPr>
    </w:p>
    <w:p w14:paraId="377D21D7" w14:textId="77777777" w:rsidR="00C46ABD" w:rsidRPr="002421F2" w:rsidRDefault="00C46ABD" w:rsidP="00C46ABD">
      <w:pPr>
        <w:rPr>
          <w:rFonts w:ascii="Arial" w:hAnsi="Arial" w:cs="Arial"/>
        </w:rPr>
      </w:pPr>
    </w:p>
    <w:p w14:paraId="38A75A25" w14:textId="77777777" w:rsidR="00C46ABD" w:rsidRPr="002421F2" w:rsidRDefault="00C46ABD" w:rsidP="00C46ABD">
      <w:pPr>
        <w:rPr>
          <w:rFonts w:ascii="Arial" w:hAnsi="Arial" w:cs="Arial"/>
        </w:rPr>
      </w:pPr>
    </w:p>
    <w:p w14:paraId="58A7CD54" w14:textId="77777777" w:rsidR="00C46ABD" w:rsidRPr="002421F2" w:rsidRDefault="00C46ABD" w:rsidP="00C46ABD">
      <w:pPr>
        <w:rPr>
          <w:rFonts w:ascii="Arial" w:hAnsi="Arial" w:cs="Arial"/>
        </w:rPr>
      </w:pPr>
    </w:p>
    <w:p w14:paraId="2EF96CBA" w14:textId="77777777" w:rsidR="00C46ABD" w:rsidRPr="002421F2" w:rsidRDefault="00C46ABD" w:rsidP="00C46ABD">
      <w:pPr>
        <w:rPr>
          <w:rFonts w:ascii="Arial" w:hAnsi="Arial" w:cs="Arial"/>
        </w:rPr>
      </w:pPr>
    </w:p>
    <w:p w14:paraId="1CAAE8F1" w14:textId="77777777" w:rsidR="00C46ABD" w:rsidRPr="002421F2" w:rsidRDefault="00C46ABD" w:rsidP="00C46ABD">
      <w:pPr>
        <w:rPr>
          <w:rFonts w:ascii="Arial" w:hAnsi="Arial" w:cs="Arial"/>
        </w:rPr>
      </w:pPr>
    </w:p>
    <w:p w14:paraId="20BA638F" w14:textId="77777777" w:rsidR="001654C6" w:rsidRPr="002421F2" w:rsidRDefault="001654C6" w:rsidP="00C46ABD">
      <w:pPr>
        <w:rPr>
          <w:rFonts w:ascii="Arial" w:hAnsi="Arial" w:cs="Arial"/>
        </w:rPr>
      </w:pPr>
    </w:p>
    <w:p w14:paraId="4BBFBF5A" w14:textId="77777777" w:rsidR="001654C6" w:rsidRPr="002421F2" w:rsidRDefault="001654C6" w:rsidP="00C46ABD">
      <w:pPr>
        <w:rPr>
          <w:rFonts w:ascii="Arial" w:hAnsi="Arial" w:cs="Arial"/>
        </w:rPr>
      </w:pPr>
    </w:p>
    <w:p w14:paraId="6A64E7A4" w14:textId="77777777" w:rsidR="001654C6" w:rsidRPr="002421F2" w:rsidRDefault="001654C6" w:rsidP="00C46ABD">
      <w:pPr>
        <w:rPr>
          <w:rFonts w:ascii="Arial" w:hAnsi="Arial" w:cs="Arial"/>
        </w:rPr>
      </w:pPr>
    </w:p>
    <w:p w14:paraId="6B08E01B" w14:textId="77777777" w:rsidR="001654C6" w:rsidRPr="002421F2" w:rsidRDefault="001654C6" w:rsidP="00C46ABD">
      <w:pPr>
        <w:rPr>
          <w:rFonts w:ascii="Arial" w:hAnsi="Arial" w:cs="Arial"/>
        </w:rPr>
      </w:pPr>
    </w:p>
    <w:p w14:paraId="2A28BCD8" w14:textId="77777777" w:rsidR="001654C6" w:rsidRPr="002421F2" w:rsidRDefault="001654C6" w:rsidP="00C46ABD">
      <w:pPr>
        <w:rPr>
          <w:rFonts w:ascii="Arial" w:hAnsi="Arial" w:cs="Arial"/>
        </w:rPr>
      </w:pPr>
    </w:p>
    <w:p w14:paraId="21B1BB78" w14:textId="77777777" w:rsidR="001654C6" w:rsidRPr="002421F2" w:rsidRDefault="001654C6" w:rsidP="00C46ABD">
      <w:pPr>
        <w:rPr>
          <w:rFonts w:ascii="Arial" w:hAnsi="Arial" w:cs="Arial"/>
        </w:rPr>
      </w:pPr>
    </w:p>
    <w:p w14:paraId="35289A6F" w14:textId="77777777" w:rsidR="001654C6" w:rsidRPr="002421F2" w:rsidRDefault="001654C6" w:rsidP="00C46ABD">
      <w:pPr>
        <w:rPr>
          <w:rFonts w:ascii="Arial" w:hAnsi="Arial" w:cs="Arial"/>
        </w:rPr>
      </w:pPr>
    </w:p>
    <w:p w14:paraId="71179AB0" w14:textId="77777777" w:rsidR="001654C6" w:rsidRPr="002421F2" w:rsidRDefault="001654C6" w:rsidP="00C46ABD">
      <w:pPr>
        <w:rPr>
          <w:rFonts w:ascii="Arial" w:hAnsi="Arial" w:cs="Arial"/>
        </w:rPr>
      </w:pPr>
    </w:p>
    <w:p w14:paraId="2193D49F" w14:textId="1272D66E" w:rsidR="00C46ABD" w:rsidRPr="002421F2" w:rsidRDefault="001654C6" w:rsidP="001654C6">
      <w:pPr>
        <w:pStyle w:val="Heading1"/>
        <w:rPr>
          <w:rFonts w:ascii="Arial" w:hAnsi="Arial" w:cs="Arial"/>
          <w:b/>
          <w:bCs/>
          <w:color w:val="000000" w:themeColor="text1"/>
          <w:sz w:val="24"/>
          <w:szCs w:val="24"/>
        </w:rPr>
      </w:pPr>
      <w:bookmarkStart w:id="5" w:name="_Toc227311368"/>
      <w:r w:rsidRPr="002421F2">
        <w:rPr>
          <w:rFonts w:ascii="Arial" w:hAnsi="Arial" w:cs="Arial"/>
          <w:b/>
          <w:bCs/>
          <w:color w:val="000000" w:themeColor="text1"/>
          <w:sz w:val="24"/>
          <w:szCs w:val="24"/>
        </w:rPr>
        <w:lastRenderedPageBreak/>
        <w:t>1.5</w:t>
      </w:r>
      <w:r w:rsidR="00C46ABD" w:rsidRPr="002421F2">
        <w:rPr>
          <w:rFonts w:ascii="Arial" w:hAnsi="Arial" w:cs="Arial"/>
          <w:b/>
          <w:bCs/>
          <w:color w:val="000000" w:themeColor="text1"/>
          <w:sz w:val="24"/>
          <w:szCs w:val="24"/>
        </w:rPr>
        <w:t xml:space="preserve"> Reference list</w:t>
      </w:r>
      <w:bookmarkEnd w:id="5"/>
    </w:p>
    <w:p w14:paraId="080049D9" w14:textId="77777777" w:rsidR="001654C6" w:rsidRPr="002421F2" w:rsidRDefault="001654C6" w:rsidP="001654C6">
      <w:pPr>
        <w:rPr>
          <w:rFonts w:ascii="Arial" w:hAnsi="Arial" w:cs="Arial"/>
          <w:sz w:val="22"/>
          <w:szCs w:val="22"/>
        </w:rPr>
      </w:pPr>
      <w:r w:rsidRPr="002421F2">
        <w:rPr>
          <w:rFonts w:ascii="Arial" w:hAnsi="Arial" w:cs="Arial"/>
          <w:sz w:val="22"/>
          <w:szCs w:val="22"/>
        </w:rPr>
        <w:t xml:space="preserve">Ashby, M.F. and Jones, D.R.H. (2012) </w:t>
      </w:r>
      <w:r w:rsidRPr="002421F2">
        <w:rPr>
          <w:rFonts w:ascii="Arial" w:hAnsi="Arial" w:cs="Arial"/>
          <w:i/>
          <w:iCs/>
          <w:sz w:val="22"/>
          <w:szCs w:val="22"/>
        </w:rPr>
        <w:t>Engineering Materials 1: An Introduction to Properties, Applications and Design</w:t>
      </w:r>
      <w:r w:rsidRPr="002421F2">
        <w:rPr>
          <w:rFonts w:ascii="Arial" w:hAnsi="Arial" w:cs="Arial"/>
          <w:sz w:val="22"/>
          <w:szCs w:val="22"/>
        </w:rPr>
        <w:t xml:space="preserve">. 4th </w:t>
      </w:r>
      <w:proofErr w:type="spellStart"/>
      <w:r w:rsidRPr="002421F2">
        <w:rPr>
          <w:rFonts w:ascii="Arial" w:hAnsi="Arial" w:cs="Arial"/>
          <w:sz w:val="22"/>
          <w:szCs w:val="22"/>
        </w:rPr>
        <w:t>edn</w:t>
      </w:r>
      <w:proofErr w:type="spellEnd"/>
      <w:r w:rsidRPr="002421F2">
        <w:rPr>
          <w:rFonts w:ascii="Arial" w:hAnsi="Arial" w:cs="Arial"/>
          <w:sz w:val="22"/>
          <w:szCs w:val="22"/>
        </w:rPr>
        <w:t>. Oxford: Butterworth-Heinemann.</w:t>
      </w:r>
    </w:p>
    <w:p w14:paraId="0E1DBAEA" w14:textId="77777777" w:rsidR="001654C6" w:rsidRPr="002421F2" w:rsidRDefault="001654C6" w:rsidP="001654C6">
      <w:pPr>
        <w:rPr>
          <w:rFonts w:ascii="Arial" w:hAnsi="Arial" w:cs="Arial"/>
          <w:sz w:val="22"/>
          <w:szCs w:val="22"/>
        </w:rPr>
      </w:pPr>
      <w:r w:rsidRPr="002421F2">
        <w:rPr>
          <w:rFonts w:ascii="Arial" w:hAnsi="Arial" w:cs="Arial"/>
          <w:sz w:val="22"/>
          <w:szCs w:val="22"/>
        </w:rPr>
        <w:t xml:space="preserve">ASM International (1990) </w:t>
      </w:r>
      <w:r w:rsidRPr="002421F2">
        <w:rPr>
          <w:rFonts w:ascii="Arial" w:hAnsi="Arial" w:cs="Arial"/>
          <w:i/>
          <w:iCs/>
          <w:sz w:val="22"/>
          <w:szCs w:val="22"/>
        </w:rPr>
        <w:t>ASM Handbook: Mechanical Testing and Evaluation</w:t>
      </w:r>
      <w:r w:rsidRPr="002421F2">
        <w:rPr>
          <w:rFonts w:ascii="Arial" w:hAnsi="Arial" w:cs="Arial"/>
          <w:sz w:val="22"/>
          <w:szCs w:val="22"/>
        </w:rPr>
        <w:t>. Materials Park, OH: ASM International.</w:t>
      </w:r>
    </w:p>
    <w:p w14:paraId="25985583" w14:textId="77777777" w:rsidR="001654C6" w:rsidRPr="002421F2" w:rsidRDefault="001654C6" w:rsidP="001654C6">
      <w:pPr>
        <w:rPr>
          <w:rFonts w:ascii="Arial" w:hAnsi="Arial" w:cs="Arial"/>
          <w:sz w:val="22"/>
          <w:szCs w:val="22"/>
        </w:rPr>
      </w:pPr>
      <w:r w:rsidRPr="002421F2">
        <w:rPr>
          <w:rFonts w:ascii="Arial" w:hAnsi="Arial" w:cs="Arial"/>
          <w:sz w:val="22"/>
          <w:szCs w:val="22"/>
        </w:rPr>
        <w:t xml:space="preserve">Callister, W.D. and Rethwisch, D.G. (2020) </w:t>
      </w:r>
      <w:r w:rsidRPr="002421F2">
        <w:rPr>
          <w:rFonts w:ascii="Arial" w:hAnsi="Arial" w:cs="Arial"/>
          <w:i/>
          <w:iCs/>
          <w:sz w:val="22"/>
          <w:szCs w:val="22"/>
        </w:rPr>
        <w:t>Materials Science and Engineering: An Introduction</w:t>
      </w:r>
      <w:r w:rsidRPr="002421F2">
        <w:rPr>
          <w:rFonts w:ascii="Arial" w:hAnsi="Arial" w:cs="Arial"/>
          <w:sz w:val="22"/>
          <w:szCs w:val="22"/>
        </w:rPr>
        <w:t xml:space="preserve">. 10th </w:t>
      </w:r>
      <w:proofErr w:type="spellStart"/>
      <w:r w:rsidRPr="002421F2">
        <w:rPr>
          <w:rFonts w:ascii="Arial" w:hAnsi="Arial" w:cs="Arial"/>
          <w:sz w:val="22"/>
          <w:szCs w:val="22"/>
        </w:rPr>
        <w:t>edn</w:t>
      </w:r>
      <w:proofErr w:type="spellEnd"/>
      <w:r w:rsidRPr="002421F2">
        <w:rPr>
          <w:rFonts w:ascii="Arial" w:hAnsi="Arial" w:cs="Arial"/>
          <w:sz w:val="22"/>
          <w:szCs w:val="22"/>
        </w:rPr>
        <w:t>. Hoboken, NJ: Wiley.</w:t>
      </w:r>
    </w:p>
    <w:p w14:paraId="6830A2D9" w14:textId="19A7D110" w:rsidR="001654C6" w:rsidRPr="002421F2" w:rsidRDefault="001654C6" w:rsidP="001654C6">
      <w:pPr>
        <w:rPr>
          <w:rFonts w:ascii="Arial" w:hAnsi="Arial" w:cs="Arial"/>
          <w:sz w:val="22"/>
          <w:szCs w:val="22"/>
        </w:rPr>
      </w:pPr>
      <w:r w:rsidRPr="002421F2">
        <w:rPr>
          <w:rFonts w:ascii="Arial" w:hAnsi="Arial" w:cs="Arial"/>
          <w:sz w:val="22"/>
          <w:szCs w:val="22"/>
        </w:rPr>
        <w:t xml:space="preserve">Dieter, G.E. (1986) </w:t>
      </w:r>
      <w:r w:rsidRPr="002421F2">
        <w:rPr>
          <w:rFonts w:ascii="Arial" w:hAnsi="Arial" w:cs="Arial"/>
          <w:i/>
          <w:iCs/>
          <w:sz w:val="22"/>
          <w:szCs w:val="22"/>
        </w:rPr>
        <w:t>Mechanical Metallurgy</w:t>
      </w:r>
      <w:r w:rsidRPr="002421F2">
        <w:rPr>
          <w:rFonts w:ascii="Arial" w:hAnsi="Arial" w:cs="Arial"/>
          <w:sz w:val="22"/>
          <w:szCs w:val="22"/>
        </w:rPr>
        <w:t>. New York: McGraw-Hill.</w:t>
      </w:r>
    </w:p>
    <w:p w14:paraId="5DD1657D" w14:textId="62E2E8B4" w:rsidR="001654C6" w:rsidRPr="002421F2" w:rsidRDefault="001654C6" w:rsidP="001654C6">
      <w:pPr>
        <w:rPr>
          <w:rFonts w:ascii="Arial" w:hAnsi="Arial" w:cs="Arial"/>
          <w:sz w:val="22"/>
          <w:szCs w:val="22"/>
        </w:rPr>
      </w:pPr>
      <w:r w:rsidRPr="002421F2">
        <w:rPr>
          <w:rFonts w:ascii="Arial" w:hAnsi="Arial" w:cs="Arial"/>
          <w:sz w:val="22"/>
          <w:szCs w:val="22"/>
        </w:rPr>
        <w:t xml:space="preserve">Dowling, N.E. (2013) </w:t>
      </w:r>
      <w:r w:rsidRPr="002421F2">
        <w:rPr>
          <w:rFonts w:ascii="Arial" w:hAnsi="Arial" w:cs="Arial"/>
          <w:i/>
          <w:iCs/>
          <w:sz w:val="22"/>
          <w:szCs w:val="22"/>
        </w:rPr>
        <w:t xml:space="preserve">Mechanical </w:t>
      </w:r>
      <w:proofErr w:type="spellStart"/>
      <w:r w:rsidRPr="002421F2">
        <w:rPr>
          <w:rFonts w:ascii="Arial" w:hAnsi="Arial" w:cs="Arial"/>
          <w:i/>
          <w:iCs/>
          <w:sz w:val="22"/>
          <w:szCs w:val="22"/>
        </w:rPr>
        <w:t>Behavior</w:t>
      </w:r>
      <w:proofErr w:type="spellEnd"/>
      <w:r w:rsidRPr="002421F2">
        <w:rPr>
          <w:rFonts w:ascii="Arial" w:hAnsi="Arial" w:cs="Arial"/>
          <w:i/>
          <w:iCs/>
          <w:sz w:val="22"/>
          <w:szCs w:val="22"/>
        </w:rPr>
        <w:t xml:space="preserve"> of Materials</w:t>
      </w:r>
      <w:r w:rsidRPr="002421F2">
        <w:rPr>
          <w:rFonts w:ascii="Arial" w:hAnsi="Arial" w:cs="Arial"/>
          <w:sz w:val="22"/>
          <w:szCs w:val="22"/>
        </w:rPr>
        <w:t xml:space="preserve">. 4th </w:t>
      </w:r>
      <w:proofErr w:type="spellStart"/>
      <w:r w:rsidRPr="002421F2">
        <w:rPr>
          <w:rFonts w:ascii="Arial" w:hAnsi="Arial" w:cs="Arial"/>
          <w:sz w:val="22"/>
          <w:szCs w:val="22"/>
        </w:rPr>
        <w:t>edn</w:t>
      </w:r>
      <w:proofErr w:type="spellEnd"/>
      <w:r w:rsidRPr="002421F2">
        <w:rPr>
          <w:rFonts w:ascii="Arial" w:hAnsi="Arial" w:cs="Arial"/>
          <w:sz w:val="22"/>
          <w:szCs w:val="22"/>
        </w:rPr>
        <w:t>. Harlow: Pearson.</w:t>
      </w:r>
    </w:p>
    <w:p w14:paraId="0509D93C" w14:textId="13283F68" w:rsidR="002421F2" w:rsidRPr="002421F2" w:rsidRDefault="002421F2" w:rsidP="001654C6">
      <w:pPr>
        <w:rPr>
          <w:rFonts w:ascii="Arial" w:hAnsi="Arial" w:cs="Arial"/>
          <w:sz w:val="22"/>
          <w:szCs w:val="22"/>
        </w:rPr>
      </w:pPr>
      <w:r w:rsidRPr="002421F2">
        <w:rPr>
          <w:rFonts w:ascii="Arial" w:hAnsi="Arial" w:cs="Arial"/>
          <w:sz w:val="22"/>
          <w:szCs w:val="22"/>
        </w:rPr>
        <w:t xml:space="preserve">Gere, J.M. and Goodno, B.J. (2012) </w:t>
      </w:r>
      <w:r w:rsidRPr="002421F2">
        <w:rPr>
          <w:rFonts w:ascii="Arial" w:hAnsi="Arial" w:cs="Arial"/>
          <w:i/>
          <w:iCs/>
          <w:sz w:val="22"/>
          <w:szCs w:val="22"/>
        </w:rPr>
        <w:t>Mechanics of Materials</w:t>
      </w:r>
      <w:r w:rsidRPr="002421F2">
        <w:rPr>
          <w:rFonts w:ascii="Arial" w:hAnsi="Arial" w:cs="Arial"/>
          <w:sz w:val="22"/>
          <w:szCs w:val="22"/>
        </w:rPr>
        <w:t xml:space="preserve">. 8th </w:t>
      </w:r>
      <w:proofErr w:type="spellStart"/>
      <w:r w:rsidRPr="002421F2">
        <w:rPr>
          <w:rFonts w:ascii="Arial" w:hAnsi="Arial" w:cs="Arial"/>
          <w:sz w:val="22"/>
          <w:szCs w:val="22"/>
        </w:rPr>
        <w:t>edn</w:t>
      </w:r>
      <w:proofErr w:type="spellEnd"/>
      <w:r w:rsidRPr="002421F2">
        <w:rPr>
          <w:rFonts w:ascii="Arial" w:hAnsi="Arial" w:cs="Arial"/>
          <w:sz w:val="22"/>
          <w:szCs w:val="22"/>
        </w:rPr>
        <w:t>. Stamford, CT: Cengage Learning.</w:t>
      </w:r>
    </w:p>
    <w:p w14:paraId="60154666" w14:textId="30BAB04A" w:rsidR="001654C6" w:rsidRPr="002421F2" w:rsidRDefault="001654C6" w:rsidP="001654C6">
      <w:pPr>
        <w:rPr>
          <w:rFonts w:ascii="Arial" w:hAnsi="Arial" w:cs="Arial"/>
          <w:sz w:val="22"/>
          <w:szCs w:val="22"/>
        </w:rPr>
      </w:pPr>
      <w:r w:rsidRPr="002421F2">
        <w:rPr>
          <w:rFonts w:ascii="Arial" w:hAnsi="Arial" w:cs="Arial"/>
          <w:sz w:val="22"/>
          <w:szCs w:val="22"/>
        </w:rPr>
        <w:t xml:space="preserve">Hibbeler, R.C. (2017) </w:t>
      </w:r>
      <w:r w:rsidRPr="002421F2">
        <w:rPr>
          <w:rFonts w:ascii="Arial" w:hAnsi="Arial" w:cs="Arial"/>
          <w:i/>
          <w:iCs/>
          <w:sz w:val="22"/>
          <w:szCs w:val="22"/>
        </w:rPr>
        <w:t>Mechanics of Materials</w:t>
      </w:r>
      <w:r w:rsidRPr="002421F2">
        <w:rPr>
          <w:rFonts w:ascii="Arial" w:hAnsi="Arial" w:cs="Arial"/>
          <w:sz w:val="22"/>
          <w:szCs w:val="22"/>
        </w:rPr>
        <w:t xml:space="preserve">. 10th </w:t>
      </w:r>
      <w:proofErr w:type="spellStart"/>
      <w:r w:rsidRPr="002421F2">
        <w:rPr>
          <w:rFonts w:ascii="Arial" w:hAnsi="Arial" w:cs="Arial"/>
          <w:sz w:val="22"/>
          <w:szCs w:val="22"/>
        </w:rPr>
        <w:t>edn</w:t>
      </w:r>
      <w:proofErr w:type="spellEnd"/>
      <w:r w:rsidRPr="002421F2">
        <w:rPr>
          <w:rFonts w:ascii="Arial" w:hAnsi="Arial" w:cs="Arial"/>
          <w:sz w:val="22"/>
          <w:szCs w:val="22"/>
        </w:rPr>
        <w:t>. Harlow: Pearson.</w:t>
      </w:r>
    </w:p>
    <w:p w14:paraId="2B3A9FA8" w14:textId="77777777" w:rsidR="001654C6" w:rsidRPr="002421F2" w:rsidRDefault="001654C6" w:rsidP="001654C6">
      <w:pPr>
        <w:rPr>
          <w:rFonts w:ascii="Arial" w:hAnsi="Arial" w:cs="Arial"/>
          <w:sz w:val="22"/>
          <w:szCs w:val="22"/>
        </w:rPr>
      </w:pPr>
      <w:r w:rsidRPr="002421F2">
        <w:rPr>
          <w:rFonts w:ascii="Arial" w:hAnsi="Arial" w:cs="Arial"/>
          <w:sz w:val="22"/>
          <w:szCs w:val="22"/>
        </w:rPr>
        <w:t xml:space="preserve">Shigley, J.E., </w:t>
      </w:r>
      <w:proofErr w:type="spellStart"/>
      <w:r w:rsidRPr="002421F2">
        <w:rPr>
          <w:rFonts w:ascii="Arial" w:hAnsi="Arial" w:cs="Arial"/>
          <w:sz w:val="22"/>
          <w:szCs w:val="22"/>
        </w:rPr>
        <w:t>Budynas</w:t>
      </w:r>
      <w:proofErr w:type="spellEnd"/>
      <w:r w:rsidRPr="002421F2">
        <w:rPr>
          <w:rFonts w:ascii="Arial" w:hAnsi="Arial" w:cs="Arial"/>
          <w:sz w:val="22"/>
          <w:szCs w:val="22"/>
        </w:rPr>
        <w:t xml:space="preserve">, R.G. and Nisbett, K.J. (2015) </w:t>
      </w:r>
      <w:r w:rsidRPr="002421F2">
        <w:rPr>
          <w:rFonts w:ascii="Arial" w:hAnsi="Arial" w:cs="Arial"/>
          <w:i/>
          <w:iCs/>
          <w:sz w:val="22"/>
          <w:szCs w:val="22"/>
        </w:rPr>
        <w:t>Mechanical Engineering Design</w:t>
      </w:r>
      <w:r w:rsidRPr="002421F2">
        <w:rPr>
          <w:rFonts w:ascii="Arial" w:hAnsi="Arial" w:cs="Arial"/>
          <w:sz w:val="22"/>
          <w:szCs w:val="22"/>
        </w:rPr>
        <w:t xml:space="preserve">. 10th </w:t>
      </w:r>
      <w:proofErr w:type="spellStart"/>
      <w:r w:rsidRPr="002421F2">
        <w:rPr>
          <w:rFonts w:ascii="Arial" w:hAnsi="Arial" w:cs="Arial"/>
          <w:sz w:val="22"/>
          <w:szCs w:val="22"/>
        </w:rPr>
        <w:t>edn</w:t>
      </w:r>
      <w:proofErr w:type="spellEnd"/>
      <w:r w:rsidRPr="002421F2">
        <w:rPr>
          <w:rFonts w:ascii="Arial" w:hAnsi="Arial" w:cs="Arial"/>
          <w:sz w:val="22"/>
          <w:szCs w:val="22"/>
        </w:rPr>
        <w:t>. New York: McGraw-Hill.</w:t>
      </w:r>
    </w:p>
    <w:p w14:paraId="030BB964" w14:textId="77777777" w:rsidR="001654C6" w:rsidRPr="002421F2" w:rsidRDefault="001654C6" w:rsidP="001654C6">
      <w:pPr>
        <w:rPr>
          <w:rFonts w:ascii="Arial" w:hAnsi="Arial" w:cs="Arial"/>
          <w:sz w:val="22"/>
          <w:szCs w:val="22"/>
        </w:rPr>
      </w:pPr>
      <w:proofErr w:type="spellStart"/>
      <w:r w:rsidRPr="002421F2">
        <w:rPr>
          <w:rFonts w:ascii="Arial" w:hAnsi="Arial" w:cs="Arial"/>
          <w:sz w:val="22"/>
          <w:szCs w:val="22"/>
        </w:rPr>
        <w:t>TecQuipment</w:t>
      </w:r>
      <w:proofErr w:type="spellEnd"/>
      <w:r w:rsidRPr="002421F2">
        <w:rPr>
          <w:rFonts w:ascii="Arial" w:hAnsi="Arial" w:cs="Arial"/>
          <w:sz w:val="22"/>
          <w:szCs w:val="22"/>
        </w:rPr>
        <w:t xml:space="preserve"> (2012) </w:t>
      </w:r>
      <w:r w:rsidRPr="002421F2">
        <w:rPr>
          <w:rFonts w:ascii="Arial" w:hAnsi="Arial" w:cs="Arial"/>
          <w:i/>
          <w:iCs/>
          <w:sz w:val="22"/>
          <w:szCs w:val="22"/>
        </w:rPr>
        <w:t>Tensile Tester Kit ES6: Guidance Notes</w:t>
      </w:r>
      <w:r w:rsidRPr="002421F2">
        <w:rPr>
          <w:rFonts w:ascii="Arial" w:hAnsi="Arial" w:cs="Arial"/>
          <w:sz w:val="22"/>
          <w:szCs w:val="22"/>
        </w:rPr>
        <w:t xml:space="preserve">. Nottingham: </w:t>
      </w:r>
      <w:proofErr w:type="spellStart"/>
      <w:r w:rsidRPr="002421F2">
        <w:rPr>
          <w:rFonts w:ascii="Arial" w:hAnsi="Arial" w:cs="Arial"/>
          <w:sz w:val="22"/>
          <w:szCs w:val="22"/>
        </w:rPr>
        <w:t>TecQuipment</w:t>
      </w:r>
      <w:proofErr w:type="spellEnd"/>
      <w:r w:rsidRPr="002421F2">
        <w:rPr>
          <w:rFonts w:ascii="Arial" w:hAnsi="Arial" w:cs="Arial"/>
          <w:sz w:val="22"/>
          <w:szCs w:val="22"/>
        </w:rPr>
        <w:t xml:space="preserve"> Ltd.</w:t>
      </w:r>
    </w:p>
    <w:p w14:paraId="3F86E81D" w14:textId="77777777" w:rsidR="00C46ABD" w:rsidRPr="002421F2" w:rsidRDefault="00C46ABD" w:rsidP="00C46ABD">
      <w:pPr>
        <w:rPr>
          <w:rFonts w:ascii="Arial" w:hAnsi="Arial" w:cs="Arial"/>
        </w:rPr>
      </w:pPr>
    </w:p>
    <w:p w14:paraId="10454330" w14:textId="77777777" w:rsidR="00C46ABD" w:rsidRPr="002421F2" w:rsidRDefault="00C46ABD" w:rsidP="00C46ABD">
      <w:pPr>
        <w:rPr>
          <w:rFonts w:ascii="Arial" w:hAnsi="Arial" w:cs="Arial"/>
        </w:rPr>
      </w:pPr>
    </w:p>
    <w:p w14:paraId="4C39C4BF" w14:textId="77777777" w:rsidR="00C46ABD" w:rsidRPr="002421F2" w:rsidRDefault="00C46ABD" w:rsidP="00C46ABD">
      <w:pPr>
        <w:rPr>
          <w:rFonts w:ascii="Arial" w:hAnsi="Arial" w:cs="Arial"/>
        </w:rPr>
      </w:pPr>
    </w:p>
    <w:p w14:paraId="5D958B72" w14:textId="77777777" w:rsidR="00C46ABD" w:rsidRPr="002421F2" w:rsidRDefault="00C46ABD" w:rsidP="00C46ABD">
      <w:pPr>
        <w:rPr>
          <w:rFonts w:ascii="Arial" w:hAnsi="Arial" w:cs="Arial"/>
        </w:rPr>
      </w:pPr>
    </w:p>
    <w:p w14:paraId="00146749" w14:textId="77777777" w:rsidR="00C46ABD" w:rsidRPr="002421F2" w:rsidRDefault="00C46ABD" w:rsidP="00C46ABD">
      <w:pPr>
        <w:rPr>
          <w:rFonts w:ascii="Arial" w:hAnsi="Arial" w:cs="Arial"/>
        </w:rPr>
      </w:pPr>
    </w:p>
    <w:p w14:paraId="6E6CD9E9" w14:textId="77777777" w:rsidR="00C46ABD" w:rsidRPr="002421F2" w:rsidRDefault="00C46ABD" w:rsidP="00C46ABD">
      <w:pPr>
        <w:rPr>
          <w:rFonts w:ascii="Arial" w:hAnsi="Arial" w:cs="Arial"/>
        </w:rPr>
      </w:pPr>
    </w:p>
    <w:p w14:paraId="0D368E04" w14:textId="77777777" w:rsidR="00C46ABD" w:rsidRPr="002421F2" w:rsidRDefault="00C46ABD" w:rsidP="00C46ABD">
      <w:pPr>
        <w:rPr>
          <w:rFonts w:ascii="Arial" w:hAnsi="Arial" w:cs="Arial"/>
        </w:rPr>
      </w:pPr>
    </w:p>
    <w:sectPr w:rsidR="00C46ABD" w:rsidRPr="002421F2" w:rsidSect="003E75AF">
      <w:footerReference w:type="default" r:id="rId11"/>
      <w:pgSz w:w="11906" w:h="16838"/>
      <w:pgMar w:top="1417" w:right="1701" w:bottom="1417"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2D188" w14:textId="77777777" w:rsidR="008A7344" w:rsidRDefault="008A7344" w:rsidP="0043361B">
      <w:pPr>
        <w:spacing w:after="0" w:line="240" w:lineRule="auto"/>
      </w:pPr>
      <w:r>
        <w:separator/>
      </w:r>
    </w:p>
  </w:endnote>
  <w:endnote w:type="continuationSeparator" w:id="0">
    <w:p w14:paraId="0AE1C8B3" w14:textId="77777777" w:rsidR="008A7344" w:rsidRDefault="008A7344" w:rsidP="00433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3844657"/>
      <w:docPartObj>
        <w:docPartGallery w:val="Page Numbers (Bottom of Page)"/>
        <w:docPartUnique/>
      </w:docPartObj>
    </w:sdtPr>
    <w:sdtEndPr>
      <w:rPr>
        <w:noProof/>
      </w:rPr>
    </w:sdtEndPr>
    <w:sdtContent>
      <w:p w14:paraId="4D74CC7F" w14:textId="5B7C10B3" w:rsidR="003E75AF" w:rsidRDefault="003E75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C8F991" w14:textId="77777777" w:rsidR="003E75AF" w:rsidRDefault="003E7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91B01" w14:textId="77777777" w:rsidR="008A7344" w:rsidRDefault="008A7344" w:rsidP="0043361B">
      <w:pPr>
        <w:spacing w:after="0" w:line="240" w:lineRule="auto"/>
      </w:pPr>
      <w:r>
        <w:separator/>
      </w:r>
    </w:p>
  </w:footnote>
  <w:footnote w:type="continuationSeparator" w:id="0">
    <w:p w14:paraId="7D1C5D87" w14:textId="77777777" w:rsidR="008A7344" w:rsidRDefault="008A7344" w:rsidP="00433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34AAD"/>
    <w:multiLevelType w:val="multilevel"/>
    <w:tmpl w:val="07827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00B01"/>
    <w:multiLevelType w:val="multilevel"/>
    <w:tmpl w:val="A0101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9F2328"/>
    <w:multiLevelType w:val="multilevel"/>
    <w:tmpl w:val="CB200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5B5265"/>
    <w:multiLevelType w:val="multilevel"/>
    <w:tmpl w:val="67F8F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E6131B"/>
    <w:multiLevelType w:val="multilevel"/>
    <w:tmpl w:val="4E7C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ED3B19"/>
    <w:multiLevelType w:val="multilevel"/>
    <w:tmpl w:val="E07A678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C011769"/>
    <w:multiLevelType w:val="multilevel"/>
    <w:tmpl w:val="93D25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D348D9"/>
    <w:multiLevelType w:val="multilevel"/>
    <w:tmpl w:val="E272B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570186"/>
    <w:multiLevelType w:val="multilevel"/>
    <w:tmpl w:val="61625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5C5FC7"/>
    <w:multiLevelType w:val="multilevel"/>
    <w:tmpl w:val="4FC4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D2931"/>
    <w:multiLevelType w:val="multilevel"/>
    <w:tmpl w:val="EA6CBC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7206CF"/>
    <w:multiLevelType w:val="multilevel"/>
    <w:tmpl w:val="B2D07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6D36C3"/>
    <w:multiLevelType w:val="multilevel"/>
    <w:tmpl w:val="0DC80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C417D9"/>
    <w:multiLevelType w:val="multilevel"/>
    <w:tmpl w:val="36001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BB0FC2"/>
    <w:multiLevelType w:val="multilevel"/>
    <w:tmpl w:val="865C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A81C23"/>
    <w:multiLevelType w:val="multilevel"/>
    <w:tmpl w:val="4482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D92C26"/>
    <w:multiLevelType w:val="multilevel"/>
    <w:tmpl w:val="F6888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A51EEA"/>
    <w:multiLevelType w:val="multilevel"/>
    <w:tmpl w:val="583C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6432DD"/>
    <w:multiLevelType w:val="multilevel"/>
    <w:tmpl w:val="1F6E3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B3481C"/>
    <w:multiLevelType w:val="multilevel"/>
    <w:tmpl w:val="466E7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D66288"/>
    <w:multiLevelType w:val="multilevel"/>
    <w:tmpl w:val="99F01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322CDF"/>
    <w:multiLevelType w:val="multilevel"/>
    <w:tmpl w:val="5F90A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5C54A3"/>
    <w:multiLevelType w:val="multilevel"/>
    <w:tmpl w:val="4D28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3A2BC2"/>
    <w:multiLevelType w:val="multilevel"/>
    <w:tmpl w:val="CE96F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CB532E"/>
    <w:multiLevelType w:val="multilevel"/>
    <w:tmpl w:val="C7269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91D6A94"/>
    <w:multiLevelType w:val="multilevel"/>
    <w:tmpl w:val="0B0C0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E53706D"/>
    <w:multiLevelType w:val="multilevel"/>
    <w:tmpl w:val="982C7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69318E"/>
    <w:multiLevelType w:val="multilevel"/>
    <w:tmpl w:val="8DFC9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A02EE1"/>
    <w:multiLevelType w:val="multilevel"/>
    <w:tmpl w:val="5EC28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A85463"/>
    <w:multiLevelType w:val="multilevel"/>
    <w:tmpl w:val="467A2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C45866"/>
    <w:multiLevelType w:val="multilevel"/>
    <w:tmpl w:val="0930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9D5EFF"/>
    <w:multiLevelType w:val="multilevel"/>
    <w:tmpl w:val="5DEA5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01E07A2"/>
    <w:multiLevelType w:val="multilevel"/>
    <w:tmpl w:val="22BCC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1132EF"/>
    <w:multiLevelType w:val="multilevel"/>
    <w:tmpl w:val="738C4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648000">
    <w:abstractNumId w:val="22"/>
  </w:num>
  <w:num w:numId="2" w16cid:durableId="1152991629">
    <w:abstractNumId w:val="29"/>
  </w:num>
  <w:num w:numId="3" w16cid:durableId="1506244255">
    <w:abstractNumId w:val="2"/>
  </w:num>
  <w:num w:numId="4" w16cid:durableId="453645856">
    <w:abstractNumId w:val="17"/>
  </w:num>
  <w:num w:numId="5" w16cid:durableId="196695811">
    <w:abstractNumId w:val="21"/>
  </w:num>
  <w:num w:numId="6" w16cid:durableId="908804250">
    <w:abstractNumId w:val="4"/>
  </w:num>
  <w:num w:numId="7" w16cid:durableId="1631591271">
    <w:abstractNumId w:val="32"/>
  </w:num>
  <w:num w:numId="8" w16cid:durableId="193159610">
    <w:abstractNumId w:val="6"/>
  </w:num>
  <w:num w:numId="9" w16cid:durableId="1968849153">
    <w:abstractNumId w:val="3"/>
  </w:num>
  <w:num w:numId="10" w16cid:durableId="815224214">
    <w:abstractNumId w:val="9"/>
  </w:num>
  <w:num w:numId="11" w16cid:durableId="1959750757">
    <w:abstractNumId w:val="15"/>
  </w:num>
  <w:num w:numId="12" w16cid:durableId="1160580203">
    <w:abstractNumId w:val="30"/>
  </w:num>
  <w:num w:numId="13" w16cid:durableId="691346266">
    <w:abstractNumId w:val="24"/>
  </w:num>
  <w:num w:numId="14" w16cid:durableId="317419260">
    <w:abstractNumId w:val="1"/>
  </w:num>
  <w:num w:numId="15" w16cid:durableId="889919981">
    <w:abstractNumId w:val="33"/>
  </w:num>
  <w:num w:numId="16" w16cid:durableId="281351546">
    <w:abstractNumId w:val="18"/>
  </w:num>
  <w:num w:numId="17" w16cid:durableId="627466749">
    <w:abstractNumId w:val="10"/>
  </w:num>
  <w:num w:numId="18" w16cid:durableId="1277761035">
    <w:abstractNumId w:val="0"/>
  </w:num>
  <w:num w:numId="19" w16cid:durableId="1322582196">
    <w:abstractNumId w:val="23"/>
  </w:num>
  <w:num w:numId="20" w16cid:durableId="961419030">
    <w:abstractNumId w:val="11"/>
  </w:num>
  <w:num w:numId="21" w16cid:durableId="1288469794">
    <w:abstractNumId w:val="31"/>
  </w:num>
  <w:num w:numId="22" w16cid:durableId="2092267005">
    <w:abstractNumId w:val="27"/>
  </w:num>
  <w:num w:numId="23" w16cid:durableId="634332581">
    <w:abstractNumId w:val="19"/>
  </w:num>
  <w:num w:numId="24" w16cid:durableId="1202323666">
    <w:abstractNumId w:val="26"/>
  </w:num>
  <w:num w:numId="25" w16cid:durableId="1018310319">
    <w:abstractNumId w:val="14"/>
  </w:num>
  <w:num w:numId="26" w16cid:durableId="2112968925">
    <w:abstractNumId w:val="28"/>
  </w:num>
  <w:num w:numId="27" w16cid:durableId="1436095617">
    <w:abstractNumId w:val="16"/>
  </w:num>
  <w:num w:numId="28" w16cid:durableId="503935391">
    <w:abstractNumId w:val="12"/>
  </w:num>
  <w:num w:numId="29" w16cid:durableId="2109735883">
    <w:abstractNumId w:val="8"/>
  </w:num>
  <w:num w:numId="30" w16cid:durableId="1371227952">
    <w:abstractNumId w:val="13"/>
  </w:num>
  <w:num w:numId="31" w16cid:durableId="1271939309">
    <w:abstractNumId w:val="7"/>
  </w:num>
  <w:num w:numId="32" w16cid:durableId="195238075">
    <w:abstractNumId w:val="25"/>
  </w:num>
  <w:num w:numId="33" w16cid:durableId="1681077789">
    <w:abstractNumId w:val="20"/>
  </w:num>
  <w:num w:numId="34" w16cid:durableId="224891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834"/>
    <w:rsid w:val="00004173"/>
    <w:rsid w:val="00032258"/>
    <w:rsid w:val="0004148D"/>
    <w:rsid w:val="000E18A6"/>
    <w:rsid w:val="00105A55"/>
    <w:rsid w:val="00141745"/>
    <w:rsid w:val="00142B1C"/>
    <w:rsid w:val="001471BD"/>
    <w:rsid w:val="001654C6"/>
    <w:rsid w:val="00215ABD"/>
    <w:rsid w:val="002421F2"/>
    <w:rsid w:val="00262202"/>
    <w:rsid w:val="002B48BC"/>
    <w:rsid w:val="00332FD1"/>
    <w:rsid w:val="00346167"/>
    <w:rsid w:val="0037508E"/>
    <w:rsid w:val="00375DA4"/>
    <w:rsid w:val="00386393"/>
    <w:rsid w:val="003E75AF"/>
    <w:rsid w:val="003F6E9C"/>
    <w:rsid w:val="004048CF"/>
    <w:rsid w:val="00415BFB"/>
    <w:rsid w:val="00420646"/>
    <w:rsid w:val="0043361B"/>
    <w:rsid w:val="00452281"/>
    <w:rsid w:val="00462BD4"/>
    <w:rsid w:val="004A36B5"/>
    <w:rsid w:val="004C7FD0"/>
    <w:rsid w:val="004D03FF"/>
    <w:rsid w:val="004E759D"/>
    <w:rsid w:val="00502F32"/>
    <w:rsid w:val="00517111"/>
    <w:rsid w:val="00554EEF"/>
    <w:rsid w:val="005603F4"/>
    <w:rsid w:val="00584009"/>
    <w:rsid w:val="005C0DA0"/>
    <w:rsid w:val="00615383"/>
    <w:rsid w:val="00651BF8"/>
    <w:rsid w:val="00671E21"/>
    <w:rsid w:val="0068165A"/>
    <w:rsid w:val="006A7150"/>
    <w:rsid w:val="006A7FFC"/>
    <w:rsid w:val="006B6AD9"/>
    <w:rsid w:val="00700E83"/>
    <w:rsid w:val="00704B5D"/>
    <w:rsid w:val="007057EB"/>
    <w:rsid w:val="00726F9B"/>
    <w:rsid w:val="007402E7"/>
    <w:rsid w:val="00745F6A"/>
    <w:rsid w:val="00750FB0"/>
    <w:rsid w:val="00763DAC"/>
    <w:rsid w:val="007654E7"/>
    <w:rsid w:val="007672A9"/>
    <w:rsid w:val="00784522"/>
    <w:rsid w:val="00795B45"/>
    <w:rsid w:val="007A156E"/>
    <w:rsid w:val="007A4E6B"/>
    <w:rsid w:val="007B3EA3"/>
    <w:rsid w:val="007E3355"/>
    <w:rsid w:val="008008E0"/>
    <w:rsid w:val="00842CB0"/>
    <w:rsid w:val="00873C23"/>
    <w:rsid w:val="008A7344"/>
    <w:rsid w:val="00933063"/>
    <w:rsid w:val="00970800"/>
    <w:rsid w:val="00977902"/>
    <w:rsid w:val="009A307A"/>
    <w:rsid w:val="009B0899"/>
    <w:rsid w:val="009C589A"/>
    <w:rsid w:val="00A05196"/>
    <w:rsid w:val="00A13B18"/>
    <w:rsid w:val="00A34ABC"/>
    <w:rsid w:val="00A57A36"/>
    <w:rsid w:val="00A67A99"/>
    <w:rsid w:val="00A70837"/>
    <w:rsid w:val="00A919B5"/>
    <w:rsid w:val="00A9377C"/>
    <w:rsid w:val="00AC2F22"/>
    <w:rsid w:val="00AC5834"/>
    <w:rsid w:val="00AE09FA"/>
    <w:rsid w:val="00B24FA3"/>
    <w:rsid w:val="00B606F9"/>
    <w:rsid w:val="00B80EA5"/>
    <w:rsid w:val="00B83C36"/>
    <w:rsid w:val="00B935F8"/>
    <w:rsid w:val="00B94ADC"/>
    <w:rsid w:val="00B966EE"/>
    <w:rsid w:val="00BE2D47"/>
    <w:rsid w:val="00C352F4"/>
    <w:rsid w:val="00C36623"/>
    <w:rsid w:val="00C46ABD"/>
    <w:rsid w:val="00C47BA0"/>
    <w:rsid w:val="00C753AD"/>
    <w:rsid w:val="00C835E2"/>
    <w:rsid w:val="00CA142A"/>
    <w:rsid w:val="00CB657B"/>
    <w:rsid w:val="00CE3D01"/>
    <w:rsid w:val="00CE40E8"/>
    <w:rsid w:val="00CF4BA6"/>
    <w:rsid w:val="00D11ABB"/>
    <w:rsid w:val="00D452F5"/>
    <w:rsid w:val="00D47E65"/>
    <w:rsid w:val="00D55A2F"/>
    <w:rsid w:val="00D739B9"/>
    <w:rsid w:val="00DC336E"/>
    <w:rsid w:val="00DC3399"/>
    <w:rsid w:val="00E21E19"/>
    <w:rsid w:val="00E61E82"/>
    <w:rsid w:val="00E92B7F"/>
    <w:rsid w:val="00EA51A7"/>
    <w:rsid w:val="00ED2428"/>
    <w:rsid w:val="00EF11B5"/>
    <w:rsid w:val="00F017CD"/>
    <w:rsid w:val="00F579F3"/>
    <w:rsid w:val="00F6332C"/>
    <w:rsid w:val="00F64EBF"/>
    <w:rsid w:val="00F65887"/>
    <w:rsid w:val="00FC6441"/>
  </w:rsids>
  <m:mathPr>
    <m:mathFont m:val="Cambria Math"/>
    <m:brkBin m:val="before"/>
    <m:brkBinSub m:val="--"/>
    <m:smallFrac m:val="0"/>
    <m:dispDef/>
    <m:lMargin m:val="0"/>
    <m:rMargin m:val="0"/>
    <m:defJc m:val="centerGroup"/>
    <m:wrapIndent m:val="1440"/>
    <m:intLim m:val="subSup"/>
    <m:naryLim m:val="undOvr"/>
  </m:mathPr>
  <w:themeFontLang w:val="en-I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BABA42"/>
  <w15:chartTrackingRefBased/>
  <w15:docId w15:val="{5382720F-4727-4F74-9E2B-78AADCAFC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8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58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58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58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58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58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8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8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8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8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58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C58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58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58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58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8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8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834"/>
    <w:rPr>
      <w:rFonts w:eastAsiaTheme="majorEastAsia" w:cstheme="majorBidi"/>
      <w:color w:val="272727" w:themeColor="text1" w:themeTint="D8"/>
    </w:rPr>
  </w:style>
  <w:style w:type="paragraph" w:styleId="Title">
    <w:name w:val="Title"/>
    <w:basedOn w:val="Normal"/>
    <w:next w:val="Normal"/>
    <w:link w:val="TitleChar"/>
    <w:uiPriority w:val="10"/>
    <w:qFormat/>
    <w:rsid w:val="00AC58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8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8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8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834"/>
    <w:pPr>
      <w:spacing w:before="160"/>
      <w:jc w:val="center"/>
    </w:pPr>
    <w:rPr>
      <w:i/>
      <w:iCs/>
      <w:color w:val="404040" w:themeColor="text1" w:themeTint="BF"/>
    </w:rPr>
  </w:style>
  <w:style w:type="character" w:customStyle="1" w:styleId="QuoteChar">
    <w:name w:val="Quote Char"/>
    <w:basedOn w:val="DefaultParagraphFont"/>
    <w:link w:val="Quote"/>
    <w:uiPriority w:val="29"/>
    <w:rsid w:val="00AC5834"/>
    <w:rPr>
      <w:i/>
      <w:iCs/>
      <w:color w:val="404040" w:themeColor="text1" w:themeTint="BF"/>
    </w:rPr>
  </w:style>
  <w:style w:type="paragraph" w:styleId="ListParagraph">
    <w:name w:val="List Paragraph"/>
    <w:basedOn w:val="Normal"/>
    <w:uiPriority w:val="34"/>
    <w:qFormat/>
    <w:rsid w:val="00AC5834"/>
    <w:pPr>
      <w:ind w:left="720"/>
      <w:contextualSpacing/>
    </w:pPr>
  </w:style>
  <w:style w:type="character" w:styleId="IntenseEmphasis">
    <w:name w:val="Intense Emphasis"/>
    <w:basedOn w:val="DefaultParagraphFont"/>
    <w:uiPriority w:val="21"/>
    <w:qFormat/>
    <w:rsid w:val="00AC5834"/>
    <w:rPr>
      <w:i/>
      <w:iCs/>
      <w:color w:val="0F4761" w:themeColor="accent1" w:themeShade="BF"/>
    </w:rPr>
  </w:style>
  <w:style w:type="paragraph" w:styleId="IntenseQuote">
    <w:name w:val="Intense Quote"/>
    <w:basedOn w:val="Normal"/>
    <w:next w:val="Normal"/>
    <w:link w:val="IntenseQuoteChar"/>
    <w:uiPriority w:val="30"/>
    <w:qFormat/>
    <w:rsid w:val="00AC58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5834"/>
    <w:rPr>
      <w:i/>
      <w:iCs/>
      <w:color w:val="0F4761" w:themeColor="accent1" w:themeShade="BF"/>
    </w:rPr>
  </w:style>
  <w:style w:type="character" w:styleId="IntenseReference">
    <w:name w:val="Intense Reference"/>
    <w:basedOn w:val="DefaultParagraphFont"/>
    <w:uiPriority w:val="32"/>
    <w:qFormat/>
    <w:rsid w:val="00AC5834"/>
    <w:rPr>
      <w:b/>
      <w:bCs/>
      <w:smallCaps/>
      <w:color w:val="0F4761" w:themeColor="accent1" w:themeShade="BF"/>
      <w:spacing w:val="5"/>
    </w:rPr>
  </w:style>
  <w:style w:type="paragraph" w:styleId="Header">
    <w:name w:val="header"/>
    <w:basedOn w:val="Normal"/>
    <w:link w:val="HeaderChar"/>
    <w:uiPriority w:val="99"/>
    <w:unhideWhenUsed/>
    <w:rsid w:val="0043361B"/>
    <w:pPr>
      <w:tabs>
        <w:tab w:val="center" w:pos="4252"/>
        <w:tab w:val="right" w:pos="8504"/>
      </w:tabs>
      <w:spacing w:after="0" w:line="240" w:lineRule="auto"/>
    </w:pPr>
  </w:style>
  <w:style w:type="character" w:customStyle="1" w:styleId="HeaderChar">
    <w:name w:val="Header Char"/>
    <w:basedOn w:val="DefaultParagraphFont"/>
    <w:link w:val="Header"/>
    <w:uiPriority w:val="99"/>
    <w:rsid w:val="0043361B"/>
  </w:style>
  <w:style w:type="paragraph" w:styleId="Footer">
    <w:name w:val="footer"/>
    <w:basedOn w:val="Normal"/>
    <w:link w:val="FooterChar"/>
    <w:uiPriority w:val="99"/>
    <w:unhideWhenUsed/>
    <w:rsid w:val="0043361B"/>
    <w:pPr>
      <w:tabs>
        <w:tab w:val="center" w:pos="4252"/>
        <w:tab w:val="right" w:pos="8504"/>
      </w:tabs>
      <w:spacing w:after="0" w:line="240" w:lineRule="auto"/>
    </w:pPr>
  </w:style>
  <w:style w:type="character" w:customStyle="1" w:styleId="FooterChar">
    <w:name w:val="Footer Char"/>
    <w:basedOn w:val="DefaultParagraphFont"/>
    <w:link w:val="Footer"/>
    <w:uiPriority w:val="99"/>
    <w:rsid w:val="0043361B"/>
  </w:style>
  <w:style w:type="character" w:styleId="Strong">
    <w:name w:val="Strong"/>
    <w:basedOn w:val="DefaultParagraphFont"/>
    <w:uiPriority w:val="22"/>
    <w:qFormat/>
    <w:rsid w:val="00F6332C"/>
    <w:rPr>
      <w:b/>
      <w:bCs/>
    </w:rPr>
  </w:style>
  <w:style w:type="paragraph" w:styleId="NormalWeb">
    <w:name w:val="Normal (Web)"/>
    <w:basedOn w:val="Normal"/>
    <w:uiPriority w:val="99"/>
    <w:semiHidden/>
    <w:unhideWhenUsed/>
    <w:rsid w:val="00F6332C"/>
    <w:pPr>
      <w:spacing w:before="100" w:beforeAutospacing="1" w:after="100" w:afterAutospacing="1" w:line="240" w:lineRule="auto"/>
    </w:pPr>
    <w:rPr>
      <w:rFonts w:ascii="Times New Roman" w:eastAsia="Times New Roman" w:hAnsi="Times New Roman" w:cs="Times New Roman"/>
      <w:kern w:val="0"/>
      <w:lang w:eastAsia="en-IO"/>
      <w14:ligatures w14:val="none"/>
    </w:rPr>
  </w:style>
  <w:style w:type="character" w:styleId="PlaceholderText">
    <w:name w:val="Placeholder Text"/>
    <w:basedOn w:val="DefaultParagraphFont"/>
    <w:uiPriority w:val="99"/>
    <w:semiHidden/>
    <w:rsid w:val="00C835E2"/>
    <w:rPr>
      <w:color w:val="666666"/>
    </w:rPr>
  </w:style>
  <w:style w:type="paragraph" w:styleId="NoSpacing">
    <w:name w:val="No Spacing"/>
    <w:uiPriority w:val="1"/>
    <w:qFormat/>
    <w:rsid w:val="00A57A36"/>
    <w:pPr>
      <w:spacing w:after="0" w:line="240" w:lineRule="auto"/>
    </w:pPr>
  </w:style>
  <w:style w:type="paragraph" w:styleId="TOCHeading">
    <w:name w:val="TOC Heading"/>
    <w:basedOn w:val="Heading1"/>
    <w:next w:val="Normal"/>
    <w:uiPriority w:val="39"/>
    <w:unhideWhenUsed/>
    <w:qFormat/>
    <w:rsid w:val="003E75AF"/>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517111"/>
    <w:pPr>
      <w:tabs>
        <w:tab w:val="right" w:leader="dot" w:pos="8494"/>
      </w:tabs>
      <w:spacing w:after="100"/>
      <w:ind w:left="480"/>
    </w:pPr>
    <w:rPr>
      <w:rFonts w:ascii="Arial" w:eastAsia="Times New Roman" w:hAnsi="Arial" w:cs="Arial"/>
      <w:b/>
      <w:bCs/>
      <w:noProof/>
      <w:kern w:val="0"/>
      <w:lang w:eastAsia="en-IO"/>
      <w14:ligatures w14:val="none"/>
    </w:rPr>
  </w:style>
  <w:style w:type="character" w:styleId="Hyperlink">
    <w:name w:val="Hyperlink"/>
    <w:basedOn w:val="DefaultParagraphFont"/>
    <w:uiPriority w:val="99"/>
    <w:unhideWhenUsed/>
    <w:rsid w:val="003E75AF"/>
    <w:rPr>
      <w:color w:val="467886" w:themeColor="hyperlink"/>
      <w:u w:val="single"/>
    </w:rPr>
  </w:style>
  <w:style w:type="paragraph" w:styleId="TOC1">
    <w:name w:val="toc 1"/>
    <w:basedOn w:val="Normal"/>
    <w:next w:val="Normal"/>
    <w:autoRedefine/>
    <w:uiPriority w:val="39"/>
    <w:unhideWhenUsed/>
    <w:rsid w:val="00933063"/>
    <w:pPr>
      <w:spacing w:after="100"/>
    </w:pPr>
  </w:style>
  <w:style w:type="paragraph" w:styleId="TOC2">
    <w:name w:val="toc 2"/>
    <w:basedOn w:val="Normal"/>
    <w:next w:val="Normal"/>
    <w:autoRedefine/>
    <w:uiPriority w:val="39"/>
    <w:unhideWhenUsed/>
    <w:rsid w:val="009330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6888980">
      <w:bodyDiv w:val="1"/>
      <w:marLeft w:val="0"/>
      <w:marRight w:val="0"/>
      <w:marTop w:val="0"/>
      <w:marBottom w:val="0"/>
      <w:divBdr>
        <w:top w:val="none" w:sz="0" w:space="0" w:color="auto"/>
        <w:left w:val="none" w:sz="0" w:space="0" w:color="auto"/>
        <w:bottom w:val="none" w:sz="0" w:space="0" w:color="auto"/>
        <w:right w:val="none" w:sz="0" w:space="0" w:color="auto"/>
      </w:divBdr>
      <w:divsChild>
        <w:div w:id="20017337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CMX\Desktop\work%20material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Strain</a:t>
            </a:r>
            <a:r>
              <a:rPr lang="en-GB" baseline="0"/>
              <a:t> x Stress MPa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xVal>
            <c:numRef>
              <c:f>Sheet1!$K$3:$K$38</c:f>
              <c:numCache>
                <c:formatCode>General</c:formatCode>
                <c:ptCount val="36"/>
                <c:pt idx="0">
                  <c:v>0</c:v>
                </c:pt>
                <c:pt idx="1">
                  <c:v>2.5600000000000002E-3</c:v>
                </c:pt>
                <c:pt idx="2">
                  <c:v>3.8500000000000001E-3</c:v>
                </c:pt>
                <c:pt idx="3">
                  <c:v>3.8500000000000001E-3</c:v>
                </c:pt>
                <c:pt idx="4">
                  <c:v>4.81E-3</c:v>
                </c:pt>
                <c:pt idx="5">
                  <c:v>5.13E-3</c:v>
                </c:pt>
                <c:pt idx="6">
                  <c:v>3.2100000000000002E-3</c:v>
                </c:pt>
                <c:pt idx="7">
                  <c:v>6.4099999999999999E-3</c:v>
                </c:pt>
                <c:pt idx="8">
                  <c:v>6.7299999999999999E-3</c:v>
                </c:pt>
                <c:pt idx="9">
                  <c:v>6.7299999999999999E-3</c:v>
                </c:pt>
                <c:pt idx="10">
                  <c:v>7.3699999999999998E-3</c:v>
                </c:pt>
                <c:pt idx="11">
                  <c:v>7.6899999999999998E-3</c:v>
                </c:pt>
                <c:pt idx="12">
                  <c:v>8.3300000000000006E-3</c:v>
                </c:pt>
                <c:pt idx="13">
                  <c:v>8.6499999999999997E-3</c:v>
                </c:pt>
                <c:pt idx="14">
                  <c:v>8.9700000000000005E-3</c:v>
                </c:pt>
                <c:pt idx="15">
                  <c:v>9.2899999999999996E-3</c:v>
                </c:pt>
                <c:pt idx="16">
                  <c:v>9.6200000000000001E-3</c:v>
                </c:pt>
                <c:pt idx="17">
                  <c:v>9.9399999999999992E-3</c:v>
                </c:pt>
                <c:pt idx="18">
                  <c:v>1.026E-2</c:v>
                </c:pt>
                <c:pt idx="19">
                  <c:v>1.026E-2</c:v>
                </c:pt>
                <c:pt idx="20">
                  <c:v>1.1220000000000001E-2</c:v>
                </c:pt>
                <c:pt idx="21">
                  <c:v>1.1220000000000001E-2</c:v>
                </c:pt>
                <c:pt idx="22">
                  <c:v>1.1860000000000001E-2</c:v>
                </c:pt>
                <c:pt idx="23">
                  <c:v>1.218E-2</c:v>
                </c:pt>
                <c:pt idx="24">
                  <c:v>1.2500000000000001E-2</c:v>
                </c:pt>
                <c:pt idx="25">
                  <c:v>1.41E-2</c:v>
                </c:pt>
                <c:pt idx="26">
                  <c:v>1.41E-2</c:v>
                </c:pt>
                <c:pt idx="27">
                  <c:v>1.474E-2</c:v>
                </c:pt>
                <c:pt idx="28">
                  <c:v>1.5709999999999998E-2</c:v>
                </c:pt>
                <c:pt idx="29">
                  <c:v>1.763E-2</c:v>
                </c:pt>
                <c:pt idx="30">
                  <c:v>1.9550000000000001E-2</c:v>
                </c:pt>
                <c:pt idx="31">
                  <c:v>2.3720000000000001E-2</c:v>
                </c:pt>
                <c:pt idx="32">
                  <c:v>2.564E-2</c:v>
                </c:pt>
                <c:pt idx="33">
                  <c:v>3.2050000000000002E-2</c:v>
                </c:pt>
                <c:pt idx="34">
                  <c:v>3.6859999999999997E-2</c:v>
                </c:pt>
                <c:pt idx="35">
                  <c:v>4.1669999999999999E-2</c:v>
                </c:pt>
              </c:numCache>
            </c:numRef>
          </c:xVal>
          <c:yVal>
            <c:numRef>
              <c:f>Sheet1!$L$3:$L$38</c:f>
              <c:numCache>
                <c:formatCode>General</c:formatCode>
                <c:ptCount val="36"/>
                <c:pt idx="0">
                  <c:v>0</c:v>
                </c:pt>
                <c:pt idx="1">
                  <c:v>6</c:v>
                </c:pt>
                <c:pt idx="2">
                  <c:v>14</c:v>
                </c:pt>
                <c:pt idx="3">
                  <c:v>24</c:v>
                </c:pt>
                <c:pt idx="4">
                  <c:v>32.5</c:v>
                </c:pt>
                <c:pt idx="5">
                  <c:v>42</c:v>
                </c:pt>
                <c:pt idx="6">
                  <c:v>55</c:v>
                </c:pt>
                <c:pt idx="7">
                  <c:v>60</c:v>
                </c:pt>
                <c:pt idx="8">
                  <c:v>69.5</c:v>
                </c:pt>
                <c:pt idx="9">
                  <c:v>79.5</c:v>
                </c:pt>
                <c:pt idx="10">
                  <c:v>88.5</c:v>
                </c:pt>
                <c:pt idx="11">
                  <c:v>98</c:v>
                </c:pt>
                <c:pt idx="12">
                  <c:v>107</c:v>
                </c:pt>
                <c:pt idx="13">
                  <c:v>116</c:v>
                </c:pt>
                <c:pt idx="14">
                  <c:v>126</c:v>
                </c:pt>
                <c:pt idx="15">
                  <c:v>136</c:v>
                </c:pt>
                <c:pt idx="16">
                  <c:v>145</c:v>
                </c:pt>
                <c:pt idx="17">
                  <c:v>154</c:v>
                </c:pt>
                <c:pt idx="18">
                  <c:v>164</c:v>
                </c:pt>
                <c:pt idx="19">
                  <c:v>174</c:v>
                </c:pt>
                <c:pt idx="20">
                  <c:v>182</c:v>
                </c:pt>
                <c:pt idx="21">
                  <c:v>192</c:v>
                </c:pt>
                <c:pt idx="22">
                  <c:v>202</c:v>
                </c:pt>
                <c:pt idx="23">
                  <c:v>211</c:v>
                </c:pt>
                <c:pt idx="24">
                  <c:v>220</c:v>
                </c:pt>
                <c:pt idx="25">
                  <c:v>228</c:v>
                </c:pt>
                <c:pt idx="26">
                  <c:v>238</c:v>
                </c:pt>
                <c:pt idx="27">
                  <c:v>247</c:v>
                </c:pt>
                <c:pt idx="28">
                  <c:v>256</c:v>
                </c:pt>
                <c:pt idx="29">
                  <c:v>262</c:v>
                </c:pt>
                <c:pt idx="30">
                  <c:v>270</c:v>
                </c:pt>
                <c:pt idx="31">
                  <c:v>273</c:v>
                </c:pt>
                <c:pt idx="32">
                  <c:v>280</c:v>
                </c:pt>
                <c:pt idx="33">
                  <c:v>280</c:v>
                </c:pt>
                <c:pt idx="34">
                  <c:v>282</c:v>
                </c:pt>
                <c:pt idx="35">
                  <c:v>285</c:v>
                </c:pt>
              </c:numCache>
            </c:numRef>
          </c:yVal>
          <c:smooth val="0"/>
          <c:extLst>
            <c:ext xmlns:c16="http://schemas.microsoft.com/office/drawing/2014/chart" uri="{C3380CC4-5D6E-409C-BE32-E72D297353CC}">
              <c16:uniqueId val="{00000000-0EAE-4B26-81D5-A7AE86E7D2EF}"/>
            </c:ext>
          </c:extLst>
        </c:ser>
        <c:dLbls>
          <c:showLegendKey val="0"/>
          <c:showVal val="0"/>
          <c:showCatName val="0"/>
          <c:showSerName val="0"/>
          <c:showPercent val="0"/>
          <c:showBubbleSize val="0"/>
        </c:dLbls>
        <c:axId val="1690788560"/>
        <c:axId val="1690784720"/>
      </c:scatterChart>
      <c:valAx>
        <c:axId val="1690788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Strain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690784720"/>
        <c:crosses val="autoZero"/>
        <c:crossBetween val="midCat"/>
      </c:valAx>
      <c:valAx>
        <c:axId val="1690784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O"/>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69078856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I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89E53-32DD-4DDC-96D5-91448B8B3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2771</TotalTime>
  <Pages>10</Pages>
  <Words>1993</Words>
  <Characters>11364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Pablo Model Rodrigues</dc:creator>
  <cp:keywords/>
  <dc:description/>
  <cp:lastModifiedBy>Pablo Model Rodrigues (2503092)</cp:lastModifiedBy>
  <cp:revision>34</cp:revision>
  <dcterms:created xsi:type="dcterms:W3CDTF">2025-10-31T07:06:00Z</dcterms:created>
  <dcterms:modified xsi:type="dcterms:W3CDTF">2026-04-17T08:43:00Z</dcterms:modified>
</cp:coreProperties>
</file>