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Default="002F7F19" w:rsidP="00601A79">
      <w:pPr>
        <w:pStyle w:val="NormalWeb"/>
        <w:tabs>
          <w:tab w:val="left" w:pos="2268"/>
        </w:tabs>
        <w:spacing w:before="0" w:beforeAutospacing="0" w:after="0" w:afterAutospacing="0"/>
        <w:ind w:left="-180" w:right="-334"/>
      </w:pPr>
      <w:r>
        <w:rPr>
          <w:noProof/>
          <w:lang w:eastAsia="en-GB"/>
        </w:rPr>
        <w:drawing>
          <wp:inline distT="0" distB="0" distL="0" distR="0" wp14:anchorId="7A33B64F" wp14:editId="2CE5F008">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6DB9247F" w:rsidR="002F7F19" w:rsidRDefault="002F7F19" w:rsidP="00601A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3E9BDB99" w14:textId="77777777" w:rsidR="002F7F19" w:rsidRPr="00230F35" w:rsidRDefault="002F7F19" w:rsidP="00601A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4442B6" w14:textId="7F2BE8BD" w:rsidR="002F7F1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14:paraId="771DE207" w14:textId="77777777" w:rsidR="00601A7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 xml:space="preserve">THIS COVER SHEET REPLACES ALL PREVIOUS VERSIONS. </w:t>
      </w:r>
    </w:p>
    <w:p w14:paraId="5FD53ABE" w14:textId="764BA0A9" w:rsidR="00601A7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w:t>
      </w:r>
      <w:r w:rsidR="00F142B6">
        <w:rPr>
          <w:rFonts w:ascii="Arial" w:hAnsi="Arial" w:cs="Arial"/>
          <w:b/>
          <w:bCs/>
          <w:color w:val="EE0000"/>
          <w:sz w:val="28"/>
          <w:szCs w:val="28"/>
          <w:u w:val="single"/>
          <w:lang w:val="cy-GB"/>
        </w:rPr>
        <w:t>O</w:t>
      </w:r>
      <w:r w:rsidRPr="00601A79">
        <w:rPr>
          <w:rFonts w:ascii="Arial" w:hAnsi="Arial" w:cs="Arial"/>
          <w:b/>
          <w:bCs/>
          <w:color w:val="EE0000"/>
          <w:sz w:val="28"/>
          <w:szCs w:val="28"/>
          <w:u w:val="single"/>
          <w:lang w:val="cy-GB"/>
        </w:rPr>
        <w:t>RE YOU SUBMIT THE ESSAY.</w:t>
      </w:r>
    </w:p>
    <w:p w14:paraId="61C040EB" w14:textId="77777777" w:rsidR="002F7F19" w:rsidRDefault="002F7F19" w:rsidP="00601A79">
      <w:pPr>
        <w:pStyle w:val="Heading3"/>
        <w:jc w:val="left"/>
        <w:rPr>
          <w:lang w:val="cy-GB"/>
        </w:rPr>
      </w:pPr>
      <w:r>
        <w:rPr>
          <w:lang w:val="cy-GB"/>
        </w:rPr>
        <w:t>THIS SHEET MUST BE THE FIRST PAGE OF THE ASSIGNMENT YOU ARE SUBMITTING  (DO NOT SEND AS A SEPARATE FILE)</w:t>
      </w:r>
    </w:p>
    <w:p w14:paraId="431B34F0" w14:textId="77777777" w:rsidR="00601A79" w:rsidRDefault="00601A79" w:rsidP="002F7F19">
      <w:pPr>
        <w:pStyle w:val="Heading3"/>
        <w:jc w:val="center"/>
        <w:rPr>
          <w:lang w:val="cy-GB"/>
        </w:rPr>
      </w:pPr>
    </w:p>
    <w:p w14:paraId="4F1F01BA" w14:textId="77777777" w:rsidR="00601A79" w:rsidRDefault="00601A79" w:rsidP="002F7F19">
      <w:pPr>
        <w:pStyle w:val="Heading3"/>
        <w:jc w:val="center"/>
        <w:rPr>
          <w:lang w:val="cy-GB"/>
        </w:rPr>
      </w:pP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230F35" w14:paraId="556D78B7" w14:textId="77777777" w:rsidTr="00802737">
        <w:trPr>
          <w:trHeight w:val="614"/>
        </w:trPr>
        <w:tc>
          <w:tcPr>
            <w:tcW w:w="8856" w:type="dxa"/>
            <w:gridSpan w:val="5"/>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00802737">
        <w:trPr>
          <w:trHeight w:val="718"/>
        </w:trPr>
        <w:tc>
          <w:tcPr>
            <w:tcW w:w="8856" w:type="dxa"/>
            <w:gridSpan w:val="5"/>
          </w:tcPr>
          <w:p w14:paraId="63BCDACC" w14:textId="1F4761DD"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6B4EAA">
              <w:rPr>
                <w:rFonts w:ascii="Arial" w:hAnsi="Arial" w:cs="Arial"/>
                <w:sz w:val="22"/>
                <w:szCs w:val="22"/>
              </w:rPr>
              <w:t>FRANCESCA CABRAL</w:t>
            </w:r>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0F6D8CC6"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B4EAA" w:rsidRPr="006B4EAA">
              <w:rPr>
                <w:rFonts w:ascii="Arial" w:hAnsi="Arial" w:cs="Arial"/>
                <w:sz w:val="22"/>
                <w:szCs w:val="22"/>
              </w:rPr>
              <w:t>231721</w:t>
            </w:r>
            <w:r w:rsidR="006B4EAA">
              <w:rPr>
                <w:rFonts w:ascii="Arial" w:hAnsi="Arial" w:cs="Arial"/>
                <w:sz w:val="22"/>
                <w:szCs w:val="22"/>
              </w:rPr>
              <w:t>8</w:t>
            </w:r>
            <w:r w:rsidR="006B4EAA">
              <w:rPr>
                <w:rFonts w:ascii="Arial" w:hAnsi="Arial" w:cs="Arial"/>
                <w:sz w:val="22"/>
                <w:szCs w:val="22"/>
                <w:lang w:val="en-US"/>
              </w:rPr>
              <w:t>@</w:t>
            </w:r>
            <w:r w:rsidR="006B4EAA" w:rsidRPr="006B4EAA">
              <w:rPr>
                <w:rFonts w:ascii="Arial" w:hAnsi="Arial" w:cs="Arial"/>
                <w:sz w:val="22"/>
                <w:szCs w:val="22"/>
              </w:rPr>
              <w:t>student.uwtsd.ac.uk</w:t>
            </w:r>
          </w:p>
        </w:tc>
      </w:tr>
      <w:tr w:rsidR="002F7F19" w:rsidRPr="00230F35" w14:paraId="1D1E8033" w14:textId="77777777" w:rsidTr="00802737">
        <w:trPr>
          <w:trHeight w:val="849"/>
        </w:trPr>
        <w:tc>
          <w:tcPr>
            <w:tcW w:w="4788" w:type="dxa"/>
          </w:tcPr>
          <w:p w14:paraId="76B1434C" w14:textId="15B463D7"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6B4EAA" w:rsidRPr="006B4EAA">
              <w:rPr>
                <w:rFonts w:ascii="Arial" w:hAnsi="Arial" w:cs="Arial"/>
                <w:sz w:val="22"/>
                <w:szCs w:val="22"/>
              </w:rPr>
              <w:t>HPCA7028</w:t>
            </w:r>
          </w:p>
          <w:p w14:paraId="096FB652"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1DB21712" w14:textId="58A58D4A"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6B4EAA">
              <w:rPr>
                <w:rFonts w:ascii="Arial" w:hAnsi="Arial" w:cs="Arial"/>
                <w:sz w:val="22"/>
                <w:szCs w:val="22"/>
              </w:rPr>
              <w:t>SACRED SKIES</w:t>
            </w:r>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gridSpan w:val="3"/>
          </w:tcPr>
          <w:p w14:paraId="1626AFB7" w14:textId="77777777"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3121FF63" w14:textId="20B8821B" w:rsidR="006B4EAA" w:rsidRPr="00230F35" w:rsidRDefault="006B4EAA" w:rsidP="00802737">
            <w:pPr>
              <w:pStyle w:val="NormalWeb"/>
              <w:spacing w:before="0" w:beforeAutospacing="0" w:after="0" w:afterAutospacing="0"/>
              <w:ind w:right="34"/>
              <w:rPr>
                <w:rFonts w:ascii="Arial" w:hAnsi="Arial" w:cs="Arial"/>
                <w:sz w:val="22"/>
                <w:szCs w:val="22"/>
              </w:rPr>
            </w:pPr>
            <w:r w:rsidRPr="006B4EAA">
              <w:rPr>
                <w:rFonts w:ascii="Arial" w:hAnsi="Arial" w:cs="Arial"/>
                <w:sz w:val="22"/>
                <w:szCs w:val="22"/>
              </w:rPr>
              <w:t>2317218</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52597130" w14:textId="77777777" w:rsidTr="00802737">
        <w:trPr>
          <w:trHeight w:val="1139"/>
        </w:trPr>
        <w:tc>
          <w:tcPr>
            <w:tcW w:w="8856" w:type="dxa"/>
            <w:gridSpan w:val="5"/>
          </w:tcPr>
          <w:p w14:paraId="3628F7A0" w14:textId="36F27AF9"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6B4EAA" w:rsidRPr="006B4EAA">
              <w:rPr>
                <w:rFonts w:ascii="Arial" w:hAnsi="Arial" w:cs="Arial"/>
                <w:b/>
                <w:bCs/>
                <w:sz w:val="22"/>
                <w:szCs w:val="22"/>
                <w:lang w:val="en-US"/>
              </w:rPr>
              <w:t>A critical comparison of two secondary sources</w:t>
            </w:r>
          </w:p>
          <w:p w14:paraId="5CB07975" w14:textId="77777777" w:rsidR="002F7F19" w:rsidRDefault="002F7F19" w:rsidP="00802737">
            <w:pPr>
              <w:pStyle w:val="NormalWeb"/>
              <w:spacing w:before="0" w:beforeAutospacing="0" w:after="0" w:afterAutospacing="0"/>
              <w:ind w:right="34"/>
              <w:rPr>
                <w:rFonts w:ascii="Arial" w:hAnsi="Arial" w:cs="Arial"/>
                <w:sz w:val="22"/>
                <w:szCs w:val="22"/>
              </w:rPr>
            </w:pPr>
          </w:p>
          <w:p w14:paraId="7930708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13/01/2020</w:t>
            </w:r>
          </w:p>
        </w:tc>
      </w:tr>
      <w:tr w:rsidR="002F7F19" w:rsidRPr="00230F35" w14:paraId="6A12B430" w14:textId="77777777" w:rsidTr="00802737">
        <w:trPr>
          <w:trHeight w:val="978"/>
        </w:trPr>
        <w:tc>
          <w:tcPr>
            <w:tcW w:w="8856" w:type="dxa"/>
            <w:gridSpan w:val="5"/>
            <w:tcBorders>
              <w:bottom w:val="single" w:sz="4" w:space="0" w:color="000000"/>
            </w:tcBorders>
          </w:tcPr>
          <w:p w14:paraId="4C581461" w14:textId="4F04F888" w:rsidR="002F7F19" w:rsidRPr="00230F35" w:rsidRDefault="002F7F19"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523EB4"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237623" w:rsidRPr="00230F35">
              <w:rPr>
                <w:rFonts w:ascii="Arial" w:hAnsi="Arial" w:cs="Arial"/>
              </w:rPr>
              <w:fldChar w:fldCharType="begin">
                <w:ffData>
                  <w:name w:val="Check15"/>
                  <w:enabled/>
                  <w:calcOnExit w:val="0"/>
                  <w:checkBox>
                    <w:sizeAuto/>
                    <w:default w:val="0"/>
                  </w:checkBox>
                </w:ffData>
              </w:fldChar>
            </w:r>
            <w:r w:rsidR="00237623" w:rsidRPr="00230F35">
              <w:rPr>
                <w:rFonts w:ascii="Arial" w:hAnsi="Arial" w:cs="Arial"/>
              </w:rPr>
              <w:instrText xml:space="preserve"> FORMCHECKBOX </w:instrText>
            </w:r>
            <w:r w:rsidR="00237623" w:rsidRPr="00230F35">
              <w:rPr>
                <w:rFonts w:ascii="Arial" w:hAnsi="Arial" w:cs="Arial"/>
              </w:rPr>
            </w:r>
            <w:r w:rsidR="00237623" w:rsidRPr="00230F35">
              <w:rPr>
                <w:rFonts w:ascii="Arial" w:hAnsi="Arial" w:cs="Arial"/>
              </w:rPr>
              <w:fldChar w:fldCharType="separate"/>
            </w:r>
            <w:r w:rsidR="00237623" w:rsidRPr="00230F35">
              <w:rPr>
                <w:rFonts w:ascii="Arial" w:hAnsi="Arial" w:cs="Arial"/>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523EB4"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6B4EAA">
              <w:rPr>
                <w:rFonts w:ascii="Arial" w:hAnsi="Arial" w:cs="Arial"/>
              </w:rPr>
              <w:t>X</w:t>
            </w:r>
            <w:r w:rsidR="00523EB4"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14:paraId="0A33CEA0" w14:textId="77777777" w:rsidTr="00802737">
        <w:trPr>
          <w:trHeight w:val="978"/>
        </w:trPr>
        <w:tc>
          <w:tcPr>
            <w:tcW w:w="8856" w:type="dxa"/>
            <w:gridSpan w:val="5"/>
            <w:shd w:val="clear" w:color="auto" w:fill="D9D9D9"/>
          </w:tcPr>
          <w:p w14:paraId="5D7D6A06" w14:textId="45D5F5ED"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p>
          <w:p w14:paraId="6A97854E" w14:textId="06E01474" w:rsidR="002F7F19" w:rsidRPr="00B728EA"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1E1E271"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29FB1344" w14:textId="000F863C"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p>
          <w:p w14:paraId="1314F64C"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1B8F279" w14:textId="1C1E83A8"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sidR="00226D2F">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F3AFB9A"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4D30F25" w14:textId="7660B209" w:rsidR="002F7F19"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sidR="006C7BD4" w:rsidRPr="00B728EA">
              <w:rPr>
                <w:rFonts w:ascii="Arial" w:hAnsi="Arial" w:cs="Arial"/>
                <w:sz w:val="22"/>
                <w:szCs w:val="22"/>
              </w:rPr>
              <w:t>:</w:t>
            </w:r>
            <w:r w:rsidR="006C7BD4">
              <w:rPr>
                <w:rFonts w:ascii="Arial" w:hAnsi="Arial" w:cs="Arial"/>
                <w:sz w:val="22"/>
                <w:szCs w:val="22"/>
              </w:rPr>
              <w:t xml:space="preserve"> </w:t>
            </w:r>
            <w:r w:rsidR="006B4EAA">
              <w:rPr>
                <w:rFonts w:ascii="Arial" w:hAnsi="Arial" w:cs="Arial"/>
                <w:sz w:val="22"/>
                <w:szCs w:val="22"/>
              </w:rPr>
              <w:t>FRANCESCA CABRAL</w:t>
            </w:r>
          </w:p>
          <w:p w14:paraId="2737D0C4" w14:textId="79B16CB7" w:rsidR="00601A79" w:rsidRDefault="00601A79"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lastRenderedPageBreak/>
              <w:t>Date:</w:t>
            </w:r>
            <w:r w:rsidR="006B4EAA">
              <w:rPr>
                <w:rFonts w:ascii="Arial" w:hAnsi="Arial" w:cs="Arial"/>
                <w:sz w:val="22"/>
                <w:szCs w:val="22"/>
              </w:rPr>
              <w:t xml:space="preserve"> 12/04/2026</w:t>
            </w:r>
          </w:p>
          <w:p w14:paraId="5CBE4397" w14:textId="2F5957C0"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266120C1" w14:textId="77777777" w:rsidTr="00802737">
        <w:trPr>
          <w:trHeight w:val="3972"/>
        </w:trPr>
        <w:tc>
          <w:tcPr>
            <w:tcW w:w="8856" w:type="dxa"/>
            <w:gridSpan w:val="5"/>
          </w:tcPr>
          <w:p w14:paraId="008A90A4" w14:textId="77777777" w:rsidR="002F7F19" w:rsidRDefault="002F7F19" w:rsidP="00802737">
            <w:pPr>
              <w:rPr>
                <w:rFonts w:ascii="Arial" w:hAnsi="Arial"/>
                <w:b/>
              </w:rPr>
            </w:pPr>
          </w:p>
          <w:p w14:paraId="5EDBA61D" w14:textId="77777777"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116CE6" w14:paraId="407FA5B8" w14:textId="77777777" w:rsidTr="00802737">
              <w:tc>
                <w:tcPr>
                  <w:tcW w:w="6970" w:type="dxa"/>
                </w:tcPr>
                <w:p w14:paraId="2B808BC4" w14:textId="77777777" w:rsidR="002F7F19" w:rsidRPr="00116CE6" w:rsidRDefault="002F7F19" w:rsidP="00802737">
                  <w:pPr>
                    <w:rPr>
                      <w:rFonts w:ascii="Arial" w:hAnsi="Arial"/>
                      <w:sz w:val="20"/>
                      <w:szCs w:val="20"/>
                    </w:rPr>
                  </w:pPr>
                </w:p>
                <w:p w14:paraId="7D7EAC5A" w14:textId="77777777"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A6E3D7" w14:textId="77777777" w:rsidR="002F7F19" w:rsidRPr="00116CE6" w:rsidRDefault="002F7F19" w:rsidP="00802737">
                  <w:pPr>
                    <w:rPr>
                      <w:rFonts w:ascii="Arial" w:hAnsi="Arial"/>
                      <w:sz w:val="20"/>
                      <w:szCs w:val="20"/>
                    </w:rPr>
                  </w:pPr>
                </w:p>
              </w:tc>
            </w:tr>
            <w:tr w:rsidR="002F7F19" w:rsidRPr="00116CE6" w14:paraId="546197FB" w14:textId="77777777" w:rsidTr="00802737">
              <w:tc>
                <w:tcPr>
                  <w:tcW w:w="6970" w:type="dxa"/>
                </w:tcPr>
                <w:p w14:paraId="7C054BFF" w14:textId="77777777" w:rsidR="002F7F19" w:rsidRPr="00116CE6" w:rsidRDefault="002F7F19" w:rsidP="00802737">
                  <w:pPr>
                    <w:rPr>
                      <w:rFonts w:ascii="Arial" w:hAnsi="Arial"/>
                      <w:sz w:val="20"/>
                      <w:szCs w:val="20"/>
                    </w:rPr>
                  </w:pPr>
                </w:p>
                <w:p w14:paraId="724172C4" w14:textId="77777777"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DCB03B" w14:textId="77777777" w:rsidR="002F7F19" w:rsidRPr="00116CE6" w:rsidRDefault="002F7F19" w:rsidP="00802737">
                  <w:pPr>
                    <w:rPr>
                      <w:rFonts w:ascii="Arial" w:hAnsi="Arial"/>
                      <w:sz w:val="20"/>
                      <w:szCs w:val="20"/>
                    </w:rPr>
                  </w:pPr>
                </w:p>
              </w:tc>
            </w:tr>
            <w:tr w:rsidR="002F7F19" w:rsidRPr="00116CE6" w14:paraId="71C3D117" w14:textId="77777777" w:rsidTr="00802737">
              <w:tc>
                <w:tcPr>
                  <w:tcW w:w="6970" w:type="dxa"/>
                </w:tcPr>
                <w:p w14:paraId="3F105C23" w14:textId="77777777" w:rsidR="002F7F19" w:rsidRPr="00116CE6" w:rsidRDefault="002F7F19" w:rsidP="00802737">
                  <w:pPr>
                    <w:rPr>
                      <w:rFonts w:ascii="Arial" w:hAnsi="Arial"/>
                      <w:sz w:val="20"/>
                      <w:szCs w:val="20"/>
                    </w:rPr>
                  </w:pPr>
                </w:p>
                <w:p w14:paraId="71AB9064" w14:textId="77777777"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CF38D3" w14:textId="77777777" w:rsidR="002F7F19" w:rsidRPr="00116CE6" w:rsidRDefault="002F7F19" w:rsidP="00802737">
                  <w:pPr>
                    <w:rPr>
                      <w:rFonts w:ascii="Arial" w:hAnsi="Arial"/>
                      <w:sz w:val="20"/>
                      <w:szCs w:val="20"/>
                    </w:rPr>
                  </w:pPr>
                </w:p>
              </w:tc>
            </w:tr>
            <w:tr w:rsidR="002F7F19" w:rsidRPr="00116CE6" w14:paraId="7C57207A" w14:textId="77777777" w:rsidTr="00802737">
              <w:tc>
                <w:tcPr>
                  <w:tcW w:w="6970" w:type="dxa"/>
                </w:tcPr>
                <w:p w14:paraId="0039426A" w14:textId="77777777" w:rsidR="002F7F19" w:rsidRDefault="002F7F19" w:rsidP="00802737">
                  <w:pPr>
                    <w:rPr>
                      <w:rFonts w:ascii="Arial" w:hAnsi="Arial"/>
                      <w:sz w:val="20"/>
                      <w:szCs w:val="20"/>
                    </w:rPr>
                  </w:pPr>
                </w:p>
                <w:p w14:paraId="2FB59514" w14:textId="77777777" w:rsidR="002F7F19" w:rsidRPr="00022345" w:rsidRDefault="002F7F19" w:rsidP="00802737">
                  <w:pPr>
                    <w:rPr>
                      <w:rFonts w:ascii="Arial" w:hAnsi="Arial"/>
                      <w:b/>
                      <w:sz w:val="20"/>
                      <w:szCs w:val="20"/>
                    </w:rPr>
                  </w:pPr>
                  <w:r w:rsidRPr="00022345">
                    <w:rPr>
                      <w:rFonts w:ascii="Arial" w:hAnsi="Arial"/>
                      <w:b/>
                      <w:sz w:val="20"/>
                      <w:szCs w:val="20"/>
                    </w:rPr>
                    <w:t>Final Mark</w:t>
                  </w:r>
                </w:p>
                <w:p w14:paraId="6424FF6D" w14:textId="77777777" w:rsidR="002F7F19" w:rsidRPr="00116CE6" w:rsidRDefault="002F7F19" w:rsidP="00802737">
                  <w:pPr>
                    <w:rPr>
                      <w:rFonts w:ascii="Arial" w:hAnsi="Arial"/>
                      <w:sz w:val="20"/>
                      <w:szCs w:val="20"/>
                    </w:rPr>
                  </w:pPr>
                </w:p>
              </w:tc>
              <w:tc>
                <w:tcPr>
                  <w:tcW w:w="1660" w:type="dxa"/>
                </w:tcPr>
                <w:p w14:paraId="7A67D4AE" w14:textId="77777777" w:rsidR="002F7F19" w:rsidRPr="00116CE6" w:rsidRDefault="002F7F19" w:rsidP="00802737">
                  <w:pPr>
                    <w:rPr>
                      <w:rFonts w:ascii="Arial" w:hAnsi="Arial"/>
                      <w:sz w:val="20"/>
                      <w:szCs w:val="20"/>
                    </w:rPr>
                  </w:pPr>
                </w:p>
              </w:tc>
            </w:tr>
          </w:tbl>
          <w:p w14:paraId="3585DF88" w14:textId="77777777" w:rsidR="002F7F19" w:rsidRDefault="002F7F19" w:rsidP="00802737">
            <w:pPr>
              <w:pStyle w:val="NormalWeb"/>
              <w:spacing w:before="0" w:beforeAutospacing="0" w:after="0" w:afterAutospacing="0"/>
              <w:ind w:left="142" w:right="34"/>
              <w:rPr>
                <w:rFonts w:ascii="Arial" w:hAnsi="Arial" w:cs="Arial"/>
                <w:b/>
                <w:sz w:val="22"/>
                <w:szCs w:val="22"/>
              </w:rPr>
            </w:pPr>
          </w:p>
          <w:p w14:paraId="6BDD3DF1" w14:textId="77777777" w:rsidR="002F7F19" w:rsidRPr="00230F35" w:rsidRDefault="002F7F19"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9E4914" w14:textId="77777777" w:rsidR="002F7F19" w:rsidRDefault="002F7F19" w:rsidP="00802737">
            <w:pPr>
              <w:pStyle w:val="NormalWeb"/>
              <w:spacing w:before="0" w:beforeAutospacing="0" w:after="0" w:afterAutospacing="0"/>
              <w:rPr>
                <w:rFonts w:ascii="Arial" w:hAnsi="Arial" w:cs="Arial"/>
                <w:b/>
                <w:sz w:val="22"/>
                <w:szCs w:val="22"/>
              </w:rPr>
            </w:pPr>
          </w:p>
          <w:p w14:paraId="506647ED" w14:textId="77777777" w:rsidR="002F7F19" w:rsidRDefault="002F7F19" w:rsidP="00802737">
            <w:pPr>
              <w:pStyle w:val="NormalWeb"/>
              <w:spacing w:before="0" w:beforeAutospacing="0" w:after="0" w:afterAutospacing="0"/>
              <w:rPr>
                <w:rFonts w:ascii="Arial" w:hAnsi="Arial" w:cs="Arial"/>
                <w:b/>
                <w:sz w:val="22"/>
                <w:szCs w:val="22"/>
              </w:rPr>
            </w:pPr>
          </w:p>
          <w:p w14:paraId="7EE229C2" w14:textId="77777777" w:rsidR="002F7F19" w:rsidRDefault="002F7F19" w:rsidP="00802737">
            <w:pPr>
              <w:pStyle w:val="NormalWeb"/>
              <w:spacing w:before="0" w:beforeAutospacing="0" w:after="0" w:afterAutospacing="0"/>
              <w:rPr>
                <w:rFonts w:ascii="Arial" w:hAnsi="Arial" w:cs="Arial"/>
                <w:b/>
                <w:sz w:val="22"/>
                <w:szCs w:val="22"/>
              </w:rPr>
            </w:pPr>
          </w:p>
          <w:p w14:paraId="4568EF70" w14:textId="77777777" w:rsidR="002F7F19" w:rsidRDefault="002F7F19" w:rsidP="00802737">
            <w:pPr>
              <w:pStyle w:val="NormalWeb"/>
              <w:spacing w:before="0" w:beforeAutospacing="0" w:after="0" w:afterAutospacing="0"/>
              <w:rPr>
                <w:rFonts w:ascii="Arial" w:hAnsi="Arial" w:cs="Arial"/>
                <w:b/>
                <w:sz w:val="22"/>
                <w:szCs w:val="22"/>
              </w:rPr>
            </w:pPr>
          </w:p>
          <w:p w14:paraId="65B66E2E" w14:textId="77777777" w:rsidR="002F7F19" w:rsidRDefault="002F7F19" w:rsidP="00802737">
            <w:pPr>
              <w:pStyle w:val="NormalWeb"/>
              <w:spacing w:before="0" w:beforeAutospacing="0" w:after="0" w:afterAutospacing="0"/>
              <w:rPr>
                <w:rFonts w:ascii="Arial" w:hAnsi="Arial" w:cs="Arial"/>
                <w:b/>
                <w:sz w:val="22"/>
                <w:szCs w:val="22"/>
              </w:rPr>
            </w:pPr>
          </w:p>
          <w:p w14:paraId="22ADDA64" w14:textId="77777777" w:rsidR="002F7F19" w:rsidRPr="00230F35" w:rsidRDefault="002F7F19"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29FF597" w14:textId="77777777" w:rsidR="002F7F19" w:rsidRDefault="002F7F19"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9D4B5E" w14:textId="77777777" w:rsidR="002F7F19" w:rsidRPr="00001C3B" w:rsidRDefault="002F7F19" w:rsidP="00802737">
            <w:pPr>
              <w:pStyle w:val="NormalWeb"/>
              <w:rPr>
                <w:rFonts w:ascii="Arial" w:hAnsi="Arial" w:cs="Arial"/>
                <w:sz w:val="22"/>
                <w:szCs w:val="22"/>
              </w:rPr>
            </w:pPr>
          </w:p>
        </w:tc>
      </w:tr>
      <w:tr w:rsidR="002F7F19" w:rsidRPr="00230F35" w14:paraId="651D4499" w14:textId="77777777" w:rsidTr="00802737">
        <w:trPr>
          <w:trHeight w:val="492"/>
        </w:trPr>
        <w:tc>
          <w:tcPr>
            <w:tcW w:w="6768" w:type="dxa"/>
            <w:gridSpan w:val="3"/>
          </w:tcPr>
          <w:p w14:paraId="77326127" w14:textId="77777777" w:rsidR="002F7F19" w:rsidRPr="00230F35" w:rsidRDefault="002F7F19"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C61B96" w14:textId="77777777" w:rsidR="002F7F19" w:rsidRPr="00230F35" w:rsidRDefault="002F7F19"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14:paraId="75AB2D94" w14:textId="77777777" w:rsidTr="00802737">
        <w:tc>
          <w:tcPr>
            <w:tcW w:w="8856" w:type="dxa"/>
            <w:gridSpan w:val="5"/>
          </w:tcPr>
          <w:p w14:paraId="2EDD8C22" w14:textId="77777777" w:rsidR="002F7F19" w:rsidRPr="00230F35" w:rsidRDefault="002F7F19" w:rsidP="00802737">
            <w:pPr>
              <w:pStyle w:val="NormalWeb"/>
              <w:spacing w:before="0" w:beforeAutospacing="0" w:after="0" w:afterAutospacing="0"/>
              <w:ind w:right="-334"/>
              <w:rPr>
                <w:rFonts w:ascii="Arial" w:hAnsi="Arial" w:cs="Arial"/>
                <w:bCs/>
                <w:i/>
                <w:sz w:val="22"/>
                <w:szCs w:val="22"/>
              </w:rPr>
            </w:pPr>
          </w:p>
          <w:p w14:paraId="0455B312"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C36E49"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p>
          <w:p w14:paraId="726AE1E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6A212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786D04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9F0F7F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C6616E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38950A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5E8852A"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4497C5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233040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A2E106D" w14:textId="77777777" w:rsidR="002F7F19" w:rsidRDefault="002F7F19" w:rsidP="00802737">
            <w:pPr>
              <w:pStyle w:val="NormalWeb"/>
              <w:spacing w:before="0" w:beforeAutospacing="0" w:after="0" w:afterAutospacing="0"/>
              <w:ind w:right="-334"/>
              <w:rPr>
                <w:rFonts w:ascii="Arial" w:hAnsi="Arial" w:cs="Arial"/>
                <w:bCs/>
                <w:sz w:val="22"/>
                <w:szCs w:val="22"/>
              </w:rPr>
            </w:pPr>
          </w:p>
          <w:p w14:paraId="643912E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7C979BB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F3E576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E7E728C" w14:textId="77777777" w:rsidTr="00802737">
        <w:trPr>
          <w:trHeight w:val="720"/>
        </w:trPr>
        <w:tc>
          <w:tcPr>
            <w:tcW w:w="5211" w:type="dxa"/>
            <w:gridSpan w:val="2"/>
          </w:tcPr>
          <w:p w14:paraId="430084F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5F90D4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14:paraId="212F0175" w14:textId="77777777" w:rsidTr="00802737">
        <w:trPr>
          <w:trHeight w:val="720"/>
        </w:trPr>
        <w:tc>
          <w:tcPr>
            <w:tcW w:w="8856" w:type="dxa"/>
            <w:gridSpan w:val="5"/>
          </w:tcPr>
          <w:p w14:paraId="13FD28F9" w14:textId="77777777" w:rsidR="002F7F19" w:rsidRPr="00B34964" w:rsidRDefault="002F7F19" w:rsidP="00802737">
            <w:pPr>
              <w:rPr>
                <w:rFonts w:ascii="Arial" w:hAnsi="Arial" w:cs="Arial"/>
                <w:b/>
              </w:rPr>
            </w:pPr>
            <w:r w:rsidRPr="00B34964">
              <w:rPr>
                <w:rFonts w:ascii="Arial" w:hAnsi="Arial" w:cs="Arial"/>
                <w:b/>
              </w:rPr>
              <w:t>External Examiner’s comments (if relevant)</w:t>
            </w:r>
          </w:p>
          <w:p w14:paraId="7219903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9BDFA20"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6831725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BFD6AB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3F313B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F493B2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76E82C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59B2C8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3D08585D" w14:textId="77777777" w:rsidR="002F7F19" w:rsidRDefault="002F7F19" w:rsidP="00802737">
            <w:pPr>
              <w:pStyle w:val="NormalWeb"/>
              <w:spacing w:before="0" w:beforeAutospacing="0" w:after="0" w:afterAutospacing="0"/>
              <w:ind w:right="-334"/>
              <w:rPr>
                <w:rFonts w:ascii="Arial" w:hAnsi="Arial" w:cs="Arial"/>
                <w:bCs/>
                <w:sz w:val="22"/>
                <w:szCs w:val="22"/>
              </w:rPr>
            </w:pPr>
          </w:p>
          <w:p w14:paraId="0432C467"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AA5440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81261AB" w14:textId="77777777" w:rsidTr="00802737">
        <w:trPr>
          <w:trHeight w:val="720"/>
        </w:trPr>
        <w:tc>
          <w:tcPr>
            <w:tcW w:w="5211" w:type="dxa"/>
            <w:gridSpan w:val="2"/>
          </w:tcPr>
          <w:p w14:paraId="23579B3B" w14:textId="77777777"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14:paraId="72EAE2F9" w14:textId="77777777" w:rsidR="002F7F19" w:rsidRPr="00230F35" w:rsidRDefault="002F7F19" w:rsidP="00802737">
            <w:pPr>
              <w:rPr>
                <w:rFonts w:ascii="Arial" w:hAnsi="Arial" w:cs="Arial"/>
              </w:rPr>
            </w:pPr>
            <w:r w:rsidRPr="00230F35">
              <w:rPr>
                <w:rFonts w:ascii="Arial" w:hAnsi="Arial" w:cs="Arial"/>
              </w:rPr>
              <w:t>Date:</w:t>
            </w:r>
          </w:p>
        </w:tc>
      </w:tr>
    </w:tbl>
    <w:p w14:paraId="3439B6A9" w14:textId="77777777" w:rsidR="002F7F19" w:rsidRDefault="002F7F19"/>
    <w:p w14:paraId="25214D8F" w14:textId="77777777" w:rsidR="002F7F19" w:rsidRDefault="002F7F19"/>
    <w:p w14:paraId="09A92A77" w14:textId="77777777" w:rsidR="002F7F19" w:rsidRDefault="002F7F19"/>
    <w:p w14:paraId="39CEBD98" w14:textId="77777777" w:rsidR="002F7F19" w:rsidRDefault="002F7F19"/>
    <w:p w14:paraId="4B4C4A0F" w14:textId="77777777" w:rsidR="002F7F19" w:rsidRDefault="002F7F19"/>
    <w:p w14:paraId="48C1F31F" w14:textId="77777777" w:rsidR="002F7F19" w:rsidRDefault="002F7F19"/>
    <w:p w14:paraId="5398C5A6" w14:textId="77777777" w:rsidR="002F7F19" w:rsidRDefault="002F7F19"/>
    <w:p w14:paraId="26E365E5" w14:textId="77777777" w:rsidR="002F7F19" w:rsidRDefault="002F7F19"/>
    <w:p w14:paraId="7CC8CDF1" w14:textId="77777777" w:rsidR="002F7F19" w:rsidRDefault="002F7F19"/>
    <w:p w14:paraId="3E9188E4" w14:textId="77777777" w:rsidR="002F7F19" w:rsidRDefault="002F7F19"/>
    <w:p w14:paraId="703D73DC" w14:textId="77777777" w:rsidR="002F7F19" w:rsidRDefault="002F7F19"/>
    <w:p w14:paraId="0092A162" w14:textId="77777777" w:rsidR="002F7F19" w:rsidRDefault="002F7F19"/>
    <w:p w14:paraId="1445D3CB" w14:textId="77777777" w:rsidR="002F7F19" w:rsidRDefault="002F7F19"/>
    <w:p w14:paraId="55DAC626" w14:textId="77777777" w:rsidR="002F7F19" w:rsidRDefault="002F7F19"/>
    <w:p w14:paraId="44F07602" w14:textId="77777777" w:rsidR="002F7F19" w:rsidRDefault="002F7F19"/>
    <w:p w14:paraId="57EC16EC" w14:textId="77777777" w:rsidR="002F7F19" w:rsidRDefault="002F7F19"/>
    <w:p w14:paraId="173840AA" w14:textId="77777777" w:rsidR="002F7F19" w:rsidRDefault="002F7F19"/>
    <w:p w14:paraId="641586EF" w14:textId="312AC2A3" w:rsidR="003631FD" w:rsidRDefault="003631FD">
      <w:r>
        <w:lastRenderedPageBreak/>
        <w:br w:type="page"/>
      </w:r>
    </w:p>
    <w:p w14:paraId="7575079C" w14:textId="77777777" w:rsidR="003631FD" w:rsidRPr="003631FD" w:rsidRDefault="003631FD" w:rsidP="003631FD">
      <w:pPr>
        <w:spacing w:after="80" w:line="240" w:lineRule="auto"/>
        <w:contextualSpacing/>
        <w:rPr>
          <w:rFonts w:ascii="Times New Roman" w:eastAsia="Times New Roman" w:hAnsi="Times New Roman" w:cs="Times New Roman"/>
          <w:color w:val="000000"/>
          <w:spacing w:val="-10"/>
          <w:kern w:val="28"/>
          <w:sz w:val="56"/>
          <w:szCs w:val="56"/>
          <w:lang w:val="en-CH"/>
          <w14:ligatures w14:val="standardContextual"/>
        </w:rPr>
      </w:pPr>
      <w:r w:rsidRPr="003631FD">
        <w:rPr>
          <w:rFonts w:ascii="Times New Roman" w:eastAsia="Times New Roman" w:hAnsi="Times New Roman" w:cs="Times New Roman"/>
          <w:color w:val="000000"/>
          <w:spacing w:val="-10"/>
          <w:kern w:val="28"/>
          <w:sz w:val="56"/>
          <w:szCs w:val="56"/>
          <w:lang w:val="en-CH"/>
          <w14:ligatures w14:val="standardContextual"/>
        </w:rPr>
        <w:lastRenderedPageBreak/>
        <w:t>A Critical Comparison of Two Secondary Sources</w:t>
      </w:r>
    </w:p>
    <w:p w14:paraId="25B1DFE3"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p>
    <w:p w14:paraId="33E6D6D1" w14:textId="77777777" w:rsidR="003631FD" w:rsidRPr="003631FD" w:rsidRDefault="003631FD" w:rsidP="003631FD">
      <w:pPr>
        <w:keepNext/>
        <w:keepLines/>
        <w:spacing w:before="360" w:after="80" w:line="278" w:lineRule="auto"/>
        <w:outlineLvl w:val="0"/>
        <w:rPr>
          <w:rFonts w:ascii="Times New Roman" w:eastAsia="Times New Roman" w:hAnsi="Times New Roman" w:cs="Times New Roman"/>
          <w:color w:val="000000"/>
          <w:kern w:val="2"/>
          <w:sz w:val="40"/>
          <w:szCs w:val="40"/>
          <w:lang w:val="en-CH"/>
          <w14:ligatures w14:val="standardContextual"/>
        </w:rPr>
      </w:pPr>
      <w:r w:rsidRPr="003631FD">
        <w:rPr>
          <w:rFonts w:ascii="Times New Roman" w:eastAsia="Times New Roman" w:hAnsi="Times New Roman" w:cs="Times New Roman"/>
          <w:color w:val="000000"/>
          <w:kern w:val="2"/>
          <w:sz w:val="40"/>
          <w:szCs w:val="40"/>
          <w:lang w:val="en-CH"/>
          <w14:ligatures w14:val="standardContextual"/>
        </w:rPr>
        <w:t>Introduction</w:t>
      </w:r>
    </w:p>
    <w:p w14:paraId="39CBD11D"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Bernadette Brady’s editorial to the 2020 issue of “Culture and Cosmos” defines the clearest interpretive difficulties facing scholarship on sky myths.</w:t>
      </w:r>
      <w:r w:rsidRPr="003631FD">
        <w:rPr>
          <w:rFonts w:ascii="Times New Roman" w:eastAsia="Aptos" w:hAnsi="Times New Roman" w:cs="Times New Roman"/>
          <w:color w:val="000000"/>
          <w:kern w:val="2"/>
          <w:sz w:val="24"/>
          <w:szCs w:val="24"/>
          <w:vertAlign w:val="superscript"/>
          <w:lang w:val="en-CH"/>
          <w14:ligatures w14:val="standardContextual"/>
        </w:rPr>
        <w:footnoteReference w:id="1"/>
      </w:r>
      <w:r w:rsidRPr="003631FD">
        <w:rPr>
          <w:rFonts w:ascii="Times New Roman" w:eastAsia="Aptos" w:hAnsi="Times New Roman" w:cs="Times New Roman"/>
          <w:color w:val="000000"/>
          <w:kern w:val="2"/>
          <w:sz w:val="24"/>
          <w:szCs w:val="24"/>
          <w:lang w:val="en-CH"/>
          <w14:ligatures w14:val="standardContextual"/>
        </w:rPr>
        <w:t xml:space="preserve"> Celestial movement was meaningful within the cultures that produced these narratives, yet that meaning is no longer self-evident to modern readers.</w:t>
      </w:r>
      <w:r w:rsidRPr="003631FD">
        <w:rPr>
          <w:rFonts w:ascii="Times New Roman" w:eastAsia="Aptos" w:hAnsi="Times New Roman" w:cs="Times New Roman"/>
          <w:color w:val="000000"/>
          <w:kern w:val="2"/>
          <w:sz w:val="24"/>
          <w:szCs w:val="24"/>
          <w:vertAlign w:val="superscript"/>
          <w:lang w:val="en-CH"/>
          <w14:ligatures w14:val="standardContextual"/>
        </w:rPr>
        <w:footnoteReference w:id="2"/>
      </w:r>
      <w:r w:rsidRPr="003631FD">
        <w:rPr>
          <w:rFonts w:ascii="Times New Roman" w:eastAsia="Aptos" w:hAnsi="Times New Roman" w:cs="Times New Roman"/>
          <w:color w:val="000000"/>
          <w:kern w:val="2"/>
          <w:sz w:val="24"/>
          <w:szCs w:val="24"/>
          <w:lang w:val="en-CH"/>
          <w14:ligatures w14:val="standardContextual"/>
        </w:rPr>
        <w:t xml:space="preserve"> When Brady describes the volume as concerned with “humanity’s spiritual connection to the sky as expressed in story,”</w:t>
      </w:r>
      <w:r w:rsidRPr="003631FD">
        <w:rPr>
          <w:rFonts w:ascii="Times New Roman" w:eastAsia="Aptos" w:hAnsi="Times New Roman" w:cs="Times New Roman"/>
          <w:color w:val="000000"/>
          <w:kern w:val="2"/>
          <w:sz w:val="24"/>
          <w:szCs w:val="24"/>
          <w:vertAlign w:val="superscript"/>
          <w:lang w:val="en-CH"/>
          <w14:ligatures w14:val="standardContextual"/>
        </w:rPr>
        <w:footnoteReference w:id="3"/>
      </w:r>
      <w:r w:rsidRPr="003631FD">
        <w:rPr>
          <w:rFonts w:ascii="Times New Roman" w:eastAsia="Aptos" w:hAnsi="Times New Roman" w:cs="Times New Roman"/>
          <w:color w:val="000000"/>
          <w:kern w:val="2"/>
          <w:sz w:val="24"/>
          <w:szCs w:val="24"/>
          <w:lang w:val="en-CH"/>
          <w14:ligatures w14:val="standardContextual"/>
        </w:rPr>
        <w:t xml:space="preserve"> she uses “story” in the context of mythic narrative functioning as a vehicle for cultural knowledge through which communities organised celestial observation into meaningful form.</w:t>
      </w:r>
      <w:r w:rsidRPr="003631FD">
        <w:rPr>
          <w:rFonts w:ascii="Times New Roman" w:eastAsia="Aptos" w:hAnsi="Times New Roman" w:cs="Times New Roman"/>
          <w:color w:val="000000"/>
          <w:kern w:val="2"/>
          <w:sz w:val="24"/>
          <w:szCs w:val="24"/>
          <w:vertAlign w:val="superscript"/>
          <w:lang w:val="en-CH"/>
          <w14:ligatures w14:val="standardContextual"/>
        </w:rPr>
        <w:footnoteReference w:id="4"/>
      </w:r>
      <w:r w:rsidRPr="003631FD">
        <w:rPr>
          <w:rFonts w:ascii="Times New Roman" w:eastAsia="Aptos" w:hAnsi="Times New Roman" w:cs="Times New Roman"/>
          <w:color w:val="000000"/>
          <w:kern w:val="2"/>
          <w:sz w:val="24"/>
          <w:szCs w:val="24"/>
          <w:lang w:val="en-CH"/>
          <w14:ligatures w14:val="standardContextual"/>
        </w:rPr>
        <w:t xml:space="preserve"> Her point is that a match between a narrative and a celestial pattern may be suggestive, but it does not by itself show what that narrative meant in its original cultural setting. With this observation in mind, this paper compares how Morag Feeney Beaton and Signe Cohen reconstruct that relation between visible pattern and cultural meaning, focusing on how each author’s method shapes what can be recovered and what remains difficult to know once the sky knowledge that once made such stories legible has faded.</w:t>
      </w:r>
    </w:p>
    <w:p w14:paraId="5B22206C" w14:textId="77777777" w:rsidR="003631FD" w:rsidRPr="003631FD" w:rsidRDefault="003631FD" w:rsidP="003631FD">
      <w:pPr>
        <w:keepNext/>
        <w:keepLines/>
        <w:spacing w:before="360" w:after="80" w:line="278" w:lineRule="auto"/>
        <w:outlineLvl w:val="0"/>
        <w:rPr>
          <w:rFonts w:ascii="Times New Roman" w:eastAsia="Times New Roman" w:hAnsi="Times New Roman" w:cs="Times New Roman"/>
          <w:color w:val="000000"/>
          <w:kern w:val="2"/>
          <w:sz w:val="40"/>
          <w:szCs w:val="40"/>
          <w:lang w:val="en-CH"/>
          <w14:ligatures w14:val="standardContextual"/>
        </w:rPr>
      </w:pPr>
      <w:r w:rsidRPr="003631FD">
        <w:rPr>
          <w:rFonts w:ascii="Times New Roman" w:eastAsia="Times New Roman" w:hAnsi="Times New Roman" w:cs="Times New Roman"/>
          <w:color w:val="000000"/>
          <w:kern w:val="2"/>
          <w:sz w:val="40"/>
          <w:szCs w:val="40"/>
          <w:lang w:val="en-CH"/>
          <w14:ligatures w14:val="standardContextual"/>
        </w:rPr>
        <w:t>Methodology and the Production of Celestial Meaning</w:t>
      </w:r>
    </w:p>
    <w:p w14:paraId="4742B5BC"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The methodological question opened by Brady is how a visible celestial pattern comes to carry cultural meaning. In “The Talking Sky,” she argues that astronomical correspondences remain only “hints, not proofs” unless they can be connected to the cultural “glue” that binds sky to story.</w:t>
      </w:r>
      <w:r w:rsidRPr="003631FD">
        <w:rPr>
          <w:rFonts w:ascii="Times New Roman" w:eastAsia="Aptos" w:hAnsi="Times New Roman" w:cs="Times New Roman"/>
          <w:color w:val="000000"/>
          <w:kern w:val="2"/>
          <w:sz w:val="24"/>
          <w:szCs w:val="24"/>
          <w:vertAlign w:val="superscript"/>
          <w:lang w:val="en-CH"/>
          <w14:ligatures w14:val="standardContextual"/>
        </w:rPr>
        <w:footnoteReference w:id="5"/>
      </w:r>
      <w:r w:rsidRPr="003631FD">
        <w:rPr>
          <w:rFonts w:ascii="Times New Roman" w:eastAsia="Aptos" w:hAnsi="Times New Roman" w:cs="Times New Roman"/>
          <w:color w:val="000000"/>
          <w:kern w:val="2"/>
          <w:sz w:val="24"/>
          <w:szCs w:val="24"/>
          <w:lang w:val="en-CH"/>
          <w14:ligatures w14:val="standardContextual"/>
        </w:rPr>
        <w:t xml:space="preserve"> That claim provides the critical pressure for reading Cohen and Beaton together. Each paper seeks to show how celestial meaning becomes legible within a particular tradition, and the comparison turns on the procedures by which that legibility is established.</w:t>
      </w:r>
    </w:p>
    <w:p w14:paraId="6542D9B7"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Cohen’s method is a close lexical reading of “Alvíssmál,” organised around lexical differentiation.</w:t>
      </w:r>
      <w:r w:rsidRPr="003631FD">
        <w:rPr>
          <w:rFonts w:ascii="Times New Roman" w:eastAsia="Aptos" w:hAnsi="Times New Roman" w:cs="Times New Roman"/>
          <w:color w:val="000000"/>
          <w:kern w:val="2"/>
          <w:sz w:val="24"/>
          <w:szCs w:val="24"/>
          <w:vertAlign w:val="superscript"/>
          <w:lang w:val="en-CH"/>
          <w14:ligatures w14:val="standardContextual"/>
        </w:rPr>
        <w:footnoteReference w:id="6"/>
      </w:r>
      <w:r w:rsidRPr="003631FD">
        <w:rPr>
          <w:rFonts w:ascii="Times New Roman" w:eastAsia="Aptos" w:hAnsi="Times New Roman" w:cs="Times New Roman"/>
          <w:color w:val="000000"/>
          <w:kern w:val="2"/>
          <w:sz w:val="24"/>
          <w:szCs w:val="24"/>
          <w:lang w:val="en-CH"/>
          <w14:ligatures w14:val="standardContextual"/>
        </w:rPr>
        <w:t xml:space="preserve"> The poem assigns different terms for the same celestial object to different classes of beings, and Cohen treats those terms as evidence for how the cosmos is perceived from within distinct ways of life. She moves object by object through the poem’s catalogue of celestial vocabulary, asking what each designation discloses about the speaker’s relation to the world. The </w:t>
      </w:r>
      <w:r w:rsidRPr="003631FD">
        <w:rPr>
          <w:rFonts w:ascii="Times New Roman" w:eastAsia="Aptos" w:hAnsi="Times New Roman" w:cs="Times New Roman"/>
          <w:color w:val="000000"/>
          <w:kern w:val="2"/>
          <w:sz w:val="24"/>
          <w:szCs w:val="24"/>
          <w:lang w:val="en-CH"/>
          <w14:ligatures w14:val="standardContextual"/>
        </w:rPr>
        <w:lastRenderedPageBreak/>
        <w:t xml:space="preserve">sky, for instance, appears to the gods as </w:t>
      </w:r>
      <w:proofErr w:type="spellStart"/>
      <w:r w:rsidRPr="003631FD">
        <w:rPr>
          <w:rFonts w:ascii="Times New Roman" w:eastAsia="Aptos" w:hAnsi="Times New Roman" w:cs="Times New Roman"/>
          <w:color w:val="000000"/>
          <w:kern w:val="2"/>
          <w:sz w:val="24"/>
          <w:szCs w:val="24"/>
          <w:lang w:val="en-CH"/>
          <w14:ligatures w14:val="standardContextual"/>
        </w:rPr>
        <w:t>hlýrnir</w:t>
      </w:r>
      <w:proofErr w:type="spellEnd"/>
      <w:r w:rsidRPr="003631FD">
        <w:rPr>
          <w:rFonts w:ascii="Times New Roman" w:eastAsia="Aptos" w:hAnsi="Times New Roman" w:cs="Times New Roman"/>
          <w:color w:val="000000"/>
          <w:kern w:val="2"/>
          <w:sz w:val="24"/>
          <w:szCs w:val="24"/>
          <w:lang w:val="en-CH"/>
          <w14:ligatures w14:val="standardContextual"/>
        </w:rPr>
        <w:t xml:space="preserve">, “the Arch,”  a term she connects to curvature and vaulting structure; giants call it </w:t>
      </w:r>
      <w:proofErr w:type="spellStart"/>
      <w:r w:rsidRPr="003631FD">
        <w:rPr>
          <w:rFonts w:ascii="Times New Roman" w:eastAsia="Aptos" w:hAnsi="Times New Roman" w:cs="Times New Roman"/>
          <w:color w:val="000000"/>
          <w:kern w:val="2"/>
          <w:sz w:val="24"/>
          <w:szCs w:val="24"/>
          <w:lang w:val="en-CH"/>
          <w14:ligatures w14:val="standardContextual"/>
        </w:rPr>
        <w:t>uppheim</w:t>
      </w:r>
      <w:proofErr w:type="spellEnd"/>
      <w:r w:rsidRPr="003631FD">
        <w:rPr>
          <w:rFonts w:ascii="Times New Roman" w:eastAsia="Aptos" w:hAnsi="Times New Roman" w:cs="Times New Roman"/>
          <w:color w:val="000000"/>
          <w:kern w:val="2"/>
          <w:sz w:val="24"/>
          <w:szCs w:val="24"/>
          <w:lang w:val="en-CH"/>
          <w14:ligatures w14:val="standardContextual"/>
        </w:rPr>
        <w:t xml:space="preserve">, “the World Up There,” or “Tall House,” which gives the heavens a practical, earthbound scale; dwarves call it </w:t>
      </w:r>
      <w:proofErr w:type="spellStart"/>
      <w:r w:rsidRPr="003631FD">
        <w:rPr>
          <w:rFonts w:ascii="Times New Roman" w:eastAsia="Aptos" w:hAnsi="Times New Roman" w:cs="Times New Roman"/>
          <w:color w:val="000000"/>
          <w:kern w:val="2"/>
          <w:sz w:val="24"/>
          <w:szCs w:val="24"/>
          <w:lang w:val="en-CH"/>
          <w14:ligatures w14:val="standardContextual"/>
        </w:rPr>
        <w:t>drjúpansal</w:t>
      </w:r>
      <w:proofErr w:type="spellEnd"/>
      <w:r w:rsidRPr="003631FD">
        <w:rPr>
          <w:rFonts w:ascii="Times New Roman" w:eastAsia="Aptos" w:hAnsi="Times New Roman" w:cs="Times New Roman"/>
          <w:color w:val="000000"/>
          <w:kern w:val="2"/>
          <w:sz w:val="24"/>
          <w:szCs w:val="24"/>
          <w:lang w:val="en-CH"/>
          <w14:ligatures w14:val="standardContextual"/>
        </w:rPr>
        <w:t>, “the Dripping Hall,” a term that registers the sky from the perspective of beings who dwell underground and experience the open air as exposure and rain.</w:t>
      </w:r>
      <w:r w:rsidRPr="003631FD">
        <w:rPr>
          <w:rFonts w:ascii="Times New Roman" w:eastAsia="Aptos" w:hAnsi="Times New Roman" w:cs="Times New Roman"/>
          <w:color w:val="000000"/>
          <w:kern w:val="2"/>
          <w:sz w:val="24"/>
          <w:szCs w:val="24"/>
          <w:vertAlign w:val="superscript"/>
          <w:lang w:val="en-CH"/>
          <w14:ligatures w14:val="standardContextual"/>
        </w:rPr>
        <w:footnoteReference w:id="7"/>
      </w:r>
      <w:r w:rsidRPr="003631FD">
        <w:rPr>
          <w:rFonts w:ascii="Times New Roman" w:eastAsia="Aptos" w:hAnsi="Times New Roman" w:cs="Times New Roman"/>
          <w:color w:val="000000"/>
          <w:kern w:val="2"/>
          <w:sz w:val="24"/>
          <w:szCs w:val="24"/>
          <w:lang w:val="en-CH"/>
          <w14:ligatures w14:val="standardContextual"/>
        </w:rPr>
        <w:t xml:space="preserve"> Her reading of the moon works in the same way: “the Counter of Years” connects it to temporal measure, while “Haste” registers its movement as speed.</w:t>
      </w:r>
      <w:r w:rsidRPr="003631FD">
        <w:rPr>
          <w:rFonts w:ascii="Times New Roman" w:eastAsia="Aptos" w:hAnsi="Times New Roman" w:cs="Times New Roman"/>
          <w:color w:val="000000"/>
          <w:kern w:val="2"/>
          <w:sz w:val="24"/>
          <w:szCs w:val="24"/>
          <w:vertAlign w:val="superscript"/>
          <w:lang w:val="en-CH"/>
          <w14:ligatures w14:val="standardContextual"/>
        </w:rPr>
        <w:footnoteReference w:id="8"/>
      </w:r>
      <w:r w:rsidRPr="003631FD">
        <w:rPr>
          <w:rFonts w:ascii="Times New Roman" w:eastAsia="Aptos" w:hAnsi="Times New Roman" w:cs="Times New Roman"/>
          <w:color w:val="000000"/>
          <w:kern w:val="2"/>
          <w:sz w:val="24"/>
          <w:szCs w:val="24"/>
          <w:lang w:val="en-CH"/>
          <w14:ligatures w14:val="standardContextual"/>
        </w:rPr>
        <w:t xml:space="preserve"> In “Alvíssmál,” celestial meaning is generated through perspective-bearing vocabulary. That is why she argues that the vocabulary of “Alvíssmál” points to a view in which the celestial world does not carry one stable meaning but is interpreted differently according to the observer who speaks it.</w:t>
      </w:r>
    </w:p>
    <w:p w14:paraId="50A73B50"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That dependence on vocabulary is inseparable from the conditions under which Old Norse celestial knowledge survives. Etheridge describes Old Norse astronomy as a field whose evidence survives in dispersed and uneven forms, with no single source preserving a complete celestial system.</w:t>
      </w:r>
      <w:r w:rsidRPr="003631FD">
        <w:rPr>
          <w:rFonts w:ascii="Times New Roman" w:eastAsia="Aptos" w:hAnsi="Times New Roman" w:cs="Times New Roman"/>
          <w:color w:val="000000"/>
          <w:kern w:val="2"/>
          <w:sz w:val="24"/>
          <w:szCs w:val="24"/>
          <w:vertAlign w:val="superscript"/>
          <w:lang w:val="en-CH"/>
          <w14:ligatures w14:val="standardContextual"/>
        </w:rPr>
        <w:footnoteReference w:id="9"/>
      </w:r>
      <w:r w:rsidRPr="003631FD">
        <w:rPr>
          <w:rFonts w:ascii="Times New Roman" w:eastAsia="Aptos" w:hAnsi="Times New Roman" w:cs="Times New Roman"/>
          <w:color w:val="000000"/>
          <w:kern w:val="2"/>
          <w:sz w:val="24"/>
          <w:szCs w:val="24"/>
          <w:lang w:val="en-CH"/>
          <w14:ligatures w14:val="standardContextual"/>
        </w:rPr>
        <w:t xml:space="preserve"> With that in mind, Cohen’s decision to remain close to the lexical texture of “Alvíssmál” presents as methodological discipline rather than narrowness. The gods’ </w:t>
      </w:r>
      <w:proofErr w:type="spellStart"/>
      <w:r w:rsidRPr="003631FD">
        <w:rPr>
          <w:rFonts w:ascii="Times New Roman" w:eastAsia="Aptos" w:hAnsi="Times New Roman" w:cs="Times New Roman"/>
          <w:color w:val="000000"/>
          <w:kern w:val="2"/>
          <w:sz w:val="24"/>
          <w:szCs w:val="24"/>
          <w:lang w:val="en-CH"/>
          <w14:ligatures w14:val="standardContextual"/>
        </w:rPr>
        <w:t>hlýrnir</w:t>
      </w:r>
      <w:proofErr w:type="spellEnd"/>
      <w:r w:rsidRPr="003631FD">
        <w:rPr>
          <w:rFonts w:ascii="Times New Roman" w:eastAsia="Aptos" w:hAnsi="Times New Roman" w:cs="Times New Roman"/>
          <w:color w:val="000000"/>
          <w:kern w:val="2"/>
          <w:sz w:val="24"/>
          <w:szCs w:val="24"/>
          <w:lang w:val="en-CH"/>
          <w14:ligatures w14:val="standardContextual"/>
        </w:rPr>
        <w:t xml:space="preserve"> points, for her, toward “the arched vault of heaven,” while the dwarves’ </w:t>
      </w:r>
      <w:proofErr w:type="spellStart"/>
      <w:r w:rsidRPr="003631FD">
        <w:rPr>
          <w:rFonts w:ascii="Times New Roman" w:eastAsia="Aptos" w:hAnsi="Times New Roman" w:cs="Times New Roman"/>
          <w:color w:val="000000"/>
          <w:kern w:val="2"/>
          <w:sz w:val="24"/>
          <w:szCs w:val="24"/>
          <w:lang w:val="en-CH"/>
          <w14:ligatures w14:val="standardContextual"/>
        </w:rPr>
        <w:t>drjúpansal</w:t>
      </w:r>
      <w:proofErr w:type="spellEnd"/>
      <w:r w:rsidRPr="003631FD">
        <w:rPr>
          <w:rFonts w:ascii="Times New Roman" w:eastAsia="Aptos" w:hAnsi="Times New Roman" w:cs="Times New Roman"/>
          <w:color w:val="000000"/>
          <w:kern w:val="2"/>
          <w:sz w:val="24"/>
          <w:szCs w:val="24"/>
          <w:lang w:val="en-CH"/>
          <w14:ligatures w14:val="standardContextual"/>
        </w:rPr>
        <w:t>, “the Dripping Hall,” registers the open sky from the perspective of beings who “dwell underground and don’t much care for the sky.”</w:t>
      </w:r>
      <w:r w:rsidRPr="003631FD">
        <w:rPr>
          <w:rFonts w:ascii="Times New Roman" w:eastAsia="Aptos" w:hAnsi="Times New Roman" w:cs="Times New Roman"/>
          <w:color w:val="000000"/>
          <w:kern w:val="2"/>
          <w:sz w:val="24"/>
          <w:szCs w:val="24"/>
          <w:vertAlign w:val="superscript"/>
          <w:lang w:val="en-CH"/>
          <w14:ligatures w14:val="standardContextual"/>
        </w:rPr>
        <w:footnoteReference w:id="10"/>
      </w:r>
      <w:r w:rsidRPr="003631FD">
        <w:rPr>
          <w:rFonts w:ascii="Times New Roman" w:eastAsia="Aptos" w:hAnsi="Times New Roman" w:cs="Times New Roman"/>
          <w:color w:val="000000"/>
          <w:kern w:val="2"/>
          <w:sz w:val="24"/>
          <w:szCs w:val="24"/>
          <w:lang w:val="en-CH"/>
          <w14:ligatures w14:val="standardContextual"/>
        </w:rPr>
        <w:t xml:space="preserve"> Cohen reads those terms as preserving different relations to the heavens, so that lexical variation becomes evidence for cosmological perspective. Her interpretation of the moon works through the same logic. Giants call it </w:t>
      </w:r>
      <w:proofErr w:type="spellStart"/>
      <w:r w:rsidRPr="003631FD">
        <w:rPr>
          <w:rFonts w:ascii="Times New Roman" w:eastAsia="Aptos" w:hAnsi="Times New Roman" w:cs="Times New Roman"/>
          <w:color w:val="000000"/>
          <w:kern w:val="2"/>
          <w:sz w:val="24"/>
          <w:szCs w:val="24"/>
          <w:lang w:val="en-CH"/>
          <w14:ligatures w14:val="standardContextual"/>
        </w:rPr>
        <w:t>skyndi</w:t>
      </w:r>
      <w:proofErr w:type="spellEnd"/>
      <w:r w:rsidRPr="003631FD">
        <w:rPr>
          <w:rFonts w:ascii="Times New Roman" w:eastAsia="Aptos" w:hAnsi="Times New Roman" w:cs="Times New Roman"/>
          <w:color w:val="000000"/>
          <w:kern w:val="2"/>
          <w:sz w:val="24"/>
          <w:szCs w:val="24"/>
          <w:lang w:val="en-CH"/>
          <w14:ligatures w14:val="standardContextual"/>
        </w:rPr>
        <w:t xml:space="preserve">, “Haste,” because they are figured as “slow” and earthbound, whereas elves call it </w:t>
      </w:r>
      <w:proofErr w:type="spellStart"/>
      <w:r w:rsidRPr="003631FD">
        <w:rPr>
          <w:rFonts w:ascii="Times New Roman" w:eastAsia="Aptos" w:hAnsi="Times New Roman" w:cs="Times New Roman"/>
          <w:color w:val="000000"/>
          <w:kern w:val="2"/>
          <w:sz w:val="24"/>
          <w:szCs w:val="24"/>
          <w:lang w:val="en-CH"/>
          <w14:ligatures w14:val="standardContextual"/>
        </w:rPr>
        <w:t>ártali</w:t>
      </w:r>
      <w:proofErr w:type="spellEnd"/>
      <w:r w:rsidRPr="003631FD">
        <w:rPr>
          <w:rFonts w:ascii="Times New Roman" w:eastAsia="Aptos" w:hAnsi="Times New Roman" w:cs="Times New Roman"/>
          <w:color w:val="000000"/>
          <w:kern w:val="2"/>
          <w:sz w:val="24"/>
          <w:szCs w:val="24"/>
          <w:lang w:val="en-CH"/>
          <w14:ligatures w14:val="standardContextual"/>
        </w:rPr>
        <w:t>, “the Counter of Years,”</w:t>
      </w:r>
      <w:r w:rsidRPr="003631FD">
        <w:rPr>
          <w:rFonts w:ascii="Times New Roman" w:eastAsia="Aptos" w:hAnsi="Times New Roman" w:cs="Times New Roman"/>
          <w:color w:val="000000"/>
          <w:kern w:val="2"/>
          <w:sz w:val="24"/>
          <w:szCs w:val="24"/>
          <w:vertAlign w:val="superscript"/>
          <w:lang w:val="en-CH"/>
          <w14:ligatures w14:val="standardContextual"/>
        </w:rPr>
        <w:footnoteReference w:id="11"/>
      </w:r>
      <w:r w:rsidRPr="003631FD">
        <w:rPr>
          <w:rFonts w:ascii="Times New Roman" w:eastAsia="Aptos" w:hAnsi="Times New Roman" w:cs="Times New Roman"/>
          <w:color w:val="000000"/>
          <w:kern w:val="2"/>
          <w:sz w:val="24"/>
          <w:szCs w:val="24"/>
          <w:lang w:val="en-CH"/>
          <w14:ligatures w14:val="standardContextual"/>
        </w:rPr>
        <w:t xml:space="preserve"> which links the moon to time-reckoning and to their distinctive relation to duration. Cohen’s larger claim follows directly from that pattern of reading: the poem’s “intricate vocabulary” presents interpretations of the cosmos that “reflect the observer.” Read alongside Sigurðsson’s argument that mythological terminology could function as a “tool of memory” and that the Norse world view “hung together in the dome of the heavens,”</w:t>
      </w:r>
      <w:r w:rsidRPr="003631FD">
        <w:rPr>
          <w:rFonts w:ascii="Times New Roman" w:eastAsia="Aptos" w:hAnsi="Times New Roman" w:cs="Times New Roman"/>
          <w:color w:val="000000"/>
          <w:kern w:val="2"/>
          <w:sz w:val="24"/>
          <w:szCs w:val="24"/>
          <w:vertAlign w:val="superscript"/>
          <w:lang w:val="en-CH"/>
          <w14:ligatures w14:val="standardContextual"/>
        </w:rPr>
        <w:footnoteReference w:id="12"/>
      </w:r>
      <w:r w:rsidRPr="003631FD">
        <w:rPr>
          <w:rFonts w:ascii="Times New Roman" w:eastAsia="Aptos" w:hAnsi="Times New Roman" w:cs="Times New Roman"/>
          <w:color w:val="000000"/>
          <w:kern w:val="2"/>
          <w:sz w:val="24"/>
          <w:szCs w:val="24"/>
          <w:lang w:val="en-CH"/>
          <w14:ligatures w14:val="standardContextual"/>
        </w:rPr>
        <w:t xml:space="preserve"> Cohen’s method can be defined more precisely. It recovers, from a damaged archive, the way cosmological difference remains held in the surviving lexicon itself.</w:t>
      </w:r>
    </w:p>
    <w:p w14:paraId="3A9B533D"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Beaton addresses the question of how celestial meaning is produced by tracing how the relation between Altair and Vega is sustained across myth and festival over time.</w:t>
      </w:r>
      <w:r w:rsidRPr="003631FD">
        <w:rPr>
          <w:rFonts w:ascii="Times New Roman" w:eastAsia="Aptos" w:hAnsi="Times New Roman" w:cs="Times New Roman"/>
          <w:color w:val="000000"/>
          <w:kern w:val="2"/>
          <w:sz w:val="24"/>
          <w:szCs w:val="24"/>
          <w:vertAlign w:val="superscript"/>
          <w:lang w:val="en-CH"/>
          <w14:ligatures w14:val="standardContextual"/>
        </w:rPr>
        <w:footnoteReference w:id="13"/>
      </w:r>
      <w:r w:rsidRPr="003631FD">
        <w:rPr>
          <w:rFonts w:ascii="Times New Roman" w:eastAsia="Aptos" w:hAnsi="Times New Roman" w:cs="Times New Roman"/>
          <w:color w:val="000000"/>
          <w:kern w:val="2"/>
          <w:sz w:val="24"/>
          <w:szCs w:val="24"/>
          <w:lang w:val="en-CH"/>
          <w14:ligatures w14:val="standardContextual"/>
        </w:rPr>
        <w:t xml:space="preserve"> She calls “The Cowherd and the Weaver Girl” an “authentic sky-myth” whose narrative is “contingent upon the </w:t>
      </w:r>
      <w:r w:rsidRPr="003631FD">
        <w:rPr>
          <w:rFonts w:ascii="Times New Roman" w:eastAsia="Aptos" w:hAnsi="Times New Roman" w:cs="Times New Roman"/>
          <w:color w:val="000000"/>
          <w:kern w:val="2"/>
          <w:sz w:val="24"/>
          <w:szCs w:val="24"/>
          <w:lang w:val="en-CH"/>
          <w14:ligatures w14:val="standardContextual"/>
        </w:rPr>
        <w:lastRenderedPageBreak/>
        <w:t>celestial positions of the stars, Altair and Vega,”</w:t>
      </w:r>
      <w:r w:rsidRPr="003631FD">
        <w:rPr>
          <w:rFonts w:ascii="Times New Roman" w:eastAsia="Aptos" w:hAnsi="Times New Roman" w:cs="Times New Roman"/>
          <w:color w:val="000000"/>
          <w:kern w:val="2"/>
          <w:sz w:val="24"/>
          <w:szCs w:val="24"/>
          <w:vertAlign w:val="superscript"/>
          <w:lang w:val="en-CH"/>
          <w14:ligatures w14:val="standardContextual"/>
        </w:rPr>
        <w:footnoteReference w:id="14"/>
      </w:r>
      <w:r w:rsidRPr="003631FD">
        <w:rPr>
          <w:rFonts w:ascii="Times New Roman" w:eastAsia="Aptos" w:hAnsi="Times New Roman" w:cs="Times New Roman"/>
          <w:color w:val="000000"/>
          <w:kern w:val="2"/>
          <w:sz w:val="24"/>
          <w:szCs w:val="24"/>
          <w:lang w:val="en-CH"/>
          <w14:ligatures w14:val="standardContextual"/>
        </w:rPr>
        <w:t xml:space="preserve"> and that claim directs the paper toward the processes through which an astronomical configuration enters cultural life. In Beaton’s account, this happens through a sequence in which the visible arrangement of the stars is gradually absorbed into narrative, communal time, and skilled practice. The relation between Vega and Altair is given narrative form when the two stars are read as </w:t>
      </w:r>
      <w:proofErr w:type="spellStart"/>
      <w:r w:rsidRPr="003631FD">
        <w:rPr>
          <w:rFonts w:ascii="Times New Roman" w:eastAsia="Aptos" w:hAnsi="Times New Roman" w:cs="Times New Roman"/>
          <w:color w:val="000000"/>
          <w:kern w:val="2"/>
          <w:sz w:val="24"/>
          <w:szCs w:val="24"/>
          <w:lang w:val="en-CH"/>
          <w14:ligatures w14:val="standardContextual"/>
        </w:rPr>
        <w:t>Zhih</w:t>
      </w:r>
      <w:proofErr w:type="spellEnd"/>
      <w:r w:rsidRPr="003631FD">
        <w:rPr>
          <w:rFonts w:ascii="Times New Roman" w:eastAsia="Aptos" w:hAnsi="Times New Roman" w:cs="Times New Roman"/>
          <w:color w:val="000000"/>
          <w:kern w:val="2"/>
          <w:sz w:val="24"/>
          <w:szCs w:val="24"/>
          <w:lang w:val="en-CH"/>
          <w14:ligatures w14:val="standardContextual"/>
        </w:rPr>
        <w:t xml:space="preserve"> Nu and the cowherd, while the Milky Way becomes the “silver river” that keeps them on opposite sides of the sky and so renders their separation visible as a distance that cannot ordinarily be crossed;</w:t>
      </w:r>
      <w:r w:rsidRPr="003631FD">
        <w:rPr>
          <w:rFonts w:ascii="Times New Roman" w:eastAsia="Aptos" w:hAnsi="Times New Roman" w:cs="Times New Roman"/>
          <w:color w:val="000000"/>
          <w:kern w:val="2"/>
          <w:sz w:val="24"/>
          <w:szCs w:val="24"/>
          <w:vertAlign w:val="superscript"/>
          <w:lang w:val="en-CH"/>
          <w14:ligatures w14:val="standardContextual"/>
        </w:rPr>
        <w:footnoteReference w:id="15"/>
      </w:r>
      <w:r w:rsidRPr="003631FD">
        <w:rPr>
          <w:rFonts w:ascii="Times New Roman" w:eastAsia="Aptos" w:hAnsi="Times New Roman" w:cs="Times New Roman"/>
          <w:color w:val="000000"/>
          <w:kern w:val="2"/>
          <w:sz w:val="24"/>
          <w:szCs w:val="24"/>
          <w:lang w:val="en-CH"/>
          <w14:ligatures w14:val="standardContextual"/>
        </w:rPr>
        <w:t xml:space="preserve"> a spatial feature of the night sky is thus turned into the lovers’ distance within the story. That same relation is then fixed to the seventh night of the seventh month, so that the configuration is no longer only available to sight but is awaited and recognised within festival observance. Beaton’s description of star-gazing as “an everyday manifestation of cultural astronomy,” together with her claim that themes such as “love, weaving, and the movement of the stars” are “acknowledged and celebrated in these festivals,” shows that the act of looking is already shaped by the myth: participants are not simply observing Vega and Altair as stars, but recognising them through the story the festival recalls.</w:t>
      </w:r>
      <w:r w:rsidRPr="003631FD">
        <w:rPr>
          <w:rFonts w:ascii="Times New Roman" w:eastAsia="Aptos" w:hAnsi="Times New Roman" w:cs="Times New Roman"/>
          <w:color w:val="000000"/>
          <w:kern w:val="2"/>
          <w:sz w:val="24"/>
          <w:szCs w:val="24"/>
          <w:vertAlign w:val="superscript"/>
          <w:lang w:val="en-CH"/>
          <w14:ligatures w14:val="standardContextual"/>
        </w:rPr>
        <w:footnoteReference w:id="16"/>
      </w:r>
      <w:r w:rsidRPr="003631FD">
        <w:rPr>
          <w:rFonts w:ascii="Times New Roman" w:eastAsia="Aptos" w:hAnsi="Times New Roman" w:cs="Times New Roman"/>
          <w:color w:val="000000"/>
          <w:kern w:val="2"/>
          <w:sz w:val="24"/>
          <w:szCs w:val="24"/>
          <w:lang w:val="en-CH"/>
          <w14:ligatures w14:val="standardContextual"/>
        </w:rPr>
        <w:t xml:space="preserve"> The process extends further through weaving. Since, as Beaton writes, “the occupation that defines her, and indeed gives her name, is the activity of weaving,” </w:t>
      </w:r>
      <w:proofErr w:type="spellStart"/>
      <w:r w:rsidRPr="003631FD">
        <w:rPr>
          <w:rFonts w:ascii="Times New Roman" w:eastAsia="Aptos" w:hAnsi="Times New Roman" w:cs="Times New Roman"/>
          <w:color w:val="000000"/>
          <w:kern w:val="2"/>
          <w:sz w:val="24"/>
          <w:szCs w:val="24"/>
          <w:lang w:val="en-CH"/>
          <w14:ligatures w14:val="standardContextual"/>
        </w:rPr>
        <w:t>Zhih</w:t>
      </w:r>
      <w:proofErr w:type="spellEnd"/>
      <w:r w:rsidRPr="003631FD">
        <w:rPr>
          <w:rFonts w:ascii="Times New Roman" w:eastAsia="Aptos" w:hAnsi="Times New Roman" w:cs="Times New Roman"/>
          <w:color w:val="000000"/>
          <w:kern w:val="2"/>
          <w:sz w:val="24"/>
          <w:szCs w:val="24"/>
          <w:lang w:val="en-CH"/>
          <w14:ligatures w14:val="standardContextual"/>
        </w:rPr>
        <w:t xml:space="preserve"> Nu’s role binds textile skill to the same interpretive system as the sky, and festival custom carries that meaning into valued human action.</w:t>
      </w:r>
      <w:r w:rsidRPr="003631FD">
        <w:rPr>
          <w:rFonts w:ascii="Times New Roman" w:eastAsia="Aptos" w:hAnsi="Times New Roman" w:cs="Times New Roman"/>
          <w:color w:val="000000"/>
          <w:kern w:val="2"/>
          <w:sz w:val="24"/>
          <w:szCs w:val="24"/>
          <w:vertAlign w:val="superscript"/>
          <w:lang w:val="en-CH"/>
          <w14:ligatures w14:val="standardContextual"/>
        </w:rPr>
        <w:footnoteReference w:id="17"/>
      </w:r>
      <w:r w:rsidRPr="003631FD">
        <w:rPr>
          <w:rFonts w:ascii="Times New Roman" w:eastAsia="Aptos" w:hAnsi="Times New Roman" w:cs="Times New Roman"/>
          <w:color w:val="000000"/>
          <w:kern w:val="2"/>
          <w:sz w:val="24"/>
          <w:szCs w:val="24"/>
          <w:lang w:val="en-CH"/>
          <w14:ligatures w14:val="standardContextual"/>
        </w:rPr>
        <w:t xml:space="preserve"> Her phrase “kind of virtuous circle,” in which “the festivals flourish because of the myth, and the myth’s authority is enhanced by its position as backstory to the festivals,” identifies the relation holding these stages together.</w:t>
      </w:r>
      <w:r w:rsidRPr="003631FD">
        <w:rPr>
          <w:rFonts w:ascii="Times New Roman" w:eastAsia="Aptos" w:hAnsi="Times New Roman" w:cs="Times New Roman"/>
          <w:color w:val="000000"/>
          <w:kern w:val="2"/>
          <w:sz w:val="24"/>
          <w:szCs w:val="24"/>
          <w:vertAlign w:val="superscript"/>
          <w:lang w:val="en-CH"/>
          <w14:ligatures w14:val="standardContextual"/>
        </w:rPr>
        <w:t xml:space="preserve"> </w:t>
      </w:r>
      <w:r w:rsidRPr="003631FD">
        <w:rPr>
          <w:rFonts w:ascii="Times New Roman" w:eastAsia="Aptos" w:hAnsi="Times New Roman" w:cs="Times New Roman"/>
          <w:color w:val="000000"/>
          <w:kern w:val="2"/>
          <w:sz w:val="24"/>
          <w:szCs w:val="24"/>
          <w:vertAlign w:val="superscript"/>
          <w:lang w:val="en-CH"/>
          <w14:ligatures w14:val="standardContextual"/>
        </w:rPr>
        <w:footnoteReference w:id="18"/>
      </w:r>
      <w:r w:rsidRPr="003631FD">
        <w:rPr>
          <w:rFonts w:ascii="Times New Roman" w:eastAsia="Aptos" w:hAnsi="Times New Roman" w:cs="Times New Roman"/>
          <w:color w:val="000000"/>
          <w:kern w:val="2"/>
          <w:sz w:val="24"/>
          <w:szCs w:val="24"/>
          <w:lang w:val="en-CH"/>
          <w14:ligatures w14:val="standardContextual"/>
        </w:rPr>
        <w:t xml:space="preserve">  The myth assigns significance to the stars, the festival returns that significance to the same date each year, and weaving preserves it in practice. Celestial meaning, in her paper, is produced through that repeated movement by which a configuration in the sky becomes a story, a calendrical event, and a skilled social act.</w:t>
      </w:r>
    </w:p>
    <w:p w14:paraId="73D52991"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 xml:space="preserve">Once each author’s method is clear, Cohen’s paper helps locate more precisely the stage at which Beaton encounters celestial meaning. Earlier in this section, Cohen’s readings of </w:t>
      </w:r>
      <w:proofErr w:type="spellStart"/>
      <w:r w:rsidRPr="003631FD">
        <w:rPr>
          <w:rFonts w:ascii="Times New Roman" w:eastAsia="Aptos" w:hAnsi="Times New Roman" w:cs="Times New Roman"/>
          <w:color w:val="000000"/>
          <w:kern w:val="2"/>
          <w:sz w:val="24"/>
          <w:szCs w:val="24"/>
          <w:lang w:val="en-CH"/>
          <w14:ligatures w14:val="standardContextual"/>
        </w:rPr>
        <w:t>hlýrnir</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uppheim</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drjúpansal</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skyndi</w:t>
      </w:r>
      <w:proofErr w:type="spellEnd"/>
      <w:r w:rsidRPr="003631FD">
        <w:rPr>
          <w:rFonts w:ascii="Times New Roman" w:eastAsia="Aptos" w:hAnsi="Times New Roman" w:cs="Times New Roman"/>
          <w:color w:val="000000"/>
          <w:kern w:val="2"/>
          <w:sz w:val="24"/>
          <w:szCs w:val="24"/>
          <w:lang w:val="en-CH"/>
          <w14:ligatures w14:val="standardContextual"/>
        </w:rPr>
        <w:t xml:space="preserve">, and </w:t>
      </w:r>
      <w:proofErr w:type="spellStart"/>
      <w:r w:rsidRPr="003631FD">
        <w:rPr>
          <w:rFonts w:ascii="Times New Roman" w:eastAsia="Aptos" w:hAnsi="Times New Roman" w:cs="Times New Roman"/>
          <w:color w:val="000000"/>
          <w:kern w:val="2"/>
          <w:sz w:val="24"/>
          <w:szCs w:val="24"/>
          <w:lang w:val="en-CH"/>
          <w14:ligatures w14:val="standardContextual"/>
        </w:rPr>
        <w:t>ártali</w:t>
      </w:r>
      <w:proofErr w:type="spellEnd"/>
      <w:r w:rsidRPr="003631FD">
        <w:rPr>
          <w:rFonts w:ascii="Times New Roman" w:eastAsia="Aptos" w:hAnsi="Times New Roman" w:cs="Times New Roman"/>
          <w:color w:val="000000"/>
          <w:kern w:val="2"/>
          <w:sz w:val="24"/>
          <w:szCs w:val="24"/>
          <w:lang w:val="en-CH"/>
          <w14:ligatures w14:val="standardContextual"/>
        </w:rPr>
        <w:t xml:space="preserve"> showed celestial meaning still held at the level of naming. The sky appears to gods as “the arched vault of heaven,” to giants as the distant “world up there,” and to dwarves as the “dripping hall,” while the moon appears to giants as “Haste” and to elves as “the Counter of Years.” Pankenier’s reading of the “Book of Odes” is useful here because it brings into view an earlier stage of the process that Beaton later follows through myth and festival. In his account, Vega and Altair are already being read through labour as the Weaving Maid who “does not complete any woven pattern” and the Draught Ox that “one does not yoke … to any carriage.”</w:t>
      </w:r>
      <w:r w:rsidRPr="003631FD">
        <w:rPr>
          <w:rFonts w:ascii="Times New Roman" w:eastAsia="Aptos" w:hAnsi="Times New Roman" w:cs="Times New Roman"/>
          <w:color w:val="000000"/>
          <w:kern w:val="2"/>
          <w:sz w:val="24"/>
          <w:szCs w:val="24"/>
          <w:vertAlign w:val="superscript"/>
          <w:lang w:val="en-CH"/>
          <w14:ligatures w14:val="standardContextual"/>
        </w:rPr>
        <w:footnoteReference w:id="19"/>
      </w:r>
      <w:r w:rsidRPr="003631FD">
        <w:rPr>
          <w:rFonts w:ascii="Times New Roman" w:eastAsia="Aptos" w:hAnsi="Times New Roman" w:cs="Times New Roman"/>
          <w:color w:val="000000"/>
          <w:kern w:val="2"/>
          <w:sz w:val="24"/>
          <w:szCs w:val="24"/>
          <w:lang w:val="en-CH"/>
          <w14:ligatures w14:val="standardContextual"/>
        </w:rPr>
        <w:t xml:space="preserve"> That earlier pairing matters because it places Beaton’s paper after </w:t>
      </w:r>
      <w:r w:rsidRPr="003631FD">
        <w:rPr>
          <w:rFonts w:ascii="Times New Roman" w:eastAsia="Aptos" w:hAnsi="Times New Roman" w:cs="Times New Roman"/>
          <w:color w:val="000000"/>
          <w:kern w:val="2"/>
          <w:sz w:val="24"/>
          <w:szCs w:val="24"/>
          <w:lang w:val="en-CH"/>
          <w14:ligatures w14:val="standardContextual"/>
        </w:rPr>
        <w:lastRenderedPageBreak/>
        <w:t xml:space="preserve">celestial meaning has already passed beyond designation and into socially recognisable forms of work. What matters for Beaton is that the stars are already being made culturally legible through labour, before that relation gathers the fuller narrative and ritual forms her paper traces. Weaving no longer sits beside Vega as a compressed designation, because “the occupation that defines her, and indeed gives her </w:t>
      </w:r>
      <w:proofErr w:type="spellStart"/>
      <w:r w:rsidRPr="003631FD">
        <w:rPr>
          <w:rFonts w:ascii="Times New Roman" w:eastAsia="Aptos" w:hAnsi="Times New Roman" w:cs="Times New Roman"/>
          <w:color w:val="000000"/>
          <w:kern w:val="2"/>
          <w:sz w:val="24"/>
          <w:szCs w:val="24"/>
          <w:lang w:val="en-CH"/>
          <w14:ligatures w14:val="standardContextual"/>
        </w:rPr>
        <w:t>her</w:t>
      </w:r>
      <w:proofErr w:type="spellEnd"/>
      <w:r w:rsidRPr="003631FD">
        <w:rPr>
          <w:rFonts w:ascii="Times New Roman" w:eastAsia="Aptos" w:hAnsi="Times New Roman" w:cs="Times New Roman"/>
          <w:color w:val="000000"/>
          <w:kern w:val="2"/>
          <w:sz w:val="24"/>
          <w:szCs w:val="24"/>
          <w:lang w:val="en-CH"/>
          <w14:ligatures w14:val="standardContextual"/>
        </w:rPr>
        <w:t xml:space="preserve"> name, is the activity of weaving;”</w:t>
      </w:r>
      <w:r w:rsidRPr="003631FD">
        <w:rPr>
          <w:rFonts w:ascii="Times New Roman" w:eastAsia="Aptos" w:hAnsi="Times New Roman" w:cs="Times New Roman"/>
          <w:color w:val="000000"/>
          <w:kern w:val="2"/>
          <w:sz w:val="24"/>
          <w:szCs w:val="24"/>
          <w:vertAlign w:val="superscript"/>
          <w:lang w:val="en-CH"/>
          <w14:ligatures w14:val="standardContextual"/>
        </w:rPr>
        <w:footnoteReference w:id="20"/>
      </w:r>
      <w:r w:rsidRPr="003631FD">
        <w:rPr>
          <w:rFonts w:ascii="Times New Roman" w:eastAsia="Aptos" w:hAnsi="Times New Roman" w:cs="Times New Roman"/>
          <w:color w:val="000000"/>
          <w:kern w:val="2"/>
          <w:sz w:val="24"/>
          <w:szCs w:val="24"/>
          <w:lang w:val="en-CH"/>
          <w14:ligatures w14:val="standardContextual"/>
        </w:rPr>
        <w:t xml:space="preserve"> it becomes </w:t>
      </w:r>
      <w:proofErr w:type="spellStart"/>
      <w:r w:rsidRPr="003631FD">
        <w:rPr>
          <w:rFonts w:ascii="Times New Roman" w:eastAsia="Aptos" w:hAnsi="Times New Roman" w:cs="Times New Roman"/>
          <w:color w:val="000000"/>
          <w:kern w:val="2"/>
          <w:sz w:val="24"/>
          <w:szCs w:val="24"/>
          <w:lang w:val="en-CH"/>
          <w14:ligatures w14:val="standardContextual"/>
        </w:rPr>
        <w:t>Zhih</w:t>
      </w:r>
      <w:proofErr w:type="spellEnd"/>
      <w:r w:rsidRPr="003631FD">
        <w:rPr>
          <w:rFonts w:ascii="Times New Roman" w:eastAsia="Aptos" w:hAnsi="Times New Roman" w:cs="Times New Roman"/>
          <w:color w:val="000000"/>
          <w:kern w:val="2"/>
          <w:sz w:val="24"/>
          <w:szCs w:val="24"/>
          <w:lang w:val="en-CH"/>
          <w14:ligatures w14:val="standardContextual"/>
        </w:rPr>
        <w:t xml:space="preserve"> Nu’s identity, enters the logic of the myth, and reappears in festival practice as a skill that can be desired, displayed, and repeated. What earlier material still holds as a visible feature of the heavens becomes, in Beaton, the “silver river” that gives separation and reunion their narrative force.</w:t>
      </w:r>
      <w:r w:rsidRPr="003631FD">
        <w:rPr>
          <w:rFonts w:ascii="Times New Roman" w:eastAsia="Aptos" w:hAnsi="Times New Roman" w:cs="Times New Roman"/>
          <w:color w:val="000000"/>
          <w:kern w:val="2"/>
          <w:sz w:val="24"/>
          <w:szCs w:val="24"/>
          <w:vertAlign w:val="superscript"/>
          <w:lang w:val="en-CH"/>
          <w14:ligatures w14:val="standardContextual"/>
        </w:rPr>
        <w:footnoteReference w:id="21"/>
      </w:r>
      <w:r w:rsidRPr="003631FD">
        <w:rPr>
          <w:rFonts w:ascii="Times New Roman" w:eastAsia="Aptos" w:hAnsi="Times New Roman" w:cs="Times New Roman"/>
          <w:color w:val="000000"/>
          <w:kern w:val="2"/>
          <w:sz w:val="24"/>
          <w:szCs w:val="24"/>
          <w:lang w:val="en-CH"/>
          <w14:ligatures w14:val="standardContextual"/>
        </w:rPr>
        <w:t xml:space="preserve"> The seventh night of the seventh month fixes that relation in communal time, while star-gazing, described by Beaton as “an everyday manifestation of cultural astronomy,” turns observation into a culturally instructed act. Cohen’s lexical field, Pankenier’s labouring figures, and Beaton’s festival materials mark successive stages in the process by which celestial meaning passes from designation into narrative and observance.</w:t>
      </w:r>
    </w:p>
    <w:p w14:paraId="53A89AC8"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GB"/>
          <w14:ligatures w14:val="standardContextual"/>
        </w:rPr>
      </w:pPr>
      <w:r w:rsidRPr="003631FD">
        <w:rPr>
          <w:rFonts w:ascii="Times New Roman" w:eastAsia="Aptos" w:hAnsi="Times New Roman" w:cs="Times New Roman"/>
          <w:color w:val="000000"/>
          <w:kern w:val="2"/>
          <w:sz w:val="24"/>
          <w:szCs w:val="24"/>
          <w:lang w:val="en-CH"/>
          <w14:ligatures w14:val="standardContextual"/>
        </w:rPr>
        <w:t xml:space="preserve">Cohen can recover the internal ordering of a cosmology with precision because her evidence still preserves standpoint in verbal form, as </w:t>
      </w:r>
      <w:proofErr w:type="spellStart"/>
      <w:r w:rsidRPr="003631FD">
        <w:rPr>
          <w:rFonts w:ascii="Times New Roman" w:eastAsia="Aptos" w:hAnsi="Times New Roman" w:cs="Times New Roman"/>
          <w:color w:val="000000"/>
          <w:kern w:val="2"/>
          <w:sz w:val="24"/>
          <w:szCs w:val="24"/>
          <w:lang w:val="en-CH"/>
          <w14:ligatures w14:val="standardContextual"/>
        </w:rPr>
        <w:t>hlýrnir</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uppheim</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drjúpansal</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skyndi</w:t>
      </w:r>
      <w:proofErr w:type="spellEnd"/>
      <w:r w:rsidRPr="003631FD">
        <w:rPr>
          <w:rFonts w:ascii="Times New Roman" w:eastAsia="Aptos" w:hAnsi="Times New Roman" w:cs="Times New Roman"/>
          <w:color w:val="000000"/>
          <w:kern w:val="2"/>
          <w:sz w:val="24"/>
          <w:szCs w:val="24"/>
          <w:lang w:val="en-CH"/>
          <w14:ligatures w14:val="standardContextual"/>
        </w:rPr>
        <w:t xml:space="preserve">, and </w:t>
      </w:r>
      <w:proofErr w:type="spellStart"/>
      <w:r w:rsidRPr="003631FD">
        <w:rPr>
          <w:rFonts w:ascii="Times New Roman" w:eastAsia="Aptos" w:hAnsi="Times New Roman" w:cs="Times New Roman"/>
          <w:color w:val="000000"/>
          <w:kern w:val="2"/>
          <w:sz w:val="24"/>
          <w:szCs w:val="24"/>
          <w:lang w:val="en-CH"/>
          <w14:ligatures w14:val="standardContextual"/>
        </w:rPr>
        <w:t>ártali</w:t>
      </w:r>
      <w:proofErr w:type="spellEnd"/>
      <w:r w:rsidRPr="003631FD">
        <w:rPr>
          <w:rFonts w:ascii="Times New Roman" w:eastAsia="Aptos" w:hAnsi="Times New Roman" w:cs="Times New Roman"/>
          <w:color w:val="000000"/>
          <w:kern w:val="2"/>
          <w:sz w:val="24"/>
          <w:szCs w:val="24"/>
          <w:lang w:val="en-CH"/>
          <w14:ligatures w14:val="standardContextual"/>
        </w:rPr>
        <w:t xml:space="preserve"> continue to hold divine, giant, dwarf, and elvish relations to the heavens within the language itself. Beaton works after that stage, where celestial meaning comes into view through the continued circulation of a stellar relation across story, date, and practice. </w:t>
      </w:r>
      <w:proofErr w:type="spellStart"/>
      <w:r w:rsidRPr="003631FD">
        <w:rPr>
          <w:rFonts w:ascii="Times New Roman" w:eastAsia="Aptos" w:hAnsi="Times New Roman" w:cs="Times New Roman"/>
          <w:color w:val="000000"/>
          <w:kern w:val="2"/>
          <w:sz w:val="24"/>
          <w:szCs w:val="24"/>
          <w:lang w:val="en-CH"/>
          <w14:ligatures w14:val="standardContextual"/>
        </w:rPr>
        <w:t>Zhih</w:t>
      </w:r>
      <w:proofErr w:type="spellEnd"/>
      <w:r w:rsidRPr="003631FD">
        <w:rPr>
          <w:rFonts w:ascii="Times New Roman" w:eastAsia="Aptos" w:hAnsi="Times New Roman" w:cs="Times New Roman"/>
          <w:color w:val="000000"/>
          <w:kern w:val="2"/>
          <w:sz w:val="24"/>
          <w:szCs w:val="24"/>
          <w:lang w:val="en-CH"/>
          <w14:ligatures w14:val="standardContextual"/>
        </w:rPr>
        <w:t xml:space="preserve"> Nu and the cowherd, the silver river, the seventh night, </w:t>
      </w:r>
      <w:proofErr w:type="gramStart"/>
      <w:r w:rsidRPr="003631FD">
        <w:rPr>
          <w:rFonts w:ascii="Times New Roman" w:eastAsia="Aptos" w:hAnsi="Times New Roman" w:cs="Times New Roman"/>
          <w:color w:val="000000"/>
          <w:kern w:val="2"/>
          <w:sz w:val="24"/>
          <w:szCs w:val="24"/>
          <w:lang w:val="en-CH"/>
          <w14:ligatures w14:val="standardContextual"/>
        </w:rPr>
        <w:t>star-gazing</w:t>
      </w:r>
      <w:proofErr w:type="gramEnd"/>
      <w:r w:rsidRPr="003631FD">
        <w:rPr>
          <w:rFonts w:ascii="Times New Roman" w:eastAsia="Aptos" w:hAnsi="Times New Roman" w:cs="Times New Roman"/>
          <w:color w:val="000000"/>
          <w:kern w:val="2"/>
          <w:sz w:val="24"/>
          <w:szCs w:val="24"/>
          <w:lang w:val="en-CH"/>
          <w14:ligatures w14:val="standardContextual"/>
        </w:rPr>
        <w:t>, and weaving allow her to trace the public life of celestial meaning once interpretation has entered social repetition, a dimension Cohen’s poem cannot preserve with the same fullness. Cohen keeps interpretation compressed in designation, while Beaton follows it into recurrence, observance, and skilled practice. Brady’s “cultural ‘glue’” remains the common frame because both papers are concerned with the bond between visible pattern and cultural form, though they recover it from different surviving forms, Cohen from names that still hold a point of view, Beaton from observances that continue to keep Altair and Vega meaningful within communal life. With this, the next question is how much each archive can still preserve, and where that continuity begins to fray.</w:t>
      </w:r>
    </w:p>
    <w:p w14:paraId="0646D548" w14:textId="77777777" w:rsidR="003631FD" w:rsidRPr="003631FD" w:rsidRDefault="003631FD" w:rsidP="003631FD">
      <w:pPr>
        <w:keepNext/>
        <w:keepLines/>
        <w:spacing w:before="160" w:after="80" w:line="278" w:lineRule="auto"/>
        <w:outlineLvl w:val="1"/>
        <w:rPr>
          <w:rFonts w:ascii="Times New Roman" w:eastAsia="Times New Roman" w:hAnsi="Times New Roman" w:cs="Times New Roman"/>
          <w:color w:val="000000"/>
          <w:kern w:val="2"/>
          <w:sz w:val="32"/>
          <w:szCs w:val="32"/>
          <w:lang w:val="en-CH"/>
          <w14:ligatures w14:val="standardContextual"/>
        </w:rPr>
      </w:pPr>
      <w:r w:rsidRPr="003631FD">
        <w:rPr>
          <w:rFonts w:ascii="Times New Roman" w:eastAsia="Times New Roman" w:hAnsi="Times New Roman" w:cs="Times New Roman"/>
          <w:color w:val="000000"/>
          <w:kern w:val="2"/>
          <w:sz w:val="32"/>
          <w:szCs w:val="32"/>
          <w:lang w:val="en-CH"/>
          <w14:ligatures w14:val="standardContextual"/>
        </w:rPr>
        <w:t>Navigating Fragility and Loss</w:t>
      </w:r>
    </w:p>
    <w:p w14:paraId="6670F0D6"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Brady’s discussion of fragility names another problem that frames both papers. Once sky story is understood as a relation between celestial movement and cultural meaning, loss no longer refers only to disappearance. A story may continue in circulation while the knowledge that once held it to the sky falls away. Brady describes that process in direct terms: a story’s “original meaning can be lost,” and it may become “increasingly obscure or even absurd to the new listener’s ear.”</w:t>
      </w:r>
      <w:r w:rsidRPr="003631FD">
        <w:rPr>
          <w:rFonts w:ascii="Times New Roman" w:eastAsia="Aptos" w:hAnsi="Times New Roman" w:cs="Times New Roman"/>
          <w:color w:val="000000"/>
          <w:kern w:val="2"/>
          <w:sz w:val="24"/>
          <w:szCs w:val="24"/>
          <w:vertAlign w:val="superscript"/>
          <w:lang w:val="en-CH"/>
          <w14:ligatures w14:val="standardContextual"/>
        </w:rPr>
        <w:footnoteReference w:id="22"/>
      </w:r>
      <w:r w:rsidRPr="003631FD">
        <w:rPr>
          <w:rFonts w:ascii="Times New Roman" w:eastAsia="Aptos" w:hAnsi="Times New Roman" w:cs="Times New Roman"/>
          <w:color w:val="000000"/>
          <w:kern w:val="2"/>
          <w:sz w:val="24"/>
          <w:szCs w:val="24"/>
          <w:lang w:val="en-CH"/>
          <w14:ligatures w14:val="standardContextual"/>
        </w:rPr>
        <w:t xml:space="preserve"> Placed within the dominant modern image of the heavens as celestial sphere, globe of constellations, or orrery-like solar system, the stories can appear as unrecognisable nonsense </w:t>
      </w:r>
      <w:r w:rsidRPr="003631FD">
        <w:rPr>
          <w:rFonts w:ascii="Times New Roman" w:eastAsia="Aptos" w:hAnsi="Times New Roman" w:cs="Times New Roman"/>
          <w:color w:val="000000"/>
          <w:kern w:val="2"/>
          <w:sz w:val="24"/>
          <w:szCs w:val="24"/>
          <w:lang w:val="en-CH"/>
          <w14:ligatures w14:val="standardContextual"/>
        </w:rPr>
        <w:lastRenderedPageBreak/>
        <w:t>because the patterned sky of naked-eye observation no longer functions as its interpretive ground. Fragility therefore touches both knowledge and the world the story presupposes. It appears epistemologically in the loss of the frame that once made the story legible, and ontologically in the disappearance of the sky that once made it possible as a lived relation of movement, seasonality, divinity, and social meaning. Both papers turn to material marked by uneven transmission, though each identifies a different place where celestial meaning remains held.</w:t>
      </w:r>
    </w:p>
    <w:p w14:paraId="15D43F1A"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Cohen locates that durability in names. Her analysis of “Alvíssmál” matters in an Old Norse context because the wider sky-world survives in a damaged and uneven archive. Christian Etheridge, writing on the evidentiary problems of Old Norse astronomy, shows why this matters: almost nothing written survives from pre-Christian Scandinavia apart from runic material; the fuller Scandinavian sources are late and Christian-period; and the remaining evidence has to be assembled from poetry, prose, language, archaeology, and folklore.</w:t>
      </w:r>
      <w:r w:rsidRPr="003631FD">
        <w:rPr>
          <w:rFonts w:ascii="Times New Roman" w:eastAsia="Aptos" w:hAnsi="Times New Roman" w:cs="Times New Roman"/>
          <w:color w:val="000000"/>
          <w:kern w:val="2"/>
          <w:sz w:val="24"/>
          <w:szCs w:val="24"/>
          <w:vertAlign w:val="superscript"/>
          <w:lang w:val="en-CH"/>
          <w14:ligatures w14:val="standardContextual"/>
        </w:rPr>
        <w:footnoteReference w:id="23"/>
      </w:r>
      <w:r w:rsidRPr="003631FD">
        <w:rPr>
          <w:rFonts w:ascii="Times New Roman" w:eastAsia="Aptos" w:hAnsi="Times New Roman" w:cs="Times New Roman"/>
          <w:color w:val="000000"/>
          <w:kern w:val="2"/>
          <w:sz w:val="24"/>
          <w:szCs w:val="24"/>
          <w:lang w:val="en-CH"/>
          <w14:ligatures w14:val="standardContextual"/>
        </w:rPr>
        <w:t xml:space="preserve"> In that setting, Cohen’s decision to work closely with one poem has clearer reasoning because “Alvíssmál” preserves a tightly patterned celestial vocabulary through which differences of world, status, and environment remain readable. Brady’s summary captures the point when she writes that celestial features in Old Norse shift according to the “cultural and environmental needs” of “the individual, elf or dwarf, god or giant.”</w:t>
      </w:r>
      <w:r w:rsidRPr="003631FD">
        <w:rPr>
          <w:rFonts w:ascii="Times New Roman" w:eastAsia="Aptos" w:hAnsi="Times New Roman" w:cs="Times New Roman"/>
          <w:color w:val="000000"/>
          <w:kern w:val="2"/>
          <w:sz w:val="24"/>
          <w:szCs w:val="24"/>
          <w:vertAlign w:val="superscript"/>
          <w:lang w:val="en-CH"/>
          <w14:ligatures w14:val="standardContextual"/>
        </w:rPr>
        <w:footnoteReference w:id="24"/>
      </w:r>
      <w:r w:rsidRPr="003631FD">
        <w:rPr>
          <w:rFonts w:ascii="Times New Roman" w:eastAsia="Aptos" w:hAnsi="Times New Roman" w:cs="Times New Roman"/>
          <w:color w:val="000000"/>
          <w:kern w:val="2"/>
          <w:sz w:val="24"/>
          <w:szCs w:val="24"/>
          <w:lang w:val="en-CH"/>
          <w14:ligatures w14:val="standardContextual"/>
        </w:rPr>
        <w:t xml:space="preserve"> When the sky appears as an “unwavering vault,” a “tall house,” or a “dripping hall,” the same celestial feature is being grasped through different modes of dwelling. Height, scale, enclosure, dampness, and interiority enter the heavens through the language used to name them. Gísli Sigurðsson’s work on older Icelandic sky-terms helps show the larger Norse pattern within which Cohen’s reading sits. In his account of “</w:t>
      </w:r>
      <w:proofErr w:type="spellStart"/>
      <w:r w:rsidRPr="003631FD">
        <w:rPr>
          <w:rFonts w:ascii="Times New Roman" w:eastAsia="Aptos" w:hAnsi="Times New Roman" w:cs="Times New Roman"/>
          <w:color w:val="000000"/>
          <w:kern w:val="2"/>
          <w:sz w:val="24"/>
          <w:szCs w:val="24"/>
          <w:lang w:val="en-CH"/>
          <w14:ligatures w14:val="standardContextual"/>
        </w:rPr>
        <w:t>Gylfaginning</w:t>
      </w:r>
      <w:proofErr w:type="spellEnd"/>
      <w:r w:rsidRPr="003631FD">
        <w:rPr>
          <w:rFonts w:ascii="Times New Roman" w:eastAsia="Aptos" w:hAnsi="Times New Roman" w:cs="Times New Roman"/>
          <w:color w:val="000000"/>
          <w:kern w:val="2"/>
          <w:sz w:val="24"/>
          <w:szCs w:val="24"/>
          <w:lang w:val="en-CH"/>
          <w14:ligatures w14:val="standardContextual"/>
        </w:rPr>
        <w:t>,” the heavens are structured, inhabited, and active: the sky is made from Ymir’s skull, Sun and Moon are raised to the heavens “as can be seen from earth,” wolves run before and after them, Bifröst is “in the sky,” and Yggdrasill stretches above it.</w:t>
      </w:r>
      <w:r w:rsidRPr="003631FD">
        <w:rPr>
          <w:rFonts w:ascii="Times New Roman" w:eastAsia="Aptos" w:hAnsi="Times New Roman" w:cs="Times New Roman"/>
          <w:color w:val="000000"/>
          <w:kern w:val="2"/>
          <w:sz w:val="24"/>
          <w:szCs w:val="24"/>
          <w:vertAlign w:val="superscript"/>
          <w:lang w:val="en-CH"/>
          <w14:ligatures w14:val="standardContextual"/>
        </w:rPr>
        <w:footnoteReference w:id="25"/>
      </w:r>
      <w:r w:rsidRPr="003631FD">
        <w:rPr>
          <w:rFonts w:ascii="Times New Roman" w:eastAsia="Aptos" w:hAnsi="Times New Roman" w:cs="Times New Roman"/>
          <w:color w:val="000000"/>
          <w:kern w:val="2"/>
          <w:sz w:val="24"/>
          <w:szCs w:val="24"/>
          <w:lang w:val="en-CH"/>
          <w14:ligatures w14:val="standardContextual"/>
        </w:rPr>
        <w:t xml:space="preserve"> His claim that “the whole mythological system or world view hung together in the dome of the heavens” gives a wider frame for what Cohen recovers in miniature inside “Alvíssmál.” Her analysis shows that even after the broader cosmological frame has thinned, names can still preserve enough of that world for celestial meaning to remain readable.</w:t>
      </w:r>
    </w:p>
    <w:p w14:paraId="0A857781"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 xml:space="preserve">Beaton locates durability in recurrence. In her paper, the relation between Altair and Vega remains culturally legible because it continues to return in forms that gather stars, story, and observance together. The historical depth of that process appears in the longer Weaving Maid and Oxherd tradition. David Pankenier’s reconstruction shows that Vega and Altair “have been identified with the stars for over three thousand years,” and that their “centuries-long intimate association” “survived, albeit in a new guise” after their earlier astronomical setting had </w:t>
      </w:r>
      <w:r w:rsidRPr="003631FD">
        <w:rPr>
          <w:rFonts w:ascii="Times New Roman" w:eastAsia="Aptos" w:hAnsi="Times New Roman" w:cs="Times New Roman"/>
          <w:color w:val="000000"/>
          <w:kern w:val="2"/>
          <w:sz w:val="24"/>
          <w:szCs w:val="24"/>
          <w:lang w:val="en-CH"/>
          <w14:ligatures w14:val="standardContextual"/>
        </w:rPr>
        <w:lastRenderedPageBreak/>
        <w:t>shifted.</w:t>
      </w:r>
      <w:r w:rsidRPr="003631FD">
        <w:rPr>
          <w:rFonts w:ascii="Times New Roman" w:eastAsia="Aptos" w:hAnsi="Times New Roman" w:cs="Times New Roman"/>
          <w:color w:val="000000"/>
          <w:kern w:val="2"/>
          <w:sz w:val="24"/>
          <w:szCs w:val="24"/>
          <w:vertAlign w:val="superscript"/>
          <w:lang w:val="en-CH"/>
          <w14:ligatures w14:val="standardContextual"/>
        </w:rPr>
        <w:footnoteReference w:id="26"/>
      </w:r>
      <w:r w:rsidRPr="003631FD">
        <w:rPr>
          <w:rFonts w:ascii="Times New Roman" w:eastAsia="Aptos" w:hAnsi="Times New Roman" w:cs="Times New Roman"/>
          <w:color w:val="000000"/>
          <w:kern w:val="2"/>
          <w:sz w:val="24"/>
          <w:szCs w:val="24"/>
          <w:lang w:val="en-CH"/>
          <w14:ligatures w14:val="standardContextual"/>
        </w:rPr>
        <w:t xml:space="preserve"> For Beaton, that longer history matters because it shows a stellar relation continuing to carry meaning across altered historical conditions. Her analysis follows that continuity into the present. By extending the paper beyond textual and historical material into a small research enquiry among English-speaking Chinese and Japanese participants, together with observations from London Qixi and Tanabata events, she asks where the relation between Altair and Vega still holds in lived cultural life and where it has begun to thin. Her findings are uneven, with festival recognition remaining comparatively strong and the astronomical background still widely understood, while narrative detail and the textile dimension are recalled less consistently.</w:t>
      </w:r>
      <w:r w:rsidRPr="003631FD">
        <w:rPr>
          <w:rFonts w:ascii="Times New Roman" w:eastAsia="Aptos" w:hAnsi="Times New Roman" w:cs="Times New Roman"/>
          <w:color w:val="000000"/>
          <w:kern w:val="2"/>
          <w:sz w:val="24"/>
          <w:szCs w:val="24"/>
          <w:vertAlign w:val="superscript"/>
          <w:lang w:val="en-CH"/>
          <w14:ligatures w14:val="standardContextual"/>
        </w:rPr>
        <w:footnoteReference w:id="27"/>
      </w:r>
      <w:r w:rsidRPr="003631FD">
        <w:rPr>
          <w:rFonts w:ascii="Times New Roman" w:eastAsia="Aptos" w:hAnsi="Times New Roman" w:cs="Times New Roman"/>
          <w:color w:val="000000"/>
          <w:kern w:val="2"/>
          <w:sz w:val="24"/>
          <w:szCs w:val="24"/>
          <w:lang w:val="en-CH"/>
          <w14:ligatures w14:val="standardContextual"/>
        </w:rPr>
        <w:t xml:space="preserve"> In her paper, fragility appears within the relation itself, in the differing force with which its layers are retained, while the relation between stars, lovers’ reunion, and observance remains active.</w:t>
      </w:r>
    </w:p>
    <w:p w14:paraId="3D464609"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Weaving gives Beaton’s argument its clearest point. In the material she traces, weaving is carried as an activity still tied to the festival itself. Brady notes that Qixi and Tanabata remain focused on “the myth of weaving the heavens” and that gifts are offered to the sky for greater weaving skills. It marks one of the myth’s strongest lines of continuity. The relation between Altair, Vega, and the festival remains present in a skilled act that can still be timed, desired, and practiced. Alan Miller’s work on the heavenly weaving maiden in early Japanese ritual helps give historical shape to that point. His discussion of Tanabata’s seventh-day, seventh-month placement and of weaving as ritual practice clarifies how a festival can preserve meaning through a repeated, calendrically ordered act. In Beaton’s archive, weaving keeps the stellar relation inside cultural life at the level of labour and skill, not only at the level of story. That is where her paper answers Brady’s problem of loss most strongly: one of the myth’s central relations continues to be enacted, so celestial meaning remains socially legible through observance as well as memory.</w:t>
      </w:r>
    </w:p>
    <w:p w14:paraId="4BF9AD9F"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 xml:space="preserve">Cohen’s archive brings one form of fragility into view, and Beaton helps define what is fragile about it. In “Alvíssmál,” names such as </w:t>
      </w:r>
      <w:proofErr w:type="spellStart"/>
      <w:r w:rsidRPr="003631FD">
        <w:rPr>
          <w:rFonts w:ascii="Times New Roman" w:eastAsia="Aptos" w:hAnsi="Times New Roman" w:cs="Times New Roman"/>
          <w:color w:val="000000"/>
          <w:kern w:val="2"/>
          <w:sz w:val="24"/>
          <w:szCs w:val="24"/>
          <w:lang w:val="en-CH"/>
          <w14:ligatures w14:val="standardContextual"/>
        </w:rPr>
        <w:t>hlýrnir</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uppheim</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drjúpansal</w:t>
      </w:r>
      <w:proofErr w:type="spellEnd"/>
      <w:r w:rsidRPr="003631FD">
        <w:rPr>
          <w:rFonts w:ascii="Times New Roman" w:eastAsia="Aptos" w:hAnsi="Times New Roman" w:cs="Times New Roman"/>
          <w:color w:val="000000"/>
          <w:kern w:val="2"/>
          <w:sz w:val="24"/>
          <w:szCs w:val="24"/>
          <w:lang w:val="en-CH"/>
          <w14:ligatures w14:val="standardContextual"/>
        </w:rPr>
        <w:t xml:space="preserve">, </w:t>
      </w:r>
      <w:proofErr w:type="spellStart"/>
      <w:r w:rsidRPr="003631FD">
        <w:rPr>
          <w:rFonts w:ascii="Times New Roman" w:eastAsia="Aptos" w:hAnsi="Times New Roman" w:cs="Times New Roman"/>
          <w:color w:val="000000"/>
          <w:kern w:val="2"/>
          <w:sz w:val="24"/>
          <w:szCs w:val="24"/>
          <w:lang w:val="en-CH"/>
          <w14:ligatures w14:val="standardContextual"/>
        </w:rPr>
        <w:t>skyndi</w:t>
      </w:r>
      <w:proofErr w:type="spellEnd"/>
      <w:r w:rsidRPr="003631FD">
        <w:rPr>
          <w:rFonts w:ascii="Times New Roman" w:eastAsia="Aptos" w:hAnsi="Times New Roman" w:cs="Times New Roman"/>
          <w:color w:val="000000"/>
          <w:kern w:val="2"/>
          <w:sz w:val="24"/>
          <w:szCs w:val="24"/>
          <w:lang w:val="en-CH"/>
          <w14:ligatures w14:val="standardContextual"/>
        </w:rPr>
        <w:t xml:space="preserve">, and </w:t>
      </w:r>
      <w:proofErr w:type="spellStart"/>
      <w:r w:rsidRPr="003631FD">
        <w:rPr>
          <w:rFonts w:ascii="Times New Roman" w:eastAsia="Aptos" w:hAnsi="Times New Roman" w:cs="Times New Roman"/>
          <w:color w:val="000000"/>
          <w:kern w:val="2"/>
          <w:sz w:val="24"/>
          <w:szCs w:val="24"/>
          <w:lang w:val="en-CH"/>
          <w14:ligatures w14:val="standardContextual"/>
        </w:rPr>
        <w:t>ártali</w:t>
      </w:r>
      <w:proofErr w:type="spellEnd"/>
      <w:r w:rsidRPr="003631FD">
        <w:rPr>
          <w:rFonts w:ascii="Times New Roman" w:eastAsia="Aptos" w:hAnsi="Times New Roman" w:cs="Times New Roman"/>
          <w:color w:val="000000"/>
          <w:kern w:val="2"/>
          <w:sz w:val="24"/>
          <w:szCs w:val="24"/>
          <w:lang w:val="en-CH"/>
          <w14:ligatures w14:val="standardContextual"/>
        </w:rPr>
        <w:t xml:space="preserve"> still preserve enough cosmological position for divine, giant, dwarf, and elvish standpoints to be reconstructed, even though the wider world that once made those positions ordinary has thinned from view. Beaton’s materials preserve a different kind of survival. Festival observance, astronomical recognition, and the lovers’ reunion remain publicly legible, yet narrative detail and the textile dimension do not hold with equal force. That uneven retention shows celestial meaning continuing even as the elements that once held it together no longer survive with equal force. Cohen, in turn, clarifies the pressure within Beaton’s case, because her paper shows how much of a cosmology can survive in compressed verbal form when public practice is no longer directly available. Fragility takes shape here through the different forms each archive can still hold. In Cohen, words outlast the wider cosmological frame that once sustained them. In Beaton, observance outlasts the equal survival of every layer of the relation.</w:t>
      </w:r>
    </w:p>
    <w:p w14:paraId="44868B3F" w14:textId="77777777" w:rsidR="003631FD" w:rsidRPr="003631FD" w:rsidRDefault="003631FD" w:rsidP="003631FD">
      <w:pPr>
        <w:keepNext/>
        <w:keepLines/>
        <w:spacing w:before="360" w:after="80" w:line="278" w:lineRule="auto"/>
        <w:outlineLvl w:val="0"/>
        <w:rPr>
          <w:rFonts w:ascii="Times New Roman" w:eastAsia="Times New Roman" w:hAnsi="Times New Roman" w:cs="Times New Roman"/>
          <w:color w:val="000000"/>
          <w:kern w:val="2"/>
          <w:sz w:val="40"/>
          <w:szCs w:val="40"/>
          <w:lang w:val="en-CH"/>
          <w14:ligatures w14:val="standardContextual"/>
        </w:rPr>
      </w:pPr>
      <w:r w:rsidRPr="003631FD">
        <w:rPr>
          <w:rFonts w:ascii="Times New Roman" w:eastAsia="Times New Roman" w:hAnsi="Times New Roman" w:cs="Times New Roman"/>
          <w:color w:val="000000"/>
          <w:kern w:val="2"/>
          <w:sz w:val="40"/>
          <w:szCs w:val="40"/>
          <w:lang w:val="en-CH"/>
          <w14:ligatures w14:val="standardContextual"/>
        </w:rPr>
        <w:lastRenderedPageBreak/>
        <w:t>Conclusion</w:t>
      </w:r>
    </w:p>
    <w:p w14:paraId="7898CB99" w14:textId="77777777" w:rsidR="003631FD" w:rsidRPr="003631FD" w:rsidRDefault="003631FD" w:rsidP="003631FD">
      <w:pPr>
        <w:spacing w:line="278" w:lineRule="auto"/>
        <w:rPr>
          <w:rFonts w:ascii="Times New Roman" w:eastAsia="Aptos" w:hAnsi="Times New Roman" w:cs="Times New Roman"/>
          <w:color w:val="000000"/>
          <w:kern w:val="2"/>
          <w:sz w:val="24"/>
          <w:szCs w:val="24"/>
          <w:lang w:val="en-CH"/>
          <w14:ligatures w14:val="standardContextual"/>
        </w:rPr>
      </w:pPr>
      <w:r w:rsidRPr="003631FD">
        <w:rPr>
          <w:rFonts w:ascii="Times New Roman" w:eastAsia="Aptos" w:hAnsi="Times New Roman" w:cs="Times New Roman"/>
          <w:color w:val="000000"/>
          <w:kern w:val="2"/>
          <w:sz w:val="24"/>
          <w:szCs w:val="24"/>
          <w:lang w:val="en-CH"/>
          <w14:ligatures w14:val="standardContextual"/>
        </w:rPr>
        <w:t xml:space="preserve">The comparison between Cohen and Beaton shows that Brady’s question depends on the form in which celestial meaning survives. Cohen works with a poem whose vocabulary still preserves cosmological position, so her method gives close access to the internal ordering of a world in which gods, giants, dwarves, and elves do not apprehend the heavens in the same way. Beaton works with a stellar relation that continues through myth, festival, and practice, so her paper gives closer access to the public life of celestial meaning once stars, story, date, and skilled action remain bound together in recurrence. Each paper also clarifies the limit of the other. Cohen can recover differentiation with a density that Beaton’s broader materials do not retain, while Beaton can show continuity in observance and cultural use in ways that a single poem cannot preserve. Fragility follows from those evidentiary conditions. In Cohen, meaning survives in compressed lexical form after the wider cosmological frame has thinned. In Beaton, meaning survives in recurrence, though not </w:t>
      </w:r>
      <w:proofErr w:type="gramStart"/>
      <w:r w:rsidRPr="003631FD">
        <w:rPr>
          <w:rFonts w:ascii="Times New Roman" w:eastAsia="Aptos" w:hAnsi="Times New Roman" w:cs="Times New Roman"/>
          <w:color w:val="000000"/>
          <w:kern w:val="2"/>
          <w:sz w:val="24"/>
          <w:szCs w:val="24"/>
          <w:lang w:val="en-CH"/>
          <w14:ligatures w14:val="standardContextual"/>
        </w:rPr>
        <w:t>all of</w:t>
      </w:r>
      <w:proofErr w:type="gramEnd"/>
      <w:r w:rsidRPr="003631FD">
        <w:rPr>
          <w:rFonts w:ascii="Times New Roman" w:eastAsia="Aptos" w:hAnsi="Times New Roman" w:cs="Times New Roman"/>
          <w:color w:val="000000"/>
          <w:kern w:val="2"/>
          <w:sz w:val="24"/>
          <w:szCs w:val="24"/>
          <w:lang w:val="en-CH"/>
          <w14:ligatures w14:val="standardContextual"/>
        </w:rPr>
        <w:t xml:space="preserve"> its layers are retained with equal force. What remains difficult in both cases is the full recovery of the worlds that once made those relations ordinary, and the value of the comparison lies in showing where that difficulty resides and what kind of method can still make part of it legible.</w:t>
      </w:r>
    </w:p>
    <w:p w14:paraId="18C79303" w14:textId="77777777" w:rsidR="003631FD" w:rsidRPr="003631FD" w:rsidRDefault="003631FD" w:rsidP="003631FD">
      <w:pPr>
        <w:spacing w:line="278" w:lineRule="auto"/>
        <w:rPr>
          <w:rFonts w:ascii="Aptos" w:eastAsia="Aptos" w:hAnsi="Aptos" w:cs="Times New Roman"/>
          <w:kern w:val="2"/>
          <w:sz w:val="24"/>
          <w:szCs w:val="24"/>
          <w:lang w:val="en-CH"/>
          <w14:ligatures w14:val="standardContextual"/>
        </w:rPr>
      </w:pPr>
      <w:r w:rsidRPr="003631FD">
        <w:rPr>
          <w:rFonts w:ascii="Aptos" w:eastAsia="Aptos" w:hAnsi="Aptos" w:cs="Times New Roman"/>
          <w:kern w:val="2"/>
          <w:sz w:val="24"/>
          <w:szCs w:val="24"/>
          <w:lang w:val="en-CH"/>
          <w14:ligatures w14:val="standardContextual"/>
        </w:rPr>
        <w:br w:type="page"/>
      </w:r>
    </w:p>
    <w:p w14:paraId="3B5F9941" w14:textId="77777777" w:rsidR="003631FD" w:rsidRPr="003631FD" w:rsidRDefault="003631FD" w:rsidP="003631FD">
      <w:pPr>
        <w:spacing w:after="80" w:line="240" w:lineRule="auto"/>
        <w:contextualSpacing/>
        <w:rPr>
          <w:rFonts w:ascii="Times New Roman" w:eastAsia="Times New Roman" w:hAnsi="Times New Roman" w:cs="Times New Roman"/>
          <w:spacing w:val="-10"/>
          <w:kern w:val="28"/>
          <w:sz w:val="56"/>
          <w:szCs w:val="56"/>
          <w:lang w:val="en-CH"/>
          <w14:ligatures w14:val="standardContextual"/>
        </w:rPr>
      </w:pPr>
      <w:r w:rsidRPr="003631FD">
        <w:rPr>
          <w:rFonts w:ascii="Times New Roman" w:eastAsia="Times New Roman" w:hAnsi="Times New Roman" w:cs="Times New Roman"/>
          <w:spacing w:val="-10"/>
          <w:kern w:val="28"/>
          <w:sz w:val="56"/>
          <w:szCs w:val="56"/>
          <w:lang w:val="en-CH"/>
          <w14:ligatures w14:val="standardContextual"/>
        </w:rPr>
        <w:lastRenderedPageBreak/>
        <w:t>Bibliography</w:t>
      </w:r>
    </w:p>
    <w:p w14:paraId="5D87312C" w14:textId="77777777" w:rsidR="003631FD" w:rsidRPr="003631FD" w:rsidRDefault="003631FD" w:rsidP="003631FD">
      <w:pPr>
        <w:spacing w:line="278" w:lineRule="auto"/>
        <w:rPr>
          <w:rFonts w:ascii="Times New Roman" w:eastAsia="Aptos" w:hAnsi="Times New Roman" w:cs="Times New Roman"/>
          <w:kern w:val="2"/>
          <w:sz w:val="24"/>
          <w:szCs w:val="24"/>
          <w:lang w:val="en-CH"/>
          <w14:ligatures w14:val="standardContextual"/>
        </w:rPr>
      </w:pPr>
      <w:r w:rsidRPr="003631FD">
        <w:rPr>
          <w:rFonts w:ascii="Times New Roman" w:eastAsia="Aptos" w:hAnsi="Times New Roman" w:cs="Times New Roman"/>
          <w:kern w:val="2"/>
          <w:sz w:val="24"/>
          <w:szCs w:val="24"/>
          <w:lang w:val="en-CH"/>
          <w14:ligatures w14:val="standardContextual"/>
        </w:rPr>
        <w:fldChar w:fldCharType="begin"/>
      </w:r>
      <w:r w:rsidRPr="003631FD">
        <w:rPr>
          <w:rFonts w:ascii="Times New Roman" w:eastAsia="Aptos" w:hAnsi="Times New Roman" w:cs="Times New Roman"/>
          <w:kern w:val="2"/>
          <w:sz w:val="24"/>
          <w:szCs w:val="24"/>
          <w:lang w:val="en-CH"/>
          <w14:ligatures w14:val="standardContextual"/>
        </w:rPr>
        <w:instrText xml:space="preserve"> ADDIN ZOTERO_BIBL {"uncited":[],"omitted":[],"custom":[]} CSL_BIBLIOGRAPHY </w:instrText>
      </w:r>
      <w:r w:rsidRPr="003631FD">
        <w:rPr>
          <w:rFonts w:ascii="Times New Roman" w:eastAsia="Aptos" w:hAnsi="Times New Roman" w:cs="Times New Roman"/>
          <w:kern w:val="2"/>
          <w:sz w:val="24"/>
          <w:szCs w:val="24"/>
          <w:lang w:val="en-CH"/>
          <w14:ligatures w14:val="standardContextual"/>
        </w:rPr>
        <w:fldChar w:fldCharType="separate"/>
      </w:r>
      <w:r w:rsidRPr="003631FD">
        <w:rPr>
          <w:rFonts w:ascii="Times New Roman" w:eastAsia="Aptos" w:hAnsi="Times New Roman" w:cs="Times New Roman"/>
          <w:kern w:val="2"/>
          <w:sz w:val="24"/>
          <w:szCs w:val="24"/>
          <w:lang w:val="en-CH"/>
          <w14:ligatures w14:val="standardContextual"/>
        </w:rPr>
        <w:t xml:space="preserve">Beaton, Morag Feeney, "Altair and Vega, the Cowherd and the Weaver Girl, an Analysis of a Living Sky-Myth," </w:t>
      </w:r>
      <w:r w:rsidRPr="003631FD">
        <w:rPr>
          <w:rFonts w:ascii="Times New Roman" w:eastAsia="Aptos" w:hAnsi="Times New Roman" w:cs="Times New Roman"/>
          <w:i/>
          <w:iCs/>
          <w:kern w:val="2"/>
          <w:sz w:val="24"/>
          <w:szCs w:val="24"/>
          <w:lang w:val="en-CH"/>
          <w14:ligatures w14:val="standardContextual"/>
        </w:rPr>
        <w:t>Culture and Cosmos</w:t>
      </w:r>
      <w:r w:rsidRPr="003631FD">
        <w:rPr>
          <w:rFonts w:ascii="Times New Roman" w:eastAsia="Aptos" w:hAnsi="Times New Roman" w:cs="Times New Roman"/>
          <w:kern w:val="2"/>
          <w:sz w:val="24"/>
          <w:szCs w:val="24"/>
          <w:lang w:val="en-CH"/>
          <w14:ligatures w14:val="standardContextual"/>
        </w:rPr>
        <w:t>, 24.1 and 2 (2020), pp. 55–72</w:t>
      </w:r>
    </w:p>
    <w:p w14:paraId="267647AB" w14:textId="77777777" w:rsidR="003631FD" w:rsidRPr="003631FD" w:rsidRDefault="003631FD" w:rsidP="003631FD">
      <w:pPr>
        <w:spacing w:line="278" w:lineRule="auto"/>
        <w:rPr>
          <w:rFonts w:ascii="Times New Roman" w:eastAsia="Aptos" w:hAnsi="Times New Roman" w:cs="Times New Roman"/>
          <w:kern w:val="2"/>
          <w:sz w:val="24"/>
          <w:szCs w:val="24"/>
          <w:lang w:val="en-CH"/>
          <w14:ligatures w14:val="standardContextual"/>
        </w:rPr>
      </w:pPr>
      <w:r w:rsidRPr="003631FD">
        <w:rPr>
          <w:rFonts w:ascii="Times New Roman" w:eastAsia="Aptos" w:hAnsi="Times New Roman" w:cs="Times New Roman"/>
          <w:kern w:val="2"/>
          <w:sz w:val="24"/>
          <w:szCs w:val="24"/>
          <w:lang w:val="en-CH"/>
          <w14:ligatures w14:val="standardContextual"/>
        </w:rPr>
        <w:t xml:space="preserve">Brady, Bernadette, "Editorial: The Talking Sky," </w:t>
      </w:r>
      <w:r w:rsidRPr="003631FD">
        <w:rPr>
          <w:rFonts w:ascii="Times New Roman" w:eastAsia="Aptos" w:hAnsi="Times New Roman" w:cs="Times New Roman"/>
          <w:i/>
          <w:iCs/>
          <w:kern w:val="2"/>
          <w:sz w:val="24"/>
          <w:szCs w:val="24"/>
          <w:lang w:val="en-CH"/>
          <w14:ligatures w14:val="standardContextual"/>
        </w:rPr>
        <w:t>Culture and Cosmos</w:t>
      </w:r>
      <w:r w:rsidRPr="003631FD">
        <w:rPr>
          <w:rFonts w:ascii="Times New Roman" w:eastAsia="Aptos" w:hAnsi="Times New Roman" w:cs="Times New Roman"/>
          <w:kern w:val="2"/>
          <w:sz w:val="24"/>
          <w:szCs w:val="24"/>
          <w:lang w:val="en-CH"/>
          <w14:ligatures w14:val="standardContextual"/>
        </w:rPr>
        <w:t>, 20.1 and 2 (2020), pp. 1–8</w:t>
      </w:r>
    </w:p>
    <w:p w14:paraId="22A82711" w14:textId="77777777" w:rsidR="003631FD" w:rsidRPr="003631FD" w:rsidRDefault="003631FD" w:rsidP="003631FD">
      <w:pPr>
        <w:spacing w:line="278" w:lineRule="auto"/>
        <w:rPr>
          <w:rFonts w:ascii="Times New Roman" w:eastAsia="Aptos" w:hAnsi="Times New Roman" w:cs="Times New Roman"/>
          <w:kern w:val="2"/>
          <w:sz w:val="24"/>
          <w:szCs w:val="24"/>
          <w:lang w:val="en-CH"/>
          <w14:ligatures w14:val="standardContextual"/>
        </w:rPr>
      </w:pPr>
      <w:r w:rsidRPr="003631FD">
        <w:rPr>
          <w:rFonts w:ascii="Times New Roman" w:eastAsia="Aptos" w:hAnsi="Times New Roman" w:cs="Times New Roman"/>
          <w:kern w:val="2"/>
          <w:sz w:val="24"/>
          <w:szCs w:val="24"/>
          <w:lang w:val="en-CH"/>
          <w14:ligatures w14:val="standardContextual"/>
        </w:rPr>
        <w:t xml:space="preserve">Cohen, Signe, "What Do the Gods Call the Sky?  Naming the Celestial in Old Norse," </w:t>
      </w:r>
      <w:r w:rsidRPr="003631FD">
        <w:rPr>
          <w:rFonts w:ascii="Times New Roman" w:eastAsia="Aptos" w:hAnsi="Times New Roman" w:cs="Times New Roman"/>
          <w:i/>
          <w:iCs/>
          <w:kern w:val="2"/>
          <w:sz w:val="24"/>
          <w:szCs w:val="24"/>
          <w:lang w:val="en-CH"/>
          <w14:ligatures w14:val="standardContextual"/>
        </w:rPr>
        <w:t>Culture and Cosmos</w:t>
      </w:r>
      <w:r w:rsidRPr="003631FD">
        <w:rPr>
          <w:rFonts w:ascii="Times New Roman" w:eastAsia="Aptos" w:hAnsi="Times New Roman" w:cs="Times New Roman"/>
          <w:kern w:val="2"/>
          <w:sz w:val="24"/>
          <w:szCs w:val="24"/>
          <w:lang w:val="en-CH"/>
          <w14:ligatures w14:val="standardContextual"/>
        </w:rPr>
        <w:t>, 24.1 and 2 (2020), pp. 27–36</w:t>
      </w:r>
    </w:p>
    <w:p w14:paraId="27EF76A4" w14:textId="77777777" w:rsidR="003631FD" w:rsidRPr="003631FD" w:rsidRDefault="003631FD" w:rsidP="003631FD">
      <w:pPr>
        <w:spacing w:line="278" w:lineRule="auto"/>
        <w:rPr>
          <w:rFonts w:ascii="Times New Roman" w:eastAsia="Aptos" w:hAnsi="Times New Roman" w:cs="Times New Roman"/>
          <w:kern w:val="2"/>
          <w:sz w:val="24"/>
          <w:szCs w:val="24"/>
          <w:lang w:val="en-CH"/>
          <w14:ligatures w14:val="standardContextual"/>
        </w:rPr>
      </w:pPr>
      <w:r w:rsidRPr="003631FD">
        <w:rPr>
          <w:rFonts w:ascii="Times New Roman" w:eastAsia="Aptos" w:hAnsi="Times New Roman" w:cs="Times New Roman"/>
          <w:kern w:val="2"/>
          <w:sz w:val="24"/>
          <w:szCs w:val="24"/>
          <w:lang w:val="en-CH"/>
          <w14:ligatures w14:val="standardContextual"/>
        </w:rPr>
        <w:t xml:space="preserve">Etheridge, Christian, "A Systematic Re-Evaluation of the Sources of Old Norse Astronomy," </w:t>
      </w:r>
      <w:r w:rsidRPr="003631FD">
        <w:rPr>
          <w:rFonts w:ascii="Times New Roman" w:eastAsia="Aptos" w:hAnsi="Times New Roman" w:cs="Times New Roman"/>
          <w:i/>
          <w:iCs/>
          <w:kern w:val="2"/>
          <w:sz w:val="24"/>
          <w:szCs w:val="24"/>
          <w:lang w:val="en-CH"/>
          <w14:ligatures w14:val="standardContextual"/>
        </w:rPr>
        <w:t>Culture and Cosmos</w:t>
      </w:r>
      <w:r w:rsidRPr="003631FD">
        <w:rPr>
          <w:rFonts w:ascii="Times New Roman" w:eastAsia="Aptos" w:hAnsi="Times New Roman" w:cs="Times New Roman"/>
          <w:kern w:val="2"/>
          <w:sz w:val="24"/>
          <w:szCs w:val="24"/>
          <w:lang w:val="en-CH"/>
          <w14:ligatures w14:val="standardContextual"/>
        </w:rPr>
        <w:t>, 16.1 and 2 (2012), pp. 119–30</w:t>
      </w:r>
    </w:p>
    <w:p w14:paraId="28A745A6" w14:textId="77777777" w:rsidR="003631FD" w:rsidRPr="003631FD" w:rsidRDefault="003631FD" w:rsidP="003631FD">
      <w:pPr>
        <w:spacing w:line="278" w:lineRule="auto"/>
        <w:rPr>
          <w:rFonts w:ascii="Times New Roman" w:eastAsia="Aptos" w:hAnsi="Times New Roman" w:cs="Times New Roman"/>
          <w:kern w:val="2"/>
          <w:sz w:val="24"/>
          <w:szCs w:val="24"/>
          <w:lang w:val="en-CH"/>
          <w14:ligatures w14:val="standardContextual"/>
        </w:rPr>
      </w:pPr>
      <w:r w:rsidRPr="003631FD">
        <w:rPr>
          <w:rFonts w:ascii="Times New Roman" w:eastAsia="Aptos" w:hAnsi="Times New Roman" w:cs="Times New Roman"/>
          <w:kern w:val="2"/>
          <w:sz w:val="24"/>
          <w:szCs w:val="24"/>
          <w:lang w:val="en-CH"/>
          <w14:ligatures w14:val="standardContextual"/>
        </w:rPr>
        <w:t xml:space="preserve">Pankenier, David W., "The Astronomical Origin of China’s “Weaving Maid and Oxherd” Fable," </w:t>
      </w:r>
      <w:r w:rsidRPr="003631FD">
        <w:rPr>
          <w:rFonts w:ascii="Times New Roman" w:eastAsia="Aptos" w:hAnsi="Times New Roman" w:cs="Times New Roman"/>
          <w:i/>
          <w:iCs/>
          <w:kern w:val="2"/>
          <w:sz w:val="24"/>
          <w:szCs w:val="24"/>
          <w:lang w:val="en-CH"/>
          <w14:ligatures w14:val="standardContextual"/>
        </w:rPr>
        <w:t>Journal of Astronomical History and Heritage</w:t>
      </w:r>
      <w:r w:rsidRPr="003631FD">
        <w:rPr>
          <w:rFonts w:ascii="Times New Roman" w:eastAsia="Aptos" w:hAnsi="Times New Roman" w:cs="Times New Roman"/>
          <w:kern w:val="2"/>
          <w:sz w:val="24"/>
          <w:szCs w:val="24"/>
          <w:lang w:val="en-CH"/>
          <w14:ligatures w14:val="standardContextual"/>
        </w:rPr>
        <w:t>, 28.1 (2025), pp. 212–18</w:t>
      </w:r>
    </w:p>
    <w:p w14:paraId="3427C381" w14:textId="77777777" w:rsidR="003631FD" w:rsidRPr="003631FD" w:rsidRDefault="003631FD" w:rsidP="003631FD">
      <w:pPr>
        <w:spacing w:line="278" w:lineRule="auto"/>
        <w:rPr>
          <w:rFonts w:ascii="Times New Roman" w:eastAsia="Aptos" w:hAnsi="Times New Roman" w:cs="Times New Roman"/>
          <w:kern w:val="2"/>
          <w:sz w:val="24"/>
          <w:szCs w:val="24"/>
          <w:lang w:val="en-CH"/>
          <w14:ligatures w14:val="standardContextual"/>
        </w:rPr>
      </w:pPr>
      <w:r w:rsidRPr="003631FD">
        <w:rPr>
          <w:rFonts w:ascii="Times New Roman" w:eastAsia="Aptos" w:hAnsi="Times New Roman" w:cs="Times New Roman"/>
          <w:kern w:val="2"/>
          <w:sz w:val="24"/>
          <w:szCs w:val="24"/>
          <w:lang w:val="en-CH"/>
          <w14:ligatures w14:val="standardContextual"/>
        </w:rPr>
        <w:t xml:space="preserve">Sigurðsson, Gísli, "How Gylfi’s Illusion Breathes Life into the Sky," </w:t>
      </w:r>
      <w:r w:rsidRPr="003631FD">
        <w:rPr>
          <w:rFonts w:ascii="Times New Roman" w:eastAsia="Aptos" w:hAnsi="Times New Roman" w:cs="Times New Roman"/>
          <w:i/>
          <w:iCs/>
          <w:kern w:val="2"/>
          <w:sz w:val="24"/>
          <w:szCs w:val="24"/>
          <w:lang w:val="en-CH"/>
          <w14:ligatures w14:val="standardContextual"/>
        </w:rPr>
        <w:t>Religionsvidenskabeligt Tidsskrift</w:t>
      </w:r>
      <w:r w:rsidRPr="003631FD">
        <w:rPr>
          <w:rFonts w:ascii="Times New Roman" w:eastAsia="Aptos" w:hAnsi="Times New Roman" w:cs="Times New Roman"/>
          <w:kern w:val="2"/>
          <w:sz w:val="24"/>
          <w:szCs w:val="24"/>
          <w:lang w:val="en-CH"/>
          <w14:ligatures w14:val="standardContextual"/>
        </w:rPr>
        <w:t>, no. 74 (2022), pp. 231–46</w:t>
      </w:r>
    </w:p>
    <w:p w14:paraId="7483E94D" w14:textId="77777777" w:rsidR="003631FD" w:rsidRPr="003631FD" w:rsidRDefault="003631FD" w:rsidP="003631FD">
      <w:pPr>
        <w:spacing w:line="278" w:lineRule="auto"/>
        <w:rPr>
          <w:rFonts w:ascii="Aptos" w:eastAsia="Aptos" w:hAnsi="Aptos" w:cs="Times New Roman"/>
          <w:kern w:val="2"/>
          <w:sz w:val="24"/>
          <w:szCs w:val="24"/>
          <w:lang w:val="en-CH"/>
          <w14:ligatures w14:val="standardContextual"/>
        </w:rPr>
      </w:pPr>
      <w:r w:rsidRPr="003631FD">
        <w:rPr>
          <w:rFonts w:ascii="Times New Roman" w:eastAsia="Aptos" w:hAnsi="Times New Roman" w:cs="Times New Roman"/>
          <w:kern w:val="2"/>
          <w:sz w:val="24"/>
          <w:szCs w:val="24"/>
          <w:lang w:val="en-CH"/>
          <w14:ligatures w14:val="standardContextual"/>
        </w:rPr>
        <w:fldChar w:fldCharType="end"/>
      </w:r>
    </w:p>
    <w:p w14:paraId="5079B524" w14:textId="77777777" w:rsidR="00803AF1" w:rsidRPr="003631FD" w:rsidRDefault="00803AF1" w:rsidP="00803AF1">
      <w:pPr>
        <w:rPr>
          <w:lang w:val="en-CH"/>
        </w:rPr>
      </w:pPr>
    </w:p>
    <w:sectPr w:rsidR="00803AF1" w:rsidRPr="003631FD" w:rsidSect="00E75F8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C71ED" w14:textId="77777777" w:rsidR="00471F1F" w:rsidRDefault="00471F1F" w:rsidP="004142B1">
      <w:pPr>
        <w:spacing w:after="0" w:line="240" w:lineRule="auto"/>
      </w:pPr>
      <w:r>
        <w:separator/>
      </w:r>
    </w:p>
  </w:endnote>
  <w:endnote w:type="continuationSeparator" w:id="0">
    <w:p w14:paraId="192F6F3E" w14:textId="77777777" w:rsidR="00471F1F" w:rsidRDefault="00471F1F"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6FBD1" w14:textId="77777777" w:rsidR="00B728EA" w:rsidRDefault="00B72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5A08C" w14:textId="77777777" w:rsidR="00B728EA" w:rsidRDefault="00B728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BA0C6" w14:textId="77777777" w:rsidR="00B728EA" w:rsidRDefault="00B72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79932" w14:textId="77777777" w:rsidR="00471F1F" w:rsidRDefault="00471F1F" w:rsidP="004142B1">
      <w:pPr>
        <w:spacing w:after="0" w:line="240" w:lineRule="auto"/>
      </w:pPr>
      <w:r>
        <w:separator/>
      </w:r>
    </w:p>
  </w:footnote>
  <w:footnote w:type="continuationSeparator" w:id="0">
    <w:p w14:paraId="7487B2B7" w14:textId="77777777" w:rsidR="00471F1F" w:rsidRDefault="00471F1F" w:rsidP="004142B1">
      <w:pPr>
        <w:spacing w:after="0" w:line="240" w:lineRule="auto"/>
      </w:pPr>
      <w:r>
        <w:continuationSeparator/>
      </w:r>
    </w:p>
  </w:footnote>
  <w:footnote w:id="1">
    <w:p w14:paraId="039A2D15"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{"citationID":"ULhGOrGw","properties":{"formattedCitation":"Bernadette Brady, \\uc0\\u8216{}Editorial: The Talking Sky\\uc0\\u8217{}, {\\i{}Culture and Cosmos}, 20.1 and 2 (2020), pp. 1\\uc0\\u8211{}8.","plainCitation":"Bernadette Brady, ‘Editorial: The Talking Sky’, Culture and Cosmos, 20.1 and 2 (2020), pp. 1–8.","noteIndex":1},"citationItems":[{"id":146,"uris":["http://zotero.org/users/16253413/items/GNMZJ5HB"],"itemData":{"id":146,"type":"article-journal","container-title":"Culture and Cosmos","issue":"1 and 2","page":"1-8","title":"Editorial: The Talking Sky","volume":"20","author":[{"family":"Brady","given":"Bernadette"}],"issued":{"date-parts":[["2020"]]}}}],"schema":"https://github.com/citation-style-language/schema/raw/master/csl-citation.json"}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 xml:space="preserve">Bernadette Brady, "Editorial: The Talking Sky,"  </w:t>
      </w:r>
      <w:r w:rsidRPr="00057212">
        <w:rPr>
          <w:rFonts w:ascii="Times New Roman" w:hAnsi="Times New Roman" w:cs="Times New Roman"/>
          <w:i/>
          <w:iCs/>
        </w:rPr>
        <w:t>Culture and Cosmos</w:t>
      </w:r>
      <w:r w:rsidRPr="00057212">
        <w:rPr>
          <w:rFonts w:ascii="Times New Roman" w:hAnsi="Times New Roman" w:cs="Times New Roman"/>
        </w:rPr>
        <w:t>, 20.1 and 2 (2020), pp. 1–8.</w:t>
      </w:r>
      <w:r w:rsidRPr="00057212">
        <w:rPr>
          <w:rFonts w:ascii="Times New Roman" w:hAnsi="Times New Roman" w:cs="Times New Roman"/>
        </w:rPr>
        <w:fldChar w:fldCharType="end"/>
      </w:r>
    </w:p>
  </w:footnote>
  <w:footnote w:id="2">
    <w:p w14:paraId="4CC026B7"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{"citationID":"ySwrro3o","properties":{"formattedCitation":"Brady, \\uc0\\u8216{}Editorial: The Talking Sky\\uc0\\u8217{}.","plainCitation":"Brady, ‘Editorial: The Talking Sky’.","noteIndex":2},"citationItems":[{"id":146,"uris":["http://zotero.org/users/16253413/items/GNMZJ5HB"],"itemData":{"id":146,"type":"article-journal","container-title":"Culture and Cosmos","issue":"1 and 2","page":"1-8","title":"Editorial: The Talking Sky","volume":"20","author":[{"family":"Brady","given":"Bernadette"}],"issued":{"date-parts":[["2020"]]}}}],"schema":"https://github.com/citation-style-language/schema/raw/master/csl-citation.json"}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Ibid.</w:t>
      </w:r>
      <w:r w:rsidRPr="00057212">
        <w:rPr>
          <w:rFonts w:ascii="Times New Roman" w:hAnsi="Times New Roman" w:cs="Times New Roman"/>
        </w:rPr>
        <w:fldChar w:fldCharType="end"/>
      </w:r>
    </w:p>
  </w:footnote>
  <w:footnote w:id="3">
    <w:p w14:paraId="029A1B24"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w:t>
      </w:r>
    </w:p>
  </w:footnote>
  <w:footnote w:id="4">
    <w:p w14:paraId="6D0FF3B1"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Ibid.</w:t>
      </w:r>
    </w:p>
  </w:footnote>
  <w:footnote w:id="5">
    <w:p w14:paraId="1804AF50"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{"citationID":"y9IM1jbT","properties":{"formattedCitation":"Brady, \\uc0\\u8216{}Editorial: The Talking Sky\\uc0\\u8217{}, p. 5.","plainCitation":"Brady, ‘Editorial: The Talking Sky’, p. 5.","noteIndex":5},"citationItems":[{"id":146,"uris":["http://zotero.org/users/16253413/items/GNMZJ5HB"],"itemData":{"id":146,"type":"article-journal","container-title":"Culture and Cosmos","issue":"1 and 2","page":"1-8","title":"Editorial: The Talking Sky","volume":"20","author":[{"family":"Brady","given":"Bernadette"}],"issued":{"date-parts":[["2020"]]}},"locator":"5","label":"page"}],"schema":"https://github.com/citation-style-language/schema/raw/master/csl-citation.json"}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Brady, "Editorial: The Talking Sky," p. 5.</w:t>
      </w:r>
      <w:r w:rsidRPr="00057212">
        <w:rPr>
          <w:rFonts w:ascii="Times New Roman" w:hAnsi="Times New Roman" w:cs="Times New Roman"/>
        </w:rPr>
        <w:fldChar w:fldCharType="end"/>
      </w:r>
    </w:p>
  </w:footnote>
  <w:footnote w:id="6">
    <w:p w14:paraId="06C64ABC" w14:textId="77777777" w:rsidR="003631FD" w:rsidRPr="00B0231C" w:rsidRDefault="003631FD" w:rsidP="003631FD">
      <w:pPr>
        <w:pStyle w:val="FootnoteText"/>
        <w:rPr>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{"citationID":"s9eToIGn","properties":{"formattedCitation":"Signe Cohen, \\uc0\\u8216{}What Do the Gods Call the Sky?  Naming the Celestial in Old Norse\\uc0\\u8217{}, {\\i{}Culture and Cosmos}, 24.1 and 2 (2020), pp. 27\\uc0\\u8211{}36.","plainCitation":"Signe Cohen, ‘What Do the Gods Call the Sky?  Naming the Celestial in Old Norse’, Culture and Cosmos, 24.1 and 2 (2020), pp. 27–36.","dontUpdate":true,"noteIndex":6},"citationItems":[{"id":143,"uris":["http://zotero.org/users/16253413/items/2BWS94NJ"],"itemData":{"id":143,"type":"article-journal","container-title":"Culture and Cosmos","issue":"1 and 2","page":"27-36","title":"What Do the Gods Call the Sky?  Naming the Celestial in Old Norse","volume":"24","author":[{"family":"Cohen","given":"Signe"}],"issued":{"date-parts":[["2020"]]}}}],"schema":"https://github.com/citation-style-language/schema/raw/master/csl-citation.json"}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 xml:space="preserve">Signe Cohen, "What Do the Gods Call the Sky?  Naming the Celestial in Old Norse," </w:t>
      </w:r>
      <w:r w:rsidRPr="00057212">
        <w:rPr>
          <w:rFonts w:ascii="Times New Roman" w:hAnsi="Times New Roman" w:cs="Times New Roman"/>
          <w:i/>
          <w:iCs/>
        </w:rPr>
        <w:t>Culture and Cosmos</w:t>
      </w:r>
      <w:r w:rsidRPr="00057212">
        <w:rPr>
          <w:rFonts w:ascii="Times New Roman" w:hAnsi="Times New Roman" w:cs="Times New Roman"/>
        </w:rPr>
        <w:t>, 24.1 and 2 (2020), pp. 27–36.</w:t>
      </w:r>
      <w:r w:rsidRPr="00057212">
        <w:rPr>
          <w:rFonts w:ascii="Times New Roman" w:hAnsi="Times New Roman" w:cs="Times New Roman"/>
        </w:rPr>
        <w:fldChar w:fldCharType="end"/>
      </w:r>
    </w:p>
  </w:footnote>
  <w:footnote w:id="7">
    <w:p w14:paraId="002DCA65"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{"citationID":"kUNLevoI","properties":{"formattedCitation":"Cohen, \\uc0\\u8216{}What Do the Gods Call the Sky?  Naming the Celestial in Old Norse\\uc0\\u8217{}, p. 32.","plainCitation":"Cohen, ‘What Do the Gods Call the Sky?  Naming the Celestial in Old Norse’, p. 32.","noteIndex":7},"citationItems":[{"id":143,"uris":["http://zotero.org/users/16253413/items/2BWS94NJ"],"itemData":{"id":143,"type":"article-journal","container-title":"Culture and Cosmos","issue":"1 and 2","page":"27-36","title":"What Do the Gods Call the Sky?  Naming the Celestial in Old Norse","volume":"24","author":[{"family":"Cohen","given":"Signe"}],"issued":{"date-parts":[["2020"]]}},"locator":"32","label":"page"}],"schema":"https://github.com/citation-style-language/schema/raw/master/csl-citation.json"}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Cohen, ‘What Do the Gods Call the Sky?  Naming the Celestial in Old Norse’, p. 32.</w:t>
      </w:r>
      <w:r w:rsidRPr="00057212">
        <w:rPr>
          <w:rFonts w:ascii="Times New Roman" w:hAnsi="Times New Roman" w:cs="Times New Roman"/>
        </w:rPr>
        <w:fldChar w:fldCharType="end"/>
      </w:r>
    </w:p>
  </w:footnote>
  <w:footnote w:id="8">
    <w:p w14:paraId="77BA2BBA"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p.33.</w:t>
      </w:r>
    </w:p>
  </w:footnote>
  <w:footnote w:id="9">
    <w:p w14:paraId="3C2C70C3"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{"citationID":"N3dUkdFa","properties":{"formattedCitation":"Christian Etheridge, \\uc0\\u8216{}A Systematic Re-Evaluation of the Sources of Old Norse Astronomy\\uc0\\u8217{}, {\\i{}Culture and Cosmos}, 16.1 and 2 (2012), pp. 119\\uc0\\u8211{}30.","plainCitation":"Christian Etheridge, ‘A Systematic Re-Evaluation of the Sources of Old Norse Astronomy’, Culture and Cosmos, 16.1 and 2 (2012), pp. 119–30.","dontUpdate":true,"noteIndex":9},"citationItems":[{"id":147,"uris":["http://zotero.org/users/16253413/items/3NKKM3LD"],"itemData":{"id":147,"type":"article-journal","container-title":"Culture and Cosmos","issue":"1 and 2","page":"119-130","title":"A Systematic Re-evaluation of the Sources of Old Norse Astronomy","volume":"16","author":[{"family":"Etheridge","given":"Christian"}],"issued":{"date-parts":[["2012"]]}}}],"schema":"https://github.com/citation-style-language/schema/raw/master/csl-citation.json"}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 xml:space="preserve">Christian Etheridge, "A Systematic Re-Evaluation of the Sources of Old Norse Astronomy," </w:t>
      </w:r>
      <w:r w:rsidRPr="00057212">
        <w:rPr>
          <w:rFonts w:ascii="Times New Roman" w:hAnsi="Times New Roman" w:cs="Times New Roman"/>
          <w:i/>
          <w:iCs/>
        </w:rPr>
        <w:t>Culture and Cosmos</w:t>
      </w:r>
      <w:r w:rsidRPr="00057212">
        <w:rPr>
          <w:rFonts w:ascii="Times New Roman" w:hAnsi="Times New Roman" w:cs="Times New Roman"/>
        </w:rPr>
        <w:t>, 16.1 and 2 (2012), pp. 119–30.</w:t>
      </w:r>
      <w:r w:rsidRPr="00057212">
        <w:rPr>
          <w:rFonts w:ascii="Times New Roman" w:hAnsi="Times New Roman" w:cs="Times New Roman"/>
        </w:rPr>
        <w:fldChar w:fldCharType="end"/>
      </w:r>
    </w:p>
  </w:footnote>
  <w:footnote w:id="10">
    <w:p w14:paraId="0FEECA2D"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{"citationID":"vyBtJmLR","properties":{"formattedCitation":"Cohen, \\uc0\\u8216{}What Do the Gods Call the Sky?  Naming the Celestial in Old Norse\\uc0\\u8217{}, p. 32.","plainCitation":"Cohen, ‘What Do the Gods Call the Sky?  Naming the Celestial in Old Norse’, p. 32.","noteIndex":10},"citationItems":[{"id":143,"uris":["http://zotero.org/users/16253413/items/2BWS94NJ"],"itemData":{"id":143,"type":"article-journal","container-title":"Culture and Cosmos","issue":"1 and 2","page":"27-36","title":"What Do the Gods Call the Sky?  Naming the Celestial in Old Norse","volume":"24","author":[{"family":"Cohen","given":"Signe"}],"issued":{"date-parts":[["2020"]]}},"locator":"32","label":"page"}],"schema":"https://github.com/citation-style-language/schema/raw/master/csl-citation.json"}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Cohen, "What Do the Gods Call the Sky?  Naming the Celestial in Old Norse," p. 32.</w:t>
      </w:r>
      <w:r w:rsidRPr="00057212">
        <w:rPr>
          <w:rFonts w:ascii="Times New Roman" w:hAnsi="Times New Roman" w:cs="Times New Roman"/>
        </w:rPr>
        <w:fldChar w:fldCharType="end"/>
      </w:r>
    </w:p>
  </w:footnote>
  <w:footnote w:id="11">
    <w:p w14:paraId="56CED1F3"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 32.</w:t>
      </w:r>
    </w:p>
  </w:footnote>
  <w:footnote w:id="12">
    <w:p w14:paraId="57593A8E"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{"citationID":"BvHuFC36","properties":{"formattedCitation":"G\\uc0\\u237{}sli Sigur\\uc0\\u240{}sson, \\uc0\\u8216{}How Gylfi\\uc0\\u8217{}s Illusion Breathes Life into the Sky\\uc0\\u8217{}, {\\i{}Religionsvidenskabeligt Tidsskrift}, no. 74 (2022), pp. 231\\uc0\\u8211{}46 (p. 244).","plainCitation":"Gísli Sigurðsson, ‘How Gylfi’s Illusion Breathes Life into the Sky’, Religionsvidenskabeligt Tidsskrift, no. 74 (2022), pp. 231–46 (p. 244).","dontUpdate":true,"noteIndex":12},"citationItems":[{"id":148,"uris":["http://zotero.org/users/16253413/items/HQA2I3KE"],"itemData":{"id":148,"type":"article-journal","container-title":"Religionsvidenskabeligt Tidsskrift","issue":"74","page":"231-246","title":"How Gylfi’s Illusion Breathes Life into the Sky","author":[{"family":"Sigurðsson","given":"Gísli"}],"issued":{"date-parts":[["2022"]]}},"locator":"244","label":"page"}],"schema":"https://github.com/citation-style-language/schema/raw/master/csl-citation.json"}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 xml:space="preserve">Gísli Sigurðsson, "How Gylfi’s Illusion Breathes Life into the Sky," </w:t>
      </w:r>
      <w:r w:rsidRPr="00057212">
        <w:rPr>
          <w:rFonts w:ascii="Times New Roman" w:hAnsi="Times New Roman" w:cs="Times New Roman"/>
          <w:i/>
          <w:iCs/>
        </w:rPr>
        <w:t>Religionsvidenskabeligt Tidsskrift</w:t>
      </w:r>
      <w:r w:rsidRPr="00057212">
        <w:rPr>
          <w:rFonts w:ascii="Times New Roman" w:hAnsi="Times New Roman" w:cs="Times New Roman"/>
        </w:rPr>
        <w:t>, no. 74 (2022), p. 244.</w:t>
      </w:r>
      <w:r w:rsidRPr="00057212">
        <w:rPr>
          <w:rFonts w:ascii="Times New Roman" w:hAnsi="Times New Roman" w:cs="Times New Roman"/>
        </w:rPr>
        <w:fldChar w:fldCharType="end"/>
      </w:r>
    </w:p>
  </w:footnote>
  <w:footnote w:id="13">
    <w:p w14:paraId="15284D47"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{"citationID":"nFoH9ZXN","properties":{"formattedCitation":"Morag Feeney Beaton, \\uc0\\u8216{}Altair and Vega, the Cowherd and the Weaver Girl, an Analysis of a Living Sky-Myth\\uc0\\u8217{}, {\\i{}Culture and Cosmos}, 24.1 and 2 (2020), pp. 55\\uc0\\u8211{}72.","plainCitation":"Morag Feeney Beaton, ‘Altair and Vega, the Cowherd and the Weaver Girl, an Analysis of a Living Sky-Myth’, Culture and Cosmos, 24.1 and 2 (2020), pp. 55–72.","dontUpdate":true,"noteIndex":13},"citationItems":[{"id":144,"uris":["http://zotero.org/users/16253413/items/6R4DUZUY"],"itemData":{"id":144,"type":"article-journal","container-title":"Culture and Cosmos","issue":"1 and 2","page":"55-72","title":"Altair and Vega, the Cowherd and the Weaver Girl, an Analysis of a Living Sky-Myth","volume":"24","author":[{"family":"Beaton","given":"Morag Feeney"}],"issued":{"date-parts":[["2020"]]}}}],"schema":"https://github.com/citation-style-language/schema/raw/master/csl-citation.json"}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 xml:space="preserve">Morag Feeney Beaton, "Altair and Vega, the Cowherd and the Weaver Girl, an Analysis of a Living Sky-Myth," </w:t>
      </w:r>
      <w:r w:rsidRPr="00057212">
        <w:rPr>
          <w:rFonts w:ascii="Times New Roman" w:hAnsi="Times New Roman" w:cs="Times New Roman"/>
          <w:i/>
          <w:iCs/>
        </w:rPr>
        <w:t>Culture and Cosmos</w:t>
      </w:r>
      <w:r w:rsidRPr="00057212">
        <w:rPr>
          <w:rFonts w:ascii="Times New Roman" w:hAnsi="Times New Roman" w:cs="Times New Roman"/>
        </w:rPr>
        <w:t>, 24.1 and 2 (2020), pp. 55–72.</w:t>
      </w:r>
      <w:r w:rsidRPr="00057212">
        <w:rPr>
          <w:rFonts w:ascii="Times New Roman" w:hAnsi="Times New Roman" w:cs="Times New Roman"/>
        </w:rPr>
        <w:fldChar w:fldCharType="end"/>
      </w:r>
    </w:p>
  </w:footnote>
  <w:footnote w:id="14">
    <w:p w14:paraId="462961A7" w14:textId="77777777" w:rsidR="003631FD" w:rsidRPr="00E72525" w:rsidRDefault="003631FD" w:rsidP="003631FD">
      <w:pPr>
        <w:pStyle w:val="FootnoteText"/>
        <w:rPr>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pp. 55-56.</w:t>
      </w:r>
    </w:p>
  </w:footnote>
  <w:footnote w:id="15">
    <w:p w14:paraId="3C941ABC"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 56.</w:t>
      </w:r>
    </w:p>
  </w:footnote>
  <w:footnote w:id="16">
    <w:p w14:paraId="18D27AB0"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pp. 55-56.</w:t>
      </w:r>
    </w:p>
  </w:footnote>
  <w:footnote w:id="17">
    <w:p w14:paraId="5DB963FD"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 61.</w:t>
      </w:r>
    </w:p>
  </w:footnote>
  <w:footnote w:id="18">
    <w:p w14:paraId="2C3DC7A3"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 72.</w:t>
      </w:r>
    </w:p>
  </w:footnote>
  <w:footnote w:id="19">
    <w:p w14:paraId="5920932D"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{"citationID":"VSKvnRct","properties":{"formattedCitation":"David W. Pankenier, \\uc0\\u8216{}The Astronomical Origin of China\\uc0\\u8217{}s \\uc0\\u8220{}Weaving Maid and Oxherd\\uc0\\u8221{} Fable\\uc0\\u8217{}, {\\i{}Journal of Astronomical History and Heritage}, 28.1 (2025), pp. 212\\uc0\\u8211{}18 (p. 213).","plainCitation":"David W. Pankenier, ‘The Astronomical Origin of China’s “Weaving Maid and Oxherd” Fable’, Journal of Astronomical History and Heritage, 28.1 (2025), pp. 212–18 (p. 213).","noteIndex":19},"citationItems":[{"id":149,"uris":["http://zotero.org/users/16253413/items/GZC8MHC2"],"itemData":{"id":149,"type":"article-journal","container-title":"Journal of Astronomical History and Heritage","issue":"1","page":"212-218","title":"The Astronomical Origin of China's \"Weaving Maid and Oxherd\" Fable","volume":"28","author":[{"family":"Pankenier","given":"David W."}],"issued":{"date-parts":[["2025"]]}},"locator":"213","label":"page"}],"schema":"https://github.com/citation-style-language/schema/raw/master/csl-citation.json"}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 xml:space="preserve">David W. Pankenier, ‘The Astronomical Origin of China’s “Weaving Maid and Oxherd” Fable’, </w:t>
      </w:r>
      <w:r w:rsidRPr="00057212">
        <w:rPr>
          <w:rFonts w:ascii="Times New Roman" w:hAnsi="Times New Roman" w:cs="Times New Roman"/>
          <w:i/>
          <w:iCs/>
        </w:rPr>
        <w:t>Journal of Astronomical History and Heritage</w:t>
      </w:r>
      <w:r w:rsidRPr="00057212">
        <w:rPr>
          <w:rFonts w:ascii="Times New Roman" w:hAnsi="Times New Roman" w:cs="Times New Roman"/>
        </w:rPr>
        <w:t>, 28.1 (2025), pp. 212–18 (p. 213).</w:t>
      </w:r>
      <w:r w:rsidRPr="00057212">
        <w:rPr>
          <w:rFonts w:ascii="Times New Roman" w:hAnsi="Times New Roman" w:cs="Times New Roman"/>
        </w:rPr>
        <w:fldChar w:fldCharType="end"/>
      </w:r>
    </w:p>
  </w:footnote>
  <w:footnote w:id="20">
    <w:p w14:paraId="51BB12D1" w14:textId="77777777" w:rsidR="003631FD" w:rsidRPr="00404B16" w:rsidRDefault="003631FD" w:rsidP="003631FD">
      <w:pPr>
        <w:pStyle w:val="FootnoteText"/>
        <w:rPr>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{"citationID":"rFX0jatM","properties":{"formattedCitation":"Beaton, \\uc0\\u8216{}Altair and Vega, the Cowherd and the Weaver Girl, an Analysis of a Living Sky-Myth\\uc0\\u8217{}, p. 61.","plainCitation":"Beaton, ‘Altair and Vega, the Cowherd and the Weaver Girl, an Analysis of a Living Sky-Myth’, p. 61.","noteIndex":20},"citationItems":[{"id":144,"uris":["http://zotero.org/users/16253413/items/6R4DUZUY"],"itemData":{"id":144,"type":"article-journal","container-title":"Culture and Cosmos","issue":"1 and 2","page":"55-72","title":"Altair and Vega, the Cowherd and the Weaver Girl, an Analysis of a Living Sky-Myth","volume":"24","author":[{"family":"Beaton","given":"Morag Feeney"}],"issued":{"date-parts":[["2020"]]}},"locator":"61","label":"page"}],"schema":"https://github.com/citation-style-language/schema/raw/master/csl-citation.json"}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Beaton, "Altair and Vega, the Cowherd and the Weaver Girl, an Analysis of a Living Sky-Myth," p. 61.</w:t>
      </w:r>
      <w:r w:rsidRPr="00057212">
        <w:rPr>
          <w:rFonts w:ascii="Times New Roman" w:hAnsi="Times New Roman" w:cs="Times New Roman"/>
        </w:rPr>
        <w:fldChar w:fldCharType="end"/>
      </w:r>
    </w:p>
  </w:footnote>
  <w:footnote w:id="21">
    <w:p w14:paraId="10CDC43B"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lang w:val="en-GB"/>
        </w:rPr>
        <w:t>Ibid. pp. 63-64.</w:t>
      </w:r>
    </w:p>
  </w:footnote>
  <w:footnote w:id="22">
    <w:p w14:paraId="40EDB8EA" w14:textId="77777777" w:rsidR="003631FD" w:rsidRPr="00FC63D9" w:rsidRDefault="003631FD" w:rsidP="003631FD">
      <w:pPr>
        <w:pStyle w:val="FootnoteText"/>
        <w:rPr>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{"citationID":"8WvumZ2b","properties":{"formattedCitation":"Brady, \\uc0\\u8216{}Editorial: The Talking Sky\\uc0\\u8217{}, p. 2.","plainCitation":"Brady, ‘Editorial: The Talking Sky’, p. 2.","noteIndex":22},"citationItems":[{"id":146,"uris":["http://zotero.org/users/16253413/items/GNMZJ5HB"],"itemData":{"id":146,"type":"article-journal","container-title":"Culture and Cosmos","issue":"1 and 2","page":"1-8","title":"Editorial: The Talking Sky","volume":"20","author":[{"family":"Brady","given":"Bernadette"}],"issued":{"date-parts":[["2020"]]}},"locator":"2","label":"page"}],"schema":"https://github.com/citation-style-language/schema/raw/master/csl-citation.json"}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Brady, "Editorial: The Talking Sky," p. 2.</w:t>
      </w:r>
      <w:r w:rsidRPr="00057212">
        <w:rPr>
          <w:rFonts w:ascii="Times New Roman" w:hAnsi="Times New Roman" w:cs="Times New Roman"/>
        </w:rPr>
        <w:fldChar w:fldCharType="end"/>
      </w:r>
    </w:p>
  </w:footnote>
  <w:footnote w:id="23">
    <w:p w14:paraId="7ADBCCA9"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{"citationID":"JuINtPhd","properties":{"formattedCitation":"Etheridge, \\uc0\\u8216{}A Systematic Re-Evaluation of the Sources of Old Norse Astronomy\\uc0\\u8217{}.","plainCitation":"Etheridge, ‘A Systematic Re-Evaluation of the Sources of Old Norse Astronomy’.","noteIndex":23},"citationItems":[{"id":147,"uris":["http://zotero.org/users/16253413/items/3NKKM3LD"],"itemData":{"id":147,"type":"article-journal","container-title":"Culture and Cosmos","issue":"1 and 2","page":"119-130","title":"A Systematic Re-evaluation of the Sources of Old Norse Astronomy","volume":"16","author":[{"family":"Etheridge","given":"Christian"}],"issued":{"date-parts":[["2012"]]}}}],"schema":"https://github.com/citation-style-language/schema/raw/master/csl-citation.json"}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Etheridge, "A Systematic Re-Evaluation of the Sources of Old Norse Astronomy’.".</w:t>
      </w:r>
      <w:r w:rsidRPr="00057212">
        <w:rPr>
          <w:rFonts w:ascii="Times New Roman" w:hAnsi="Times New Roman" w:cs="Times New Roman"/>
        </w:rPr>
        <w:fldChar w:fldCharType="end"/>
      </w:r>
    </w:p>
  </w:footnote>
  <w:footnote w:id="24">
    <w:p w14:paraId="5D475F90"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{"citationID":"3hZXgQ1E","properties":{"formattedCitation":"Brady, \\uc0\\u8216{}Editorial: The Talking Sky\\uc0\\u8217{}, p. 6.","plainCitation":"Brady, ‘Editorial: The Talking Sky’, p. 6.","noteIndex":24},"citationItems":[{"id":146,"uris":["http://zotero.org/users/16253413/items/GNMZJ5HB"],"itemData":{"id":146,"type":"article-journal","container-title":"Culture and Cosmos","issue":"1 and 2","page":"1-8","title":"Editorial: The Talking Sky","volume":"20","author":[{"family":"Brady","given":"Bernadette"}],"issued":{"date-parts":[["2020"]]}},"locator":"6","label":"page"}],"schema":"https://github.com/citation-style-language/schema/raw/master/csl-citation.json"}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Brady, "Editorial: The Talking Sky," p. 6.</w:t>
      </w:r>
      <w:r w:rsidRPr="00057212">
        <w:rPr>
          <w:rFonts w:ascii="Times New Roman" w:hAnsi="Times New Roman" w:cs="Times New Roman"/>
        </w:rPr>
        <w:fldChar w:fldCharType="end"/>
      </w:r>
    </w:p>
  </w:footnote>
  <w:footnote w:id="25">
    <w:p w14:paraId="1629EE02"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{"citationID":"OkS6GSJI","properties":{"formattedCitation":"Sigur\\uc0\\u240{}sson, \\uc0\\u8216{}How Gylfi\\uc0\\u8217{}s Illusion Breathes Life into the Sky\\uc0\\u8217{}, pp. 237\\uc0\\u8211{}38.","plainCitation":"Sigurðsson, ‘How Gylfi’s Illusion Breathes Life into the Sky’, pp. 237–38.","noteIndex":25},"citationItems":[{"id":148,"uris":["http://zotero.org/users/16253413/items/HQA2I3KE"],"itemData":{"id":148,"type":"article-journal","container-title":"Religionsvidenskabeligt Tidsskrift","issue":"74","page":"231-246","title":"How Gylfi’s Illusion Breathes Life into the Sky","author":[{"family":"Sigurðsson","given":"Gísli"}],"issued":{"date-parts":[["2022"]]}},"locator":"237-238","label":"page"}],"schema":"https://github.com/citation-style-language/schema/raw/master/csl-citation.json"}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Sigurðsson, "How Gylfi’s Illusion Breathes Life into the Sky," pp. 237–38.</w:t>
      </w:r>
      <w:r w:rsidRPr="00057212">
        <w:rPr>
          <w:rFonts w:ascii="Times New Roman" w:hAnsi="Times New Roman" w:cs="Times New Roman"/>
        </w:rPr>
        <w:fldChar w:fldCharType="end"/>
      </w:r>
    </w:p>
  </w:footnote>
  <w:footnote w:id="26">
    <w:p w14:paraId="619C7C45" w14:textId="77777777" w:rsidR="003631FD" w:rsidRPr="00057212" w:rsidRDefault="003631FD" w:rsidP="003631FD">
      <w:pPr>
        <w:pStyle w:val="FootnoteText"/>
        <w:rPr>
          <w:rFonts w:ascii="Times New Roman" w:hAnsi="Times New Roman" w:cs="Times New Roman"/>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{"citationID":"D4eMOSS1","properties":{"formattedCitation":"Pankenier, \\uc0\\u8216{}The Astronomical Origin of China\\uc0\\u8217{}s \\uc0\\u8220{}Weaving Maid and Oxherd\\uc0\\u8221{} Fable\\uc0\\u8217{}, p. 213.","plainCitation":"Pankenier, ‘The Astronomical Origin of China’s “Weaving Maid and Oxherd” Fable’, p. 213.","noteIndex":26},"citationItems":[{"id":149,"uris":["http://zotero.org/users/16253413/items/GZC8MHC2"],"itemData":{"id":149,"type":"article-journal","container-title":"Journal of Astronomical History and Heritage","issue":"1","page":"212-218","title":"The Astronomical Origin of China's \"Weaving Maid and Oxherd\" Fable","volume":"28","author":[{"family":"Pankenier","given":"David W."}],"issued":{"date-parts":[["2025"]]}},"locator":"213","label":"page"}],"schema":"https://github.com/citation-style-language/schema/raw/master/csl-citation.json"}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Pankenier, "The Astronomical Origin of China’s “Weaving Maid and Oxherd” Fable," p. 213.</w:t>
      </w:r>
      <w:r w:rsidRPr="00057212">
        <w:rPr>
          <w:rFonts w:ascii="Times New Roman" w:hAnsi="Times New Roman" w:cs="Times New Roman"/>
        </w:rPr>
        <w:fldChar w:fldCharType="end"/>
      </w:r>
    </w:p>
  </w:footnote>
  <w:footnote w:id="27">
    <w:p w14:paraId="4B585016" w14:textId="77777777" w:rsidR="003631FD" w:rsidRPr="0070689D" w:rsidRDefault="003631FD" w:rsidP="003631FD">
      <w:pPr>
        <w:pStyle w:val="FootnoteText"/>
        <w:rPr>
          <w:lang w:val="en-GB"/>
        </w:rPr>
      </w:pPr>
      <w:r w:rsidRPr="00057212">
        <w:rPr>
          <w:rStyle w:val="FootnoteReference"/>
          <w:rFonts w:ascii="Times New Roman" w:hAnsi="Times New Roman" w:cs="Times New Roman"/>
        </w:rPr>
        <w:footnoteRef/>
      </w:r>
      <w:r w:rsidRPr="00057212">
        <w:rPr>
          <w:rFonts w:ascii="Times New Roman" w:hAnsi="Times New Roman" w:cs="Times New Roman"/>
        </w:rPr>
        <w:t xml:space="preserve"> </w:t>
      </w:r>
      <w:r w:rsidRPr="00057212">
        <w:rPr>
          <w:rFonts w:ascii="Times New Roman" w:hAnsi="Times New Roman" w:cs="Times New Roman"/>
        </w:rPr>
        <w:fldChar w:fldCharType="begin"/>
      </w:r>
      <w:r w:rsidRPr="00057212">
        <w:rPr>
          <w:rFonts w:ascii="Times New Roman" w:hAnsi="Times New Roman" w:cs="Times New Roman"/>
        </w:rPr>
        <w:instrText xml:space="preserve"> ADDIN ZOTERO_ITEM CSL_CITATION {"citationID":"ZE8n7Z25","properties":{"formattedCitation":"Beaton, \\uc0\\u8216{}Altair and Vega, the Cowherd and the Weaver Girl, an Analysis of a Living Sky-Myth\\uc0\\u8217{}, pp. 69\\uc0\\u8211{}72.","plainCitation":"Beaton, ‘Altair and Vega, the Cowherd and the Weaver Girl, an Analysis of a Living Sky-Myth’, pp. 69–72.","noteIndex":27},"citationItems":[{"id":144,"uris":["http://zotero.org/users/16253413/items/6R4DUZUY"],"itemData":{"id":144,"type":"article-journal","container-title":"Culture and Cosmos","issue":"1 and 2","page":"55-72","title":"Altair and Vega, the Cowherd and the Weaver Girl, an Analysis of a Living Sky-Myth","volume":"24","author":[{"family":"Beaton","given":"Morag Feeney"}],"issued":{"date-parts":[["2020"]]}},"locator":"69-72","label":"page"}],"schema":"https://github.com/citation-style-language/schema/raw/master/csl-citation.json"} </w:instrText>
      </w:r>
      <w:r w:rsidRPr="00057212">
        <w:rPr>
          <w:rFonts w:ascii="Times New Roman" w:hAnsi="Times New Roman" w:cs="Times New Roman"/>
        </w:rPr>
        <w:fldChar w:fldCharType="separate"/>
      </w:r>
      <w:r w:rsidRPr="00057212">
        <w:rPr>
          <w:rFonts w:ascii="Times New Roman" w:hAnsi="Times New Roman" w:cs="Times New Roman"/>
        </w:rPr>
        <w:t>Beaton, "Altair and Vega, the Cowherd and the Weaver Girl, an Analysis of a Living Sky-Myth," pp. 69–72.</w:t>
      </w:r>
      <w:r w:rsidRPr="00057212">
        <w:rPr>
          <w:rFonts w:ascii="Times New Roman" w:hAnsi="Times New Roman" w:cs="Times New Roman"/>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FB66A" w14:textId="77777777" w:rsidR="00B728EA" w:rsidRDefault="00B72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D08D5" w14:textId="5A0D09A7" w:rsidR="00E75F88" w:rsidRDefault="00E75F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4C515" w14:textId="77777777" w:rsidR="00B728EA" w:rsidRDefault="00B728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AytDQyNbcwsbS0NDZW0lEKTi0uzszPAykwrAUAkXfA9ywAAAA="/>
  </w:docVars>
  <w:rsids>
    <w:rsidRoot w:val="004142B1"/>
    <w:rsid w:val="00001257"/>
    <w:rsid w:val="00025436"/>
    <w:rsid w:val="000358BB"/>
    <w:rsid w:val="00052C8D"/>
    <w:rsid w:val="000A670A"/>
    <w:rsid w:val="000B2CB1"/>
    <w:rsid w:val="000D6229"/>
    <w:rsid w:val="000F10A1"/>
    <w:rsid w:val="0010574C"/>
    <w:rsid w:val="00115936"/>
    <w:rsid w:val="00116AA9"/>
    <w:rsid w:val="00140FC3"/>
    <w:rsid w:val="0016536B"/>
    <w:rsid w:val="00204949"/>
    <w:rsid w:val="00207E4A"/>
    <w:rsid w:val="00226D2F"/>
    <w:rsid w:val="00237623"/>
    <w:rsid w:val="00254FAA"/>
    <w:rsid w:val="00275E42"/>
    <w:rsid w:val="002B06D7"/>
    <w:rsid w:val="002B3B56"/>
    <w:rsid w:val="002B71BC"/>
    <w:rsid w:val="002C53B9"/>
    <w:rsid w:val="002D7734"/>
    <w:rsid w:val="002E0552"/>
    <w:rsid w:val="002E1B15"/>
    <w:rsid w:val="002F5506"/>
    <w:rsid w:val="002F7F19"/>
    <w:rsid w:val="00300CB1"/>
    <w:rsid w:val="00316F8D"/>
    <w:rsid w:val="00354150"/>
    <w:rsid w:val="003631FD"/>
    <w:rsid w:val="0038334B"/>
    <w:rsid w:val="003A2669"/>
    <w:rsid w:val="0040348E"/>
    <w:rsid w:val="004142B1"/>
    <w:rsid w:val="00434655"/>
    <w:rsid w:val="00471F1F"/>
    <w:rsid w:val="00486A23"/>
    <w:rsid w:val="00497045"/>
    <w:rsid w:val="004A3CBD"/>
    <w:rsid w:val="004B6523"/>
    <w:rsid w:val="004F7595"/>
    <w:rsid w:val="0051774C"/>
    <w:rsid w:val="00523EB4"/>
    <w:rsid w:val="005318D3"/>
    <w:rsid w:val="005425D9"/>
    <w:rsid w:val="00583F0E"/>
    <w:rsid w:val="005979DC"/>
    <w:rsid w:val="005F2A70"/>
    <w:rsid w:val="00601A79"/>
    <w:rsid w:val="006049C2"/>
    <w:rsid w:val="006104D2"/>
    <w:rsid w:val="00634225"/>
    <w:rsid w:val="00645CE5"/>
    <w:rsid w:val="006518FB"/>
    <w:rsid w:val="00665180"/>
    <w:rsid w:val="00692A1F"/>
    <w:rsid w:val="006B4EAA"/>
    <w:rsid w:val="006C4176"/>
    <w:rsid w:val="006C7BD4"/>
    <w:rsid w:val="006E1E73"/>
    <w:rsid w:val="006E7792"/>
    <w:rsid w:val="0071791D"/>
    <w:rsid w:val="00727040"/>
    <w:rsid w:val="00760606"/>
    <w:rsid w:val="007838B0"/>
    <w:rsid w:val="00790505"/>
    <w:rsid w:val="0079680C"/>
    <w:rsid w:val="007A6C86"/>
    <w:rsid w:val="007B067E"/>
    <w:rsid w:val="007B2642"/>
    <w:rsid w:val="007E52E4"/>
    <w:rsid w:val="00802737"/>
    <w:rsid w:val="00803AF1"/>
    <w:rsid w:val="008055B1"/>
    <w:rsid w:val="008110F8"/>
    <w:rsid w:val="0084057E"/>
    <w:rsid w:val="00844860"/>
    <w:rsid w:val="00844F0E"/>
    <w:rsid w:val="00850111"/>
    <w:rsid w:val="008606B1"/>
    <w:rsid w:val="00877FD3"/>
    <w:rsid w:val="008846D9"/>
    <w:rsid w:val="00884E41"/>
    <w:rsid w:val="008C740F"/>
    <w:rsid w:val="00922C4E"/>
    <w:rsid w:val="009534AF"/>
    <w:rsid w:val="009538F7"/>
    <w:rsid w:val="00960AF1"/>
    <w:rsid w:val="009645AF"/>
    <w:rsid w:val="00976AF7"/>
    <w:rsid w:val="00984344"/>
    <w:rsid w:val="00994F78"/>
    <w:rsid w:val="009A3EE8"/>
    <w:rsid w:val="009D157D"/>
    <w:rsid w:val="009D36BC"/>
    <w:rsid w:val="009E4DAB"/>
    <w:rsid w:val="009F0BA6"/>
    <w:rsid w:val="009F2CBE"/>
    <w:rsid w:val="00A04FA2"/>
    <w:rsid w:val="00A14C58"/>
    <w:rsid w:val="00A8262A"/>
    <w:rsid w:val="00A91387"/>
    <w:rsid w:val="00A9258A"/>
    <w:rsid w:val="00A958A3"/>
    <w:rsid w:val="00AD6BD9"/>
    <w:rsid w:val="00AE364A"/>
    <w:rsid w:val="00AE648A"/>
    <w:rsid w:val="00B728EA"/>
    <w:rsid w:val="00B761EC"/>
    <w:rsid w:val="00BA73EF"/>
    <w:rsid w:val="00BE1C0E"/>
    <w:rsid w:val="00C60B0B"/>
    <w:rsid w:val="00C74AF1"/>
    <w:rsid w:val="00C81EDC"/>
    <w:rsid w:val="00C872A7"/>
    <w:rsid w:val="00C909CF"/>
    <w:rsid w:val="00CB5836"/>
    <w:rsid w:val="00CD26C1"/>
    <w:rsid w:val="00D011E9"/>
    <w:rsid w:val="00D069E7"/>
    <w:rsid w:val="00D1056E"/>
    <w:rsid w:val="00D20DBB"/>
    <w:rsid w:val="00D34D0B"/>
    <w:rsid w:val="00D57926"/>
    <w:rsid w:val="00D6604A"/>
    <w:rsid w:val="00DB79E1"/>
    <w:rsid w:val="00E50575"/>
    <w:rsid w:val="00E75F88"/>
    <w:rsid w:val="00EE316A"/>
    <w:rsid w:val="00EE5749"/>
    <w:rsid w:val="00F04F84"/>
    <w:rsid w:val="00F142B6"/>
    <w:rsid w:val="00F16D05"/>
    <w:rsid w:val="00F315FA"/>
    <w:rsid w:val="00F56F13"/>
    <w:rsid w:val="00F62274"/>
    <w:rsid w:val="00FA5B06"/>
    <w:rsid w:val="00FB08B1"/>
    <w:rsid w:val="00FD32ED"/>
    <w:rsid w:val="00FD4FF1"/>
    <w:rsid w:val="00FE47BF"/>
    <w:rsid w:val="00FF7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15:docId w15:val="{43B22290-ACCB-4C80-89F8-78B6EB66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EB4"/>
  </w:style>
  <w:style w:type="paragraph" w:styleId="Heading1">
    <w:name w:val="heading 1"/>
    <w:basedOn w:val="Normal"/>
    <w:next w:val="Normal"/>
    <w:link w:val="Heading1Char"/>
    <w:uiPriority w:val="9"/>
    <w:qFormat/>
    <w:rsid w:val="003631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31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iPriority w:val="99"/>
    <w:unhideWhenUsed/>
    <w:rsid w:val="004142B1"/>
    <w:pPr>
      <w:spacing w:after="0" w:line="240" w:lineRule="auto"/>
    </w:pPr>
    <w:rPr>
      <w:sz w:val="20"/>
      <w:szCs w:val="20"/>
    </w:rPr>
  </w:style>
  <w:style w:type="character" w:customStyle="1" w:styleId="FootnoteTextChar">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character" w:customStyle="1" w:styleId="Heading1Char">
    <w:name w:val="Heading 1 Char"/>
    <w:basedOn w:val="DefaultParagraphFont"/>
    <w:link w:val="Heading1"/>
    <w:uiPriority w:val="9"/>
    <w:rsid w:val="003631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631F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3413</Words>
  <Characters>18607</Characters>
  <Application>Microsoft Office Word</Application>
  <DocSecurity>0</DocSecurity>
  <Lines>262</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francesca cabral</cp:lastModifiedBy>
  <cp:revision>2</cp:revision>
  <dcterms:created xsi:type="dcterms:W3CDTF">2026-04-12T19:26:00Z</dcterms:created>
  <dcterms:modified xsi:type="dcterms:W3CDTF">2026-04-12T19:26:00Z</dcterms:modified>
</cp:coreProperties>
</file>