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55F92" w14:textId="1F5283E9" w:rsidR="004A6A6F" w:rsidRDefault="007E2F62" w:rsidP="00393F40">
      <w:pPr>
        <w:spacing w:line="480" w:lineRule="auto"/>
        <w:ind w:firstLine="720"/>
        <w:jc w:val="center"/>
      </w:pPr>
      <w:r w:rsidRPr="007E2F62">
        <w:t xml:space="preserve">Using the mock eyewitness scenarios conducted during the on-campus sessions, critically evaluate with evidence from theory and research, </w:t>
      </w:r>
      <w:r w:rsidR="00FD1099">
        <w:t xml:space="preserve">the </w:t>
      </w:r>
      <w:r w:rsidRPr="007E2F62">
        <w:t>cognitive factors that can influence eyewitness memory.</w:t>
      </w:r>
    </w:p>
    <w:p w14:paraId="50BA8A25" w14:textId="77777777" w:rsidR="00FD1099" w:rsidRDefault="00FD1099" w:rsidP="00393F40">
      <w:pPr>
        <w:spacing w:line="480" w:lineRule="auto"/>
        <w:ind w:firstLine="720"/>
        <w:jc w:val="center"/>
      </w:pPr>
    </w:p>
    <w:p w14:paraId="0081463E" w14:textId="77777777" w:rsidR="005350A0" w:rsidRDefault="005350A0" w:rsidP="00393F40">
      <w:pPr>
        <w:spacing w:line="480" w:lineRule="auto"/>
        <w:ind w:firstLine="720"/>
        <w:jc w:val="center"/>
      </w:pPr>
    </w:p>
    <w:p w14:paraId="47C09898" w14:textId="77777777" w:rsidR="005350A0" w:rsidRDefault="005350A0" w:rsidP="00393F40">
      <w:pPr>
        <w:spacing w:line="480" w:lineRule="auto"/>
        <w:ind w:firstLine="720"/>
        <w:jc w:val="center"/>
      </w:pPr>
    </w:p>
    <w:p w14:paraId="2E13F49B" w14:textId="77777777" w:rsidR="005350A0" w:rsidRDefault="005350A0" w:rsidP="00393F40">
      <w:pPr>
        <w:spacing w:line="480" w:lineRule="auto"/>
        <w:ind w:firstLine="720"/>
        <w:jc w:val="center"/>
      </w:pPr>
    </w:p>
    <w:p w14:paraId="47111A2F" w14:textId="77777777" w:rsidR="005350A0" w:rsidRDefault="005350A0" w:rsidP="00393F40">
      <w:pPr>
        <w:spacing w:line="480" w:lineRule="auto"/>
        <w:ind w:firstLine="720"/>
        <w:jc w:val="center"/>
      </w:pPr>
    </w:p>
    <w:p w14:paraId="3762A65F" w14:textId="77777777" w:rsidR="005350A0" w:rsidRDefault="005350A0" w:rsidP="00393F40">
      <w:pPr>
        <w:spacing w:line="480" w:lineRule="auto"/>
        <w:ind w:firstLine="720"/>
        <w:jc w:val="center"/>
      </w:pPr>
    </w:p>
    <w:p w14:paraId="2299B4FE" w14:textId="77777777" w:rsidR="005350A0" w:rsidRDefault="005350A0" w:rsidP="00393F40">
      <w:pPr>
        <w:spacing w:line="480" w:lineRule="auto"/>
        <w:ind w:firstLine="720"/>
        <w:jc w:val="center"/>
      </w:pPr>
    </w:p>
    <w:p w14:paraId="78BF6428" w14:textId="77777777" w:rsidR="005350A0" w:rsidRDefault="005350A0" w:rsidP="00393F40">
      <w:pPr>
        <w:spacing w:line="480" w:lineRule="auto"/>
        <w:ind w:firstLine="720"/>
        <w:jc w:val="center"/>
      </w:pPr>
    </w:p>
    <w:p w14:paraId="790251DF" w14:textId="77777777" w:rsidR="005350A0" w:rsidRDefault="005350A0" w:rsidP="00393F40">
      <w:pPr>
        <w:spacing w:line="480" w:lineRule="auto"/>
        <w:ind w:firstLine="720"/>
        <w:jc w:val="center"/>
      </w:pPr>
    </w:p>
    <w:p w14:paraId="029E53E8" w14:textId="77777777" w:rsidR="005350A0" w:rsidRDefault="005350A0" w:rsidP="00393F40">
      <w:pPr>
        <w:spacing w:line="480" w:lineRule="auto"/>
        <w:ind w:firstLine="720"/>
        <w:jc w:val="center"/>
      </w:pPr>
    </w:p>
    <w:p w14:paraId="658E6B50" w14:textId="77777777" w:rsidR="005350A0" w:rsidRDefault="005350A0" w:rsidP="00393F40">
      <w:pPr>
        <w:spacing w:line="480" w:lineRule="auto"/>
        <w:ind w:firstLine="720"/>
        <w:jc w:val="center"/>
      </w:pPr>
    </w:p>
    <w:p w14:paraId="5CFA8BDC" w14:textId="77777777" w:rsidR="005350A0" w:rsidRDefault="005350A0" w:rsidP="00393F40">
      <w:pPr>
        <w:spacing w:line="480" w:lineRule="auto"/>
        <w:ind w:firstLine="720"/>
        <w:jc w:val="center"/>
      </w:pPr>
    </w:p>
    <w:p w14:paraId="78EE3AB2" w14:textId="20353AA7" w:rsidR="005350A0" w:rsidRPr="008D1480" w:rsidRDefault="00F97584" w:rsidP="00393F40">
      <w:pPr>
        <w:spacing w:line="480" w:lineRule="auto"/>
        <w:ind w:firstLine="720"/>
        <w:jc w:val="center"/>
        <w:rPr>
          <w:i/>
          <w:iCs/>
        </w:rPr>
      </w:pPr>
      <w:r w:rsidRPr="008D1480">
        <w:rPr>
          <w:i/>
          <w:iCs/>
        </w:rPr>
        <w:t xml:space="preserve">I confirm that I have not used any AI tools in the research and creation of this assignment. I confirm that I have not presented any </w:t>
      </w:r>
      <w:r w:rsidR="008D1480" w:rsidRPr="008D1480">
        <w:rPr>
          <w:i/>
          <w:iCs/>
        </w:rPr>
        <w:t>AI-generated</w:t>
      </w:r>
      <w:r w:rsidRPr="008D1480">
        <w:rPr>
          <w:i/>
          <w:iCs/>
        </w:rPr>
        <w:t xml:space="preserve"> materials as my own work. I confirm I have copies of my drafts, notes, and other resources I used, which I may be asked to provide in evidence.</w:t>
      </w:r>
    </w:p>
    <w:p w14:paraId="1F4EA28F" w14:textId="77777777" w:rsidR="005350A0" w:rsidRDefault="005350A0" w:rsidP="008D1480">
      <w:pPr>
        <w:spacing w:line="480" w:lineRule="auto"/>
      </w:pPr>
    </w:p>
    <w:p w14:paraId="5D483606" w14:textId="17E09C83" w:rsidR="004A6A6F" w:rsidRPr="00AE68C7" w:rsidRDefault="004A6A6F" w:rsidP="00AE68C7">
      <w:pPr>
        <w:spacing w:line="480" w:lineRule="auto"/>
        <w:ind w:firstLine="720"/>
      </w:pPr>
      <w:r>
        <w:lastRenderedPageBreak/>
        <w:t xml:space="preserve">The purpose of this essay is to explore the cognitive mechanisms underpinning eyewitness memory (EWM) and to provide contemporary and empirical literature on their validity and </w:t>
      </w:r>
      <w:r w:rsidRPr="002F2CA3">
        <w:t>implications. EWM is the memory of firsthand events and is crucial for policing and the courts</w:t>
      </w:r>
      <w:r w:rsidR="00512D7F" w:rsidRPr="002F2CA3">
        <w:t xml:space="preserve"> </w:t>
      </w:r>
      <w:r w:rsidR="00A153DB" w:rsidRPr="002F2CA3">
        <w:t>(Lane &amp; Huston</w:t>
      </w:r>
      <w:r w:rsidR="0096214E" w:rsidRPr="002F2CA3">
        <w:t>, 2019)</w:t>
      </w:r>
      <w:r w:rsidRPr="002F2CA3">
        <w:t xml:space="preserve">. However, much of the research on EWM suggests that its accuracy varies, </w:t>
      </w:r>
      <w:r w:rsidR="00512D7F" w:rsidRPr="002F2CA3">
        <w:t xml:space="preserve">with </w:t>
      </w:r>
      <w:r w:rsidRPr="002F2CA3">
        <w:t>studies explor</w:t>
      </w:r>
      <w:r w:rsidR="00512D7F" w:rsidRPr="002F2CA3">
        <w:t>ing the</w:t>
      </w:r>
      <w:r w:rsidRPr="002F2CA3">
        <w:t xml:space="preserve"> various factors that </w:t>
      </w:r>
      <w:r w:rsidR="00512D7F" w:rsidRPr="002F2CA3">
        <w:t xml:space="preserve">may </w:t>
      </w:r>
      <w:r w:rsidRPr="002F2CA3">
        <w:t xml:space="preserve">influence </w:t>
      </w:r>
      <w:r w:rsidR="002F53F4" w:rsidRPr="002F2CA3">
        <w:t xml:space="preserve">EWM </w:t>
      </w:r>
      <w:r w:rsidR="00557654" w:rsidRPr="002F2CA3">
        <w:t>(Battista et al.,</w:t>
      </w:r>
      <w:r w:rsidR="00513D3D" w:rsidRPr="002F2CA3">
        <w:t xml:space="preserve"> 2024)</w:t>
      </w:r>
      <w:r w:rsidRPr="002F2CA3">
        <w:t>.</w:t>
      </w:r>
      <w:r w:rsidR="00513D3D" w:rsidRPr="002F2CA3">
        <w:t xml:space="preserve"> </w:t>
      </w:r>
      <w:r w:rsidRPr="002F2CA3">
        <w:t>Wells (1978) proposes that both uncontrolled and controlled factors influence EWM, with uncontrolled factors being items from the environment and/or a witness's characteristics, i.e., stress, exposure duration and time lapse, while controlled variables are items that the justice system controls, which influence EWM, i.e., lineup procedures, and questioning techniques. These factors influence EWM at the cognitive level by interfering with either how memories are encoded, stored or retrieved</w:t>
      </w:r>
      <w:r w:rsidR="002F53F4" w:rsidRPr="002F2CA3">
        <w:t xml:space="preserve"> </w:t>
      </w:r>
      <w:r w:rsidR="0096214E" w:rsidRPr="002F2CA3">
        <w:t>(Lane &amp; Huston, 2019).</w:t>
      </w:r>
      <w:r w:rsidRPr="002F2CA3">
        <w:t xml:space="preserve"> </w:t>
      </w:r>
      <w:r>
        <w:t xml:space="preserve">This essay will explore </w:t>
      </w:r>
      <w:r w:rsidR="00E56189">
        <w:t xml:space="preserve">the </w:t>
      </w:r>
      <w:r w:rsidR="00CF37E3">
        <w:t xml:space="preserve">impact of exposure duration </w:t>
      </w:r>
      <w:r w:rsidR="00AE68C7">
        <w:t>on</w:t>
      </w:r>
      <w:r>
        <w:t xml:space="preserve"> EWM</w:t>
      </w:r>
      <w:r w:rsidR="00CF37E3">
        <w:t>.</w:t>
      </w:r>
      <w:r>
        <w:t xml:space="preserve"> While </w:t>
      </w:r>
      <w:r>
        <w:rPr>
          <w:lang w:val="en-US"/>
        </w:rPr>
        <w:t xml:space="preserve">multiple factors can influence eyewitness testimony, this essay will focus on the </w:t>
      </w:r>
      <w:r w:rsidR="00AE68C7">
        <w:rPr>
          <w:lang w:val="en-US"/>
        </w:rPr>
        <w:t xml:space="preserve">selected </w:t>
      </w:r>
      <w:r>
        <w:rPr>
          <w:lang w:val="en-US"/>
        </w:rPr>
        <w:t xml:space="preserve">factor, as I can draw connections between </w:t>
      </w:r>
      <w:r w:rsidR="00AE68C7">
        <w:rPr>
          <w:lang w:val="en-US"/>
        </w:rPr>
        <w:t>it and the class activity to demonstrate its applied impact in a mock scenario and its</w:t>
      </w:r>
      <w:r>
        <w:rPr>
          <w:lang w:val="en-US"/>
        </w:rPr>
        <w:t xml:space="preserve"> real-world impact.</w:t>
      </w:r>
    </w:p>
    <w:p w14:paraId="1A72A266" w14:textId="47D26749" w:rsidR="004A6A6F" w:rsidRDefault="004A6A6F" w:rsidP="00393F40">
      <w:pPr>
        <w:spacing w:line="480" w:lineRule="auto"/>
        <w:ind w:firstLine="720"/>
        <w:rPr>
          <w:lang w:val="en-US"/>
        </w:rPr>
      </w:pPr>
      <w:r>
        <w:t xml:space="preserve">This essay will also draw on </w:t>
      </w:r>
      <w:r w:rsidR="0008312E">
        <w:t>the</w:t>
      </w:r>
      <w:r>
        <w:t xml:space="preserve"> in-class activities. The first session took place on 02/02/2026 and required students to be paired, each taking on the role of either </w:t>
      </w:r>
      <w:r w:rsidRPr="00757334">
        <w:rPr>
          <w:lang w:val="en-US"/>
        </w:rPr>
        <w:t>the eyewitnesses or the investigator. The investigators left the room, and all the eyewitnesses were instructed to view the same image for no longer than 30 seconds. Following this, the eyewitnesses entered an interview room shortly followed by their partnered investigator. The investigator was instructed to ask only the following question: “</w:t>
      </w:r>
      <w:r w:rsidRPr="00757334">
        <w:rPr>
          <w:i/>
          <w:iCs/>
          <w:lang w:val="en-US"/>
        </w:rPr>
        <w:t>What did you see in the event?”</w:t>
      </w:r>
      <w:r w:rsidRPr="00757334">
        <w:rPr>
          <w:lang w:val="en-US"/>
        </w:rPr>
        <w:t xml:space="preserve"> The eyewitnesses responded with a detailed description of the image, while the investigator took notes. In total, this section took 15 </w:t>
      </w:r>
      <w:r w:rsidRPr="00757334">
        <w:rPr>
          <w:lang w:val="en-US"/>
        </w:rPr>
        <w:lastRenderedPageBreak/>
        <w:t>minutes to complete. Following this, each investigator's notes were read aloud, exposing the eyewitnesses to one another's statements, with similarities and differences noted. The second session took place a week later, on 9/02/2026. In this</w:t>
      </w:r>
      <w:r>
        <w:rPr>
          <w:lang w:val="en-US"/>
        </w:rPr>
        <w:t xml:space="preserve"> scenario,</w:t>
      </w:r>
      <w:r w:rsidRPr="00757334">
        <w:rPr>
          <w:lang w:val="en-US"/>
        </w:rPr>
        <w:t xml:space="preserve"> </w:t>
      </w:r>
      <w:r>
        <w:rPr>
          <w:lang w:val="en-US"/>
        </w:rPr>
        <w:t>t</w:t>
      </w:r>
      <w:r w:rsidRPr="00757334">
        <w:rPr>
          <w:lang w:val="en-US"/>
        </w:rPr>
        <w:t xml:space="preserve">he detectives from week 1 were asked to </w:t>
      </w:r>
      <w:r>
        <w:rPr>
          <w:lang w:val="en-US"/>
        </w:rPr>
        <w:t>identify the suspect and explain</w:t>
      </w:r>
      <w:r w:rsidRPr="00757334">
        <w:rPr>
          <w:lang w:val="en-US"/>
        </w:rPr>
        <w:t xml:space="preserve"> why they chose that suspect. Overwhelmingly suspect number C was chosen. A lot of this was down to the “</w:t>
      </w:r>
      <w:proofErr w:type="gramStart"/>
      <w:r w:rsidRPr="00757334">
        <w:rPr>
          <w:lang w:val="en-US"/>
        </w:rPr>
        <w:t>grey-blue</w:t>
      </w:r>
      <w:proofErr w:type="gramEnd"/>
      <w:r w:rsidRPr="00757334">
        <w:rPr>
          <w:lang w:val="en-US"/>
        </w:rPr>
        <w:t>” jumper description provided by the eyewitnesses, as this suspect was the only individual wearing a jumper which could be considered both blue and grey.</w:t>
      </w:r>
    </w:p>
    <w:p w14:paraId="00EA727D" w14:textId="5AB8ADB4" w:rsidR="007F4B00" w:rsidRPr="002F2CA3" w:rsidRDefault="00D43782" w:rsidP="00393F40">
      <w:pPr>
        <w:spacing w:line="480" w:lineRule="auto"/>
        <w:ind w:firstLine="720"/>
      </w:pPr>
      <w:r w:rsidRPr="002F2CA3">
        <w:rPr>
          <w:lang w:val="en-US"/>
        </w:rPr>
        <w:t>The initial stage of memory formation is encoding</w:t>
      </w:r>
      <w:r w:rsidR="00512D7F" w:rsidRPr="002F2CA3">
        <w:rPr>
          <w:lang w:val="en-US"/>
        </w:rPr>
        <w:t xml:space="preserve"> </w:t>
      </w:r>
      <w:r w:rsidR="00512D7F" w:rsidRPr="002F2CA3">
        <w:t>(Hultsch &amp; Pentz, 2014)</w:t>
      </w:r>
      <w:r w:rsidRPr="002F2CA3">
        <w:rPr>
          <w:lang w:val="en-US"/>
        </w:rPr>
        <w:t xml:space="preserve">. This can be defined as translating information from the environment into stored knowledge, which can be accessed later </w:t>
      </w:r>
      <w:r w:rsidR="00A0589A" w:rsidRPr="002F2CA3">
        <w:t>(Hultsch &amp; Pentz, 2014)</w:t>
      </w:r>
      <w:r w:rsidRPr="002F2CA3">
        <w:rPr>
          <w:lang w:val="en-US"/>
        </w:rPr>
        <w:t xml:space="preserve">. In the context of eyewitness memory and suspect identification, one perspective holds that the quality of the memory depends on how long the victim </w:t>
      </w:r>
      <w:r w:rsidR="003A42FD" w:rsidRPr="002F2CA3">
        <w:rPr>
          <w:lang w:val="en-US"/>
        </w:rPr>
        <w:t>observed</w:t>
      </w:r>
      <w:r w:rsidRPr="002F2CA3">
        <w:rPr>
          <w:lang w:val="en-US"/>
        </w:rPr>
        <w:t xml:space="preserve"> the perpetrator during the event </w:t>
      </w:r>
      <w:r w:rsidR="00EC1E9C" w:rsidRPr="002F2CA3">
        <w:rPr>
          <w:lang w:val="en-US"/>
        </w:rPr>
        <w:t>(</w:t>
      </w:r>
      <w:r w:rsidR="00EC1E9C" w:rsidRPr="002F2CA3">
        <w:t>Wells &amp; Loftus, 2003)</w:t>
      </w:r>
      <w:r w:rsidRPr="002F2CA3">
        <w:rPr>
          <w:lang w:val="en-US"/>
        </w:rPr>
        <w:t xml:space="preserve">. </w:t>
      </w:r>
      <w:r w:rsidR="007F4B00" w:rsidRPr="002F2CA3">
        <w:rPr>
          <w:lang w:val="en-US"/>
        </w:rPr>
        <w:t xml:space="preserve">Longer exposure </w:t>
      </w:r>
      <w:r w:rsidR="00237D55" w:rsidRPr="002F2CA3">
        <w:rPr>
          <w:lang w:val="en-US"/>
        </w:rPr>
        <w:t xml:space="preserve">time provides more opportunity for perceptual </w:t>
      </w:r>
      <w:r w:rsidR="00670E91" w:rsidRPr="002F2CA3">
        <w:rPr>
          <w:lang w:val="en-US"/>
        </w:rPr>
        <w:t xml:space="preserve">details </w:t>
      </w:r>
      <w:r w:rsidR="00082BE1" w:rsidRPr="002F2CA3">
        <w:rPr>
          <w:lang w:val="en-US"/>
        </w:rPr>
        <w:t xml:space="preserve">to be </w:t>
      </w:r>
      <w:r w:rsidR="00883D38" w:rsidRPr="002F2CA3">
        <w:rPr>
          <w:lang w:val="en-US"/>
        </w:rPr>
        <w:t>registered</w:t>
      </w:r>
      <w:r w:rsidR="002C4902" w:rsidRPr="002F2CA3">
        <w:rPr>
          <w:lang w:val="en-US"/>
        </w:rPr>
        <w:t xml:space="preserve">, increasing the </w:t>
      </w:r>
      <w:r w:rsidR="008B422F" w:rsidRPr="002F2CA3">
        <w:rPr>
          <w:lang w:val="en-US"/>
        </w:rPr>
        <w:t xml:space="preserve">likelihood that a stable memory trace will form </w:t>
      </w:r>
      <w:r w:rsidR="008878FB" w:rsidRPr="002F2CA3">
        <w:t>(</w:t>
      </w:r>
      <w:proofErr w:type="spellStart"/>
      <w:r w:rsidR="008878FB" w:rsidRPr="002F2CA3">
        <w:t>Schonbach</w:t>
      </w:r>
      <w:proofErr w:type="spellEnd"/>
      <w:r w:rsidR="008878FB" w:rsidRPr="002F2CA3">
        <w:t>-Medina &amp; Vakil, 2017)</w:t>
      </w:r>
      <w:r w:rsidR="008B422F" w:rsidRPr="002F2CA3">
        <w:rPr>
          <w:lang w:val="en-US"/>
        </w:rPr>
        <w:t>.</w:t>
      </w:r>
      <w:r w:rsidR="003A42FD" w:rsidRPr="002F2CA3">
        <w:rPr>
          <w:lang w:val="en-US"/>
        </w:rPr>
        <w:t xml:space="preserve"> A memory trac</w:t>
      </w:r>
      <w:r w:rsidR="00F04C34" w:rsidRPr="002F2CA3">
        <w:rPr>
          <w:lang w:val="en-US"/>
        </w:rPr>
        <w:t xml:space="preserve">e is the initial imprinting of the event, </w:t>
      </w:r>
      <w:r w:rsidR="00F04A58" w:rsidRPr="002F2CA3">
        <w:rPr>
          <w:lang w:val="en-US"/>
        </w:rPr>
        <w:t xml:space="preserve">initially </w:t>
      </w:r>
      <w:r w:rsidR="00F04C34" w:rsidRPr="002F2CA3">
        <w:rPr>
          <w:lang w:val="en-US"/>
        </w:rPr>
        <w:t>fragile</w:t>
      </w:r>
      <w:r w:rsidR="00366244" w:rsidRPr="002F2CA3">
        <w:rPr>
          <w:lang w:val="en-US"/>
        </w:rPr>
        <w:t xml:space="preserve"> but stabilising</w:t>
      </w:r>
      <w:r w:rsidR="0086524B" w:rsidRPr="002F2CA3">
        <w:rPr>
          <w:lang w:val="en-US"/>
        </w:rPr>
        <w:t xml:space="preserve"> with </w:t>
      </w:r>
      <w:r w:rsidR="00276FAC" w:rsidRPr="002F2CA3">
        <w:rPr>
          <w:lang w:val="en-US"/>
        </w:rPr>
        <w:t>more</w:t>
      </w:r>
      <w:r w:rsidR="0086524B" w:rsidRPr="002F2CA3">
        <w:rPr>
          <w:lang w:val="en-US"/>
        </w:rPr>
        <w:t xml:space="preserve"> information</w:t>
      </w:r>
      <w:r w:rsidR="007D2E3F" w:rsidRPr="002F2CA3">
        <w:rPr>
          <w:lang w:val="en-US"/>
        </w:rPr>
        <w:t xml:space="preserve"> </w:t>
      </w:r>
      <w:r w:rsidR="005C113D" w:rsidRPr="002F2CA3">
        <w:rPr>
          <w:lang w:val="en-US"/>
        </w:rPr>
        <w:t>(</w:t>
      </w:r>
      <w:r w:rsidR="005C113D" w:rsidRPr="002F2CA3">
        <w:t>De Brigard, 2014)</w:t>
      </w:r>
      <w:r w:rsidR="00366244" w:rsidRPr="002F2CA3">
        <w:rPr>
          <w:lang w:val="en-US"/>
        </w:rPr>
        <w:t xml:space="preserve">. </w:t>
      </w:r>
      <w:r w:rsidR="007D2E3F" w:rsidRPr="002F2CA3">
        <w:rPr>
          <w:lang w:val="en-US"/>
        </w:rPr>
        <w:t>When exposure is brief, the memory trace</w:t>
      </w:r>
      <w:r w:rsidR="00855144" w:rsidRPr="002F2CA3">
        <w:rPr>
          <w:lang w:val="en-US"/>
        </w:rPr>
        <w:t xml:space="preserve"> can be weak, making </w:t>
      </w:r>
      <w:r w:rsidR="00D046E1" w:rsidRPr="002F2CA3">
        <w:rPr>
          <w:lang w:val="en-US"/>
        </w:rPr>
        <w:t>suspect ID difficult</w:t>
      </w:r>
      <w:r w:rsidR="00EC1E9C" w:rsidRPr="002F2CA3">
        <w:rPr>
          <w:lang w:val="en-US"/>
        </w:rPr>
        <w:t xml:space="preserve"> (</w:t>
      </w:r>
      <w:r w:rsidR="00EC1E9C" w:rsidRPr="002F2CA3">
        <w:t>Wells &amp; Loftus, 2003)</w:t>
      </w:r>
      <w:r w:rsidR="00D046E1" w:rsidRPr="002F2CA3">
        <w:rPr>
          <w:lang w:val="en-US"/>
        </w:rPr>
        <w:t xml:space="preserve">. Conversely, when exposure is </w:t>
      </w:r>
      <w:r w:rsidR="00730B8D" w:rsidRPr="002F2CA3">
        <w:rPr>
          <w:lang w:val="en-US"/>
        </w:rPr>
        <w:t xml:space="preserve">extended, </w:t>
      </w:r>
      <w:r w:rsidR="008C55A9" w:rsidRPr="002F2CA3">
        <w:rPr>
          <w:lang w:val="en-US"/>
        </w:rPr>
        <w:t xml:space="preserve">the memory has </w:t>
      </w:r>
      <w:r w:rsidR="00730B8D" w:rsidRPr="002F2CA3">
        <w:rPr>
          <w:lang w:val="en-US"/>
        </w:rPr>
        <w:t>more time to develop, allowing perpetrator details to be encoded with greater</w:t>
      </w:r>
      <w:r w:rsidR="00A85780" w:rsidRPr="002F2CA3">
        <w:rPr>
          <w:lang w:val="en-US"/>
        </w:rPr>
        <w:t xml:space="preserve"> clarity</w:t>
      </w:r>
      <w:r w:rsidR="00730B8D" w:rsidRPr="002F2CA3">
        <w:rPr>
          <w:lang w:val="en-US"/>
        </w:rPr>
        <w:t xml:space="preserve"> </w:t>
      </w:r>
      <w:r w:rsidR="00EA2070" w:rsidRPr="002F2CA3">
        <w:rPr>
          <w:lang w:val="en-US"/>
        </w:rPr>
        <w:t>(</w:t>
      </w:r>
      <w:r w:rsidR="00EA2070" w:rsidRPr="002F2CA3">
        <w:t>Wells &amp; Loftus, 2003)</w:t>
      </w:r>
    </w:p>
    <w:p w14:paraId="1B7B54D1" w14:textId="6536C32D" w:rsidR="00D43782" w:rsidRPr="002F2CA3" w:rsidRDefault="00D43782" w:rsidP="00393F40">
      <w:pPr>
        <w:spacing w:line="480" w:lineRule="auto"/>
        <w:ind w:firstLine="720"/>
        <w:rPr>
          <w:lang w:val="en-US"/>
        </w:rPr>
      </w:pPr>
      <w:r w:rsidRPr="002F2CA3">
        <w:rPr>
          <w:lang w:val="en-US"/>
        </w:rPr>
        <w:t xml:space="preserve">Memon et al (2003) investigated whether longer exposure increases eyewitness ID accuracy. Using a staged crime scene video, participants were given long (45s) or short (12s) exposure to the offender and later engaged with a lineup identification task. </w:t>
      </w:r>
      <w:r w:rsidRPr="002F2CA3">
        <w:rPr>
          <w:lang w:val="en-US"/>
        </w:rPr>
        <w:lastRenderedPageBreak/>
        <w:t xml:space="preserve">Results indicated that participants from the longer exposure condition were more accurate in their ID, however, this was only to a point. The authors demonstrated a small to moderate effect, suggesting a small but meaningful boost from time exposure. </w:t>
      </w:r>
    </w:p>
    <w:p w14:paraId="242DECFD" w14:textId="5AF1F552" w:rsidR="000762DF" w:rsidRPr="002F2CA3" w:rsidRDefault="00D43782" w:rsidP="00393F40">
      <w:pPr>
        <w:spacing w:line="480" w:lineRule="auto"/>
        <w:ind w:firstLine="720"/>
      </w:pPr>
      <w:r w:rsidRPr="002F2CA3">
        <w:t xml:space="preserve">Bornstein et al.'s (2012) meta-analysis provides an explanation for this. They support the finding that giving someone more time to look at a face strengthens their memory of that face, improving later identification. However, they also argue that increasing exposure time is </w:t>
      </w:r>
      <w:r w:rsidR="001D7F20" w:rsidRPr="002F2CA3">
        <w:t xml:space="preserve">most impactful when comparing EWs </w:t>
      </w:r>
      <w:r w:rsidR="001A3555" w:rsidRPr="002F2CA3">
        <w:t>with</w:t>
      </w:r>
      <w:r w:rsidR="001D7F20" w:rsidRPr="002F2CA3">
        <w:t xml:space="preserve"> brief (1-2s) encounters versus those with </w:t>
      </w:r>
      <w:r w:rsidRPr="002F2CA3">
        <w:t>(10-12s) encounters. They suggest that 12s is sufficient time to encode a strong enough memory of the perpetrator for later recall, with 45s exposure time showing a smaller difference because memory gains begin to plateau</w:t>
      </w:r>
      <w:r w:rsidR="0007120B" w:rsidRPr="002F2CA3">
        <w:t>. It is</w:t>
      </w:r>
      <w:r w:rsidRPr="002F2CA3">
        <w:t xml:space="preserve"> possibl</w:t>
      </w:r>
      <w:r w:rsidR="0007120B" w:rsidRPr="002F2CA3">
        <w:t>e that this occurs</w:t>
      </w:r>
      <w:r w:rsidRPr="002F2CA3">
        <w:t xml:space="preserve"> because </w:t>
      </w:r>
      <w:r w:rsidR="00F55EBE" w:rsidRPr="002F2CA3">
        <w:t>working memory</w:t>
      </w:r>
      <w:r w:rsidR="00470624" w:rsidRPr="002F2CA3">
        <w:t xml:space="preserve"> </w:t>
      </w:r>
      <w:r w:rsidR="00A40280" w:rsidRPr="002F2CA3">
        <w:t xml:space="preserve">has a </w:t>
      </w:r>
      <w:r w:rsidR="002D4F28" w:rsidRPr="002F2CA3">
        <w:t>capacity</w:t>
      </w:r>
      <w:r w:rsidR="006B364D" w:rsidRPr="002F2CA3">
        <w:t xml:space="preserve"> limit, meaning</w:t>
      </w:r>
      <w:r w:rsidR="006163FD" w:rsidRPr="002F2CA3">
        <w:t xml:space="preserve"> </w:t>
      </w:r>
      <w:r w:rsidR="006B364D" w:rsidRPr="002F2CA3">
        <w:t>that</w:t>
      </w:r>
      <w:r w:rsidR="002D66EC" w:rsidRPr="002F2CA3">
        <w:t xml:space="preserve"> a limited pool of resources is </w:t>
      </w:r>
      <w:r w:rsidR="0049660F" w:rsidRPr="002F2CA3">
        <w:t xml:space="preserve">available for </w:t>
      </w:r>
      <w:r w:rsidR="00E5410F" w:rsidRPr="002F2CA3">
        <w:t>information</w:t>
      </w:r>
      <w:r w:rsidR="002D66EC" w:rsidRPr="002F2CA3">
        <w:t xml:space="preserve"> processing</w:t>
      </w:r>
      <w:r w:rsidR="00BD08A5" w:rsidRPr="002F2CA3">
        <w:t xml:space="preserve"> </w:t>
      </w:r>
      <w:r w:rsidR="002A3E14" w:rsidRPr="002F2CA3">
        <w:t>(</w:t>
      </w:r>
      <w:r w:rsidR="0023576F" w:rsidRPr="002F2CA3">
        <w:t>Buschman et al., 2011</w:t>
      </w:r>
      <w:r w:rsidR="002A3E14" w:rsidRPr="002F2CA3">
        <w:t>)</w:t>
      </w:r>
      <w:r w:rsidR="00E5410F" w:rsidRPr="002F2CA3">
        <w:t>.</w:t>
      </w:r>
      <w:r w:rsidR="00E15DD1" w:rsidRPr="002F2CA3">
        <w:t xml:space="preserve"> A slot becomes available when information is transferred to storage or </w:t>
      </w:r>
      <w:r w:rsidR="00EA6256" w:rsidRPr="002F2CA3">
        <w:t xml:space="preserve">when it is </w:t>
      </w:r>
      <w:r w:rsidR="00E15DD1" w:rsidRPr="002F2CA3">
        <w:t>dis</w:t>
      </w:r>
      <w:r w:rsidR="00EA6256" w:rsidRPr="002F2CA3">
        <w:t>regarded</w:t>
      </w:r>
      <w:r w:rsidR="0017032B" w:rsidRPr="002F2CA3">
        <w:t xml:space="preserve"> (</w:t>
      </w:r>
      <w:r w:rsidR="00026FB1" w:rsidRPr="002F2CA3">
        <w:t>Buschman et al., 2011</w:t>
      </w:r>
      <w:r w:rsidR="0017032B" w:rsidRPr="002F2CA3">
        <w:t>)</w:t>
      </w:r>
      <w:r w:rsidR="00EA6256" w:rsidRPr="002F2CA3">
        <w:t xml:space="preserve">. </w:t>
      </w:r>
      <w:r w:rsidR="00D12250" w:rsidRPr="002F2CA3">
        <w:t>Therefore,</w:t>
      </w:r>
      <w:r w:rsidR="00D752E1" w:rsidRPr="002F2CA3">
        <w:t xml:space="preserve"> exposure time</w:t>
      </w:r>
      <w:r w:rsidR="00CE3B44" w:rsidRPr="002F2CA3">
        <w:t xml:space="preserve"> </w:t>
      </w:r>
      <w:r w:rsidR="00E835F1" w:rsidRPr="002F2CA3">
        <w:t xml:space="preserve">does not guarantee better memory because </w:t>
      </w:r>
      <w:r w:rsidR="00BD08A5" w:rsidRPr="002F2CA3">
        <w:t>its benefits diminish</w:t>
      </w:r>
      <w:r w:rsidR="00E835F1" w:rsidRPr="002F2CA3">
        <w:t xml:space="preserve"> as encoding resour</w:t>
      </w:r>
      <w:r w:rsidR="00BD08A5" w:rsidRPr="002F2CA3">
        <w:t xml:space="preserve">ces are saturated </w:t>
      </w:r>
      <w:r w:rsidR="00060219" w:rsidRPr="002F2CA3">
        <w:t>(Schweizer, 1996)</w:t>
      </w:r>
      <w:r w:rsidR="00BD08A5" w:rsidRPr="002F2CA3">
        <w:t xml:space="preserve">. </w:t>
      </w:r>
      <w:r w:rsidR="000762DF" w:rsidRPr="002F2CA3">
        <w:t xml:space="preserve"> </w:t>
      </w:r>
    </w:p>
    <w:p w14:paraId="52714667" w14:textId="00A1F3EC" w:rsidR="00D43782" w:rsidRPr="002F2CA3" w:rsidRDefault="00D43782" w:rsidP="00393F40">
      <w:pPr>
        <w:spacing w:line="480" w:lineRule="auto"/>
        <w:ind w:firstLine="720"/>
      </w:pPr>
      <w:r w:rsidRPr="002F2CA3">
        <w:t xml:space="preserve">These findings are also supported by archival analysis from the early 2000s. Horry et al.'s (2014) analysis of 295 case files used police witness statements, which were coded into exposure times of less than 60 seconds or greater than 60 seconds. They concluded that the cases with exposure times greater than 60 seconds, eyewitnesses were more likely to identify the suspect. In contrast, cases coded as shorter exposure had higher rates of non-identification, with witnesses twice as likely to report that they could not identify anyone.    </w:t>
      </w:r>
    </w:p>
    <w:p w14:paraId="5EA6D0F5" w14:textId="1BB9D6B6" w:rsidR="00D43782" w:rsidRPr="002F2CA3" w:rsidRDefault="00D43782" w:rsidP="00393F40">
      <w:pPr>
        <w:spacing w:line="480" w:lineRule="auto"/>
        <w:ind w:firstLine="720"/>
      </w:pPr>
      <w:r w:rsidRPr="002F2CA3">
        <w:lastRenderedPageBreak/>
        <w:t xml:space="preserve">Together, these laboratory and field studies support the idea that more viewing time of the perpetrator strengthens the memory of the suspect. However, there is no consensus on exactly how much exposure time is necessary for an eyewitness to form a reliable memory trace. While laboratory settings, such as those of Memon et al. (2003) and Bornstein et al. (2012), classify long exposure time as below 60 seconds, archival research classifies this same exposure time as short, suggesting a disconnect between the two fields. This may possibly be explained by the inherent limitations of isolating a variable of interest in laboratory settings, with archival analysis suggesting that good memory encoding is dependent on exposure time, however, exposure time is highly context-dependent and possibly influenced by additional variables not quantified by studies such as Memon et al. (2003) and Bornstein et al. (2012). </w:t>
      </w:r>
    </w:p>
    <w:p w14:paraId="40AB244A" w14:textId="47DF1624" w:rsidR="00D43782" w:rsidRPr="002F2CA3" w:rsidRDefault="00D43782" w:rsidP="00393F40">
      <w:pPr>
        <w:spacing w:line="480" w:lineRule="auto"/>
        <w:ind w:firstLine="720"/>
      </w:pPr>
      <w:r w:rsidRPr="002F2CA3">
        <w:t xml:space="preserve">A crucial component that appears to influence </w:t>
      </w:r>
      <w:r w:rsidR="004B01D7" w:rsidRPr="002F2CA3">
        <w:t xml:space="preserve">the required </w:t>
      </w:r>
      <w:r w:rsidRPr="002F2CA3">
        <w:t>exposure duration</w:t>
      </w:r>
      <w:r w:rsidR="004B01D7" w:rsidRPr="002F2CA3">
        <w:t xml:space="preserve"> to </w:t>
      </w:r>
      <w:r w:rsidRPr="002F2CA3">
        <w:t>encod</w:t>
      </w:r>
      <w:r w:rsidR="004B01D7" w:rsidRPr="002F2CA3">
        <w:t xml:space="preserve">e a </w:t>
      </w:r>
      <w:r w:rsidR="000F177F" w:rsidRPr="002F2CA3">
        <w:t>strong memory</w:t>
      </w:r>
      <w:r w:rsidRPr="002F2CA3">
        <w:t xml:space="preserve"> is the eyewitness's attentional focus </w:t>
      </w:r>
      <w:r w:rsidR="00731E0C" w:rsidRPr="002F2CA3">
        <w:t xml:space="preserve">(Ji et al., 2021). </w:t>
      </w:r>
      <w:r w:rsidR="00413564" w:rsidRPr="002F2CA3">
        <w:t xml:space="preserve">As mentioned, working memory </w:t>
      </w:r>
      <w:r w:rsidR="00792C19" w:rsidRPr="002F2CA3">
        <w:t xml:space="preserve">has limited capacity </w:t>
      </w:r>
      <w:r w:rsidR="00AD717A" w:rsidRPr="002F2CA3">
        <w:t>(Buschman et al., 2011)</w:t>
      </w:r>
      <w:r w:rsidR="0044697F" w:rsidRPr="002F2CA3">
        <w:t>.</w:t>
      </w:r>
      <w:r w:rsidR="0017367A" w:rsidRPr="002F2CA3">
        <w:t xml:space="preserve"> </w:t>
      </w:r>
      <w:r w:rsidR="0044697F" w:rsidRPr="002F2CA3">
        <w:t>W</w:t>
      </w:r>
      <w:r w:rsidRPr="002F2CA3">
        <w:t xml:space="preserve">hen attention is split, information is encoded from two separate fields, </w:t>
      </w:r>
      <w:r w:rsidR="00E540B6" w:rsidRPr="002F2CA3">
        <w:t>resulting in</w:t>
      </w:r>
      <w:r w:rsidR="004F671F" w:rsidRPr="002F2CA3">
        <w:t xml:space="preserve"> a less representative memory than when selective attention occurs. </w:t>
      </w:r>
      <w:r w:rsidR="00340D61" w:rsidRPr="002F2CA3">
        <w:t>(Lane</w:t>
      </w:r>
      <w:r w:rsidR="00FF1BC4" w:rsidRPr="002F2CA3">
        <w:t>, 2006)</w:t>
      </w:r>
      <w:r w:rsidRPr="002F2CA3">
        <w:t xml:space="preserve">. In the context of eyewitness exposure, when attention is split, eyewitnesses may require longer exposure times to encode sufficient details to form a robust memory </w:t>
      </w:r>
      <w:r w:rsidR="00FF1BC4" w:rsidRPr="002F2CA3">
        <w:t xml:space="preserve">(Lane, 2006). </w:t>
      </w:r>
    </w:p>
    <w:p w14:paraId="3BCEEEBC" w14:textId="680F937D" w:rsidR="00F94CB2" w:rsidRPr="002F2CA3" w:rsidRDefault="00D43782" w:rsidP="00393F40">
      <w:pPr>
        <w:spacing w:line="480" w:lineRule="auto"/>
        <w:ind w:firstLine="720"/>
      </w:pPr>
      <w:r w:rsidRPr="002F2CA3">
        <w:t xml:space="preserve">The weapon focus effect </w:t>
      </w:r>
      <w:r w:rsidR="001C04ED" w:rsidRPr="002F2CA3">
        <w:t xml:space="preserve">(WFE) </w:t>
      </w:r>
      <w:r w:rsidRPr="002F2CA3">
        <w:t xml:space="preserve">is a strong example of attentional split in eyewitness research, in which the presence of a weapon diverts the witness's attention, impairing the encoding of the perpetrator's appearance </w:t>
      </w:r>
      <w:r w:rsidR="009052E6" w:rsidRPr="002F2CA3">
        <w:t>(Fawcett et al</w:t>
      </w:r>
      <w:r w:rsidRPr="002F2CA3">
        <w:t>.</w:t>
      </w:r>
      <w:r w:rsidR="009052E6" w:rsidRPr="002F2CA3">
        <w:t>, 2016).</w:t>
      </w:r>
      <w:r w:rsidRPr="002F2CA3">
        <w:t xml:space="preserve"> Classical studies, such as those by Loftus et al. (1987), explore this effect with undergraduate </w:t>
      </w:r>
      <w:r w:rsidRPr="002F2CA3">
        <w:lastRenderedPageBreak/>
        <w:t xml:space="preserve">students. Using a between-subjects design, participants watched a mock scenario </w:t>
      </w:r>
      <w:r w:rsidR="005C1869" w:rsidRPr="002F2CA3">
        <w:t>in which a subject held</w:t>
      </w:r>
      <w:r w:rsidRPr="002F2CA3">
        <w:t xml:space="preserve"> either a gun or a cheque. Using eye tracking technology, the researchers observed that participants in the gun condition had their attention drawn more frequently and for longer durations than participants in the cheque condition. Further analysis revealed memory impairments for participants in the weapon condition compared with the cheque condition. These findings</w:t>
      </w:r>
      <w:r w:rsidR="002C3879" w:rsidRPr="002F2CA3">
        <w:t xml:space="preserve"> suggest that the presence of a weapon draws visual attention away from the perpetrator, impairing eyewitness memory</w:t>
      </w:r>
      <w:r w:rsidR="00F94CB2" w:rsidRPr="002F2CA3">
        <w:t>.</w:t>
      </w:r>
      <w:r w:rsidR="002C3879" w:rsidRPr="002F2CA3">
        <w:t xml:space="preserve"> C</w:t>
      </w:r>
      <w:r w:rsidR="004258AB" w:rsidRPr="002F2CA3">
        <w:t xml:space="preserve">ontemporary </w:t>
      </w:r>
      <w:r w:rsidR="00446385" w:rsidRPr="002F2CA3">
        <w:t>studies</w:t>
      </w:r>
      <w:r w:rsidR="00376AEB" w:rsidRPr="002F2CA3">
        <w:t xml:space="preserve">, such as those of </w:t>
      </w:r>
      <w:r w:rsidR="00446385" w:rsidRPr="002F2CA3">
        <w:t>Mansour et al. (2019), suggest that</w:t>
      </w:r>
      <w:r w:rsidR="00F94CB2" w:rsidRPr="002F2CA3">
        <w:t xml:space="preserve"> increased exposure duration may </w:t>
      </w:r>
      <w:r w:rsidR="002C3879" w:rsidRPr="002F2CA3">
        <w:t>counteract</w:t>
      </w:r>
      <w:r w:rsidR="00F94CB2" w:rsidRPr="002F2CA3">
        <w:t xml:space="preserve"> the weapon focus effect.</w:t>
      </w:r>
      <w:r w:rsidR="00446385" w:rsidRPr="002F2CA3">
        <w:t xml:space="preserve"> </w:t>
      </w:r>
    </w:p>
    <w:p w14:paraId="00ECF437" w14:textId="513D5A3E" w:rsidR="00F74E40" w:rsidRPr="002F2CA3" w:rsidRDefault="00D43782" w:rsidP="00393F40">
      <w:pPr>
        <w:spacing w:line="480" w:lineRule="auto"/>
        <w:ind w:firstLine="720"/>
      </w:pPr>
      <w:r w:rsidRPr="002F2CA3">
        <w:t xml:space="preserve">However, contemporary research replicating classical study design offers contrasting evidence. Körner et al. (2023) </w:t>
      </w:r>
      <w:r w:rsidR="005C1869" w:rsidRPr="002F2CA3">
        <w:t xml:space="preserve">recruited undergraduate students to explore whether the presence of weapons </w:t>
      </w:r>
      <w:r w:rsidRPr="002F2CA3">
        <w:t>diverts attention and whether that shift in focus impairs attention to the perpetrator. Results indicated that weapon presence d</w:t>
      </w:r>
      <w:r w:rsidR="005C1869" w:rsidRPr="002F2CA3">
        <w:t>id</w:t>
      </w:r>
      <w:r w:rsidRPr="002F2CA3">
        <w:t xml:space="preserve"> attract attention, however this effect was more moderate than previously suggested. Crucially, weapon presents did not draw attention </w:t>
      </w:r>
      <w:r w:rsidR="000173D4" w:rsidRPr="002F2CA3">
        <w:t xml:space="preserve">away from </w:t>
      </w:r>
      <w:r w:rsidRPr="002F2CA3">
        <w:t xml:space="preserve">the perpetrator's face as dramatically as previously implied. Eye-tracking data suggested that participants spent substantial time looking at the perpetrator's face. However, students in the weapon condition still performed worse on the memory task than those in the non-weapon condition. </w:t>
      </w:r>
      <w:r w:rsidR="005F7B9E" w:rsidRPr="002F2CA3">
        <w:t>Körner et al’s</w:t>
      </w:r>
      <w:r w:rsidR="00D95FA4" w:rsidRPr="002F2CA3">
        <w:t xml:space="preserve"> (2023) findings suggest that the WFE operates beyond attentional focus</w:t>
      </w:r>
      <w:r w:rsidR="00DD07F6" w:rsidRPr="002F2CA3">
        <w:t xml:space="preserve"> and instead impairs encoding by placing additional cognitive load on the eyewitness</w:t>
      </w:r>
      <w:r w:rsidR="00967269" w:rsidRPr="002F2CA3">
        <w:t xml:space="preserve">. It is </w:t>
      </w:r>
      <w:r w:rsidR="00BE4E90" w:rsidRPr="002F2CA3">
        <w:t>believed</w:t>
      </w:r>
      <w:r w:rsidR="00967269" w:rsidRPr="002F2CA3">
        <w:t xml:space="preserve"> that this effect</w:t>
      </w:r>
      <w:r w:rsidR="00DA568E" w:rsidRPr="002F2CA3">
        <w:t xml:space="preserve"> divert</w:t>
      </w:r>
      <w:r w:rsidR="00967269" w:rsidRPr="002F2CA3">
        <w:t>s</w:t>
      </w:r>
      <w:r w:rsidR="00DA568E" w:rsidRPr="002F2CA3">
        <w:t xml:space="preserve"> cognitive resources </w:t>
      </w:r>
      <w:r w:rsidR="00655562" w:rsidRPr="002F2CA3">
        <w:t xml:space="preserve">by eliciting threat appraisal, risk monitoring, scenario evaluation, and emotional arousal </w:t>
      </w:r>
      <w:r w:rsidR="008E783C" w:rsidRPr="002F2CA3">
        <w:t>(Fawcett et al., 2016)</w:t>
      </w:r>
      <w:r w:rsidR="00655562" w:rsidRPr="002F2CA3">
        <w:t>.</w:t>
      </w:r>
    </w:p>
    <w:p w14:paraId="30627EB7" w14:textId="4678BB14" w:rsidR="003F6F15" w:rsidRPr="002F2CA3" w:rsidRDefault="00E41D4B" w:rsidP="00393F40">
      <w:pPr>
        <w:spacing w:line="480" w:lineRule="auto"/>
        <w:ind w:firstLine="720"/>
      </w:pPr>
      <w:r w:rsidRPr="002F2CA3">
        <w:lastRenderedPageBreak/>
        <w:t>In an applied context</w:t>
      </w:r>
      <w:r w:rsidR="00AD4F11" w:rsidRPr="002F2CA3">
        <w:t>,</w:t>
      </w:r>
      <w:r w:rsidRPr="002F2CA3">
        <w:t xml:space="preserve"> </w:t>
      </w:r>
      <w:r w:rsidR="00767994" w:rsidRPr="002F2CA3">
        <w:t xml:space="preserve">the first in-class mock scenario </w:t>
      </w:r>
      <w:r w:rsidR="005D0998" w:rsidRPr="002F2CA3">
        <w:t xml:space="preserve">offers </w:t>
      </w:r>
      <w:r w:rsidR="00575C7E" w:rsidRPr="002F2CA3">
        <w:t>insight into how exposure duration shapes encoding.</w:t>
      </w:r>
      <w:r w:rsidR="005C3C7A" w:rsidRPr="002F2CA3">
        <w:t xml:space="preserve"> During the </w:t>
      </w:r>
      <w:r w:rsidR="0089479F" w:rsidRPr="002F2CA3">
        <w:t>30-second</w:t>
      </w:r>
      <w:r w:rsidR="00260416" w:rsidRPr="002F2CA3">
        <w:t xml:space="preserve"> viewing period, eyewitnesses </w:t>
      </w:r>
      <w:r w:rsidR="00525290" w:rsidRPr="002F2CA3">
        <w:t>largely used visual encoding</w:t>
      </w:r>
      <w:r w:rsidR="0089479F" w:rsidRPr="002F2CA3">
        <w:t>,</w:t>
      </w:r>
      <w:r w:rsidR="00D47979" w:rsidRPr="002F2CA3">
        <w:t xml:space="preserve"> </w:t>
      </w:r>
      <w:r w:rsidR="00876474" w:rsidRPr="002F2CA3">
        <w:t xml:space="preserve">as the scenario required limited input from other sensory </w:t>
      </w:r>
      <w:r w:rsidR="0011337F" w:rsidRPr="002F2CA3">
        <w:t>systems.</w:t>
      </w:r>
      <w:r w:rsidR="003F6F15" w:rsidRPr="002F2CA3">
        <w:t xml:space="preserve"> This </w:t>
      </w:r>
      <w:r w:rsidR="001C326A" w:rsidRPr="002F2CA3">
        <w:t xml:space="preserve">provided optimal encoding conditions, allowing attentional resources to be predominantly allocated </w:t>
      </w:r>
      <w:r w:rsidR="00153CCD" w:rsidRPr="002F2CA3">
        <w:t xml:space="preserve">to the </w:t>
      </w:r>
      <w:r w:rsidR="001C326A" w:rsidRPr="002F2CA3">
        <w:t>perpetrator's appearance</w:t>
      </w:r>
      <w:r w:rsidR="00D55AB5" w:rsidRPr="002F2CA3">
        <w:t xml:space="preserve"> as seen in Memon et al. (2003) and Bornstein et al. (2012) studies</w:t>
      </w:r>
      <w:r w:rsidR="001C326A" w:rsidRPr="002F2CA3">
        <w:t>.</w:t>
      </w:r>
      <w:r w:rsidR="00685CDA" w:rsidRPr="002F2CA3">
        <w:t xml:space="preserve"> This highlights a limitation </w:t>
      </w:r>
      <w:r w:rsidR="008A5FDB" w:rsidRPr="002F2CA3">
        <w:t>of using mock exercises to simulate eyewitness environments</w:t>
      </w:r>
      <w:r w:rsidR="003559D4" w:rsidRPr="002F2CA3">
        <w:t>, as</w:t>
      </w:r>
      <w:r w:rsidR="008A5FDB" w:rsidRPr="002F2CA3">
        <w:t xml:space="preserve"> they cannot replicate the cognitive demands of real eyewitnesses</w:t>
      </w:r>
      <w:r w:rsidR="002F4DBC" w:rsidRPr="002F2CA3">
        <w:t xml:space="preserve">, </w:t>
      </w:r>
      <w:r w:rsidR="00565784" w:rsidRPr="002F2CA3">
        <w:t xml:space="preserve">in which </w:t>
      </w:r>
      <w:r w:rsidR="002F4DBC" w:rsidRPr="002F2CA3">
        <w:t xml:space="preserve">other sensory systems, such as sound, touch, and smell, </w:t>
      </w:r>
      <w:r w:rsidR="0018000A" w:rsidRPr="002F2CA3">
        <w:t xml:space="preserve">can </w:t>
      </w:r>
      <w:r w:rsidR="00DB15A7" w:rsidRPr="002F2CA3">
        <w:t>divert attention</w:t>
      </w:r>
      <w:r w:rsidR="00783889" w:rsidRPr="002F2CA3">
        <w:t xml:space="preserve"> </w:t>
      </w:r>
      <w:r w:rsidR="007A0BEE" w:rsidRPr="002F2CA3">
        <w:t>(Glomb et al.</w:t>
      </w:r>
      <w:r w:rsidR="009C5007" w:rsidRPr="002F2CA3">
        <w:t>, 2024)</w:t>
      </w:r>
      <w:r w:rsidR="00DB15A7" w:rsidRPr="002F2CA3">
        <w:t xml:space="preserve">. </w:t>
      </w:r>
      <w:r w:rsidR="00D51F93" w:rsidRPr="002F2CA3">
        <w:t>However, t</w:t>
      </w:r>
      <w:r w:rsidR="00DB15A7" w:rsidRPr="002F2CA3">
        <w:t>his environment</w:t>
      </w:r>
      <w:r w:rsidR="00D941FC" w:rsidRPr="002F2CA3">
        <w:t xml:space="preserve"> offers optimal conditions for visual memory encoding, thereby underestimating the exposure duration required for optimal visual encoding in real eyewitnesses</w:t>
      </w:r>
      <w:r w:rsidR="009B16C0" w:rsidRPr="002F2CA3">
        <w:t>, as illustrated by Horry et al.'s (2014) archival analysis.</w:t>
      </w:r>
    </w:p>
    <w:p w14:paraId="4727E8FE" w14:textId="77777777" w:rsidR="001F22BB" w:rsidRDefault="00252C98" w:rsidP="001F22BB">
      <w:pPr>
        <w:spacing w:line="480" w:lineRule="auto"/>
        <w:ind w:firstLine="720"/>
      </w:pPr>
      <w:r w:rsidRPr="002F2CA3">
        <w:t xml:space="preserve">The absence of a weapon in the mock image </w:t>
      </w:r>
      <w:r w:rsidR="00E41C04" w:rsidRPr="002F2CA3">
        <w:t xml:space="preserve">also </w:t>
      </w:r>
      <w:r w:rsidR="002873C3" w:rsidRPr="002F2CA3">
        <w:t>facilitates</w:t>
      </w:r>
      <w:r w:rsidR="00004002" w:rsidRPr="002F2CA3">
        <w:t xml:space="preserve"> an optimised encoding environment. </w:t>
      </w:r>
      <w:r w:rsidR="00BB379E" w:rsidRPr="002F2CA3">
        <w:t>The absence of a threat cue</w:t>
      </w:r>
      <w:r w:rsidR="00163EB1" w:rsidRPr="002F2CA3">
        <w:t xml:space="preserve"> allowed </w:t>
      </w:r>
      <w:r w:rsidR="00D12DF8" w:rsidRPr="002F2CA3">
        <w:t>participants</w:t>
      </w:r>
      <w:r w:rsidR="00163EB1" w:rsidRPr="002F2CA3">
        <w:t xml:space="preserve"> to focus </w:t>
      </w:r>
      <w:r w:rsidR="00471A12" w:rsidRPr="002F2CA3">
        <w:t xml:space="preserve">on the perpetrator, enabling rapid visual encoding of </w:t>
      </w:r>
      <w:r w:rsidR="0061043D" w:rsidRPr="002F2CA3">
        <w:t>the perpetrator's details (Loftus et al.</w:t>
      </w:r>
      <w:r w:rsidR="00655562" w:rsidRPr="002F2CA3">
        <w:t>,</w:t>
      </w:r>
      <w:r w:rsidR="0061043D" w:rsidRPr="002F2CA3">
        <w:t xml:space="preserve"> 1987)</w:t>
      </w:r>
      <w:r w:rsidR="001767D1" w:rsidRPr="002F2CA3">
        <w:t xml:space="preserve">. </w:t>
      </w:r>
      <w:r w:rsidR="00883A3B" w:rsidRPr="002F2CA3">
        <w:t xml:space="preserve">This allowed time for the surrounding scene to be encoded by the eyewitnesses, as illustrated by </w:t>
      </w:r>
      <w:r w:rsidR="00804305" w:rsidRPr="002F2CA3">
        <w:t>their</w:t>
      </w:r>
      <w:r w:rsidR="00883A3B" w:rsidRPr="002F2CA3">
        <w:t xml:space="preserve"> </w:t>
      </w:r>
      <w:r w:rsidR="00804305" w:rsidRPr="002F2CA3">
        <w:t>relay of peripheral details</w:t>
      </w:r>
      <w:r w:rsidR="0010363F" w:rsidRPr="002F2CA3">
        <w:t xml:space="preserve">, such as room objects and features. </w:t>
      </w:r>
      <w:r w:rsidR="002E74C3" w:rsidRPr="002F2CA3">
        <w:t xml:space="preserve">In contrast, </w:t>
      </w:r>
      <w:r w:rsidR="00C52049" w:rsidRPr="002F2CA3">
        <w:t xml:space="preserve">real </w:t>
      </w:r>
      <w:r w:rsidR="00084E5A" w:rsidRPr="002F2CA3">
        <w:t xml:space="preserve">eyewitnesses often have their attention split between encoding </w:t>
      </w:r>
      <w:r w:rsidR="009C45B1" w:rsidRPr="002F2CA3">
        <w:t>the perpetrator and the weapon, as seen in Körner et al. (2023).</w:t>
      </w:r>
      <w:r w:rsidR="00411456" w:rsidRPr="002F2CA3">
        <w:t xml:space="preserve"> This allows less </w:t>
      </w:r>
      <w:r w:rsidR="005A4F60" w:rsidRPr="002F2CA3">
        <w:t xml:space="preserve">attention to be </w:t>
      </w:r>
      <w:r w:rsidR="0078196D" w:rsidRPr="002F2CA3">
        <w:t xml:space="preserve">devoted to peripheral details during crime scene encoding, </w:t>
      </w:r>
      <w:r w:rsidR="00220B54" w:rsidRPr="002F2CA3">
        <w:t xml:space="preserve">suggesting that real eyewitnesses may encode better with higher exposure </w:t>
      </w:r>
      <w:r w:rsidR="00D174E0" w:rsidRPr="002F2CA3">
        <w:t xml:space="preserve">time </w:t>
      </w:r>
      <w:r w:rsidR="00F5251E" w:rsidRPr="002F2CA3">
        <w:t>(</w:t>
      </w:r>
      <w:proofErr w:type="spellStart"/>
      <w:r w:rsidR="00630A58" w:rsidRPr="002F2CA3">
        <w:t>Yegiyan</w:t>
      </w:r>
      <w:proofErr w:type="spellEnd"/>
      <w:r w:rsidR="00F5251E" w:rsidRPr="002F2CA3">
        <w:t xml:space="preserve"> &amp; Lang, 2010)</w:t>
      </w:r>
      <w:r w:rsidR="005E04DE" w:rsidRPr="002F2CA3">
        <w:t xml:space="preserve">. </w:t>
      </w:r>
      <w:r w:rsidR="006B5328" w:rsidRPr="002F2CA3">
        <w:t xml:space="preserve">As a result, the mock scenario provides an idealised encoding environment, lacking the </w:t>
      </w:r>
      <w:r w:rsidR="001D7F20" w:rsidRPr="002F2CA3">
        <w:t>fragmentation that occurs</w:t>
      </w:r>
      <w:r w:rsidR="006B5328" w:rsidRPr="002F2CA3">
        <w:t xml:space="preserve"> during</w:t>
      </w:r>
      <w:r w:rsidR="007243C6" w:rsidRPr="002F2CA3">
        <w:t xml:space="preserve"> memory construction</w:t>
      </w:r>
      <w:r w:rsidR="001C6D1A" w:rsidRPr="002F2CA3">
        <w:t xml:space="preserve"> </w:t>
      </w:r>
      <w:r w:rsidR="002C24EC" w:rsidRPr="002F2CA3">
        <w:t>(Glomb et al., 2024)</w:t>
      </w:r>
      <w:r w:rsidR="007243C6" w:rsidRPr="002F2CA3">
        <w:t>.</w:t>
      </w:r>
    </w:p>
    <w:p w14:paraId="50D46719" w14:textId="02A676CB" w:rsidR="00714A4B" w:rsidRPr="001F22BB" w:rsidRDefault="00E23F0E" w:rsidP="001F22BB">
      <w:pPr>
        <w:spacing w:line="480" w:lineRule="auto"/>
        <w:ind w:firstLine="720"/>
      </w:pPr>
      <w:r>
        <w:lastRenderedPageBreak/>
        <w:t>In conclusion</w:t>
      </w:r>
      <w:r w:rsidR="00393F40">
        <w:t xml:space="preserve">, </w:t>
      </w:r>
      <w:r w:rsidR="00EC17AC">
        <w:t xml:space="preserve">this essay has presented a critical discussion about the complexities of </w:t>
      </w:r>
      <w:r w:rsidR="009D4914">
        <w:t>eyewitness</w:t>
      </w:r>
      <w:r w:rsidR="00EC17AC">
        <w:t xml:space="preserve"> memory, specifically the intricate dynamic </w:t>
      </w:r>
      <w:r w:rsidR="009D4914">
        <w:t xml:space="preserve">of memory encoding. </w:t>
      </w:r>
      <w:r w:rsidR="00CD74D5">
        <w:t>This essay has used evidence from a range of sources</w:t>
      </w:r>
      <w:r w:rsidR="00C5479E">
        <w:t>,</w:t>
      </w:r>
      <w:r w:rsidR="00CD74D5">
        <w:t xml:space="preserve"> including laboratory, archival and meta-analysis </w:t>
      </w:r>
      <w:r w:rsidR="00C5479E">
        <w:t xml:space="preserve">research, which offers a complete view </w:t>
      </w:r>
      <w:r w:rsidR="0018657E">
        <w:t xml:space="preserve">of the factors that influence eyewitnesses' memory in terms of exposure duration. </w:t>
      </w:r>
      <w:r w:rsidR="00CA1CBE">
        <w:t xml:space="preserve">Evidence </w:t>
      </w:r>
      <w:r w:rsidR="00950A5F">
        <w:t>suggests that exposure duration strengthens the memory trace formed during</w:t>
      </w:r>
      <w:r w:rsidR="00751142">
        <w:t xml:space="preserve"> encoding</w:t>
      </w:r>
      <w:r w:rsidR="00950A5F">
        <w:t xml:space="preserve"> </w:t>
      </w:r>
      <w:r w:rsidR="00500EE1">
        <w:t>(</w:t>
      </w:r>
      <w:r w:rsidR="00500EE1" w:rsidRPr="002F2CA3">
        <w:rPr>
          <w:lang w:val="en-US"/>
        </w:rPr>
        <w:t>Memon et al</w:t>
      </w:r>
      <w:r w:rsidR="00500EE1">
        <w:rPr>
          <w:lang w:val="en-US"/>
        </w:rPr>
        <w:t xml:space="preserve">., </w:t>
      </w:r>
      <w:r w:rsidR="00500EE1" w:rsidRPr="002F2CA3">
        <w:rPr>
          <w:lang w:val="en-US"/>
        </w:rPr>
        <w:t>2003</w:t>
      </w:r>
      <w:r w:rsidR="00500EE1">
        <w:rPr>
          <w:lang w:val="en-US"/>
        </w:rPr>
        <w:t>)</w:t>
      </w:r>
      <w:r w:rsidR="00950A5F">
        <w:t>. H</w:t>
      </w:r>
      <w:r w:rsidR="00C16099">
        <w:t>owever, this effect plateaus</w:t>
      </w:r>
      <w:r w:rsidR="00CA1CBE">
        <w:t xml:space="preserve"> </w:t>
      </w:r>
      <w:r w:rsidR="00C16099">
        <w:t xml:space="preserve">once working memory is saturated </w:t>
      </w:r>
      <w:r w:rsidR="00EB7CE9">
        <w:t>(</w:t>
      </w:r>
      <w:r w:rsidR="00EB7CE9" w:rsidRPr="002F2CA3">
        <w:t>Bornstein et al.</w:t>
      </w:r>
      <w:r w:rsidR="00500EE1">
        <w:t xml:space="preserve">, </w:t>
      </w:r>
      <w:r w:rsidR="00EB7CE9" w:rsidRPr="002F2CA3">
        <w:t>2012)</w:t>
      </w:r>
      <w:r w:rsidR="00CA1CBE">
        <w:t>.</w:t>
      </w:r>
      <w:r w:rsidR="00950A5F">
        <w:t xml:space="preserve"> Likewise</w:t>
      </w:r>
      <w:r w:rsidR="00477F15">
        <w:t>,</w:t>
      </w:r>
      <w:r w:rsidR="00950A5F">
        <w:t xml:space="preserve"> by </w:t>
      </w:r>
      <w:r w:rsidR="00477F15">
        <w:t>exploring</w:t>
      </w:r>
      <w:r w:rsidR="00950A5F">
        <w:t xml:space="preserve"> the weapon focus effect</w:t>
      </w:r>
      <w:r w:rsidR="00477F15">
        <w:t xml:space="preserve">, it was </w:t>
      </w:r>
      <w:r w:rsidR="001A722D">
        <w:t>evident that there is an</w:t>
      </w:r>
      <w:r w:rsidR="0035003C">
        <w:t xml:space="preserve"> interplay between </w:t>
      </w:r>
      <w:r w:rsidR="00700CEA">
        <w:t xml:space="preserve">attention focus and exposure duration. While the literature highlighted that </w:t>
      </w:r>
      <w:r w:rsidR="001A722D">
        <w:t xml:space="preserve">attention focused on the weapon does not result in </w:t>
      </w:r>
      <w:r w:rsidR="001F22BB">
        <w:t>limited perpetrator encoding (</w:t>
      </w:r>
      <w:r w:rsidR="001F22BB" w:rsidRPr="002F2CA3">
        <w:t>Körner et al.</w:t>
      </w:r>
      <w:r w:rsidR="001F22BB">
        <w:t>,</w:t>
      </w:r>
      <w:r w:rsidR="001F22BB" w:rsidRPr="002F2CA3">
        <w:t>2023</w:t>
      </w:r>
      <w:proofErr w:type="gramStart"/>
      <w:r w:rsidR="001F22BB" w:rsidRPr="002F2CA3">
        <w:t xml:space="preserve">) </w:t>
      </w:r>
      <w:r w:rsidR="001A722D">
        <w:t>,</w:t>
      </w:r>
      <w:proofErr w:type="gramEnd"/>
      <w:r w:rsidR="001A722D">
        <w:t xml:space="preserve"> it did </w:t>
      </w:r>
      <w:r w:rsidR="00714A4B">
        <w:t>highlight</w:t>
      </w:r>
      <w:r w:rsidR="001A722D">
        <w:t xml:space="preserve"> the intricate nature of cognitive load and how the WFE allows for that observation </w:t>
      </w:r>
      <w:r w:rsidR="001F22BB">
        <w:t>(</w:t>
      </w:r>
      <w:r w:rsidR="001F22BB" w:rsidRPr="002F2CA3">
        <w:t>Körner et al.</w:t>
      </w:r>
      <w:r w:rsidR="001F22BB">
        <w:t>,</w:t>
      </w:r>
      <w:r w:rsidR="001F22BB" w:rsidRPr="002F2CA3">
        <w:t>2023)</w:t>
      </w:r>
      <w:r w:rsidR="001A722D">
        <w:t xml:space="preserve">. </w:t>
      </w:r>
      <w:r w:rsidR="00490508">
        <w:t>Additionally</w:t>
      </w:r>
      <w:r w:rsidR="00714A4B">
        <w:t xml:space="preserve">, discussion of the in-class </w:t>
      </w:r>
      <w:r w:rsidR="00490508">
        <w:t>scenarios</w:t>
      </w:r>
      <w:r w:rsidR="00714A4B">
        <w:t xml:space="preserve"> provided </w:t>
      </w:r>
      <w:r w:rsidR="00490508">
        <w:t>an</w:t>
      </w:r>
      <w:r w:rsidR="00714A4B">
        <w:t xml:space="preserve"> </w:t>
      </w:r>
      <w:r w:rsidR="00870429">
        <w:t xml:space="preserve">applied </w:t>
      </w:r>
      <w:r w:rsidR="00490508">
        <w:t>lens</w:t>
      </w:r>
      <w:r w:rsidR="00870429">
        <w:t xml:space="preserve"> </w:t>
      </w:r>
      <w:r w:rsidR="007C63DF">
        <w:t>for interpreting the</w:t>
      </w:r>
      <w:r w:rsidR="00870429">
        <w:t xml:space="preserve"> research, demonstrating the disconnect between laboratory and </w:t>
      </w:r>
      <w:r w:rsidR="00490508">
        <w:t xml:space="preserve">archival research on encoding </w:t>
      </w:r>
      <w:r w:rsidR="007C63DF">
        <w:t xml:space="preserve">conditions. </w:t>
      </w:r>
      <w:r w:rsidR="0005004B">
        <w:t xml:space="preserve">This highlights the </w:t>
      </w:r>
      <w:r w:rsidR="00C54645">
        <w:t xml:space="preserve">need for future research to implement Immersive technologies, which may bridge the gap between these two fields and yield more accurate conclusions that better align with real eyewitness experiences </w:t>
      </w:r>
      <w:r w:rsidR="00013109" w:rsidRPr="002F2CA3">
        <w:t>(Glomb et al., 2024)</w:t>
      </w:r>
      <w:r w:rsidR="00C54645">
        <w:t xml:space="preserve">. </w:t>
      </w:r>
      <w:r w:rsidR="00532C3A">
        <w:t xml:space="preserve">It is essential that this </w:t>
      </w:r>
      <w:r w:rsidR="00EF57F1">
        <w:t>be achieved to better understand the cognitive demands on eyewitnesses, thereby improving investigative practices and designing</w:t>
      </w:r>
      <w:r w:rsidR="007C1BC6">
        <w:t xml:space="preserve"> fairer identification procedures</w:t>
      </w:r>
      <w:r w:rsidR="00EF57F1">
        <w:t xml:space="preserve"> </w:t>
      </w:r>
      <w:r w:rsidR="00A50BBA" w:rsidRPr="002F2CA3">
        <w:t>(Glomb et al., 2024).</w:t>
      </w:r>
    </w:p>
    <w:p w14:paraId="1E23B9F0" w14:textId="77777777" w:rsidR="006B5328" w:rsidRDefault="006B5328" w:rsidP="00754639">
      <w:pPr>
        <w:ind w:firstLine="720"/>
        <w:rPr>
          <w:color w:val="EE0000"/>
        </w:rPr>
      </w:pPr>
    </w:p>
    <w:p w14:paraId="03649BD3" w14:textId="77777777" w:rsidR="00393F40" w:rsidRDefault="00393F40" w:rsidP="001F22BB">
      <w:pPr>
        <w:rPr>
          <w:color w:val="EE0000"/>
        </w:rPr>
      </w:pPr>
    </w:p>
    <w:p w14:paraId="14EF3186" w14:textId="77777777" w:rsidR="004A48E0" w:rsidRDefault="004A48E0" w:rsidP="001F22BB">
      <w:pPr>
        <w:rPr>
          <w:color w:val="EE0000"/>
        </w:rPr>
      </w:pPr>
    </w:p>
    <w:p w14:paraId="620DE695" w14:textId="77777777" w:rsidR="001F22BB" w:rsidRPr="00D27EDA" w:rsidRDefault="001F22BB" w:rsidP="001F22BB">
      <w:pPr>
        <w:rPr>
          <w:color w:val="EE0000"/>
        </w:rPr>
      </w:pPr>
    </w:p>
    <w:p w14:paraId="62FD0512" w14:textId="3A2E5246" w:rsidR="000173D4" w:rsidRDefault="000173D4" w:rsidP="001D26D2">
      <w:pPr>
        <w:spacing w:line="480" w:lineRule="auto"/>
        <w:ind w:firstLine="720"/>
        <w:jc w:val="center"/>
        <w:rPr>
          <w:lang w:val="de-DE"/>
        </w:rPr>
      </w:pPr>
      <w:r w:rsidRPr="001F22BB">
        <w:rPr>
          <w:lang w:val="de-DE"/>
        </w:rPr>
        <w:lastRenderedPageBreak/>
        <w:t>References</w:t>
      </w:r>
    </w:p>
    <w:p w14:paraId="608EBE5B" w14:textId="2A28F2C7" w:rsidR="001F22BB" w:rsidRDefault="001F22BB" w:rsidP="001F22BB">
      <w:pPr>
        <w:spacing w:line="480" w:lineRule="auto"/>
        <w:ind w:left="720" w:hanging="720"/>
        <w:rPr>
          <w:color w:val="EE0000"/>
          <w:lang w:val="it-IT"/>
        </w:rPr>
      </w:pPr>
      <w:r w:rsidRPr="001F22BB">
        <w:rPr>
          <w:lang w:val="it-IT"/>
        </w:rPr>
        <w:t>Battista, F., Mangiulli, I., &amp; Curci, A. (2024).</w:t>
      </w:r>
      <w:r w:rsidRPr="001F22BB">
        <w:rPr>
          <w:i/>
          <w:iCs/>
          <w:lang w:val="it-IT"/>
        </w:rPr>
        <w:t xml:space="preserve"> </w:t>
      </w:r>
      <w:r w:rsidRPr="007A648C">
        <w:t>Eyewitness memory: factors affecting the formation of false memories.</w:t>
      </w:r>
      <w:r w:rsidRPr="007A648C">
        <w:rPr>
          <w:i/>
          <w:iCs/>
        </w:rPr>
        <w:t> </w:t>
      </w:r>
      <w:r w:rsidRPr="001F22BB">
        <w:rPr>
          <w:i/>
          <w:iCs/>
          <w:lang w:val="it-IT"/>
        </w:rPr>
        <w:t>Rassegna Italiana Di Criminologia</w:t>
      </w:r>
      <w:r w:rsidRPr="001F22BB">
        <w:rPr>
          <w:lang w:val="it-IT"/>
        </w:rPr>
        <w:t xml:space="preserve">, </w:t>
      </w:r>
      <w:r w:rsidR="004C0616">
        <w:rPr>
          <w:lang w:val="it-IT"/>
        </w:rPr>
        <w:t>1</w:t>
      </w:r>
      <w:r w:rsidRPr="001F22BB">
        <w:rPr>
          <w:lang w:val="it-IT"/>
        </w:rPr>
        <w:t xml:space="preserve">, 021-031. </w:t>
      </w:r>
      <w:hyperlink r:id="rId4" w:history="1">
        <w:r w:rsidRPr="001F22BB">
          <w:rPr>
            <w:rStyle w:val="Hyperlink"/>
            <w:lang w:val="it-IT"/>
          </w:rPr>
          <w:t>https://doi.org/10.7347/RIC-012024-p21</w:t>
        </w:r>
      </w:hyperlink>
      <w:r w:rsidRPr="001F22BB">
        <w:rPr>
          <w:color w:val="EE0000"/>
          <w:lang w:val="it-IT"/>
        </w:rPr>
        <w:t xml:space="preserve"> </w:t>
      </w:r>
    </w:p>
    <w:p w14:paraId="59FA19DB" w14:textId="68396BE1" w:rsidR="003E72A0" w:rsidRPr="003E72A0" w:rsidRDefault="003E72A0" w:rsidP="003E72A0">
      <w:pPr>
        <w:spacing w:line="480" w:lineRule="auto"/>
        <w:ind w:left="720" w:hanging="720"/>
      </w:pPr>
      <w:r w:rsidRPr="00112278">
        <w:rPr>
          <w:lang w:val="de-DE"/>
        </w:rPr>
        <w:t xml:space="preserve">Bornstein, B. H., </w:t>
      </w:r>
      <w:proofErr w:type="spellStart"/>
      <w:r w:rsidRPr="00112278">
        <w:rPr>
          <w:lang w:val="de-DE"/>
        </w:rPr>
        <w:t>Deffenbacher</w:t>
      </w:r>
      <w:proofErr w:type="spellEnd"/>
      <w:r w:rsidRPr="00112278">
        <w:rPr>
          <w:lang w:val="de-DE"/>
        </w:rPr>
        <w:t xml:space="preserve">, K. A., Penrod, S. D., &amp; McGorty, E. K. (2012). </w:t>
      </w:r>
      <w:r w:rsidRPr="00F364B7">
        <w:t>Effects of exposure time and cognitive operations on facial identification accuracy: A meta-analysis of two variables associated with initial memory strength. </w:t>
      </w:r>
      <w:r w:rsidRPr="00112278">
        <w:rPr>
          <w:i/>
          <w:iCs/>
        </w:rPr>
        <w:t>Psychology, Crime &amp; Law</w:t>
      </w:r>
      <w:r w:rsidRPr="00F364B7">
        <w:t>, </w:t>
      </w:r>
      <w:r w:rsidRPr="00112278">
        <w:rPr>
          <w:i/>
          <w:iCs/>
        </w:rPr>
        <w:t>18</w:t>
      </w:r>
      <w:r w:rsidRPr="00F364B7">
        <w:t>(5), 473</w:t>
      </w:r>
      <w:r w:rsidR="002E363E">
        <w:t>–</w:t>
      </w:r>
      <w:r w:rsidRPr="00F364B7">
        <w:t>490.</w:t>
      </w:r>
      <w:r>
        <w:t xml:space="preserve"> </w:t>
      </w:r>
      <w:hyperlink r:id="rId5" w:history="1">
        <w:r w:rsidRPr="00326C3F">
          <w:rPr>
            <w:rStyle w:val="Hyperlink"/>
          </w:rPr>
          <w:t>https://doi.org/10.1080/1068316X.2010.508458</w:t>
        </w:r>
      </w:hyperlink>
      <w:r>
        <w:t xml:space="preserve"> </w:t>
      </w:r>
    </w:p>
    <w:p w14:paraId="5F2992A2" w14:textId="77777777" w:rsidR="001F22BB" w:rsidRDefault="001F22BB" w:rsidP="001F22BB">
      <w:pPr>
        <w:spacing w:line="480" w:lineRule="auto"/>
        <w:ind w:left="720" w:hanging="720"/>
      </w:pPr>
      <w:r w:rsidRPr="003E72A0">
        <w:rPr>
          <w:lang w:val="de-DE"/>
        </w:rPr>
        <w:t xml:space="preserve">Buschman, T. J., Siegel, M., Roy, J. E., &amp; Miller, E. K. (2011). </w:t>
      </w:r>
      <w:r w:rsidRPr="00606712">
        <w:t>Neural substrates of cognitive capacity limitations. </w:t>
      </w:r>
      <w:r w:rsidRPr="00606712">
        <w:rPr>
          <w:i/>
          <w:iCs/>
        </w:rPr>
        <w:t>Proceedings of the National Academy of Sciences</w:t>
      </w:r>
      <w:r w:rsidRPr="00606712">
        <w:t>, </w:t>
      </w:r>
      <w:r w:rsidRPr="00606712">
        <w:rPr>
          <w:i/>
          <w:iCs/>
        </w:rPr>
        <w:t>108</w:t>
      </w:r>
      <w:r w:rsidRPr="00606712">
        <w:t>(27), 11252</w:t>
      </w:r>
      <w:r>
        <w:t>–</w:t>
      </w:r>
      <w:r w:rsidRPr="00606712">
        <w:t>11255.</w:t>
      </w:r>
      <w:r>
        <w:t xml:space="preserve"> </w:t>
      </w:r>
      <w:hyperlink r:id="rId6" w:history="1">
        <w:r w:rsidRPr="001F22BB">
          <w:rPr>
            <w:rStyle w:val="Hyperlink"/>
            <w:lang w:val="it-IT"/>
          </w:rPr>
          <w:t>https://doi.org/10.1073/pnas.1104666108</w:t>
        </w:r>
      </w:hyperlink>
    </w:p>
    <w:p w14:paraId="093CA61D" w14:textId="77777777" w:rsidR="003E72A0" w:rsidRDefault="003E72A0" w:rsidP="003E72A0">
      <w:pPr>
        <w:spacing w:line="480" w:lineRule="auto"/>
        <w:ind w:left="720" w:hanging="720"/>
      </w:pPr>
      <w:r w:rsidRPr="00046981">
        <w:t>De Brigard, F. (2014). The nature of memory traces. </w:t>
      </w:r>
      <w:r w:rsidRPr="00046981">
        <w:rPr>
          <w:i/>
          <w:iCs/>
        </w:rPr>
        <w:t>Philosophy Compass</w:t>
      </w:r>
      <w:r w:rsidRPr="00046981">
        <w:t>, </w:t>
      </w:r>
      <w:r w:rsidRPr="00046981">
        <w:rPr>
          <w:i/>
          <w:iCs/>
        </w:rPr>
        <w:t>9</w:t>
      </w:r>
      <w:r w:rsidRPr="00046981">
        <w:t>(6), 402</w:t>
      </w:r>
      <w:r>
        <w:t>–</w:t>
      </w:r>
      <w:r w:rsidRPr="00046981">
        <w:t>414.</w:t>
      </w:r>
      <w:r>
        <w:t xml:space="preserve"> </w:t>
      </w:r>
      <w:hyperlink r:id="rId7" w:history="1">
        <w:r w:rsidRPr="00326C3F">
          <w:rPr>
            <w:rStyle w:val="Hyperlink"/>
          </w:rPr>
          <w:t>https://doi.org/10.1111/phc3.12133</w:t>
        </w:r>
      </w:hyperlink>
      <w:r>
        <w:t xml:space="preserve"> </w:t>
      </w:r>
    </w:p>
    <w:p w14:paraId="229D57C3" w14:textId="38097F80" w:rsidR="003E72A0" w:rsidRPr="003E72A0" w:rsidRDefault="003E72A0" w:rsidP="003E72A0">
      <w:pPr>
        <w:spacing w:line="480" w:lineRule="auto"/>
        <w:ind w:left="720" w:hanging="720"/>
      </w:pPr>
      <w:r w:rsidRPr="00361A67">
        <w:t xml:space="preserve">Fawcett, J. M., Peace, K. A., &amp; Greve, A. (2016). Looking down the barrel of a gun: What do we know about the weapon focus </w:t>
      </w:r>
      <w:proofErr w:type="gramStart"/>
      <w:r w:rsidRPr="00361A67">
        <w:t>effect?.</w:t>
      </w:r>
      <w:proofErr w:type="gramEnd"/>
      <w:r w:rsidRPr="00361A67">
        <w:t> </w:t>
      </w:r>
      <w:r w:rsidRPr="00361A67">
        <w:rPr>
          <w:i/>
          <w:iCs/>
        </w:rPr>
        <w:t>Journal of Applied Research in Memory and Cognition</w:t>
      </w:r>
      <w:r w:rsidRPr="00361A67">
        <w:t>, </w:t>
      </w:r>
      <w:r w:rsidRPr="00361A67">
        <w:rPr>
          <w:i/>
          <w:iCs/>
        </w:rPr>
        <w:t>5</w:t>
      </w:r>
      <w:r w:rsidRPr="00361A67">
        <w:t>(3), 257</w:t>
      </w:r>
      <w:r w:rsidR="00CB2564">
        <w:t>–</w:t>
      </w:r>
      <w:r w:rsidRPr="00361A67">
        <w:t>263.</w:t>
      </w:r>
      <w:r>
        <w:t xml:space="preserve"> </w:t>
      </w:r>
      <w:hyperlink r:id="rId8" w:history="1">
        <w:r w:rsidRPr="002F2CA3">
          <w:rPr>
            <w:rStyle w:val="Hyperlink"/>
          </w:rPr>
          <w:t>https://doi.org/10.1016/j.jarmac.2016.07.005</w:t>
        </w:r>
      </w:hyperlink>
      <w:r w:rsidRPr="002F2CA3">
        <w:t xml:space="preserve"> </w:t>
      </w:r>
    </w:p>
    <w:p w14:paraId="58EB2811" w14:textId="1DC13AEC" w:rsidR="001F22BB" w:rsidRDefault="001F22BB" w:rsidP="001F22BB">
      <w:pPr>
        <w:spacing w:line="480" w:lineRule="auto"/>
        <w:ind w:left="720" w:hanging="720"/>
      </w:pPr>
      <w:r w:rsidRPr="00F82A62">
        <w:rPr>
          <w:lang w:val="it-IT"/>
        </w:rPr>
        <w:t xml:space="preserve">Glomb, K., Piotrowski, P., &amp; Romanowska, I. A. (2024). </w:t>
      </w:r>
      <w:r w:rsidRPr="00F82A62">
        <w:t>It is not real until it feels real: Testing a new method for simulation of eyewitness experience with virtual reality technology and equipment. </w:t>
      </w:r>
      <w:proofErr w:type="spellStart"/>
      <w:r w:rsidRPr="00F82A62">
        <w:rPr>
          <w:i/>
          <w:iCs/>
        </w:rPr>
        <w:t>Behavior</w:t>
      </w:r>
      <w:proofErr w:type="spellEnd"/>
      <w:r w:rsidRPr="00F82A62">
        <w:rPr>
          <w:i/>
          <w:iCs/>
        </w:rPr>
        <w:t xml:space="preserve"> </w:t>
      </w:r>
      <w:r w:rsidR="008E24BC">
        <w:rPr>
          <w:i/>
          <w:iCs/>
        </w:rPr>
        <w:t>R</w:t>
      </w:r>
      <w:r w:rsidRPr="00F82A62">
        <w:rPr>
          <w:i/>
          <w:iCs/>
        </w:rPr>
        <w:t xml:space="preserve">esearch </w:t>
      </w:r>
      <w:r w:rsidR="008E24BC">
        <w:rPr>
          <w:i/>
          <w:iCs/>
        </w:rPr>
        <w:t>M</w:t>
      </w:r>
      <w:r w:rsidRPr="00F82A62">
        <w:rPr>
          <w:i/>
          <w:iCs/>
        </w:rPr>
        <w:t>ethods</w:t>
      </w:r>
      <w:r w:rsidRPr="00F82A62">
        <w:t>, </w:t>
      </w:r>
      <w:r w:rsidRPr="00F82A62">
        <w:rPr>
          <w:i/>
          <w:iCs/>
        </w:rPr>
        <w:t>56</w:t>
      </w:r>
      <w:r w:rsidRPr="00F82A62">
        <w:t>(5), 4336</w:t>
      </w:r>
      <w:r>
        <w:t>–</w:t>
      </w:r>
      <w:r w:rsidRPr="00F82A62">
        <w:t>4350.</w:t>
      </w:r>
      <w:r>
        <w:t xml:space="preserve"> </w:t>
      </w:r>
      <w:hyperlink r:id="rId9" w:history="1">
        <w:r w:rsidRPr="00326C3F">
          <w:rPr>
            <w:rStyle w:val="Hyperlink"/>
          </w:rPr>
          <w:t>https://doi.org/10.3758/s13428-023-02186-2</w:t>
        </w:r>
      </w:hyperlink>
      <w:r>
        <w:t xml:space="preserve"> </w:t>
      </w:r>
    </w:p>
    <w:p w14:paraId="1CDCE01F" w14:textId="77777777" w:rsidR="001F22BB" w:rsidRPr="003E72A0" w:rsidRDefault="001F22BB" w:rsidP="001D26D2">
      <w:pPr>
        <w:spacing w:line="480" w:lineRule="auto"/>
        <w:ind w:left="720" w:hanging="720"/>
      </w:pPr>
    </w:p>
    <w:p w14:paraId="42381E45" w14:textId="368D13A6" w:rsidR="002C1804" w:rsidRDefault="00BC5DD5" w:rsidP="001D26D2">
      <w:pPr>
        <w:spacing w:line="480" w:lineRule="auto"/>
        <w:ind w:left="720" w:hanging="720"/>
      </w:pPr>
      <w:r w:rsidRPr="00BF70B6">
        <w:lastRenderedPageBreak/>
        <w:t>Horry, R., Halford, P., Brewer, N., Milne, R., &amp; Bull, R. (2014). Archival analyses of eyewitness identification test outcomes: What can they tell us about eyewitness memory? </w:t>
      </w:r>
      <w:r w:rsidRPr="00CB312E">
        <w:rPr>
          <w:i/>
          <w:iCs/>
        </w:rPr>
        <w:t xml:space="preserve">Law and Human </w:t>
      </w:r>
      <w:proofErr w:type="spellStart"/>
      <w:r w:rsidRPr="00CB312E">
        <w:rPr>
          <w:i/>
          <w:iCs/>
        </w:rPr>
        <w:t>Behavior</w:t>
      </w:r>
      <w:proofErr w:type="spellEnd"/>
      <w:r w:rsidRPr="00BF70B6">
        <w:t>, </w:t>
      </w:r>
      <w:r w:rsidRPr="00CB312E">
        <w:rPr>
          <w:i/>
          <w:iCs/>
        </w:rPr>
        <w:t>38</w:t>
      </w:r>
      <w:r w:rsidRPr="00BF70B6">
        <w:t>(1), 94</w:t>
      </w:r>
      <w:r w:rsidR="001D25C3">
        <w:t xml:space="preserve"> – 108. </w:t>
      </w:r>
      <w:hyperlink r:id="rId10" w:history="1">
        <w:r w:rsidR="00702449" w:rsidRPr="00326C3F">
          <w:rPr>
            <w:rStyle w:val="Hyperlink"/>
          </w:rPr>
          <w:t>https://doi.org/10.1037/lhb0000060</w:t>
        </w:r>
      </w:hyperlink>
      <w:r w:rsidR="001D26D2">
        <w:t xml:space="preserve"> </w:t>
      </w:r>
    </w:p>
    <w:p w14:paraId="07CA43D2" w14:textId="77777777" w:rsidR="003E72A0" w:rsidRDefault="003E72A0" w:rsidP="003E72A0">
      <w:pPr>
        <w:spacing w:line="480" w:lineRule="auto"/>
        <w:ind w:left="720" w:hanging="720"/>
      </w:pPr>
      <w:r w:rsidRPr="003E72A0">
        <w:rPr>
          <w:lang w:val="de-DE"/>
        </w:rPr>
        <w:t xml:space="preserve">Hultsch, D. F., &amp; Pentz, C. A. (2014). </w:t>
      </w:r>
      <w:r w:rsidRPr="003840A5">
        <w:t>Encoding, storage, and retrieval in adult memory: The role of model assumptions.</w:t>
      </w:r>
      <w:r>
        <w:t xml:space="preserve"> </w:t>
      </w:r>
      <w:r w:rsidRPr="00F9666E">
        <w:t>In G. Dawson, J. Fozard, L. Cermak, D. Arenberg, &amp; L. Th</w:t>
      </w:r>
      <w:r>
        <w:t>ompson (Eds.),</w:t>
      </w:r>
      <w:r w:rsidRPr="003840A5">
        <w:t xml:space="preserve"> </w:t>
      </w:r>
      <w:r w:rsidRPr="003840A5">
        <w:rPr>
          <w:i/>
          <w:iCs/>
        </w:rPr>
        <w:t xml:space="preserve">New Directions in Memory and </w:t>
      </w:r>
      <w:r>
        <w:rPr>
          <w:i/>
          <w:iCs/>
        </w:rPr>
        <w:t xml:space="preserve">Ageing </w:t>
      </w:r>
      <w:r w:rsidRPr="003840A5">
        <w:t>(pp. 73-94). Psychology Press.</w:t>
      </w:r>
      <w:r>
        <w:t xml:space="preserve"> </w:t>
      </w:r>
      <w:hyperlink r:id="rId11" w:history="1">
        <w:r w:rsidRPr="00326C3F">
          <w:rPr>
            <w:rStyle w:val="Hyperlink"/>
          </w:rPr>
          <w:t>https://doi.org/10.4324/9781315774886</w:t>
        </w:r>
      </w:hyperlink>
      <w:r>
        <w:t xml:space="preserve"> </w:t>
      </w:r>
    </w:p>
    <w:p w14:paraId="167C002B" w14:textId="77777777" w:rsidR="00912927" w:rsidRDefault="00912927" w:rsidP="00912927">
      <w:pPr>
        <w:spacing w:line="480" w:lineRule="auto"/>
        <w:ind w:left="720" w:hanging="720"/>
      </w:pPr>
      <w:r w:rsidRPr="002F2CA3">
        <w:t xml:space="preserve">Ji, Z., Huang, H., &amp; Wang, Z. (2021, December). </w:t>
      </w:r>
      <w:r w:rsidRPr="001E2D50">
        <w:t>The effects of divided attention and selective attention on the accuracy of memory. In </w:t>
      </w:r>
      <w:r w:rsidRPr="001E2D50">
        <w:rPr>
          <w:i/>
          <w:iCs/>
        </w:rPr>
        <w:t>2021 4th International Conference on Humanities Education and Social Sciences (ICHESS 2021)</w:t>
      </w:r>
      <w:r w:rsidRPr="001E2D50">
        <w:t> (pp. 1557-1561). Atlantis Press.</w:t>
      </w:r>
      <w:r>
        <w:t xml:space="preserve"> </w:t>
      </w:r>
      <w:hyperlink r:id="rId12" w:history="1">
        <w:r w:rsidRPr="00326C3F">
          <w:rPr>
            <w:rStyle w:val="Hyperlink"/>
          </w:rPr>
          <w:t>https://doi.org/10.2991/assehr.k.211220.263</w:t>
        </w:r>
      </w:hyperlink>
      <w:r>
        <w:t xml:space="preserve"> </w:t>
      </w:r>
    </w:p>
    <w:p w14:paraId="506673C3" w14:textId="0EFA3785" w:rsidR="00912927" w:rsidRPr="008B68DB" w:rsidRDefault="00912927" w:rsidP="00912927">
      <w:pPr>
        <w:spacing w:line="480" w:lineRule="auto"/>
        <w:ind w:left="720" w:hanging="720"/>
        <w:rPr>
          <w:lang w:val="fr-FR"/>
        </w:rPr>
      </w:pPr>
      <w:r w:rsidRPr="00B53D2E">
        <w:rPr>
          <w:lang w:val="de-DE"/>
        </w:rPr>
        <w:t xml:space="preserve">Körner, H.M., </w:t>
      </w:r>
      <w:proofErr w:type="spellStart"/>
      <w:proofErr w:type="gramStart"/>
      <w:r w:rsidRPr="00B53D2E">
        <w:rPr>
          <w:lang w:val="de-DE"/>
        </w:rPr>
        <w:t>Faul</w:t>
      </w:r>
      <w:proofErr w:type="spellEnd"/>
      <w:proofErr w:type="gramEnd"/>
      <w:r w:rsidRPr="00B53D2E">
        <w:rPr>
          <w:lang w:val="de-DE"/>
        </w:rPr>
        <w:t xml:space="preserve">, F. &amp; </w:t>
      </w:r>
      <w:proofErr w:type="spellStart"/>
      <w:r w:rsidRPr="00B53D2E">
        <w:rPr>
          <w:lang w:val="de-DE"/>
        </w:rPr>
        <w:t>Nuthmann</w:t>
      </w:r>
      <w:proofErr w:type="spellEnd"/>
      <w:r w:rsidRPr="00B53D2E">
        <w:rPr>
          <w:lang w:val="de-DE"/>
        </w:rPr>
        <w:t>, A.</w:t>
      </w:r>
      <w:r w:rsidR="00B53D2E" w:rsidRPr="00B53D2E">
        <w:rPr>
          <w:lang w:val="de-DE"/>
        </w:rPr>
        <w:t xml:space="preserve"> (</w:t>
      </w:r>
      <w:r w:rsidR="00B53D2E" w:rsidRPr="00B53D2E">
        <w:rPr>
          <w:lang w:val="de-DE"/>
        </w:rPr>
        <w:t>2023</w:t>
      </w:r>
      <w:r w:rsidR="00B53D2E" w:rsidRPr="00B53D2E">
        <w:rPr>
          <w:lang w:val="de-DE"/>
        </w:rPr>
        <w:t>).</w:t>
      </w:r>
      <w:r w:rsidRPr="00B53D2E">
        <w:rPr>
          <w:lang w:val="de-DE"/>
        </w:rPr>
        <w:t xml:space="preserve"> </w:t>
      </w:r>
      <w:r w:rsidRPr="00C0765C">
        <w:t>Revisiting the role of attention in the “weapon focus effect”: Do weapons draw gaze away from the perpetrator under naturalistic viewing conditions? </w:t>
      </w:r>
      <w:r w:rsidRPr="00B53D2E">
        <w:rPr>
          <w:i/>
          <w:iCs/>
        </w:rPr>
        <w:t>Atten</w:t>
      </w:r>
      <w:r w:rsidR="007638B0" w:rsidRPr="00B53D2E">
        <w:rPr>
          <w:i/>
          <w:iCs/>
        </w:rPr>
        <w:t xml:space="preserve">tion, </w:t>
      </w:r>
      <w:r w:rsidR="00B53D2E">
        <w:rPr>
          <w:i/>
          <w:iCs/>
        </w:rPr>
        <w:t>Perception</w:t>
      </w:r>
      <w:r w:rsidR="007638B0" w:rsidRPr="00B53D2E">
        <w:rPr>
          <w:i/>
          <w:iCs/>
        </w:rPr>
        <w:t xml:space="preserve">, &amp; </w:t>
      </w:r>
      <w:r w:rsidR="00897DCD" w:rsidRPr="00B53D2E">
        <w:rPr>
          <w:i/>
          <w:iCs/>
        </w:rPr>
        <w:t>Psych</w:t>
      </w:r>
      <w:r w:rsidR="00897DCD">
        <w:rPr>
          <w:i/>
          <w:iCs/>
        </w:rPr>
        <w:t>ophysics</w:t>
      </w:r>
      <w:r w:rsidR="00B53D2E" w:rsidRPr="00B53D2E">
        <w:t>,</w:t>
      </w:r>
      <w:r w:rsidR="00897DCD">
        <w:t xml:space="preserve"> </w:t>
      </w:r>
      <w:r w:rsidR="00897DCD" w:rsidRPr="00897DCD">
        <w:rPr>
          <w:i/>
          <w:iCs/>
        </w:rPr>
        <w:t>85</w:t>
      </w:r>
      <w:r w:rsidR="00897DCD">
        <w:t>,</w:t>
      </w:r>
      <w:r w:rsidRPr="00B53D2E">
        <w:t xml:space="preserve"> 1868–1887. </w:t>
      </w:r>
      <w:hyperlink r:id="rId13" w:history="1">
        <w:r w:rsidRPr="008B68DB">
          <w:rPr>
            <w:rStyle w:val="Hyperlink"/>
            <w:lang w:val="fr-FR"/>
          </w:rPr>
          <w:t>https://doi.org/10.3758/s13414-022-02643-8</w:t>
        </w:r>
      </w:hyperlink>
      <w:r w:rsidRPr="008B68DB">
        <w:rPr>
          <w:lang w:val="fr-FR"/>
        </w:rPr>
        <w:t xml:space="preserve"> </w:t>
      </w:r>
    </w:p>
    <w:p w14:paraId="347E8500" w14:textId="77777777" w:rsidR="008B68DB" w:rsidRPr="00C23D09" w:rsidRDefault="008B68DB" w:rsidP="008B68DB">
      <w:pPr>
        <w:spacing w:line="480" w:lineRule="auto"/>
        <w:ind w:left="720" w:hanging="720"/>
      </w:pPr>
      <w:r w:rsidRPr="008B68DB">
        <w:rPr>
          <w:lang w:val="fr-FR"/>
        </w:rPr>
        <w:t xml:space="preserve">Lane, S. M. (2006). </w:t>
      </w:r>
      <w:r w:rsidRPr="0051349C">
        <w:t>Dividing attention during a witnessed event increases eyewitness suggestibility. </w:t>
      </w:r>
      <w:r w:rsidRPr="0051349C">
        <w:rPr>
          <w:i/>
          <w:iCs/>
        </w:rPr>
        <w:t>Applied Cognitive Psychology</w:t>
      </w:r>
      <w:r>
        <w:rPr>
          <w:i/>
          <w:iCs/>
        </w:rPr>
        <w:t>,</w:t>
      </w:r>
      <w:r w:rsidRPr="0051349C">
        <w:t> </w:t>
      </w:r>
      <w:r w:rsidRPr="0051349C">
        <w:rPr>
          <w:i/>
          <w:iCs/>
        </w:rPr>
        <w:t>20</w:t>
      </w:r>
      <w:r w:rsidRPr="0051349C">
        <w:t>(2), 199</w:t>
      </w:r>
      <w:r>
        <w:t>–</w:t>
      </w:r>
      <w:r w:rsidRPr="0051349C">
        <w:t>212.</w:t>
      </w:r>
      <w:r>
        <w:t xml:space="preserve"> </w:t>
      </w:r>
      <w:hyperlink r:id="rId14" w:history="1">
        <w:r w:rsidRPr="002F2CA3">
          <w:rPr>
            <w:rStyle w:val="Hyperlink"/>
          </w:rPr>
          <w:t>https://doi.org/10.1002/acp.1177</w:t>
        </w:r>
      </w:hyperlink>
      <w:r w:rsidRPr="002F2CA3">
        <w:t xml:space="preserve"> </w:t>
      </w:r>
    </w:p>
    <w:p w14:paraId="74C1128F" w14:textId="77777777" w:rsidR="008B68DB" w:rsidRPr="007A648C" w:rsidRDefault="008B68DB" w:rsidP="008B68DB">
      <w:pPr>
        <w:spacing w:line="480" w:lineRule="auto"/>
        <w:ind w:left="720" w:hanging="720"/>
      </w:pPr>
      <w:r w:rsidRPr="00C23D09">
        <w:t xml:space="preserve">Lane, S. M., &amp; Houston, K. A. (2019). </w:t>
      </w:r>
      <w:r w:rsidRPr="007A648C">
        <w:t>Eyewitness memory</w:t>
      </w:r>
      <w:r w:rsidRPr="007A648C">
        <w:rPr>
          <w:i/>
          <w:iCs/>
        </w:rPr>
        <w:t xml:space="preserve">. </w:t>
      </w:r>
      <w:r w:rsidRPr="007A648C">
        <w:t>In N. Brewer &amp; A. B. Douglass (Eds.),</w:t>
      </w:r>
      <w:r w:rsidRPr="007A648C">
        <w:rPr>
          <w:i/>
          <w:iCs/>
        </w:rPr>
        <w:t xml:space="preserve"> Psychological science and the law, </w:t>
      </w:r>
      <w:r w:rsidRPr="007A648C">
        <w:t>(pp. 104–129). Guilford Press.</w:t>
      </w:r>
    </w:p>
    <w:p w14:paraId="15C6D446" w14:textId="679D6CBB" w:rsidR="003E72A0" w:rsidRDefault="008B68DB" w:rsidP="008B68DB">
      <w:pPr>
        <w:spacing w:line="480" w:lineRule="auto"/>
        <w:ind w:left="720" w:hanging="720"/>
      </w:pPr>
      <w:r w:rsidRPr="00BD2E8F">
        <w:lastRenderedPageBreak/>
        <w:t xml:space="preserve">Loftus, E. F., Loftus, G. R., &amp; Messo, J. (1987). </w:t>
      </w:r>
      <w:r w:rsidRPr="0046607C">
        <w:t>Some facts about "weapon focus." </w:t>
      </w:r>
      <w:r w:rsidRPr="0046607C">
        <w:rPr>
          <w:i/>
          <w:iCs/>
        </w:rPr>
        <w:t xml:space="preserve">Law and Human </w:t>
      </w:r>
      <w:proofErr w:type="spellStart"/>
      <w:r w:rsidRPr="0046607C">
        <w:rPr>
          <w:i/>
          <w:iCs/>
        </w:rPr>
        <w:t>Behavior</w:t>
      </w:r>
      <w:proofErr w:type="spellEnd"/>
      <w:r w:rsidRPr="0046607C">
        <w:rPr>
          <w:i/>
          <w:iCs/>
        </w:rPr>
        <w:t>, 11</w:t>
      </w:r>
      <w:r w:rsidRPr="0046607C">
        <w:t>(1), 55–62. </w:t>
      </w:r>
      <w:hyperlink r:id="rId15" w:tgtFrame="_blank" w:history="1">
        <w:r w:rsidRPr="0046607C">
          <w:rPr>
            <w:rStyle w:val="Hyperlink"/>
          </w:rPr>
          <w:t>https://doi.org/10.1007/BF01044839</w:t>
        </w:r>
      </w:hyperlink>
    </w:p>
    <w:p w14:paraId="4D328614" w14:textId="5A0E1B0F" w:rsidR="008B68DB" w:rsidRDefault="008B68DB" w:rsidP="008B68DB">
      <w:pPr>
        <w:spacing w:line="480" w:lineRule="auto"/>
        <w:ind w:left="720" w:hanging="720"/>
      </w:pPr>
      <w:r w:rsidRPr="00C46E58">
        <w:t>Mansour, J. K., Hamilton, C. M., &amp; Gibson, M. T. (2019). Understanding the weapon focus effect: The role of threat, unusualness, exposure duration, and scene complexity. </w:t>
      </w:r>
      <w:r w:rsidRPr="00C46E58">
        <w:rPr>
          <w:i/>
          <w:iCs/>
        </w:rPr>
        <w:t>Applied Cognitive Psychology</w:t>
      </w:r>
      <w:r w:rsidRPr="00C46E58">
        <w:t>, </w:t>
      </w:r>
      <w:r w:rsidRPr="00C46E58">
        <w:rPr>
          <w:i/>
          <w:iCs/>
        </w:rPr>
        <w:t>33</w:t>
      </w:r>
      <w:r w:rsidRPr="00C46E58">
        <w:t>(6), 991</w:t>
      </w:r>
      <w:r w:rsidR="00CD6561">
        <w:t>–</w:t>
      </w:r>
      <w:r w:rsidRPr="00C46E58">
        <w:t>1007.</w:t>
      </w:r>
      <w:r>
        <w:t xml:space="preserve"> </w:t>
      </w:r>
      <w:hyperlink r:id="rId16" w:history="1">
        <w:r w:rsidRPr="00326C3F">
          <w:rPr>
            <w:rStyle w:val="Hyperlink"/>
          </w:rPr>
          <w:t>https://doi.org/10.1002/acp.3515</w:t>
        </w:r>
      </w:hyperlink>
      <w:r>
        <w:t xml:space="preserve"> </w:t>
      </w:r>
    </w:p>
    <w:p w14:paraId="6D615ECF" w14:textId="394BC29E" w:rsidR="003E72A0" w:rsidRDefault="003E72A0" w:rsidP="003E72A0">
      <w:pPr>
        <w:spacing w:line="480" w:lineRule="auto"/>
        <w:ind w:left="720" w:hanging="720"/>
      </w:pPr>
      <w:r w:rsidRPr="0062147B">
        <w:t>Memon, A., Hope, L., &amp; Bull, R. (2003). Exposure duration: Effects on eyewitness accuracy and confidence. </w:t>
      </w:r>
      <w:r w:rsidRPr="00112278">
        <w:rPr>
          <w:i/>
          <w:iCs/>
        </w:rPr>
        <w:t>British journal of psychology</w:t>
      </w:r>
      <w:r w:rsidRPr="0062147B">
        <w:t>, </w:t>
      </w:r>
      <w:r w:rsidRPr="00112278">
        <w:rPr>
          <w:i/>
          <w:iCs/>
        </w:rPr>
        <w:t>94</w:t>
      </w:r>
      <w:r w:rsidRPr="0062147B">
        <w:t>(3), 339</w:t>
      </w:r>
      <w:r w:rsidR="00994659">
        <w:t>–</w:t>
      </w:r>
      <w:r w:rsidRPr="0062147B">
        <w:t>354.</w:t>
      </w:r>
      <w:r>
        <w:t xml:space="preserve"> </w:t>
      </w:r>
      <w:hyperlink r:id="rId17" w:history="1">
        <w:r w:rsidRPr="00326C3F">
          <w:rPr>
            <w:rStyle w:val="Hyperlink"/>
          </w:rPr>
          <w:t>https://doi.org/10.1348/000712603767876262</w:t>
        </w:r>
      </w:hyperlink>
      <w:r>
        <w:t xml:space="preserve"> </w:t>
      </w:r>
    </w:p>
    <w:p w14:paraId="62EF3B27" w14:textId="77777777" w:rsidR="004A48E0" w:rsidRDefault="004A48E0" w:rsidP="001507D0">
      <w:pPr>
        <w:spacing w:line="480" w:lineRule="auto"/>
        <w:ind w:left="720" w:hanging="720"/>
      </w:pPr>
      <w:proofErr w:type="spellStart"/>
      <w:r w:rsidRPr="001B1922">
        <w:t>Schonbach</w:t>
      </w:r>
      <w:proofErr w:type="spellEnd"/>
      <w:r w:rsidRPr="001B1922">
        <w:t xml:space="preserve">-Medina, S., &amp; Vakil, E. (2017). Encoding Factors Affecting Context Effects on Memory: </w:t>
      </w:r>
      <w:r>
        <w:t>Congruency, Attention,</w:t>
      </w:r>
      <w:r w:rsidRPr="001B1922">
        <w:t xml:space="preserve"> and Exposure Time. </w:t>
      </w:r>
      <w:r w:rsidRPr="00082D25">
        <w:rPr>
          <w:i/>
          <w:iCs/>
        </w:rPr>
        <w:t>Psychology, 8</w:t>
      </w:r>
      <w:r>
        <w:t>(3)</w:t>
      </w:r>
      <w:r w:rsidRPr="001B1922">
        <w:t>, 463</w:t>
      </w:r>
      <w:r>
        <w:t>–</w:t>
      </w:r>
      <w:r w:rsidRPr="001B1922">
        <w:t xml:space="preserve">476. </w:t>
      </w:r>
      <w:hyperlink r:id="rId18" w:history="1">
        <w:r w:rsidRPr="00326C3F">
          <w:rPr>
            <w:rStyle w:val="Hyperlink"/>
          </w:rPr>
          <w:t>https://doi.org/10.4236/psych.2017.83029</w:t>
        </w:r>
      </w:hyperlink>
      <w:r>
        <w:t xml:space="preserve"> </w:t>
      </w:r>
    </w:p>
    <w:p w14:paraId="72B47B39" w14:textId="7EE5D2D2" w:rsidR="001F22BB" w:rsidRDefault="00356C61" w:rsidP="001F22BB">
      <w:pPr>
        <w:spacing w:line="480" w:lineRule="auto"/>
        <w:ind w:left="720" w:hanging="720"/>
      </w:pPr>
      <w:r w:rsidRPr="0047687C">
        <w:t xml:space="preserve">Schweizer, K. (1996). Level of encoding, </w:t>
      </w:r>
      <w:proofErr w:type="spellStart"/>
      <w:r w:rsidRPr="0047687C">
        <w:t>preattentive</w:t>
      </w:r>
      <w:proofErr w:type="spellEnd"/>
      <w:r w:rsidRPr="0047687C">
        <w:t xml:space="preserve"> processing and working-memory capacity as sources of cognitive ability. </w:t>
      </w:r>
      <w:r w:rsidRPr="0047687C">
        <w:rPr>
          <w:i/>
          <w:iCs/>
        </w:rPr>
        <w:t>Personality and Individual Differences</w:t>
      </w:r>
      <w:r w:rsidRPr="0047687C">
        <w:t>, </w:t>
      </w:r>
      <w:r w:rsidRPr="0047687C">
        <w:rPr>
          <w:i/>
          <w:iCs/>
        </w:rPr>
        <w:t>21</w:t>
      </w:r>
      <w:r w:rsidRPr="0047687C">
        <w:t>(5), 759</w:t>
      </w:r>
      <w:r>
        <w:t>–</w:t>
      </w:r>
      <w:r w:rsidRPr="0047687C">
        <w:t>766.</w:t>
      </w:r>
      <w:r>
        <w:t xml:space="preserve"> </w:t>
      </w:r>
      <w:hyperlink r:id="rId19" w:history="1">
        <w:r w:rsidRPr="00326C3F">
          <w:rPr>
            <w:rStyle w:val="Hyperlink"/>
          </w:rPr>
          <w:t>https://doi.org/10.1016/0191-8869(96)00108-0</w:t>
        </w:r>
      </w:hyperlink>
      <w:r>
        <w:t xml:space="preserve"> </w:t>
      </w:r>
    </w:p>
    <w:p w14:paraId="226215B6" w14:textId="0411A8B5" w:rsidR="008F35C7" w:rsidRDefault="008F35C7" w:rsidP="008F35C7">
      <w:pPr>
        <w:spacing w:line="480" w:lineRule="auto"/>
        <w:ind w:left="720" w:hanging="720"/>
      </w:pPr>
      <w:r>
        <w:t xml:space="preserve">Wells, G. L., &amp; Loftus, E. F. (2003). </w:t>
      </w:r>
      <w:r w:rsidRPr="0060702C">
        <w:t>Eyewitness memory for people and events. </w:t>
      </w:r>
      <w:r w:rsidRPr="00196DA7">
        <w:rPr>
          <w:lang w:val="nl-NL"/>
        </w:rPr>
        <w:t xml:space="preserve">In A. M. </w:t>
      </w:r>
      <w:proofErr w:type="spellStart"/>
      <w:r w:rsidRPr="00196DA7">
        <w:rPr>
          <w:lang w:val="nl-NL"/>
        </w:rPr>
        <w:t>Goldstein</w:t>
      </w:r>
      <w:proofErr w:type="spellEnd"/>
      <w:r w:rsidRPr="00196DA7">
        <w:rPr>
          <w:lang w:val="nl-NL"/>
        </w:rPr>
        <w:t xml:space="preserve"> (Ed.), </w:t>
      </w:r>
      <w:proofErr w:type="spellStart"/>
      <w:r w:rsidRPr="00196DA7">
        <w:rPr>
          <w:i/>
          <w:iCs/>
          <w:lang w:val="nl-NL"/>
        </w:rPr>
        <w:t>Handbook</w:t>
      </w:r>
      <w:proofErr w:type="spellEnd"/>
      <w:r w:rsidRPr="00196DA7">
        <w:rPr>
          <w:i/>
          <w:iCs/>
          <w:lang w:val="nl-NL"/>
        </w:rPr>
        <w:t xml:space="preserve"> of </w:t>
      </w:r>
      <w:proofErr w:type="spellStart"/>
      <w:r w:rsidRPr="00196DA7">
        <w:rPr>
          <w:i/>
          <w:iCs/>
          <w:lang w:val="nl-NL"/>
        </w:rPr>
        <w:t>psychology</w:t>
      </w:r>
      <w:proofErr w:type="spellEnd"/>
      <w:r w:rsidRPr="00196DA7">
        <w:rPr>
          <w:i/>
          <w:iCs/>
          <w:lang w:val="nl-NL"/>
        </w:rPr>
        <w:t xml:space="preserve">: </w:t>
      </w:r>
      <w:proofErr w:type="spellStart"/>
      <w:r w:rsidRPr="00196DA7">
        <w:rPr>
          <w:i/>
          <w:iCs/>
          <w:lang w:val="nl-NL"/>
        </w:rPr>
        <w:t>Forensic</w:t>
      </w:r>
      <w:proofErr w:type="spellEnd"/>
      <w:r w:rsidRPr="00196DA7">
        <w:rPr>
          <w:i/>
          <w:iCs/>
          <w:lang w:val="nl-NL"/>
        </w:rPr>
        <w:t xml:space="preserve"> </w:t>
      </w:r>
      <w:proofErr w:type="spellStart"/>
      <w:r w:rsidRPr="00196DA7">
        <w:rPr>
          <w:i/>
          <w:iCs/>
          <w:lang w:val="nl-NL"/>
        </w:rPr>
        <w:t>psychology</w:t>
      </w:r>
      <w:proofErr w:type="spellEnd"/>
      <w:r>
        <w:rPr>
          <w:i/>
          <w:iCs/>
          <w:lang w:val="nl-NL"/>
        </w:rPr>
        <w:t>,</w:t>
      </w:r>
      <w:r w:rsidRPr="00196DA7">
        <w:rPr>
          <w:lang w:val="nl-NL"/>
        </w:rPr>
        <w:t xml:space="preserve"> </w:t>
      </w:r>
      <w:r>
        <w:rPr>
          <w:lang w:val="nl-NL"/>
        </w:rPr>
        <w:t xml:space="preserve">(Vol. 11, pp. </w:t>
      </w:r>
      <w:r w:rsidRPr="00196DA7">
        <w:rPr>
          <w:lang w:val="nl-NL"/>
        </w:rPr>
        <w:t>14</w:t>
      </w:r>
      <w:r>
        <w:rPr>
          <w:lang w:val="nl-NL"/>
        </w:rPr>
        <w:t>9</w:t>
      </w:r>
      <w:r w:rsidRPr="00196DA7">
        <w:rPr>
          <w:lang w:val="nl-NL"/>
        </w:rPr>
        <w:t>–</w:t>
      </w:r>
      <w:r>
        <w:rPr>
          <w:lang w:val="nl-NL"/>
        </w:rPr>
        <w:t>1</w:t>
      </w:r>
      <w:r w:rsidRPr="00196DA7">
        <w:rPr>
          <w:lang w:val="nl-NL"/>
        </w:rPr>
        <w:t>60</w:t>
      </w:r>
      <w:r>
        <w:rPr>
          <w:lang w:val="nl-NL"/>
        </w:rPr>
        <w:t>)</w:t>
      </w:r>
      <w:r w:rsidRPr="00196DA7">
        <w:rPr>
          <w:lang w:val="nl-NL"/>
        </w:rPr>
        <w:t xml:space="preserve">. </w:t>
      </w:r>
      <w:r w:rsidRPr="004A48E0">
        <w:t xml:space="preserve">John Wiley &amp; Sons. </w:t>
      </w:r>
      <w:hyperlink r:id="rId20" w:history="1">
        <w:r w:rsidRPr="004A48E0">
          <w:rPr>
            <w:rStyle w:val="Hyperlink"/>
          </w:rPr>
          <w:t>https://psycnet.apa.org/doi/10.1002/0471264385.wei1109</w:t>
        </w:r>
      </w:hyperlink>
      <w:r w:rsidRPr="004A48E0">
        <w:t xml:space="preserve"> </w:t>
      </w:r>
    </w:p>
    <w:p w14:paraId="11FF8DFE" w14:textId="097DC477" w:rsidR="000173D4" w:rsidRPr="008F35C7" w:rsidRDefault="002C24EC" w:rsidP="008F35C7">
      <w:pPr>
        <w:spacing w:line="480" w:lineRule="auto"/>
        <w:ind w:left="720" w:hanging="720"/>
        <w:rPr>
          <w:lang w:val="nl-NL"/>
        </w:rPr>
      </w:pPr>
      <w:proofErr w:type="spellStart"/>
      <w:r w:rsidRPr="001F22BB">
        <w:rPr>
          <w:lang w:val="nl-NL"/>
        </w:rPr>
        <w:t>Yegiyan</w:t>
      </w:r>
      <w:proofErr w:type="spellEnd"/>
      <w:r w:rsidRPr="001F22BB">
        <w:rPr>
          <w:lang w:val="nl-NL"/>
        </w:rPr>
        <w:t xml:space="preserve">, N. S., &amp; Lang, A. (2010). </w:t>
      </w:r>
      <w:r w:rsidRPr="00630A58">
        <w:t>Processing Central and Peripheral Detail: How Content Arousal and Emotional Tone Influence Encoding. </w:t>
      </w:r>
      <w:r w:rsidRPr="007A648C">
        <w:rPr>
          <w:i/>
          <w:iCs/>
          <w:lang w:val="nl-NL"/>
        </w:rPr>
        <w:t xml:space="preserve">Media </w:t>
      </w:r>
      <w:proofErr w:type="spellStart"/>
      <w:r w:rsidRPr="007A648C">
        <w:rPr>
          <w:i/>
          <w:iCs/>
          <w:lang w:val="nl-NL"/>
        </w:rPr>
        <w:t>Psychology</w:t>
      </w:r>
      <w:proofErr w:type="spellEnd"/>
      <w:r w:rsidRPr="007A648C">
        <w:rPr>
          <w:lang w:val="nl-NL"/>
        </w:rPr>
        <w:t>, </w:t>
      </w:r>
      <w:r w:rsidRPr="007A648C">
        <w:rPr>
          <w:i/>
          <w:iCs/>
          <w:lang w:val="nl-NL"/>
        </w:rPr>
        <w:t>13</w:t>
      </w:r>
      <w:r w:rsidRPr="007A648C">
        <w:rPr>
          <w:lang w:val="nl-NL"/>
        </w:rPr>
        <w:t xml:space="preserve">(1), 77–99. </w:t>
      </w:r>
      <w:hyperlink r:id="rId21" w:history="1">
        <w:r w:rsidRPr="007A648C">
          <w:rPr>
            <w:rStyle w:val="Hyperlink"/>
            <w:lang w:val="nl-NL"/>
          </w:rPr>
          <w:t>https://doi.org/10.1080/15213260903563014</w:t>
        </w:r>
      </w:hyperlink>
      <w:r w:rsidRPr="007A648C">
        <w:rPr>
          <w:lang w:val="nl-NL"/>
        </w:rPr>
        <w:t xml:space="preserve"> </w:t>
      </w:r>
    </w:p>
    <w:sectPr w:rsidR="000173D4" w:rsidRPr="008F35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7E2"/>
    <w:rsid w:val="00004002"/>
    <w:rsid w:val="0000588F"/>
    <w:rsid w:val="00013109"/>
    <w:rsid w:val="00016AE5"/>
    <w:rsid w:val="000173D4"/>
    <w:rsid w:val="00021AA9"/>
    <w:rsid w:val="0002307B"/>
    <w:rsid w:val="00026FB1"/>
    <w:rsid w:val="00046981"/>
    <w:rsid w:val="00047046"/>
    <w:rsid w:val="0005004B"/>
    <w:rsid w:val="00060219"/>
    <w:rsid w:val="0007120B"/>
    <w:rsid w:val="000762DF"/>
    <w:rsid w:val="000824EB"/>
    <w:rsid w:val="00082BE1"/>
    <w:rsid w:val="00082D25"/>
    <w:rsid w:val="0008312E"/>
    <w:rsid w:val="00084E5A"/>
    <w:rsid w:val="000B458D"/>
    <w:rsid w:val="000B75F9"/>
    <w:rsid w:val="000C58C3"/>
    <w:rsid w:val="000E7703"/>
    <w:rsid w:val="000F177F"/>
    <w:rsid w:val="000F4C10"/>
    <w:rsid w:val="0010363F"/>
    <w:rsid w:val="0011337F"/>
    <w:rsid w:val="00135339"/>
    <w:rsid w:val="00145881"/>
    <w:rsid w:val="001507D0"/>
    <w:rsid w:val="00153CCD"/>
    <w:rsid w:val="00163EB1"/>
    <w:rsid w:val="001677E2"/>
    <w:rsid w:val="0017032B"/>
    <w:rsid w:val="001723F3"/>
    <w:rsid w:val="0017367A"/>
    <w:rsid w:val="001767D1"/>
    <w:rsid w:val="0018000A"/>
    <w:rsid w:val="00183A5E"/>
    <w:rsid w:val="0018657E"/>
    <w:rsid w:val="00196DA7"/>
    <w:rsid w:val="00197121"/>
    <w:rsid w:val="001A3555"/>
    <w:rsid w:val="001A722D"/>
    <w:rsid w:val="001B1922"/>
    <w:rsid w:val="001B3E2E"/>
    <w:rsid w:val="001B459D"/>
    <w:rsid w:val="001C04ED"/>
    <w:rsid w:val="001C326A"/>
    <w:rsid w:val="001C6D1A"/>
    <w:rsid w:val="001D25C3"/>
    <w:rsid w:val="001D26D2"/>
    <w:rsid w:val="001D7F20"/>
    <w:rsid w:val="001E1303"/>
    <w:rsid w:val="001E2D50"/>
    <w:rsid w:val="001F22BB"/>
    <w:rsid w:val="00216830"/>
    <w:rsid w:val="00220B54"/>
    <w:rsid w:val="0023576F"/>
    <w:rsid w:val="00237D55"/>
    <w:rsid w:val="002435FC"/>
    <w:rsid w:val="00252C98"/>
    <w:rsid w:val="00260416"/>
    <w:rsid w:val="00266E87"/>
    <w:rsid w:val="002769D3"/>
    <w:rsid w:val="00276FAC"/>
    <w:rsid w:val="00283533"/>
    <w:rsid w:val="002873C3"/>
    <w:rsid w:val="00294B31"/>
    <w:rsid w:val="002A3E14"/>
    <w:rsid w:val="002C1804"/>
    <w:rsid w:val="002C24EC"/>
    <w:rsid w:val="002C3879"/>
    <w:rsid w:val="002C3E30"/>
    <w:rsid w:val="002C4902"/>
    <w:rsid w:val="002C54C1"/>
    <w:rsid w:val="002D4F28"/>
    <w:rsid w:val="002D66EC"/>
    <w:rsid w:val="002D7CD4"/>
    <w:rsid w:val="002E363E"/>
    <w:rsid w:val="002E74C3"/>
    <w:rsid w:val="002F2CA3"/>
    <w:rsid w:val="002F4DBC"/>
    <w:rsid w:val="002F53F4"/>
    <w:rsid w:val="002F5E33"/>
    <w:rsid w:val="00300395"/>
    <w:rsid w:val="0031065D"/>
    <w:rsid w:val="003253A4"/>
    <w:rsid w:val="003403C9"/>
    <w:rsid w:val="00340D61"/>
    <w:rsid w:val="0035003C"/>
    <w:rsid w:val="003559D4"/>
    <w:rsid w:val="00356C61"/>
    <w:rsid w:val="00361A67"/>
    <w:rsid w:val="00366244"/>
    <w:rsid w:val="00375D1C"/>
    <w:rsid w:val="00376AEB"/>
    <w:rsid w:val="00382902"/>
    <w:rsid w:val="003840A5"/>
    <w:rsid w:val="003863E1"/>
    <w:rsid w:val="00393F40"/>
    <w:rsid w:val="003A25D0"/>
    <w:rsid w:val="003A42FD"/>
    <w:rsid w:val="003B7D83"/>
    <w:rsid w:val="003D426F"/>
    <w:rsid w:val="003D6310"/>
    <w:rsid w:val="003E461C"/>
    <w:rsid w:val="003E5370"/>
    <w:rsid w:val="003E72A0"/>
    <w:rsid w:val="003F4132"/>
    <w:rsid w:val="003F6F15"/>
    <w:rsid w:val="003F7CD2"/>
    <w:rsid w:val="00411456"/>
    <w:rsid w:val="004130BD"/>
    <w:rsid w:val="00413564"/>
    <w:rsid w:val="0041453A"/>
    <w:rsid w:val="004258AB"/>
    <w:rsid w:val="0044507D"/>
    <w:rsid w:val="00446385"/>
    <w:rsid w:val="0044697F"/>
    <w:rsid w:val="00456AFD"/>
    <w:rsid w:val="00457597"/>
    <w:rsid w:val="00470624"/>
    <w:rsid w:val="00471A12"/>
    <w:rsid w:val="0047687C"/>
    <w:rsid w:val="00477F15"/>
    <w:rsid w:val="004876FE"/>
    <w:rsid w:val="00490508"/>
    <w:rsid w:val="0049179A"/>
    <w:rsid w:val="0049622C"/>
    <w:rsid w:val="0049660F"/>
    <w:rsid w:val="004A48E0"/>
    <w:rsid w:val="004A5AF5"/>
    <w:rsid w:val="004A6A6F"/>
    <w:rsid w:val="004B01D7"/>
    <w:rsid w:val="004C0616"/>
    <w:rsid w:val="004D6452"/>
    <w:rsid w:val="004E0365"/>
    <w:rsid w:val="004F61A2"/>
    <w:rsid w:val="004F671F"/>
    <w:rsid w:val="00500EE1"/>
    <w:rsid w:val="00512D7F"/>
    <w:rsid w:val="0051349C"/>
    <w:rsid w:val="00513D3D"/>
    <w:rsid w:val="00514200"/>
    <w:rsid w:val="00525290"/>
    <w:rsid w:val="00525A0D"/>
    <w:rsid w:val="00532C3A"/>
    <w:rsid w:val="005350A0"/>
    <w:rsid w:val="005412D8"/>
    <w:rsid w:val="005561DB"/>
    <w:rsid w:val="00557654"/>
    <w:rsid w:val="00562BD1"/>
    <w:rsid w:val="00563AA1"/>
    <w:rsid w:val="00565784"/>
    <w:rsid w:val="00575C7E"/>
    <w:rsid w:val="00585C93"/>
    <w:rsid w:val="00595277"/>
    <w:rsid w:val="005A3B2E"/>
    <w:rsid w:val="005A4F60"/>
    <w:rsid w:val="005C113D"/>
    <w:rsid w:val="005C1869"/>
    <w:rsid w:val="005C3C7A"/>
    <w:rsid w:val="005C6C24"/>
    <w:rsid w:val="005D0998"/>
    <w:rsid w:val="005E04DE"/>
    <w:rsid w:val="005F7B9E"/>
    <w:rsid w:val="00606712"/>
    <w:rsid w:val="0060702C"/>
    <w:rsid w:val="00610041"/>
    <w:rsid w:val="0061043D"/>
    <w:rsid w:val="006163FD"/>
    <w:rsid w:val="00622C5A"/>
    <w:rsid w:val="00627B5D"/>
    <w:rsid w:val="00630A58"/>
    <w:rsid w:val="00655562"/>
    <w:rsid w:val="006578F5"/>
    <w:rsid w:val="00670E91"/>
    <w:rsid w:val="00685CDA"/>
    <w:rsid w:val="006944D8"/>
    <w:rsid w:val="006B364D"/>
    <w:rsid w:val="006B5328"/>
    <w:rsid w:val="006B664F"/>
    <w:rsid w:val="006D1F1C"/>
    <w:rsid w:val="00700CEA"/>
    <w:rsid w:val="00702449"/>
    <w:rsid w:val="00714A4B"/>
    <w:rsid w:val="007243C6"/>
    <w:rsid w:val="00730B8D"/>
    <w:rsid w:val="00731E0C"/>
    <w:rsid w:val="00733790"/>
    <w:rsid w:val="0074038B"/>
    <w:rsid w:val="00744E06"/>
    <w:rsid w:val="00751142"/>
    <w:rsid w:val="00754639"/>
    <w:rsid w:val="00760D49"/>
    <w:rsid w:val="007638B0"/>
    <w:rsid w:val="00767994"/>
    <w:rsid w:val="00767C45"/>
    <w:rsid w:val="0078196D"/>
    <w:rsid w:val="00782DD7"/>
    <w:rsid w:val="00783889"/>
    <w:rsid w:val="00792C19"/>
    <w:rsid w:val="007A0BEE"/>
    <w:rsid w:val="007A648C"/>
    <w:rsid w:val="007A66C8"/>
    <w:rsid w:val="007C1BC6"/>
    <w:rsid w:val="007C63DF"/>
    <w:rsid w:val="007D2E3F"/>
    <w:rsid w:val="007D4CC3"/>
    <w:rsid w:val="007E2F62"/>
    <w:rsid w:val="007F4B00"/>
    <w:rsid w:val="00804305"/>
    <w:rsid w:val="00841059"/>
    <w:rsid w:val="00855144"/>
    <w:rsid w:val="0086524B"/>
    <w:rsid w:val="008668C5"/>
    <w:rsid w:val="00870429"/>
    <w:rsid w:val="00876474"/>
    <w:rsid w:val="00883A3B"/>
    <w:rsid w:val="00883D38"/>
    <w:rsid w:val="00885FF3"/>
    <w:rsid w:val="008878FB"/>
    <w:rsid w:val="0089479F"/>
    <w:rsid w:val="00897DCD"/>
    <w:rsid w:val="008A05BA"/>
    <w:rsid w:val="008A5FDB"/>
    <w:rsid w:val="008B422F"/>
    <w:rsid w:val="008B68DB"/>
    <w:rsid w:val="008C55A9"/>
    <w:rsid w:val="008D1480"/>
    <w:rsid w:val="008E24BC"/>
    <w:rsid w:val="008E783C"/>
    <w:rsid w:val="008F35C7"/>
    <w:rsid w:val="00901DA8"/>
    <w:rsid w:val="009052E6"/>
    <w:rsid w:val="009077BB"/>
    <w:rsid w:val="00912927"/>
    <w:rsid w:val="009427A2"/>
    <w:rsid w:val="00950A5F"/>
    <w:rsid w:val="0096214E"/>
    <w:rsid w:val="00967269"/>
    <w:rsid w:val="0097334F"/>
    <w:rsid w:val="0099146C"/>
    <w:rsid w:val="00994659"/>
    <w:rsid w:val="009B16C0"/>
    <w:rsid w:val="009C45B1"/>
    <w:rsid w:val="009C5007"/>
    <w:rsid w:val="009D4914"/>
    <w:rsid w:val="00A0589A"/>
    <w:rsid w:val="00A153DB"/>
    <w:rsid w:val="00A236DC"/>
    <w:rsid w:val="00A34474"/>
    <w:rsid w:val="00A40280"/>
    <w:rsid w:val="00A50BBA"/>
    <w:rsid w:val="00A530CB"/>
    <w:rsid w:val="00A60555"/>
    <w:rsid w:val="00A61137"/>
    <w:rsid w:val="00A72508"/>
    <w:rsid w:val="00A76963"/>
    <w:rsid w:val="00A85780"/>
    <w:rsid w:val="00A860C0"/>
    <w:rsid w:val="00AA1B55"/>
    <w:rsid w:val="00AB04BC"/>
    <w:rsid w:val="00AB1EF3"/>
    <w:rsid w:val="00AB2325"/>
    <w:rsid w:val="00AD4F11"/>
    <w:rsid w:val="00AD717A"/>
    <w:rsid w:val="00AE68C7"/>
    <w:rsid w:val="00B455F1"/>
    <w:rsid w:val="00B53D2E"/>
    <w:rsid w:val="00B77E71"/>
    <w:rsid w:val="00B86CE7"/>
    <w:rsid w:val="00BB0770"/>
    <w:rsid w:val="00BB379E"/>
    <w:rsid w:val="00BC241E"/>
    <w:rsid w:val="00BC5DD5"/>
    <w:rsid w:val="00BD08A5"/>
    <w:rsid w:val="00BE0536"/>
    <w:rsid w:val="00BE1AD4"/>
    <w:rsid w:val="00BE4E90"/>
    <w:rsid w:val="00BE4F5F"/>
    <w:rsid w:val="00C15BB7"/>
    <w:rsid w:val="00C16099"/>
    <w:rsid w:val="00C23D09"/>
    <w:rsid w:val="00C2620F"/>
    <w:rsid w:val="00C3176A"/>
    <w:rsid w:val="00C46E58"/>
    <w:rsid w:val="00C52049"/>
    <w:rsid w:val="00C54645"/>
    <w:rsid w:val="00C5479E"/>
    <w:rsid w:val="00C74DC5"/>
    <w:rsid w:val="00CA1CBE"/>
    <w:rsid w:val="00CB2564"/>
    <w:rsid w:val="00CB7D7B"/>
    <w:rsid w:val="00CD6561"/>
    <w:rsid w:val="00CD74D5"/>
    <w:rsid w:val="00CE3B44"/>
    <w:rsid w:val="00CE5405"/>
    <w:rsid w:val="00CF37E3"/>
    <w:rsid w:val="00D000A8"/>
    <w:rsid w:val="00D046E1"/>
    <w:rsid w:val="00D12250"/>
    <w:rsid w:val="00D12DF8"/>
    <w:rsid w:val="00D16408"/>
    <w:rsid w:val="00D174E0"/>
    <w:rsid w:val="00D27EDA"/>
    <w:rsid w:val="00D31C86"/>
    <w:rsid w:val="00D350BA"/>
    <w:rsid w:val="00D3623B"/>
    <w:rsid w:val="00D43782"/>
    <w:rsid w:val="00D47979"/>
    <w:rsid w:val="00D51F93"/>
    <w:rsid w:val="00D55AB5"/>
    <w:rsid w:val="00D752E1"/>
    <w:rsid w:val="00D941FC"/>
    <w:rsid w:val="00D95FA4"/>
    <w:rsid w:val="00DA0AB6"/>
    <w:rsid w:val="00DA4043"/>
    <w:rsid w:val="00DA568E"/>
    <w:rsid w:val="00DB15A7"/>
    <w:rsid w:val="00DD07F6"/>
    <w:rsid w:val="00DD1BDB"/>
    <w:rsid w:val="00DE1881"/>
    <w:rsid w:val="00DF1FA2"/>
    <w:rsid w:val="00DF4829"/>
    <w:rsid w:val="00DF77D6"/>
    <w:rsid w:val="00E1056E"/>
    <w:rsid w:val="00E15DD1"/>
    <w:rsid w:val="00E23F0E"/>
    <w:rsid w:val="00E41C04"/>
    <w:rsid w:val="00E41D4B"/>
    <w:rsid w:val="00E46582"/>
    <w:rsid w:val="00E505DF"/>
    <w:rsid w:val="00E540B6"/>
    <w:rsid w:val="00E5410F"/>
    <w:rsid w:val="00E56189"/>
    <w:rsid w:val="00E835F1"/>
    <w:rsid w:val="00E90BCF"/>
    <w:rsid w:val="00EA2070"/>
    <w:rsid w:val="00EA6256"/>
    <w:rsid w:val="00EB2EF3"/>
    <w:rsid w:val="00EB7CE9"/>
    <w:rsid w:val="00EC17AC"/>
    <w:rsid w:val="00EC1E9C"/>
    <w:rsid w:val="00ED0511"/>
    <w:rsid w:val="00EE3FD7"/>
    <w:rsid w:val="00EE5846"/>
    <w:rsid w:val="00EF57F1"/>
    <w:rsid w:val="00F04A58"/>
    <w:rsid w:val="00F04C34"/>
    <w:rsid w:val="00F15A1C"/>
    <w:rsid w:val="00F17DCE"/>
    <w:rsid w:val="00F303E4"/>
    <w:rsid w:val="00F35457"/>
    <w:rsid w:val="00F50001"/>
    <w:rsid w:val="00F5251E"/>
    <w:rsid w:val="00F52638"/>
    <w:rsid w:val="00F55EBE"/>
    <w:rsid w:val="00F71328"/>
    <w:rsid w:val="00F74E40"/>
    <w:rsid w:val="00F82A62"/>
    <w:rsid w:val="00F830AE"/>
    <w:rsid w:val="00F94CB2"/>
    <w:rsid w:val="00F9666E"/>
    <w:rsid w:val="00F97584"/>
    <w:rsid w:val="00FB055C"/>
    <w:rsid w:val="00FB2F0F"/>
    <w:rsid w:val="00FC7E35"/>
    <w:rsid w:val="00FD1099"/>
    <w:rsid w:val="00FF1B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F9DDF"/>
  <w15:chartTrackingRefBased/>
  <w15:docId w15:val="{8DC1ED10-73EC-4DD9-B1E6-46D2CA308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77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77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77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77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77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77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77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77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77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7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77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77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77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77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77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77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77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77E2"/>
    <w:rPr>
      <w:rFonts w:eastAsiaTheme="majorEastAsia" w:cstheme="majorBidi"/>
      <w:color w:val="272727" w:themeColor="text1" w:themeTint="D8"/>
    </w:rPr>
  </w:style>
  <w:style w:type="paragraph" w:styleId="Title">
    <w:name w:val="Title"/>
    <w:basedOn w:val="Normal"/>
    <w:next w:val="Normal"/>
    <w:link w:val="TitleChar"/>
    <w:uiPriority w:val="10"/>
    <w:qFormat/>
    <w:rsid w:val="001677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77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77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77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77E2"/>
    <w:pPr>
      <w:spacing w:before="160"/>
      <w:jc w:val="center"/>
    </w:pPr>
    <w:rPr>
      <w:i/>
      <w:iCs/>
      <w:color w:val="404040" w:themeColor="text1" w:themeTint="BF"/>
    </w:rPr>
  </w:style>
  <w:style w:type="character" w:customStyle="1" w:styleId="QuoteChar">
    <w:name w:val="Quote Char"/>
    <w:basedOn w:val="DefaultParagraphFont"/>
    <w:link w:val="Quote"/>
    <w:uiPriority w:val="29"/>
    <w:rsid w:val="001677E2"/>
    <w:rPr>
      <w:i/>
      <w:iCs/>
      <w:color w:val="404040" w:themeColor="text1" w:themeTint="BF"/>
    </w:rPr>
  </w:style>
  <w:style w:type="paragraph" w:styleId="ListParagraph">
    <w:name w:val="List Paragraph"/>
    <w:basedOn w:val="Normal"/>
    <w:uiPriority w:val="34"/>
    <w:qFormat/>
    <w:rsid w:val="001677E2"/>
    <w:pPr>
      <w:ind w:left="720"/>
      <w:contextualSpacing/>
    </w:pPr>
  </w:style>
  <w:style w:type="character" w:styleId="IntenseEmphasis">
    <w:name w:val="Intense Emphasis"/>
    <w:basedOn w:val="DefaultParagraphFont"/>
    <w:uiPriority w:val="21"/>
    <w:qFormat/>
    <w:rsid w:val="001677E2"/>
    <w:rPr>
      <w:i/>
      <w:iCs/>
      <w:color w:val="0F4761" w:themeColor="accent1" w:themeShade="BF"/>
    </w:rPr>
  </w:style>
  <w:style w:type="paragraph" w:styleId="IntenseQuote">
    <w:name w:val="Intense Quote"/>
    <w:basedOn w:val="Normal"/>
    <w:next w:val="Normal"/>
    <w:link w:val="IntenseQuoteChar"/>
    <w:uiPriority w:val="30"/>
    <w:qFormat/>
    <w:rsid w:val="001677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77E2"/>
    <w:rPr>
      <w:i/>
      <w:iCs/>
      <w:color w:val="0F4761" w:themeColor="accent1" w:themeShade="BF"/>
    </w:rPr>
  </w:style>
  <w:style w:type="character" w:styleId="IntenseReference">
    <w:name w:val="Intense Reference"/>
    <w:basedOn w:val="DefaultParagraphFont"/>
    <w:uiPriority w:val="32"/>
    <w:qFormat/>
    <w:rsid w:val="001677E2"/>
    <w:rPr>
      <w:b/>
      <w:bCs/>
      <w:smallCaps/>
      <w:color w:val="0F4761" w:themeColor="accent1" w:themeShade="BF"/>
      <w:spacing w:val="5"/>
    </w:rPr>
  </w:style>
  <w:style w:type="character" w:styleId="CommentReference">
    <w:name w:val="annotation reference"/>
    <w:basedOn w:val="DefaultParagraphFont"/>
    <w:uiPriority w:val="99"/>
    <w:semiHidden/>
    <w:unhideWhenUsed/>
    <w:rsid w:val="0099146C"/>
    <w:rPr>
      <w:sz w:val="16"/>
      <w:szCs w:val="16"/>
    </w:rPr>
  </w:style>
  <w:style w:type="paragraph" w:styleId="CommentText">
    <w:name w:val="annotation text"/>
    <w:basedOn w:val="Normal"/>
    <w:link w:val="CommentTextChar"/>
    <w:uiPriority w:val="99"/>
    <w:unhideWhenUsed/>
    <w:rsid w:val="0099146C"/>
    <w:pPr>
      <w:spacing w:line="240" w:lineRule="auto"/>
    </w:pPr>
    <w:rPr>
      <w:sz w:val="20"/>
      <w:szCs w:val="20"/>
    </w:rPr>
  </w:style>
  <w:style w:type="character" w:customStyle="1" w:styleId="CommentTextChar">
    <w:name w:val="Comment Text Char"/>
    <w:basedOn w:val="DefaultParagraphFont"/>
    <w:link w:val="CommentText"/>
    <w:uiPriority w:val="99"/>
    <w:rsid w:val="0099146C"/>
    <w:rPr>
      <w:sz w:val="20"/>
      <w:szCs w:val="20"/>
    </w:rPr>
  </w:style>
  <w:style w:type="paragraph" w:styleId="CommentSubject">
    <w:name w:val="annotation subject"/>
    <w:basedOn w:val="CommentText"/>
    <w:next w:val="CommentText"/>
    <w:link w:val="CommentSubjectChar"/>
    <w:uiPriority w:val="99"/>
    <w:semiHidden/>
    <w:unhideWhenUsed/>
    <w:rsid w:val="0099146C"/>
    <w:rPr>
      <w:b/>
      <w:bCs/>
    </w:rPr>
  </w:style>
  <w:style w:type="character" w:customStyle="1" w:styleId="CommentSubjectChar">
    <w:name w:val="Comment Subject Char"/>
    <w:basedOn w:val="CommentTextChar"/>
    <w:link w:val="CommentSubject"/>
    <w:uiPriority w:val="99"/>
    <w:semiHidden/>
    <w:rsid w:val="0099146C"/>
    <w:rPr>
      <w:b/>
      <w:bCs/>
      <w:sz w:val="20"/>
      <w:szCs w:val="20"/>
    </w:rPr>
  </w:style>
  <w:style w:type="character" w:styleId="Hyperlink">
    <w:name w:val="Hyperlink"/>
    <w:basedOn w:val="DefaultParagraphFont"/>
    <w:uiPriority w:val="99"/>
    <w:unhideWhenUsed/>
    <w:rsid w:val="004876FE"/>
    <w:rPr>
      <w:color w:val="467886" w:themeColor="hyperlink"/>
      <w:u w:val="single"/>
    </w:rPr>
  </w:style>
  <w:style w:type="character" w:styleId="FollowedHyperlink">
    <w:name w:val="FollowedHyperlink"/>
    <w:basedOn w:val="DefaultParagraphFont"/>
    <w:uiPriority w:val="99"/>
    <w:semiHidden/>
    <w:unhideWhenUsed/>
    <w:rsid w:val="00BC5DD5"/>
    <w:rPr>
      <w:color w:val="96607D" w:themeColor="followedHyperlink"/>
      <w:u w:val="single"/>
    </w:rPr>
  </w:style>
  <w:style w:type="character" w:styleId="UnresolvedMention">
    <w:name w:val="Unresolved Mention"/>
    <w:basedOn w:val="DefaultParagraphFont"/>
    <w:uiPriority w:val="99"/>
    <w:semiHidden/>
    <w:unhideWhenUsed/>
    <w:rsid w:val="003E46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armac.2016.07.005" TargetMode="External"/><Relationship Id="rId13" Type="http://schemas.openxmlformats.org/officeDocument/2006/relationships/hyperlink" Target="https://doi.org/10.3758/s13414-022-02643-8" TargetMode="External"/><Relationship Id="rId18" Type="http://schemas.openxmlformats.org/officeDocument/2006/relationships/hyperlink" Target="https://doi.org/10.4236/psych.2017.83029" TargetMode="External"/><Relationship Id="rId3" Type="http://schemas.openxmlformats.org/officeDocument/2006/relationships/webSettings" Target="webSettings.xml"/><Relationship Id="rId21" Type="http://schemas.openxmlformats.org/officeDocument/2006/relationships/hyperlink" Target="https://doi.org/10.1080/15213260903563014" TargetMode="External"/><Relationship Id="rId7" Type="http://schemas.openxmlformats.org/officeDocument/2006/relationships/hyperlink" Target="https://doi.org/10.1111/phc3.12133" TargetMode="External"/><Relationship Id="rId12" Type="http://schemas.openxmlformats.org/officeDocument/2006/relationships/hyperlink" Target="https://doi.org/10.2991/assehr.k.211220.263" TargetMode="External"/><Relationship Id="rId17" Type="http://schemas.openxmlformats.org/officeDocument/2006/relationships/hyperlink" Target="https://doi.org/10.1348/000712603767876262" TargetMode="External"/><Relationship Id="rId2" Type="http://schemas.openxmlformats.org/officeDocument/2006/relationships/settings" Target="settings.xml"/><Relationship Id="rId16" Type="http://schemas.openxmlformats.org/officeDocument/2006/relationships/hyperlink" Target="https://doi.org/10.1002/acp.3515" TargetMode="External"/><Relationship Id="rId20" Type="http://schemas.openxmlformats.org/officeDocument/2006/relationships/hyperlink" Target="https://psycnet.apa.org/doi/10.1002/0471264385.wei1109" TargetMode="External"/><Relationship Id="rId1" Type="http://schemas.openxmlformats.org/officeDocument/2006/relationships/styles" Target="styles.xml"/><Relationship Id="rId6" Type="http://schemas.openxmlformats.org/officeDocument/2006/relationships/hyperlink" Target="https://doi.org/10.1073/pnas.1104666108" TargetMode="External"/><Relationship Id="rId11" Type="http://schemas.openxmlformats.org/officeDocument/2006/relationships/hyperlink" Target="https://doi.org/10.4324/9781315774886" TargetMode="External"/><Relationship Id="rId5" Type="http://schemas.openxmlformats.org/officeDocument/2006/relationships/hyperlink" Target="https://doi.org/10.1080/1068316X.2010.508458" TargetMode="External"/><Relationship Id="rId15" Type="http://schemas.openxmlformats.org/officeDocument/2006/relationships/hyperlink" Target="https://psycnet.apa.org/doi/10.1007/BF01044839" TargetMode="External"/><Relationship Id="rId23" Type="http://schemas.openxmlformats.org/officeDocument/2006/relationships/theme" Target="theme/theme1.xml"/><Relationship Id="rId10" Type="http://schemas.openxmlformats.org/officeDocument/2006/relationships/hyperlink" Target="https://doi.org/10.1037/lhb0000060" TargetMode="External"/><Relationship Id="rId19" Type="http://schemas.openxmlformats.org/officeDocument/2006/relationships/hyperlink" Target="https://doi.org/10.1016/0191-8869(96)00108-0" TargetMode="External"/><Relationship Id="rId4" Type="http://schemas.openxmlformats.org/officeDocument/2006/relationships/hyperlink" Target="https://doi.org/10.7347/RIC-012024-p21" TargetMode="External"/><Relationship Id="rId9" Type="http://schemas.openxmlformats.org/officeDocument/2006/relationships/hyperlink" Target="https://doi.org/10.3758/s13428-023-02186-2" TargetMode="External"/><Relationship Id="rId14" Type="http://schemas.openxmlformats.org/officeDocument/2006/relationships/hyperlink" Target="https://doi.org/10.1002/acp.117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2807</Words>
  <Characters>16006</Characters>
  <Application>Microsoft Office Word</Application>
  <DocSecurity>0</DocSecurity>
  <Lines>133</Lines>
  <Paragraphs>37</Paragraphs>
  <ScaleCrop>false</ScaleCrop>
  <Company/>
  <LinksUpToDate>false</LinksUpToDate>
  <CharactersWithSpaces>18776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Meabh Flynn Bowen</dc:creator>
  <cp:keywords/>
  <dc:description/>
  <cp:lastModifiedBy>Meabh Flynn Bowen</cp:lastModifiedBy>
  <cp:revision>367</cp:revision>
  <dcterms:created xsi:type="dcterms:W3CDTF">2026-01-26T09:44:00Z</dcterms:created>
  <dcterms:modified xsi:type="dcterms:W3CDTF">2026-03-10T23:48:00Z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b3171bb8-9c69-432e-89d5-f74b69fb3504</vt:lpwstr>
  </property>
</Properties>
</file>