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91E0409" w14:textId="30A9F436" w:rsidR="003179CD" w:rsidRDefault="00CE2D24" w:rsidP="002240D0">
      <w:pPr>
        <w:spacing w:line="480" w:lineRule="auto"/>
        <w:jc w:val="left"/>
      </w:pPr>
      <w:r>
        <w:t>David Bonagura</w:t>
      </w:r>
    </w:p>
    <w:p w14:paraId="030A8547" w14:textId="49E9F854" w:rsidR="00CE2D24" w:rsidRDefault="00312390" w:rsidP="002240D0">
      <w:pPr>
        <w:spacing w:line="480" w:lineRule="auto"/>
        <w:jc w:val="left"/>
      </w:pPr>
      <w:r>
        <w:t>HP</w:t>
      </w:r>
      <w:r w:rsidR="00CE2D24">
        <w:t>G</w:t>
      </w:r>
      <w:r>
        <w:t>R</w:t>
      </w:r>
      <w:r w:rsidR="00CE2D24">
        <w:t xml:space="preserve"> 70</w:t>
      </w:r>
      <w:r>
        <w:t>04</w:t>
      </w:r>
      <w:r w:rsidR="00CE2D24">
        <w:t xml:space="preserve">: </w:t>
      </w:r>
      <w:proofErr w:type="spellStart"/>
      <w:r>
        <w:t>Lysias</w:t>
      </w:r>
      <w:r w:rsidR="00CE2D24">
        <w:t>’s</w:t>
      </w:r>
      <w:proofErr w:type="spellEnd"/>
      <w:r w:rsidR="00CE2D24">
        <w:t xml:space="preserve"> </w:t>
      </w:r>
      <w:r>
        <w:rPr>
          <w:i/>
        </w:rPr>
        <w:t>Oration I</w:t>
      </w:r>
    </w:p>
    <w:p w14:paraId="09F4EBD0" w14:textId="1BB4E16E" w:rsidR="00CE2D24" w:rsidRDefault="00CE2D24" w:rsidP="002240D0">
      <w:pPr>
        <w:spacing w:line="480" w:lineRule="auto"/>
        <w:jc w:val="left"/>
      </w:pPr>
      <w:r>
        <w:t>Commentary for Book I.</w:t>
      </w:r>
      <w:r w:rsidR="001F2946">
        <w:t>27-30</w:t>
      </w:r>
    </w:p>
    <w:p w14:paraId="755B2E5F" w14:textId="44E19B53" w:rsidR="00CE2D24" w:rsidRDefault="00764AC7" w:rsidP="002240D0">
      <w:pPr>
        <w:spacing w:line="480" w:lineRule="auto"/>
        <w:jc w:val="left"/>
      </w:pPr>
      <w:r>
        <w:t>7</w:t>
      </w:r>
      <w:r w:rsidR="001F2946">
        <w:t xml:space="preserve"> May</w:t>
      </w:r>
      <w:r w:rsidR="00CE2D24">
        <w:t xml:space="preserve"> 20</w:t>
      </w:r>
      <w:r w:rsidR="00312390">
        <w:t>20</w:t>
      </w:r>
    </w:p>
    <w:p w14:paraId="08653BA7" w14:textId="4CEFB0DF" w:rsidR="002240D0" w:rsidRPr="001F2946" w:rsidRDefault="001F2946" w:rsidP="001F2946">
      <w:pPr>
        <w:spacing w:line="480" w:lineRule="auto"/>
      </w:pPr>
      <w:r>
        <w:t xml:space="preserve">Commentary on </w:t>
      </w:r>
      <w:proofErr w:type="spellStart"/>
      <w:r>
        <w:t>Lysias</w:t>
      </w:r>
      <w:proofErr w:type="spellEnd"/>
      <w:r>
        <w:t xml:space="preserve">’ </w:t>
      </w:r>
      <w:r>
        <w:rPr>
          <w:i/>
          <w:iCs/>
        </w:rPr>
        <w:t>Oration I.27-30:</w:t>
      </w:r>
      <w:r>
        <w:t xml:space="preserve"> Justifying an Action According to the Law</w:t>
      </w:r>
    </w:p>
    <w:p w14:paraId="48681C80" w14:textId="18D4FFB6" w:rsidR="0021659E" w:rsidRDefault="0021659E" w:rsidP="002240D0">
      <w:pPr>
        <w:spacing w:line="480" w:lineRule="auto"/>
        <w:jc w:val="left"/>
      </w:pPr>
    </w:p>
    <w:p w14:paraId="3E629D1E" w14:textId="64B1D3DE" w:rsidR="001F2946" w:rsidRDefault="00CE093D" w:rsidP="002240D0">
      <w:pPr>
        <w:spacing w:line="480" w:lineRule="auto"/>
        <w:jc w:val="left"/>
      </w:pPr>
      <w:r>
        <w:tab/>
        <w:t>Euphiletus has just finished narrating the events that led him to murder Eratosthenes</w:t>
      </w:r>
      <w:r w:rsidR="00697086">
        <w:t>, whom he killed in the midst of</w:t>
      </w:r>
      <w:r>
        <w:t xml:space="preserve"> committing adultery with his wife in his own home. In doing so, he has also completed the second part of a standard Athenian oration, which began first with the </w:t>
      </w:r>
      <w:proofErr w:type="spellStart"/>
      <w:r>
        <w:rPr>
          <w:i/>
          <w:iCs/>
        </w:rPr>
        <w:t>prooimion</w:t>
      </w:r>
      <w:proofErr w:type="spellEnd"/>
      <w:r>
        <w:t xml:space="preserve"> (proem), and then proceeded to the </w:t>
      </w:r>
      <w:proofErr w:type="spellStart"/>
      <w:r>
        <w:rPr>
          <w:i/>
          <w:iCs/>
        </w:rPr>
        <w:t>di</w:t>
      </w:r>
      <w:r>
        <w:rPr>
          <w:rFonts w:cs="Times New Roman"/>
          <w:i/>
          <w:iCs/>
        </w:rPr>
        <w:t>ē</w:t>
      </w:r>
      <w:r>
        <w:rPr>
          <w:i/>
          <w:iCs/>
        </w:rPr>
        <w:t>g</w:t>
      </w:r>
      <w:r>
        <w:rPr>
          <w:rFonts w:cs="Times New Roman"/>
          <w:i/>
          <w:iCs/>
        </w:rPr>
        <w:t>ē</w:t>
      </w:r>
      <w:r>
        <w:rPr>
          <w:i/>
          <w:iCs/>
        </w:rPr>
        <w:t>sis</w:t>
      </w:r>
      <w:proofErr w:type="spellEnd"/>
      <w:r>
        <w:t xml:space="preserve"> (narrative).</w:t>
      </w:r>
      <w:r>
        <w:rPr>
          <w:rStyle w:val="FootnoteReference"/>
        </w:rPr>
        <w:footnoteReference w:id="1"/>
      </w:r>
      <w:r>
        <w:t xml:space="preserve"> In Section 27, Euphiletus quickly transitions to the third part of the oration, the </w:t>
      </w:r>
      <w:proofErr w:type="spellStart"/>
      <w:r>
        <w:rPr>
          <w:i/>
          <w:iCs/>
        </w:rPr>
        <w:t>pistis</w:t>
      </w:r>
      <w:proofErr w:type="spellEnd"/>
      <w:r>
        <w:t xml:space="preserve"> (</w:t>
      </w:r>
      <w:r w:rsidR="00343C00">
        <w:t>proofs, argument</w:t>
      </w:r>
      <w:r w:rsidR="00697086">
        <w:t>), in which the speaker articulates</w:t>
      </w:r>
      <w:r w:rsidR="00343C00">
        <w:t xml:space="preserve"> the plausibility </w:t>
      </w:r>
      <w:r w:rsidR="00697086">
        <w:t>of his version of the transpired</w:t>
      </w:r>
      <w:r w:rsidR="00343C00">
        <w:t xml:space="preserve"> events </w:t>
      </w:r>
      <w:r w:rsidR="00697086">
        <w:t>in order to achieve</w:t>
      </w:r>
      <w:r w:rsidR="00343C00">
        <w:t xml:space="preserve"> his desired verdict.</w:t>
      </w:r>
      <w:r w:rsidR="00343C00">
        <w:rPr>
          <w:rStyle w:val="FootnoteReference"/>
        </w:rPr>
        <w:footnoteReference w:id="2"/>
      </w:r>
      <w:r w:rsidR="00343C00">
        <w:t xml:space="preserve"> </w:t>
      </w:r>
      <w:proofErr w:type="gramStart"/>
      <w:r w:rsidR="00343C00">
        <w:t xml:space="preserve">In particular, R. </w:t>
      </w:r>
      <w:proofErr w:type="spellStart"/>
      <w:r w:rsidR="00343C00">
        <w:t>Scodel</w:t>
      </w:r>
      <w:proofErr w:type="spellEnd"/>
      <w:r w:rsidR="00343C00">
        <w:t xml:space="preserve"> argues that in this third part</w:t>
      </w:r>
      <w:r w:rsidR="00CB55DD">
        <w:t>,</w:t>
      </w:r>
      <w:r w:rsidR="00343C00">
        <w:t xml:space="preserve"> Euphiletus</w:t>
      </w:r>
      <w:r w:rsidR="00764AC7">
        <w:t>, to prove his innocence,</w:t>
      </w:r>
      <w:r w:rsidR="00343C00">
        <w:t xml:space="preserve"> employs the argument from </w:t>
      </w:r>
      <w:r w:rsidR="00007F03">
        <w:t>probability</w:t>
      </w:r>
      <w:r w:rsidR="00343C00">
        <w:t xml:space="preserve"> (</w:t>
      </w:r>
      <w:proofErr w:type="spellStart"/>
      <w:r w:rsidR="00343C00">
        <w:rPr>
          <w:i/>
          <w:iCs/>
        </w:rPr>
        <w:t>eikos</w:t>
      </w:r>
      <w:proofErr w:type="spellEnd"/>
      <w:r w:rsidR="00343C00">
        <w:t xml:space="preserve">) in four ways: he tries to show how his version of the events is more plausible than </w:t>
      </w:r>
      <w:r w:rsidR="00764AC7">
        <w:t xml:space="preserve">that of </w:t>
      </w:r>
      <w:r w:rsidR="00343C00">
        <w:t xml:space="preserve">his accusers; he refutes </w:t>
      </w:r>
      <w:r w:rsidR="00CB55DD">
        <w:t xml:space="preserve">the </w:t>
      </w:r>
      <w:r w:rsidR="00343C00">
        <w:t>counter-arguments of the other side; he appeals to specific laws; and he calls witnesses to justify his account.</w:t>
      </w:r>
      <w:r w:rsidR="00343C00">
        <w:rPr>
          <w:rStyle w:val="FootnoteReference"/>
        </w:rPr>
        <w:footnoteReference w:id="3"/>
      </w:r>
      <w:proofErr w:type="gramEnd"/>
      <w:r w:rsidR="00343C00">
        <w:t xml:space="preserve"> In this section of the oration, Euphiletus applies all four of these techniques to convince the jury that he is not only not guilty of murder, but</w:t>
      </w:r>
      <w:r w:rsidR="00764AC7">
        <w:t xml:space="preserve"> that</w:t>
      </w:r>
      <w:r w:rsidR="00343C00">
        <w:t xml:space="preserve"> he has done a great service for all of Athens in enforcing the law to its letter.</w:t>
      </w:r>
    </w:p>
    <w:p w14:paraId="433642D6" w14:textId="56E3F983" w:rsidR="00806924" w:rsidRDefault="00A01D61" w:rsidP="002240D0">
      <w:pPr>
        <w:spacing w:line="480" w:lineRule="auto"/>
        <w:jc w:val="left"/>
      </w:pPr>
      <w:r>
        <w:tab/>
        <w:t>Euphiletus transitions to this third part of the oration with an adverb and vocative exhortation: “</w:t>
      </w:r>
      <w:proofErr w:type="spellStart"/>
      <w:r>
        <w:rPr>
          <w:i/>
          <w:iCs/>
        </w:rPr>
        <w:t>hout</w:t>
      </w:r>
      <w:r>
        <w:rPr>
          <w:rFonts w:cs="Times New Roman"/>
          <w:i/>
          <w:iCs/>
        </w:rPr>
        <w:t>ō</w:t>
      </w:r>
      <w:r>
        <w:rPr>
          <w:i/>
          <w:iCs/>
        </w:rPr>
        <w:t>s</w:t>
      </w:r>
      <w:proofErr w:type="spellEnd"/>
      <w:r>
        <w:rPr>
          <w:i/>
          <w:iCs/>
        </w:rPr>
        <w:t xml:space="preserve">, </w:t>
      </w:r>
      <w:r>
        <w:rPr>
          <w:rFonts w:cs="Times New Roman"/>
          <w:i/>
          <w:iCs/>
        </w:rPr>
        <w:t>ō</w:t>
      </w:r>
      <w:r>
        <w:rPr>
          <w:i/>
          <w:iCs/>
        </w:rPr>
        <w:t xml:space="preserve"> </w:t>
      </w:r>
      <w:proofErr w:type="spellStart"/>
      <w:proofErr w:type="gramStart"/>
      <w:r>
        <w:rPr>
          <w:i/>
          <w:iCs/>
        </w:rPr>
        <w:t>andres</w:t>
      </w:r>
      <w:proofErr w:type="spellEnd"/>
      <w:proofErr w:type="gramEnd"/>
      <w:r>
        <w:t>.” C. Carey points out that Euphiletus intentionally omi</w:t>
      </w:r>
      <w:r w:rsidR="00CB55DD">
        <w:t>t</w:t>
      </w:r>
      <w:r>
        <w:t xml:space="preserve">ted a </w:t>
      </w:r>
      <w:r>
        <w:lastRenderedPageBreak/>
        <w:t xml:space="preserve">description of the homicide itself because the gory details might have hurt his case; it was more expedient, in his view, to stress the principles at stake in the trial and to </w:t>
      </w:r>
      <w:r w:rsidR="00CB55DD">
        <w:t>suppress</w:t>
      </w:r>
      <w:r>
        <w:t xml:space="preserve"> the particular details of the case.</w:t>
      </w:r>
      <w:r>
        <w:rPr>
          <w:rStyle w:val="FootnoteReference"/>
        </w:rPr>
        <w:footnoteReference w:id="4"/>
      </w:r>
      <w:r>
        <w:t xml:space="preserve"> Carey’s thesis </w:t>
      </w:r>
      <w:proofErr w:type="gramStart"/>
      <w:r>
        <w:t>is proven</w:t>
      </w:r>
      <w:proofErr w:type="gramEnd"/>
      <w:r>
        <w:t xml:space="preserve"> correct</w:t>
      </w:r>
      <w:r w:rsidR="00F61BBA">
        <w:t xml:space="preserve"> as the sentence unfolds: after addressing the jury, Euphiletus immediately makes his method of defense plain: “</w:t>
      </w:r>
      <w:proofErr w:type="spellStart"/>
      <w:r w:rsidR="00F61BBA">
        <w:rPr>
          <w:i/>
          <w:iCs/>
        </w:rPr>
        <w:t>ekeinos</w:t>
      </w:r>
      <w:proofErr w:type="spellEnd"/>
      <w:r w:rsidR="00F61BBA">
        <w:rPr>
          <w:i/>
          <w:iCs/>
        </w:rPr>
        <w:t xml:space="preserve"> </w:t>
      </w:r>
      <w:proofErr w:type="spellStart"/>
      <w:r w:rsidR="00F61BBA">
        <w:rPr>
          <w:i/>
          <w:iCs/>
        </w:rPr>
        <w:t>tout</w:t>
      </w:r>
      <w:r w:rsidR="00F61BBA">
        <w:rPr>
          <w:rFonts w:cs="Times New Roman"/>
          <w:i/>
          <w:iCs/>
        </w:rPr>
        <w:t>ō</w:t>
      </w:r>
      <w:r w:rsidR="00F61BBA">
        <w:rPr>
          <w:i/>
          <w:iCs/>
        </w:rPr>
        <w:t>n</w:t>
      </w:r>
      <w:proofErr w:type="spellEnd"/>
      <w:r w:rsidR="00F61BBA">
        <w:rPr>
          <w:i/>
          <w:iCs/>
        </w:rPr>
        <w:t xml:space="preserve"> </w:t>
      </w:r>
      <w:proofErr w:type="spellStart"/>
      <w:r w:rsidR="00F61BBA">
        <w:rPr>
          <w:i/>
          <w:iCs/>
        </w:rPr>
        <w:t>etuchen</w:t>
      </w:r>
      <w:proofErr w:type="spellEnd"/>
      <w:r w:rsidR="00F61BBA">
        <w:rPr>
          <w:i/>
          <w:iCs/>
        </w:rPr>
        <w:t xml:space="preserve"> </w:t>
      </w:r>
      <w:proofErr w:type="spellStart"/>
      <w:r w:rsidR="00F61BBA">
        <w:rPr>
          <w:i/>
          <w:iCs/>
        </w:rPr>
        <w:t>h</w:t>
      </w:r>
      <w:r w:rsidR="00F61BBA">
        <w:rPr>
          <w:rFonts w:cs="Times New Roman"/>
          <w:i/>
          <w:iCs/>
        </w:rPr>
        <w:t>ō</w:t>
      </w:r>
      <w:r w:rsidR="00F61BBA">
        <w:rPr>
          <w:i/>
          <w:iCs/>
        </w:rPr>
        <w:t>nper</w:t>
      </w:r>
      <w:proofErr w:type="spellEnd"/>
      <w:r w:rsidR="00F61BBA">
        <w:rPr>
          <w:i/>
          <w:iCs/>
        </w:rPr>
        <w:t xml:space="preserve"> hoi </w:t>
      </w:r>
      <w:proofErr w:type="spellStart"/>
      <w:r w:rsidR="00F61BBA">
        <w:rPr>
          <w:i/>
          <w:iCs/>
        </w:rPr>
        <w:t>vomoi</w:t>
      </w:r>
      <w:proofErr w:type="spellEnd"/>
      <w:r w:rsidR="00F61BBA">
        <w:rPr>
          <w:i/>
          <w:iCs/>
        </w:rPr>
        <w:t xml:space="preserve"> </w:t>
      </w:r>
      <w:proofErr w:type="spellStart"/>
      <w:r w:rsidR="00F61BBA">
        <w:rPr>
          <w:i/>
          <w:iCs/>
        </w:rPr>
        <w:t>keleuousi</w:t>
      </w:r>
      <w:proofErr w:type="spellEnd"/>
      <w:r w:rsidR="00F61BBA">
        <w:rPr>
          <w:i/>
          <w:iCs/>
        </w:rPr>
        <w:t xml:space="preserve"> </w:t>
      </w:r>
      <w:proofErr w:type="spellStart"/>
      <w:r w:rsidR="00F61BBA">
        <w:rPr>
          <w:i/>
          <w:iCs/>
        </w:rPr>
        <w:t>tous</w:t>
      </w:r>
      <w:proofErr w:type="spellEnd"/>
      <w:r w:rsidR="00F61BBA">
        <w:rPr>
          <w:i/>
          <w:iCs/>
        </w:rPr>
        <w:t xml:space="preserve"> ta </w:t>
      </w:r>
      <w:proofErr w:type="spellStart"/>
      <w:r w:rsidR="00F61BBA">
        <w:rPr>
          <w:i/>
          <w:iCs/>
        </w:rPr>
        <w:t>toiauta</w:t>
      </w:r>
      <w:proofErr w:type="spellEnd"/>
      <w:r w:rsidR="00F61BBA">
        <w:rPr>
          <w:i/>
          <w:iCs/>
        </w:rPr>
        <w:t xml:space="preserve"> </w:t>
      </w:r>
      <w:proofErr w:type="spellStart"/>
      <w:r w:rsidR="00F61BBA">
        <w:rPr>
          <w:i/>
          <w:iCs/>
        </w:rPr>
        <w:t>prattontas</w:t>
      </w:r>
      <w:proofErr w:type="spellEnd"/>
      <w:r w:rsidR="00F61BBA">
        <w:t>.”</w:t>
      </w:r>
      <w:r w:rsidR="00F61BBA">
        <w:rPr>
          <w:rStyle w:val="FootnoteReference"/>
        </w:rPr>
        <w:footnoteReference w:id="5"/>
      </w:r>
      <w:r w:rsidR="00BD0DE5">
        <w:t xml:space="preserve"> It is the law</w:t>
      </w:r>
      <w:r w:rsidR="00F61BBA">
        <w:t xml:space="preserve"> of the city—not Euphiletus—that have killed Eratosthenes, </w:t>
      </w:r>
      <w:r w:rsidR="00806924">
        <w:t>as the cuckold says he declared to the adulterer before delivering the deadly blow: “</w:t>
      </w:r>
      <w:proofErr w:type="spellStart"/>
      <w:r w:rsidR="00806924">
        <w:rPr>
          <w:i/>
        </w:rPr>
        <w:t>ouk</w:t>
      </w:r>
      <w:proofErr w:type="spellEnd"/>
      <w:r w:rsidR="00806924">
        <w:rPr>
          <w:i/>
        </w:rPr>
        <w:t xml:space="preserve"> </w:t>
      </w:r>
      <w:proofErr w:type="spellStart"/>
      <w:r w:rsidR="00806924">
        <w:rPr>
          <w:i/>
        </w:rPr>
        <w:t>eg</w:t>
      </w:r>
      <w:r w:rsidR="00806924">
        <w:rPr>
          <w:rFonts w:cs="Times New Roman"/>
          <w:i/>
        </w:rPr>
        <w:t>ō</w:t>
      </w:r>
      <w:proofErr w:type="spellEnd"/>
      <w:r w:rsidR="00806924">
        <w:rPr>
          <w:i/>
        </w:rPr>
        <w:t xml:space="preserve"> se </w:t>
      </w:r>
      <w:proofErr w:type="spellStart"/>
      <w:r w:rsidR="00806924">
        <w:rPr>
          <w:i/>
        </w:rPr>
        <w:t>apokten</w:t>
      </w:r>
      <w:r w:rsidR="00806924">
        <w:rPr>
          <w:rFonts w:cs="Times New Roman"/>
          <w:i/>
        </w:rPr>
        <w:t>ō</w:t>
      </w:r>
      <w:proofErr w:type="spellEnd"/>
      <w:r w:rsidR="00806924">
        <w:t xml:space="preserve">, </w:t>
      </w:r>
      <w:r w:rsidR="00806924">
        <w:rPr>
          <w:i/>
        </w:rPr>
        <w:t xml:space="preserve">all’ ho </w:t>
      </w:r>
      <w:proofErr w:type="spellStart"/>
      <w:r w:rsidR="00806924">
        <w:rPr>
          <w:i/>
        </w:rPr>
        <w:t>t</w:t>
      </w:r>
      <w:r w:rsidR="00806924">
        <w:rPr>
          <w:rFonts w:cs="Times New Roman"/>
          <w:i/>
        </w:rPr>
        <w:t>ē</w:t>
      </w:r>
      <w:r w:rsidR="00806924">
        <w:rPr>
          <w:i/>
        </w:rPr>
        <w:t>s</w:t>
      </w:r>
      <w:proofErr w:type="spellEnd"/>
      <w:r w:rsidR="00806924">
        <w:rPr>
          <w:i/>
        </w:rPr>
        <w:t xml:space="preserve"> </w:t>
      </w:r>
      <w:proofErr w:type="spellStart"/>
      <w:r w:rsidR="00806924">
        <w:rPr>
          <w:i/>
        </w:rPr>
        <w:t>pole</w:t>
      </w:r>
      <w:r w:rsidR="00806924">
        <w:rPr>
          <w:rFonts w:cs="Times New Roman"/>
          <w:i/>
        </w:rPr>
        <w:t>ō</w:t>
      </w:r>
      <w:r w:rsidR="00806924">
        <w:rPr>
          <w:i/>
        </w:rPr>
        <w:t>s</w:t>
      </w:r>
      <w:proofErr w:type="spellEnd"/>
      <w:r w:rsidR="00806924">
        <w:rPr>
          <w:i/>
        </w:rPr>
        <w:t xml:space="preserve"> nomos</w:t>
      </w:r>
      <w:r w:rsidR="00806924">
        <w:t>.”</w:t>
      </w:r>
      <w:r w:rsidR="00806924">
        <w:rPr>
          <w:rStyle w:val="FootnoteReference"/>
        </w:rPr>
        <w:footnoteReference w:id="6"/>
      </w:r>
      <w:r w:rsidR="00806924">
        <w:rPr>
          <w:i/>
        </w:rPr>
        <w:t xml:space="preserve"> </w:t>
      </w:r>
      <w:r w:rsidR="00806924">
        <w:t>Now, in justifying his action to the jury, t</w:t>
      </w:r>
      <w:r w:rsidR="00F61BBA">
        <w:t xml:space="preserve">he active use of </w:t>
      </w:r>
      <w:proofErr w:type="spellStart"/>
      <w:r w:rsidR="00F61BBA">
        <w:rPr>
          <w:i/>
          <w:iCs/>
        </w:rPr>
        <w:t>keleuousi</w:t>
      </w:r>
      <w:proofErr w:type="spellEnd"/>
      <w:r w:rsidR="00F61BBA">
        <w:t xml:space="preserve"> heightens this sense</w:t>
      </w:r>
      <w:r w:rsidR="00BD0DE5">
        <w:t xml:space="preserve"> of the law</w:t>
      </w:r>
      <w:r w:rsidR="00806924">
        <w:t xml:space="preserve"> being the principal actor</w:t>
      </w:r>
      <w:r w:rsidR="00F61BBA">
        <w:t>.</w:t>
      </w:r>
      <w:r w:rsidR="002A0F03">
        <w:t xml:space="preserve"> In his argument, Euphiletus is not a malefactor, but an agent of justice </w:t>
      </w:r>
      <w:r w:rsidR="00BD0DE5">
        <w:t>acting to defend the city’s law</w:t>
      </w:r>
      <w:r w:rsidR="002A0F03">
        <w:t>,</w:t>
      </w:r>
      <w:r w:rsidR="00B1284C">
        <w:rPr>
          <w:rStyle w:val="FootnoteReference"/>
        </w:rPr>
        <w:footnoteReference w:id="7"/>
      </w:r>
      <w:r w:rsidR="002A0F03">
        <w:t xml:space="preserve"> which he depicts as having almost divine status. </w:t>
      </w:r>
    </w:p>
    <w:p w14:paraId="2BE2C89E" w14:textId="0EB5B3A8" w:rsidR="00343C00" w:rsidRDefault="00604435" w:rsidP="001B6AF8">
      <w:pPr>
        <w:spacing w:line="480" w:lineRule="auto"/>
        <w:ind w:firstLine="720"/>
        <w:jc w:val="left"/>
      </w:pPr>
      <w:r>
        <w:t xml:space="preserve">At this point, however, Euphiletus does not yet develop the legal angle: he </w:t>
      </w:r>
      <w:r w:rsidR="00743A41">
        <w:t xml:space="preserve">moves immediately to </w:t>
      </w:r>
      <w:r>
        <w:t xml:space="preserve">address the </w:t>
      </w:r>
      <w:r w:rsidR="00055327">
        <w:t>accusations of his prosecutors</w:t>
      </w:r>
      <w:r w:rsidR="00743A41">
        <w:t xml:space="preserve"> (</w:t>
      </w:r>
      <w:proofErr w:type="spellStart"/>
      <w:r w:rsidR="00743A41">
        <w:rPr>
          <w:i/>
          <w:iCs/>
        </w:rPr>
        <w:t>h</w:t>
      </w:r>
      <w:r w:rsidR="00743A41">
        <w:rPr>
          <w:rFonts w:cs="Times New Roman"/>
          <w:i/>
          <w:iCs/>
        </w:rPr>
        <w:t>ō</w:t>
      </w:r>
      <w:r w:rsidR="00743A41">
        <w:rPr>
          <w:i/>
          <w:iCs/>
        </w:rPr>
        <w:t>sper</w:t>
      </w:r>
      <w:proofErr w:type="spellEnd"/>
      <w:r w:rsidR="00743A41">
        <w:rPr>
          <w:i/>
          <w:iCs/>
        </w:rPr>
        <w:t xml:space="preserve"> </w:t>
      </w:r>
      <w:proofErr w:type="spellStart"/>
      <w:r w:rsidR="00743A41">
        <w:rPr>
          <w:i/>
          <w:iCs/>
        </w:rPr>
        <w:t>houtoi</w:t>
      </w:r>
      <w:proofErr w:type="spellEnd"/>
      <w:r w:rsidR="00743A41">
        <w:rPr>
          <w:i/>
          <w:iCs/>
        </w:rPr>
        <w:t xml:space="preserve"> </w:t>
      </w:r>
      <w:proofErr w:type="spellStart"/>
      <w:r w:rsidR="00743A41">
        <w:rPr>
          <w:i/>
          <w:iCs/>
        </w:rPr>
        <w:t>legousi</w:t>
      </w:r>
      <w:proofErr w:type="spellEnd"/>
      <w:r w:rsidR="00743A41">
        <w:t>)</w:t>
      </w:r>
      <w:r w:rsidR="00B1284C">
        <w:t>.</w:t>
      </w:r>
      <w:r w:rsidR="00743A41">
        <w:rPr>
          <w:rStyle w:val="FootnoteReference"/>
        </w:rPr>
        <w:footnoteReference w:id="8"/>
      </w:r>
      <w:r w:rsidR="00B1284C">
        <w:t xml:space="preserve"> They say that Euphiletus</w:t>
      </w:r>
      <w:r w:rsidR="00743A41">
        <w:t xml:space="preserve"> kidnapped Eratosthenes</w:t>
      </w:r>
      <w:r w:rsidR="00743A41">
        <w:rPr>
          <w:rStyle w:val="FootnoteReference"/>
        </w:rPr>
        <w:footnoteReference w:id="9"/>
      </w:r>
      <w:r w:rsidR="00743A41">
        <w:t xml:space="preserve"> by luring him into the house</w:t>
      </w:r>
      <w:r w:rsidR="00743A41">
        <w:rPr>
          <w:rStyle w:val="FootnoteReference"/>
        </w:rPr>
        <w:footnoteReference w:id="10"/>
      </w:r>
      <w:r w:rsidR="00743A41">
        <w:t xml:space="preserve"> (</w:t>
      </w:r>
      <w:proofErr w:type="spellStart"/>
      <w:r w:rsidR="00743A41">
        <w:rPr>
          <w:i/>
          <w:iCs/>
        </w:rPr>
        <w:t>eisarpastheis</w:t>
      </w:r>
      <w:proofErr w:type="spellEnd"/>
      <w:r w:rsidR="00743A41">
        <w:rPr>
          <w:i/>
          <w:iCs/>
        </w:rPr>
        <w:t xml:space="preserve"> </w:t>
      </w:r>
      <w:proofErr w:type="spellStart"/>
      <w:r w:rsidR="00743A41">
        <w:rPr>
          <w:i/>
          <w:iCs/>
        </w:rPr>
        <w:t>ek</w:t>
      </w:r>
      <w:proofErr w:type="spellEnd"/>
      <w:r w:rsidR="00743A41">
        <w:rPr>
          <w:i/>
          <w:iCs/>
        </w:rPr>
        <w:t xml:space="preserve"> </w:t>
      </w:r>
      <w:proofErr w:type="spellStart"/>
      <w:r w:rsidR="00743A41">
        <w:rPr>
          <w:i/>
          <w:iCs/>
        </w:rPr>
        <w:t>t</w:t>
      </w:r>
      <w:r w:rsidR="00743A41">
        <w:rPr>
          <w:rFonts w:cs="Times New Roman"/>
          <w:i/>
          <w:iCs/>
        </w:rPr>
        <w:t>ē</w:t>
      </w:r>
      <w:r w:rsidR="00743A41">
        <w:rPr>
          <w:i/>
          <w:iCs/>
        </w:rPr>
        <w:t>s</w:t>
      </w:r>
      <w:proofErr w:type="spellEnd"/>
      <w:r w:rsidR="00743A41">
        <w:rPr>
          <w:i/>
          <w:iCs/>
        </w:rPr>
        <w:t xml:space="preserve"> </w:t>
      </w:r>
      <w:proofErr w:type="spellStart"/>
      <w:r w:rsidR="00743A41">
        <w:rPr>
          <w:i/>
          <w:iCs/>
        </w:rPr>
        <w:t>hodou</w:t>
      </w:r>
      <w:proofErr w:type="spellEnd"/>
      <w:r w:rsidR="00743A41">
        <w:t xml:space="preserve">), or that </w:t>
      </w:r>
      <w:r w:rsidR="00B1284C">
        <w:t xml:space="preserve">he </w:t>
      </w:r>
      <w:r w:rsidR="00743A41">
        <w:t xml:space="preserve">had violated the </w:t>
      </w:r>
      <w:r w:rsidR="00803E04">
        <w:t>divine pr</w:t>
      </w:r>
      <w:r w:rsidR="00697086">
        <w:t>otection provided to refugees in</w:t>
      </w:r>
      <w:r w:rsidR="00803E04">
        <w:t xml:space="preserve"> the </w:t>
      </w:r>
      <w:r w:rsidR="00743A41">
        <w:t>hearth, where Eratosthenes had allegedly taken refuge (</w:t>
      </w:r>
      <w:r w:rsidR="00743A41">
        <w:rPr>
          <w:i/>
          <w:iCs/>
        </w:rPr>
        <w:t xml:space="preserve">oud’ epi </w:t>
      </w:r>
      <w:proofErr w:type="spellStart"/>
      <w:proofErr w:type="gramStart"/>
      <w:r w:rsidR="00743A41">
        <w:rPr>
          <w:i/>
          <w:iCs/>
        </w:rPr>
        <w:t>t</w:t>
      </w:r>
      <w:r w:rsidR="00743A41">
        <w:rPr>
          <w:rFonts w:cs="Times New Roman"/>
          <w:i/>
          <w:iCs/>
        </w:rPr>
        <w:t>ē</w:t>
      </w:r>
      <w:r w:rsidR="00743A41">
        <w:rPr>
          <w:i/>
          <w:iCs/>
        </w:rPr>
        <w:t>n</w:t>
      </w:r>
      <w:proofErr w:type="spellEnd"/>
      <w:r w:rsidR="00743A41">
        <w:rPr>
          <w:i/>
          <w:iCs/>
        </w:rPr>
        <w:t xml:space="preserve"> </w:t>
      </w:r>
      <w:proofErr w:type="spellStart"/>
      <w:r w:rsidR="00743A41">
        <w:rPr>
          <w:i/>
          <w:iCs/>
        </w:rPr>
        <w:t>hestian</w:t>
      </w:r>
      <w:proofErr w:type="spellEnd"/>
      <w:proofErr w:type="gramEnd"/>
      <w:r w:rsidR="00743A41">
        <w:rPr>
          <w:i/>
          <w:iCs/>
        </w:rPr>
        <w:t xml:space="preserve"> </w:t>
      </w:r>
      <w:proofErr w:type="spellStart"/>
      <w:r w:rsidR="00743A41">
        <w:rPr>
          <w:i/>
          <w:iCs/>
        </w:rPr>
        <w:t>kataphug</w:t>
      </w:r>
      <w:r w:rsidR="00743A41">
        <w:rPr>
          <w:rFonts w:cs="Times New Roman"/>
          <w:i/>
          <w:iCs/>
        </w:rPr>
        <w:t>ō</w:t>
      </w:r>
      <w:r w:rsidR="00743A41">
        <w:rPr>
          <w:i/>
          <w:iCs/>
        </w:rPr>
        <w:t>n</w:t>
      </w:r>
      <w:proofErr w:type="spellEnd"/>
      <w:r w:rsidR="00803E04">
        <w:t>).</w:t>
      </w:r>
      <w:r w:rsidR="00803E04">
        <w:rPr>
          <w:rStyle w:val="FootnoteReference"/>
        </w:rPr>
        <w:footnoteReference w:id="11"/>
      </w:r>
      <w:r w:rsidR="00803E04">
        <w:t xml:space="preserve"> </w:t>
      </w:r>
      <w:r w:rsidR="00B1284C">
        <w:t>In addressing the prosecution’s claims</w:t>
      </w:r>
      <w:r w:rsidR="00007F03">
        <w:t>, he employs for the first time the argument from</w:t>
      </w:r>
      <w:r w:rsidR="001B6AF8">
        <w:t xml:space="preserve"> probability mentioned earlier. </w:t>
      </w:r>
      <w:proofErr w:type="gramStart"/>
      <w:r w:rsidR="00BD0DE5">
        <w:t>With a</w:t>
      </w:r>
      <w:r w:rsidR="00055327">
        <w:t xml:space="preserve"> standard</w:t>
      </w:r>
      <w:r w:rsidR="001B6AF8">
        <w:t xml:space="preserve"> past co</w:t>
      </w:r>
      <w:r w:rsidR="00055327">
        <w:t>ntrary to fact construction</w:t>
      </w:r>
      <w:r w:rsidR="001B6AF8">
        <w:t xml:space="preserve"> </w:t>
      </w:r>
      <w:r w:rsidR="00055327">
        <w:t>(</w:t>
      </w:r>
      <w:proofErr w:type="spellStart"/>
      <w:r w:rsidR="001B6AF8">
        <w:rPr>
          <w:i/>
        </w:rPr>
        <w:t>av</w:t>
      </w:r>
      <w:proofErr w:type="spellEnd"/>
      <w:r w:rsidR="00BD0DE5">
        <w:t xml:space="preserve"> with the aorist), he </w:t>
      </w:r>
      <w:r w:rsidR="00055327">
        <w:t>assert</w:t>
      </w:r>
      <w:r w:rsidR="00BD0DE5">
        <w:t>s</w:t>
      </w:r>
      <w:r w:rsidR="001B6AF8">
        <w:t xml:space="preserve"> that his version of events proves these allegations</w:t>
      </w:r>
      <w:r w:rsidR="00697086">
        <w:t xml:space="preserve"> </w:t>
      </w:r>
      <w:r w:rsidR="00BD0DE5">
        <w:t>false</w:t>
      </w:r>
      <w:r w:rsidR="001B6AF8">
        <w:t xml:space="preserve">: first, the adulterer was struck down in the bedroom, not the hearth; second, his arms were immediately bound behind him by Euphiletus </w:t>
      </w:r>
      <w:r w:rsidR="001B6AF8">
        <w:lastRenderedPageBreak/>
        <w:t>and he was surrounded by the cuckold’s friends, so he could not have fled from the house; third, he was unarmed.</w:t>
      </w:r>
      <w:proofErr w:type="gramEnd"/>
      <w:r w:rsidR="001B6AF8">
        <w:t xml:space="preserve"> The addition of this third detail could have had a diverging effect on the jury: on the one hand, it affirms that the events of the night happened suddenly and </w:t>
      </w:r>
      <w:proofErr w:type="gramStart"/>
      <w:r w:rsidR="001B6AF8">
        <w:t>were not orchestrated</w:t>
      </w:r>
      <w:proofErr w:type="gramEnd"/>
      <w:r w:rsidR="001B6AF8">
        <w:t xml:space="preserve"> in advance to trap Eratosthenes; but on the other hand, it </w:t>
      </w:r>
      <w:r w:rsidR="00430C2D">
        <w:t xml:space="preserve">makes Euphiletus </w:t>
      </w:r>
      <w:r w:rsidR="00B1284C">
        <w:t>perhaps appear</w:t>
      </w:r>
      <w:r w:rsidR="00430C2D">
        <w:t xml:space="preserve"> too aggressive in killing an unarmed man. As the suddenness of the killing will prove a critical piece of his defense later in the oration, Euphiletus took the latter risk.</w:t>
      </w:r>
    </w:p>
    <w:p w14:paraId="61B3946B" w14:textId="474A4CD2" w:rsidR="00B1284C" w:rsidRDefault="00B1284C" w:rsidP="001B6AF8">
      <w:pPr>
        <w:spacing w:line="480" w:lineRule="auto"/>
        <w:ind w:firstLine="720"/>
        <w:jc w:val="left"/>
      </w:pPr>
      <w:r>
        <w:t xml:space="preserve">At this point, it is important to assess Euphiletus’ overall </w:t>
      </w:r>
      <w:r w:rsidR="0038041D">
        <w:t xml:space="preserve">approach in making his argument, and to consider </w:t>
      </w:r>
      <w:r w:rsidR="00697086">
        <w:t xml:space="preserve">whether the argument provides a glimpse into the motives of </w:t>
      </w:r>
      <w:proofErr w:type="spellStart"/>
      <w:r w:rsidR="00697086">
        <w:t>Lysias</w:t>
      </w:r>
      <w:proofErr w:type="spellEnd"/>
      <w:r w:rsidR="00697086">
        <w:t xml:space="preserve">, who composed the speech on </w:t>
      </w:r>
      <w:proofErr w:type="spellStart"/>
      <w:r w:rsidR="00697086">
        <w:t>Euphiletus’s</w:t>
      </w:r>
      <w:proofErr w:type="spellEnd"/>
      <w:r w:rsidR="00697086">
        <w:t xml:space="preserve"> behalf</w:t>
      </w:r>
      <w:r>
        <w:t xml:space="preserve">. </w:t>
      </w:r>
      <w:r w:rsidR="0038041D">
        <w:t xml:space="preserve">Commentators </w:t>
      </w:r>
      <w:r w:rsidR="00B25CD8">
        <w:t xml:space="preserve">unanimously </w:t>
      </w:r>
      <w:r w:rsidR="0038041D">
        <w:t xml:space="preserve">praise the </w:t>
      </w:r>
      <w:r w:rsidR="00B25CD8">
        <w:t>oration’s careful construction,</w:t>
      </w:r>
      <w:r w:rsidR="003E091D">
        <w:t xml:space="preserve"> but </w:t>
      </w:r>
      <w:r w:rsidR="00B25CD8">
        <w:t xml:space="preserve">they </w:t>
      </w:r>
      <w:r w:rsidR="003E091D">
        <w:t xml:space="preserve">differ in </w:t>
      </w:r>
      <w:r w:rsidR="00B25CD8">
        <w:t>their assessments of</w:t>
      </w:r>
      <w:r w:rsidR="003E091D">
        <w:t xml:space="preserve"> why the speech </w:t>
      </w:r>
      <w:proofErr w:type="gramStart"/>
      <w:r w:rsidR="003E091D">
        <w:t>was so crafted</w:t>
      </w:r>
      <w:proofErr w:type="gramEnd"/>
      <w:r w:rsidR="003E091D">
        <w:t xml:space="preserve">. </w:t>
      </w:r>
      <w:r w:rsidR="00E719B2">
        <w:t xml:space="preserve">J.R. Porter argues that </w:t>
      </w:r>
      <w:proofErr w:type="spellStart"/>
      <w:r w:rsidR="00E719B2">
        <w:t>Lysias</w:t>
      </w:r>
      <w:proofErr w:type="spellEnd"/>
      <w:r w:rsidR="00E719B2">
        <w:t xml:space="preserve">, since </w:t>
      </w:r>
      <w:r w:rsidR="00517CAE" w:rsidRPr="00E719B2">
        <w:t xml:space="preserve">this speech </w:t>
      </w:r>
      <w:r w:rsidR="00E719B2">
        <w:t xml:space="preserve">is </w:t>
      </w:r>
      <w:r w:rsidR="00517CAE" w:rsidRPr="00E719B2">
        <w:t xml:space="preserve">so </w:t>
      </w:r>
      <w:r w:rsidR="00E719B2">
        <w:t>exceptionally brief,</w:t>
      </w:r>
      <w:r w:rsidR="00517CAE" w:rsidRPr="00E719B2">
        <w:t xml:space="preserve"> u</w:t>
      </w:r>
      <w:r w:rsidR="00E719B2">
        <w:t xml:space="preserve">ses </w:t>
      </w:r>
      <w:r w:rsidR="00B25CD8" w:rsidRPr="00E719B2">
        <w:t>common</w:t>
      </w:r>
      <w:r w:rsidR="00E719B2">
        <w:t xml:space="preserve"> adultery motifs and </w:t>
      </w:r>
      <w:r w:rsidR="0038041D" w:rsidRPr="00E719B2">
        <w:t>comedic effect</w:t>
      </w:r>
      <w:r w:rsidR="00B25CD8" w:rsidRPr="00E719B2">
        <w:t>s</w:t>
      </w:r>
      <w:r w:rsidR="003E091D" w:rsidRPr="00E719B2">
        <w:t xml:space="preserve">, </w:t>
      </w:r>
      <w:r w:rsidR="00B25CD8" w:rsidRPr="00E719B2">
        <w:t xml:space="preserve">and </w:t>
      </w:r>
      <w:r w:rsidR="00E719B2">
        <w:t>omits</w:t>
      </w:r>
      <w:r w:rsidR="00F82558" w:rsidRPr="00E719B2">
        <w:t xml:space="preserve"> critical details,</w:t>
      </w:r>
      <w:r w:rsidR="00F82558">
        <w:t xml:space="preserve"> </w:t>
      </w:r>
      <w:r w:rsidR="00E719B2">
        <w:t xml:space="preserve">really </w:t>
      </w:r>
      <w:r w:rsidR="00F82558">
        <w:t>wrote</w:t>
      </w:r>
      <w:r w:rsidR="003E091D">
        <w:t xml:space="preserve"> a “display piece” to attract potential clients to his work</w:t>
      </w:r>
      <w:r w:rsidR="00B25CD8">
        <w:t xml:space="preserve"> because</w:t>
      </w:r>
      <w:r w:rsidR="00F82558">
        <w:t xml:space="preserve"> </w:t>
      </w:r>
      <w:r w:rsidR="00F82558">
        <w:rPr>
          <w:i/>
        </w:rPr>
        <w:t>On the Murder of Eratosthenes</w:t>
      </w:r>
      <w:r w:rsidR="00E719B2">
        <w:t xml:space="preserve"> is a work of fiction that </w:t>
      </w:r>
      <w:proofErr w:type="gramStart"/>
      <w:r w:rsidR="00E719B2">
        <w:t>was</w:t>
      </w:r>
      <w:r w:rsidR="00F82558">
        <w:t xml:space="preserve"> never spoken</w:t>
      </w:r>
      <w:proofErr w:type="gramEnd"/>
      <w:r w:rsidR="00F82558">
        <w:t xml:space="preserve"> before a jury.</w:t>
      </w:r>
      <w:r w:rsidR="00F82558">
        <w:rPr>
          <w:rStyle w:val="FootnoteReference"/>
        </w:rPr>
        <w:footnoteReference w:id="12"/>
      </w:r>
      <w:r w:rsidR="00F82558">
        <w:t xml:space="preserve"> </w:t>
      </w:r>
      <w:r w:rsidR="00255333">
        <w:t>The speech’s many artistic meri</w:t>
      </w:r>
      <w:r w:rsidR="00E719B2">
        <w:t xml:space="preserve">ts, Porter asserts, has prompted commentators to assume it </w:t>
      </w:r>
      <w:r w:rsidR="00055327">
        <w:t>narrates true events, and that the case was</w:t>
      </w:r>
      <w:r w:rsidR="009B3B02">
        <w:t>,</w:t>
      </w:r>
      <w:r w:rsidR="00055327">
        <w:t xml:space="preserve"> in fact</w:t>
      </w:r>
      <w:r w:rsidR="009B3B02">
        <w:t>,</w:t>
      </w:r>
      <w:r w:rsidR="00055327">
        <w:t xml:space="preserve"> argued before a jury</w:t>
      </w:r>
      <w:r w:rsidR="00255333">
        <w:t xml:space="preserve">. </w:t>
      </w:r>
    </w:p>
    <w:p w14:paraId="106B3D07" w14:textId="0081BCA4" w:rsidR="00255333" w:rsidRDefault="00255333" w:rsidP="001B6AF8">
      <w:pPr>
        <w:spacing w:line="480" w:lineRule="auto"/>
        <w:ind w:firstLine="720"/>
        <w:jc w:val="left"/>
      </w:pPr>
      <w:r>
        <w:t xml:space="preserve">Although it is impossible to disprove a negative from 2,400 years’ distance, Porter’s thesis merits two responses. First, while he emphasizes the generic qualities of the adultery narrative, he does not give any space to considering the </w:t>
      </w:r>
      <w:r w:rsidR="00B25CD8">
        <w:t>complexity of the speech’s</w:t>
      </w:r>
      <w:r>
        <w:t xml:space="preserve"> legal argument. </w:t>
      </w:r>
      <w:r w:rsidR="006E6806">
        <w:t xml:space="preserve">As G. Herman has shown, </w:t>
      </w:r>
      <w:proofErr w:type="spellStart"/>
      <w:r w:rsidR="006E6806">
        <w:t>Lysias</w:t>
      </w:r>
      <w:proofErr w:type="spellEnd"/>
      <w:r w:rsidR="006E6806">
        <w:t xml:space="preserve"> chose to base </w:t>
      </w:r>
      <w:proofErr w:type="spellStart"/>
      <w:r w:rsidR="006E6806">
        <w:t>Euphiletus’s</w:t>
      </w:r>
      <w:proofErr w:type="spellEnd"/>
      <w:r w:rsidR="006E6806">
        <w:t xml:space="preserve"> case on one idea, to which </w:t>
      </w:r>
      <w:r w:rsidR="00055327">
        <w:t xml:space="preserve">he tailors </w:t>
      </w:r>
      <w:r w:rsidR="006E6806">
        <w:t>the enti</w:t>
      </w:r>
      <w:r w:rsidR="00055327">
        <w:t>rety of the narrative to support: that</w:t>
      </w:r>
      <w:r w:rsidR="006E6806">
        <w:t xml:space="preserve"> Euphiletus did not kill Eratosthenes, but executed him in the name of Athens.</w:t>
      </w:r>
      <w:r w:rsidR="006E6806">
        <w:rPr>
          <w:rStyle w:val="FootnoteReference"/>
        </w:rPr>
        <w:footnoteReference w:id="13"/>
      </w:r>
      <w:r w:rsidR="006E6806">
        <w:t xml:space="preserve"> </w:t>
      </w:r>
      <w:r w:rsidR="00265AF6">
        <w:t xml:space="preserve">If this speech were merely a logographer’s </w:t>
      </w:r>
      <w:r w:rsidR="00265AF6">
        <w:lastRenderedPageBreak/>
        <w:t xml:space="preserve">advertisement, it is likely that the legal argument would be as generic as the adultery motif, rather than extraordinarily subtle. </w:t>
      </w:r>
      <w:r w:rsidR="00B25CD8">
        <w:t xml:space="preserve">Porter’s assertion that the stakes for Euphiletus were too high to risk such an atypical oration is in no way proof that the oration </w:t>
      </w:r>
      <w:proofErr w:type="gramStart"/>
      <w:r w:rsidR="00B25CD8">
        <w:t>was never given</w:t>
      </w:r>
      <w:proofErr w:type="gramEnd"/>
      <w:r w:rsidR="00B25CD8">
        <w:t>.</w:t>
      </w:r>
      <w:r w:rsidR="00B25CD8">
        <w:rPr>
          <w:rStyle w:val="FootnoteReference"/>
        </w:rPr>
        <w:footnoteReference w:id="14"/>
      </w:r>
      <w:r w:rsidR="00B25CD8">
        <w:t xml:space="preserve"> </w:t>
      </w:r>
      <w:r w:rsidR="00265AF6">
        <w:t xml:space="preserve">By </w:t>
      </w:r>
      <w:r w:rsidR="00447D76">
        <w:t>overlook</w:t>
      </w:r>
      <w:r w:rsidR="00265AF6">
        <w:t>ing the legal complexities of the case</w:t>
      </w:r>
      <w:r w:rsidR="00844F53">
        <w:t>, Porter has only analyzed half the speec</w:t>
      </w:r>
      <w:r w:rsidR="00447D76">
        <w:t>h, and as a result, has miss</w:t>
      </w:r>
      <w:r w:rsidR="00844F53">
        <w:t>ed considerable evidence for the veracity of the events told within it.</w:t>
      </w:r>
    </w:p>
    <w:p w14:paraId="49D3CBDC" w14:textId="04DBB727" w:rsidR="00844F53" w:rsidRDefault="00844F53" w:rsidP="001B6AF8">
      <w:pPr>
        <w:spacing w:line="480" w:lineRule="auto"/>
        <w:ind w:firstLine="720"/>
        <w:jc w:val="left"/>
      </w:pPr>
      <w:r>
        <w:t>Second, M. Gagarin</w:t>
      </w:r>
      <w:r w:rsidR="00695339">
        <w:t xml:space="preserve"> articulates the importance of storytelling in</w:t>
      </w:r>
      <w:r w:rsidR="0049462B">
        <w:t xml:space="preserve"> Athenian </w:t>
      </w:r>
      <w:r w:rsidR="00695339">
        <w:t>law courts</w:t>
      </w:r>
      <w:r>
        <w:t>.</w:t>
      </w:r>
      <w:r w:rsidR="00695339">
        <w:rPr>
          <w:rStyle w:val="FootnoteReference"/>
        </w:rPr>
        <w:footnoteReference w:id="15"/>
      </w:r>
      <w:r>
        <w:t xml:space="preserve"> </w:t>
      </w:r>
      <w:r w:rsidR="00695339">
        <w:t xml:space="preserve">Without the tools of forensic science, </w:t>
      </w:r>
      <w:r w:rsidR="0049462B">
        <w:t xml:space="preserve">he writes, </w:t>
      </w:r>
      <w:r w:rsidR="00695339">
        <w:t xml:space="preserve">juries often issued verdicts in response to the most compelling story, and that often depended on </w:t>
      </w:r>
      <w:r w:rsidR="00CF027E">
        <w:t>litigants’ narrative skills.</w:t>
      </w:r>
      <w:r w:rsidR="00CF027E">
        <w:rPr>
          <w:rStyle w:val="FootnoteReference"/>
        </w:rPr>
        <w:footnoteReference w:id="16"/>
      </w:r>
      <w:r w:rsidR="00CF027E">
        <w:t xml:space="preserve"> Motifs and stereotypical personas from myth or literature, Gagarin argues, do not render speeches such as </w:t>
      </w:r>
      <w:r w:rsidR="00CF027E">
        <w:rPr>
          <w:i/>
        </w:rPr>
        <w:t>On the Murder of Eratosthenes</w:t>
      </w:r>
      <w:r w:rsidR="00BD0DE5">
        <w:t xml:space="preserve"> mere</w:t>
      </w:r>
      <w:r w:rsidR="00CF027E">
        <w:t xml:space="preserve"> literary exercises. Rather, th</w:t>
      </w:r>
      <w:r w:rsidR="00E719B2">
        <w:t>ese elements sweeten the orat</w:t>
      </w:r>
      <w:r w:rsidR="00CF027E">
        <w:t>ors’ narratives in the hope of persuading juries.</w:t>
      </w:r>
      <w:r w:rsidR="00CF027E">
        <w:rPr>
          <w:rStyle w:val="FootnoteReference"/>
        </w:rPr>
        <w:footnoteReference w:id="17"/>
      </w:r>
      <w:r w:rsidR="00FC58F3">
        <w:t xml:space="preserve"> </w:t>
      </w:r>
      <w:proofErr w:type="spellStart"/>
      <w:r w:rsidR="00FC58F3">
        <w:t>Lysias</w:t>
      </w:r>
      <w:proofErr w:type="spellEnd"/>
      <w:r w:rsidR="00FC58F3">
        <w:t xml:space="preserve"> could have chosen the generic adultery plot of the guilty wife and the clueless husband to tap into a line of sympathy for Euphiletus that preexisted his case. From this possibility alone, w</w:t>
      </w:r>
      <w:r w:rsidR="00E719B2">
        <w:t>e see that assessing the composer</w:t>
      </w:r>
      <w:r w:rsidR="00FC58F3">
        <w:t xml:space="preserve">’s motives is fraught with difficulty. </w:t>
      </w:r>
      <w:r w:rsidR="009B3B02">
        <w:t>Nor can the speech</w:t>
      </w:r>
      <w:r w:rsidR="0049462B">
        <w:t>’s extreme brevity</w:t>
      </w:r>
      <w:r w:rsidR="009B3B02">
        <w:t>, when compared to others of its kind, be taken as evidence</w:t>
      </w:r>
      <w:r w:rsidR="0049462B">
        <w:t xml:space="preserve"> that</w:t>
      </w:r>
      <w:r w:rsidR="009B3B02">
        <w:t xml:space="preserve"> its content is fiction, </w:t>
      </w:r>
      <w:r w:rsidR="006A3A02">
        <w:t>as Porter argues</w:t>
      </w:r>
      <w:r w:rsidR="009B3B02">
        <w:t>.</w:t>
      </w:r>
      <w:r w:rsidR="009B3B02">
        <w:rPr>
          <w:rStyle w:val="FootnoteReference"/>
        </w:rPr>
        <w:footnoteReference w:id="18"/>
      </w:r>
      <w:r w:rsidR="0049462B">
        <w:t xml:space="preserve"> </w:t>
      </w:r>
      <w:r w:rsidR="009B3B02">
        <w:t xml:space="preserve">P. </w:t>
      </w:r>
      <w:proofErr w:type="spellStart"/>
      <w:r w:rsidR="009B3B02">
        <w:t>Nyvlt</w:t>
      </w:r>
      <w:proofErr w:type="spellEnd"/>
      <w:r w:rsidR="009B3B02">
        <w:t xml:space="preserve"> </w:t>
      </w:r>
      <w:r w:rsidR="006A3A02">
        <w:t xml:space="preserve">counters </w:t>
      </w:r>
      <w:r w:rsidR="009B3B02">
        <w:t xml:space="preserve">that </w:t>
      </w:r>
      <w:proofErr w:type="spellStart"/>
      <w:r w:rsidR="009B3B02">
        <w:t>Lysias</w:t>
      </w:r>
      <w:proofErr w:type="spellEnd"/>
      <w:r w:rsidR="009B3B02">
        <w:t xml:space="preserve"> could have composed </w:t>
      </w:r>
      <w:r w:rsidR="00875A0C">
        <w:t>a short speech</w:t>
      </w:r>
      <w:r w:rsidR="0049462B">
        <w:t xml:space="preserve"> simply</w:t>
      </w:r>
      <w:r w:rsidR="00875A0C">
        <w:t xml:space="preserve"> because E</w:t>
      </w:r>
      <w:r w:rsidR="0049462B">
        <w:t>u</w:t>
      </w:r>
      <w:r w:rsidR="00875A0C">
        <w:t>philetus was not capable of memorizing a longer one.</w:t>
      </w:r>
      <w:r w:rsidR="00875A0C">
        <w:rPr>
          <w:rStyle w:val="FootnoteReference"/>
        </w:rPr>
        <w:footnoteReference w:id="19"/>
      </w:r>
      <w:r w:rsidR="00875A0C">
        <w:t xml:space="preserve"> </w:t>
      </w:r>
      <w:r w:rsidR="006A3A02">
        <w:t xml:space="preserve">In sum, given that Porter’s argument hinges on a number of speculations that will forever remain unknown, his own </w:t>
      </w:r>
      <w:proofErr w:type="spellStart"/>
      <w:r w:rsidR="006A3A02">
        <w:rPr>
          <w:i/>
        </w:rPr>
        <w:t>eikos</w:t>
      </w:r>
      <w:proofErr w:type="spellEnd"/>
      <w:r w:rsidR="006A3A02">
        <w:rPr>
          <w:i/>
        </w:rPr>
        <w:t xml:space="preserve"> </w:t>
      </w:r>
      <w:r w:rsidR="006A3A02">
        <w:t xml:space="preserve">is not compelling. </w:t>
      </w:r>
      <w:r w:rsidR="00277574">
        <w:t xml:space="preserve">The quest to determine </w:t>
      </w:r>
      <w:proofErr w:type="spellStart"/>
      <w:r w:rsidR="00277574">
        <w:t>Lysias</w:t>
      </w:r>
      <w:proofErr w:type="spellEnd"/>
      <w:r w:rsidR="00277574">
        <w:t xml:space="preserve">’ authorial intent based on the text itself, as L. Edmunds has </w:t>
      </w:r>
      <w:proofErr w:type="gramStart"/>
      <w:r w:rsidR="00277574">
        <w:t>shown,</w:t>
      </w:r>
      <w:proofErr w:type="gramEnd"/>
      <w:r w:rsidR="00277574">
        <w:t xml:space="preserve"> may be interesting in its own right, but, ultimately, it is futile.</w:t>
      </w:r>
      <w:r w:rsidR="00277574">
        <w:rPr>
          <w:rStyle w:val="FootnoteReference"/>
        </w:rPr>
        <w:footnoteReference w:id="20"/>
      </w:r>
    </w:p>
    <w:p w14:paraId="33F9C823" w14:textId="628EC55F" w:rsidR="00C12FCE" w:rsidRDefault="00C12FCE" w:rsidP="00C12FCE">
      <w:pPr>
        <w:spacing w:line="480" w:lineRule="auto"/>
        <w:ind w:firstLine="720"/>
        <w:jc w:val="left"/>
      </w:pPr>
      <w:r>
        <w:lastRenderedPageBreak/>
        <w:t>After having addressed the prosecution’s objections, Euphiletus then moves to the heart of his defense: that the laws of Athens required him to kill Eratosthenes. As he has done seven prior times to this point, he begins this transition with a conjunction followed by a vocative: “</w:t>
      </w:r>
      <w:r>
        <w:rPr>
          <w:i/>
        </w:rPr>
        <w:t xml:space="preserve">all’, </w:t>
      </w:r>
      <w:r>
        <w:rPr>
          <w:rFonts w:cs="Times New Roman"/>
          <w:i/>
        </w:rPr>
        <w:t>ō</w:t>
      </w:r>
      <w:r>
        <w:rPr>
          <w:i/>
        </w:rPr>
        <w:t xml:space="preserve"> </w:t>
      </w:r>
      <w:proofErr w:type="spellStart"/>
      <w:proofErr w:type="gramStart"/>
      <w:r>
        <w:rPr>
          <w:i/>
        </w:rPr>
        <w:t>andres</w:t>
      </w:r>
      <w:proofErr w:type="spellEnd"/>
      <w:proofErr w:type="gramEnd"/>
      <w:r>
        <w:rPr>
          <w:i/>
        </w:rPr>
        <w:t>.</w:t>
      </w:r>
      <w:r>
        <w:t>”</w:t>
      </w:r>
      <w:r>
        <w:rPr>
          <w:rStyle w:val="FootnoteReference"/>
        </w:rPr>
        <w:footnoteReference w:id="21"/>
      </w:r>
      <w:r>
        <w:t xml:space="preserve"> Before turning to the law, however, he moves to discredit his accusers’ trustworthiness as a way of summing up his prior responses to their allegations. He does so not with a simple assertion, but by inviting the jury to think along with him: “</w:t>
      </w:r>
      <w:proofErr w:type="spellStart"/>
      <w:r>
        <w:rPr>
          <w:i/>
        </w:rPr>
        <w:t>oimai</w:t>
      </w:r>
      <w:proofErr w:type="spellEnd"/>
      <w:r>
        <w:rPr>
          <w:i/>
        </w:rPr>
        <w:t xml:space="preserve"> kai </w:t>
      </w:r>
      <w:proofErr w:type="spellStart"/>
      <w:r>
        <w:rPr>
          <w:i/>
        </w:rPr>
        <w:t>humas</w:t>
      </w:r>
      <w:proofErr w:type="spellEnd"/>
      <w:r>
        <w:rPr>
          <w:i/>
        </w:rPr>
        <w:t xml:space="preserve"> </w:t>
      </w:r>
      <w:proofErr w:type="spellStart"/>
      <w:r>
        <w:rPr>
          <w:i/>
        </w:rPr>
        <w:t>eidevai</w:t>
      </w:r>
      <w:proofErr w:type="spellEnd"/>
      <w:r>
        <w:t xml:space="preserve">,” just as he did in the </w:t>
      </w:r>
      <w:proofErr w:type="gramStart"/>
      <w:r>
        <w:t>speech’s</w:t>
      </w:r>
      <w:proofErr w:type="gramEnd"/>
      <w:r>
        <w:t xml:space="preserve"> opening sentences.</w:t>
      </w:r>
      <w:r>
        <w:rPr>
          <w:rStyle w:val="FootnoteReference"/>
        </w:rPr>
        <w:footnoteReference w:id="22"/>
      </w:r>
      <w:r>
        <w:t xml:space="preserve"> The subtle rhetorical effect is to make the jury believe that they are on the same side as Euphiletus, and, therefore, they ought to believe his account rather than that of the prosecutors, who “act unjustly,” “lie,” and “stir up anger among their listeners who are acting justly.”</w:t>
      </w:r>
      <w:r w:rsidR="00CF7B1E">
        <w:rPr>
          <w:rStyle w:val="FootnoteReference"/>
        </w:rPr>
        <w:footnoteReference w:id="23"/>
      </w:r>
      <w:r>
        <w:t xml:space="preserve"> Carey comments that with “</w:t>
      </w:r>
      <w:proofErr w:type="spellStart"/>
      <w:r>
        <w:rPr>
          <w:i/>
        </w:rPr>
        <w:t>orgas</w:t>
      </w:r>
      <w:proofErr w:type="spellEnd"/>
      <w:r>
        <w:rPr>
          <w:i/>
        </w:rPr>
        <w:t>…</w:t>
      </w:r>
      <w:proofErr w:type="spellStart"/>
      <w:r>
        <w:rPr>
          <w:i/>
        </w:rPr>
        <w:t>paraskeuazousi</w:t>
      </w:r>
      <w:proofErr w:type="spellEnd"/>
      <w:r>
        <w:t xml:space="preserve">” Euphiletus is also trying to arouse </w:t>
      </w:r>
      <w:r w:rsidR="001163BC">
        <w:t>jurors’ anger</w:t>
      </w:r>
      <w:r>
        <w:t xml:space="preserve"> against Eratosthenes and his narrative.</w:t>
      </w:r>
      <w:r>
        <w:rPr>
          <w:rStyle w:val="FootnoteReference"/>
        </w:rPr>
        <w:footnoteReference w:id="24"/>
      </w:r>
      <w:r>
        <w:t xml:space="preserve"> This concludes </w:t>
      </w:r>
      <w:proofErr w:type="spellStart"/>
      <w:r>
        <w:t>Euphiletus’s</w:t>
      </w:r>
      <w:proofErr w:type="spellEnd"/>
      <w:r>
        <w:t xml:space="preserve"> </w:t>
      </w:r>
      <w:proofErr w:type="spellStart"/>
      <w:r>
        <w:rPr>
          <w:i/>
        </w:rPr>
        <w:t>eikos</w:t>
      </w:r>
      <w:proofErr w:type="spellEnd"/>
      <w:r>
        <w:t xml:space="preserve">: he now has the law read for the jurors to hear. The law </w:t>
      </w:r>
      <w:proofErr w:type="gramStart"/>
      <w:r>
        <w:t>is not recorded</w:t>
      </w:r>
      <w:proofErr w:type="gramEnd"/>
      <w:r>
        <w:t xml:space="preserve"> in the surviving text, as it rarely was in forensic speeches, but the </w:t>
      </w:r>
      <w:r w:rsidR="00907ED7">
        <w:t>law is</w:t>
      </w:r>
      <w:r>
        <w:t xml:space="preserve"> the </w:t>
      </w:r>
      <w:r>
        <w:rPr>
          <w:i/>
        </w:rPr>
        <w:t xml:space="preserve">nomos </w:t>
      </w:r>
      <w:proofErr w:type="spellStart"/>
      <w:r>
        <w:rPr>
          <w:i/>
        </w:rPr>
        <w:t>moixeias</w:t>
      </w:r>
      <w:proofErr w:type="spellEnd"/>
      <w:r>
        <w:t xml:space="preserve"> to which he has alluded already.</w:t>
      </w:r>
      <w:r>
        <w:rPr>
          <w:rStyle w:val="FootnoteReference"/>
        </w:rPr>
        <w:footnoteReference w:id="25"/>
      </w:r>
    </w:p>
    <w:p w14:paraId="0230E179" w14:textId="04FAB17C" w:rsidR="003E5AB6" w:rsidRDefault="00C12FCE" w:rsidP="00C12FCE">
      <w:pPr>
        <w:spacing w:line="480" w:lineRule="auto"/>
        <w:ind w:firstLine="720"/>
        <w:jc w:val="left"/>
      </w:pPr>
      <w:r>
        <w:t xml:space="preserve">The reading of the law then begins the </w:t>
      </w:r>
      <w:proofErr w:type="spellStart"/>
      <w:r>
        <w:rPr>
          <w:i/>
        </w:rPr>
        <w:t>pistis</w:t>
      </w:r>
      <w:proofErr w:type="spellEnd"/>
      <w:r>
        <w:t xml:space="preserve"> portion of the speech. </w:t>
      </w:r>
      <w:r w:rsidR="00BB1FC5">
        <w:t xml:space="preserve">Immediately, Euphiletus turns his attention to Eratosthenes, </w:t>
      </w:r>
      <w:proofErr w:type="gramStart"/>
      <w:r w:rsidR="00BB1FC5">
        <w:t>but,</w:t>
      </w:r>
      <w:proofErr w:type="gramEnd"/>
      <w:r w:rsidR="00BB1FC5">
        <w:t xml:space="preserve"> unlike during his narration, he does not identify him at all, </w:t>
      </w:r>
      <w:r w:rsidR="009E5D95">
        <w:t xml:space="preserve">not </w:t>
      </w:r>
      <w:r w:rsidR="00BB1FC5">
        <w:t xml:space="preserve">even with </w:t>
      </w:r>
      <w:proofErr w:type="spellStart"/>
      <w:r w:rsidR="00BB1FC5">
        <w:rPr>
          <w:i/>
        </w:rPr>
        <w:t>ekeinos</w:t>
      </w:r>
      <w:proofErr w:type="spellEnd"/>
      <w:r w:rsidR="00BB1FC5">
        <w:t>. This is a noteworthy omission, since he is clearly changing the focus of his argument, having just spoken not</w:t>
      </w:r>
      <w:r w:rsidR="009E5D95">
        <w:t xml:space="preserve"> about the man, but the accusations against himself</w:t>
      </w:r>
      <w:r w:rsidR="00BB1FC5">
        <w:t xml:space="preserve">. </w:t>
      </w:r>
      <w:r w:rsidR="003E5AB6">
        <w:t>The omitted subject does make, however, for a rapid transition from the law’s text to the crime, a</w:t>
      </w:r>
      <w:r w:rsidR="009E5D95">
        <w:t xml:space="preserve"> point that Euphiletus is dramatizing</w:t>
      </w:r>
      <w:r w:rsidR="003E5AB6">
        <w:t xml:space="preserve"> here. </w:t>
      </w:r>
      <w:r w:rsidR="00BB1FC5">
        <w:t xml:space="preserve">Also noteworthy is the choice of </w:t>
      </w:r>
      <w:r w:rsidR="00BB1FC5">
        <w:lastRenderedPageBreak/>
        <w:t>imperfect, rather than aorist, verbs: “</w:t>
      </w:r>
      <w:proofErr w:type="spellStart"/>
      <w:r w:rsidR="00BB1FC5">
        <w:rPr>
          <w:i/>
        </w:rPr>
        <w:t>ouk</w:t>
      </w:r>
      <w:proofErr w:type="spellEnd"/>
      <w:r w:rsidR="00BB1FC5">
        <w:rPr>
          <w:i/>
        </w:rPr>
        <w:t xml:space="preserve"> </w:t>
      </w:r>
      <w:proofErr w:type="spellStart"/>
      <w:r w:rsidR="00BB1FC5">
        <w:rPr>
          <w:rFonts w:cs="Times New Roman"/>
          <w:i/>
        </w:rPr>
        <w:t>ē</w:t>
      </w:r>
      <w:r w:rsidR="00BB1FC5">
        <w:rPr>
          <w:i/>
        </w:rPr>
        <w:t>mphesb</w:t>
      </w:r>
      <w:r w:rsidR="00BB1FC5">
        <w:rPr>
          <w:rFonts w:cs="Times New Roman"/>
          <w:i/>
        </w:rPr>
        <w:t>ē</w:t>
      </w:r>
      <w:r w:rsidR="00BB1FC5">
        <w:rPr>
          <w:i/>
        </w:rPr>
        <w:t>tei</w:t>
      </w:r>
      <w:proofErr w:type="spellEnd"/>
      <w:r w:rsidR="00BB1FC5">
        <w:rPr>
          <w:i/>
        </w:rPr>
        <w:t xml:space="preserve">…all’ </w:t>
      </w:r>
      <w:proofErr w:type="spellStart"/>
      <w:r w:rsidR="00BB1FC5">
        <w:rPr>
          <w:i/>
        </w:rPr>
        <w:t>h</w:t>
      </w:r>
      <w:r w:rsidR="00BB1FC5">
        <w:rPr>
          <w:rFonts w:cs="Times New Roman"/>
          <w:i/>
        </w:rPr>
        <w:t>ō</w:t>
      </w:r>
      <w:r w:rsidR="00BB1FC5">
        <w:rPr>
          <w:i/>
        </w:rPr>
        <w:t>mologei</w:t>
      </w:r>
      <w:proofErr w:type="spellEnd"/>
      <w:r w:rsidR="00BB1FC5">
        <w:rPr>
          <w:i/>
        </w:rPr>
        <w:t xml:space="preserve"> </w:t>
      </w:r>
      <w:proofErr w:type="spellStart"/>
      <w:r w:rsidR="00BB1FC5">
        <w:rPr>
          <w:i/>
        </w:rPr>
        <w:t>adikein</w:t>
      </w:r>
      <w:proofErr w:type="spellEnd"/>
      <w:r w:rsidR="00BB1FC5">
        <w:t xml:space="preserve">.” The imperfects drive home the fact that Eratosthenes knew he was in the wrong. </w:t>
      </w:r>
      <w:r w:rsidR="003E5AB6">
        <w:t>Euphiletus continues with imperfect verbs to add that, in addition to admitting his guilt, the adulterer was keenly aware of the two penalties possible for his crime: death (</w:t>
      </w:r>
      <w:proofErr w:type="spellStart"/>
      <w:r w:rsidR="003E5AB6">
        <w:rPr>
          <w:i/>
        </w:rPr>
        <w:t>hop</w:t>
      </w:r>
      <w:r w:rsidR="003E5AB6">
        <w:rPr>
          <w:rFonts w:cs="Times New Roman"/>
          <w:i/>
        </w:rPr>
        <w:t>ō</w:t>
      </w:r>
      <w:r w:rsidR="003E5AB6">
        <w:rPr>
          <w:i/>
        </w:rPr>
        <w:t>s</w:t>
      </w:r>
      <w:proofErr w:type="spellEnd"/>
      <w:r w:rsidR="003E5AB6">
        <w:rPr>
          <w:i/>
        </w:rPr>
        <w:t xml:space="preserve"> men </w:t>
      </w:r>
      <w:proofErr w:type="spellStart"/>
      <w:r w:rsidR="003E5AB6">
        <w:rPr>
          <w:i/>
        </w:rPr>
        <w:t>m</w:t>
      </w:r>
      <w:r w:rsidR="003E5AB6">
        <w:rPr>
          <w:rFonts w:cs="Times New Roman"/>
          <w:i/>
        </w:rPr>
        <w:t>ē</w:t>
      </w:r>
      <w:proofErr w:type="spellEnd"/>
      <w:r w:rsidR="003E5AB6">
        <w:rPr>
          <w:i/>
        </w:rPr>
        <w:t xml:space="preserve"> </w:t>
      </w:r>
      <w:proofErr w:type="spellStart"/>
      <w:r w:rsidR="003E5AB6">
        <w:rPr>
          <w:i/>
        </w:rPr>
        <w:t>apothan</w:t>
      </w:r>
      <w:r w:rsidR="003E5AB6">
        <w:rPr>
          <w:rFonts w:cs="Times New Roman"/>
          <w:i/>
        </w:rPr>
        <w:t>ē</w:t>
      </w:r>
      <w:proofErr w:type="spellEnd"/>
      <w:r w:rsidR="003E5AB6">
        <w:rPr>
          <w:i/>
        </w:rPr>
        <w:t xml:space="preserve"> </w:t>
      </w:r>
      <w:proofErr w:type="spellStart"/>
      <w:r w:rsidR="003E5AB6">
        <w:rPr>
          <w:rFonts w:cs="Times New Roman"/>
          <w:i/>
        </w:rPr>
        <w:t>ē</w:t>
      </w:r>
      <w:r w:rsidR="003E5AB6">
        <w:rPr>
          <w:i/>
        </w:rPr>
        <w:t>ntebolei</w:t>
      </w:r>
      <w:proofErr w:type="spellEnd"/>
      <w:r w:rsidR="003E5AB6">
        <w:rPr>
          <w:i/>
        </w:rPr>
        <w:t xml:space="preserve"> kai </w:t>
      </w:r>
      <w:proofErr w:type="spellStart"/>
      <w:r w:rsidR="003E5AB6">
        <w:rPr>
          <w:i/>
        </w:rPr>
        <w:t>hiketeuen</w:t>
      </w:r>
      <w:proofErr w:type="spellEnd"/>
      <w:r w:rsidR="001163BC">
        <w:t>) or payment of money</w:t>
      </w:r>
      <w:r w:rsidR="003E5AB6">
        <w:t xml:space="preserve"> (</w:t>
      </w:r>
      <w:proofErr w:type="spellStart"/>
      <w:r w:rsidR="003E5AB6">
        <w:rPr>
          <w:i/>
        </w:rPr>
        <w:t>apotinein</w:t>
      </w:r>
      <w:proofErr w:type="spellEnd"/>
      <w:r w:rsidR="003E5AB6">
        <w:rPr>
          <w:i/>
        </w:rPr>
        <w:t xml:space="preserve"> d’ </w:t>
      </w:r>
      <w:proofErr w:type="spellStart"/>
      <w:r w:rsidR="003E5AB6">
        <w:rPr>
          <w:i/>
        </w:rPr>
        <w:t>hetoimos</w:t>
      </w:r>
      <w:proofErr w:type="spellEnd"/>
      <w:r w:rsidR="003E5AB6">
        <w:rPr>
          <w:i/>
        </w:rPr>
        <w:t xml:space="preserve"> </w:t>
      </w:r>
      <w:proofErr w:type="spellStart"/>
      <w:r w:rsidR="003E5AB6">
        <w:rPr>
          <w:rFonts w:cs="Times New Roman"/>
          <w:i/>
        </w:rPr>
        <w:t>ē</w:t>
      </w:r>
      <w:r w:rsidR="003E5AB6">
        <w:rPr>
          <w:i/>
        </w:rPr>
        <w:t>n</w:t>
      </w:r>
      <w:proofErr w:type="spellEnd"/>
      <w:r w:rsidR="003E5AB6">
        <w:rPr>
          <w:i/>
        </w:rPr>
        <w:t xml:space="preserve"> </w:t>
      </w:r>
      <w:proofErr w:type="spellStart"/>
      <w:r w:rsidR="003E5AB6">
        <w:rPr>
          <w:i/>
        </w:rPr>
        <w:t>chr</w:t>
      </w:r>
      <w:r w:rsidR="003E5AB6">
        <w:rPr>
          <w:rFonts w:cs="Times New Roman"/>
          <w:i/>
        </w:rPr>
        <w:t>ē</w:t>
      </w:r>
      <w:r w:rsidR="003E5AB6">
        <w:rPr>
          <w:i/>
        </w:rPr>
        <w:t>mata</w:t>
      </w:r>
      <w:proofErr w:type="spellEnd"/>
      <w:r w:rsidR="003E5AB6">
        <w:t xml:space="preserve">). </w:t>
      </w:r>
      <w:r w:rsidR="001F1136">
        <w:t xml:space="preserve">The imperfects also help the jurors to imagine the scene of the crime, which could affect </w:t>
      </w:r>
      <w:proofErr w:type="spellStart"/>
      <w:r w:rsidR="001F1136">
        <w:t>E</w:t>
      </w:r>
      <w:r w:rsidR="009E5D95">
        <w:t>u</w:t>
      </w:r>
      <w:r w:rsidR="001F1136">
        <w:t>philetus’s</w:t>
      </w:r>
      <w:proofErr w:type="spellEnd"/>
      <w:r w:rsidR="001F1136">
        <w:t xml:space="preserve"> argument in two contradictory ways: on the one hand, it could arouse the juror’s sympathy for Euphiletus as they learn how unscrupulous the adulterer was; but on the other hand, the repeated begging can help cast Eratosthenes—and not Euphiletus</w:t>
      </w:r>
      <w:r w:rsidR="001163BC">
        <w:t xml:space="preserve">—in the victim’s role, one that </w:t>
      </w:r>
      <w:r w:rsidR="001F1136">
        <w:t xml:space="preserve">Euphiletus </w:t>
      </w:r>
      <w:r w:rsidR="009E5D95">
        <w:t xml:space="preserve">had </w:t>
      </w:r>
      <w:r w:rsidR="001F1136">
        <w:t xml:space="preserve">tried to claim for himself at the very start. </w:t>
      </w:r>
    </w:p>
    <w:p w14:paraId="79403EA1" w14:textId="053E0D9B" w:rsidR="001F1136" w:rsidRDefault="001F1136" w:rsidP="00C12FCE">
      <w:pPr>
        <w:spacing w:line="480" w:lineRule="auto"/>
        <w:ind w:firstLine="720"/>
        <w:jc w:val="left"/>
      </w:pPr>
      <w:r>
        <w:t xml:space="preserve">Now Euphiletus presents the heart of his </w:t>
      </w:r>
      <w:proofErr w:type="spellStart"/>
      <w:r>
        <w:rPr>
          <w:i/>
        </w:rPr>
        <w:t>pistis</w:t>
      </w:r>
      <w:proofErr w:type="spellEnd"/>
      <w:r>
        <w:t>, beginning with the transition “</w:t>
      </w:r>
      <w:proofErr w:type="spellStart"/>
      <w:r>
        <w:rPr>
          <w:i/>
        </w:rPr>
        <w:t>eg</w:t>
      </w:r>
      <w:r>
        <w:rPr>
          <w:rFonts w:cs="Times New Roman"/>
          <w:i/>
        </w:rPr>
        <w:t>ō</w:t>
      </w:r>
      <w:proofErr w:type="spellEnd"/>
      <w:r>
        <w:rPr>
          <w:i/>
        </w:rPr>
        <w:t xml:space="preserve"> de</w:t>
      </w:r>
      <w:r>
        <w:t>” to direct the focus back to him in his role as arbitrator of justice. Speaking in the first person, he asserts that he did not agree (</w:t>
      </w:r>
      <w:proofErr w:type="spellStart"/>
      <w:r>
        <w:rPr>
          <w:i/>
        </w:rPr>
        <w:t>sunech</w:t>
      </w:r>
      <w:r>
        <w:rPr>
          <w:rFonts w:cs="Times New Roman"/>
          <w:i/>
        </w:rPr>
        <w:t>ō</w:t>
      </w:r>
      <w:r w:rsidR="008B2478">
        <w:rPr>
          <w:i/>
        </w:rPr>
        <w:t>roun</w:t>
      </w:r>
      <w:proofErr w:type="spellEnd"/>
      <w:r w:rsidR="008B2478">
        <w:t>) to the payment of a penalty (</w:t>
      </w:r>
      <w:proofErr w:type="spellStart"/>
      <w:r w:rsidR="008B2478">
        <w:rPr>
          <w:i/>
        </w:rPr>
        <w:t>tim</w:t>
      </w:r>
      <w:r w:rsidR="008B2478">
        <w:rPr>
          <w:rFonts w:cs="Times New Roman"/>
          <w:i/>
        </w:rPr>
        <w:t>ē</w:t>
      </w:r>
      <w:r w:rsidR="008B2478">
        <w:rPr>
          <w:i/>
        </w:rPr>
        <w:t>mati</w:t>
      </w:r>
      <w:proofErr w:type="spellEnd"/>
      <w:r w:rsidR="008B2478">
        <w:t>) because “</w:t>
      </w:r>
      <w:r w:rsidR="008B2478">
        <w:rPr>
          <w:i/>
        </w:rPr>
        <w:t xml:space="preserve">ton de </w:t>
      </w:r>
      <w:proofErr w:type="spellStart"/>
      <w:r w:rsidR="008B2478">
        <w:rPr>
          <w:i/>
        </w:rPr>
        <w:t>t</w:t>
      </w:r>
      <w:r w:rsidR="008B2478">
        <w:rPr>
          <w:rFonts w:cs="Times New Roman"/>
          <w:i/>
        </w:rPr>
        <w:t>ē</w:t>
      </w:r>
      <w:r w:rsidR="008B2478">
        <w:rPr>
          <w:i/>
        </w:rPr>
        <w:t>s</w:t>
      </w:r>
      <w:proofErr w:type="spellEnd"/>
      <w:r w:rsidR="008B2478">
        <w:rPr>
          <w:i/>
        </w:rPr>
        <w:t xml:space="preserve"> </w:t>
      </w:r>
      <w:proofErr w:type="spellStart"/>
      <w:r w:rsidR="008B2478">
        <w:rPr>
          <w:i/>
        </w:rPr>
        <w:t>pole</w:t>
      </w:r>
      <w:r w:rsidR="008B2478">
        <w:rPr>
          <w:rFonts w:cs="Times New Roman"/>
          <w:i/>
        </w:rPr>
        <w:t>ō</w:t>
      </w:r>
      <w:r w:rsidR="008B2478">
        <w:rPr>
          <w:i/>
        </w:rPr>
        <w:t>s</w:t>
      </w:r>
      <w:proofErr w:type="spellEnd"/>
      <w:r w:rsidR="008B2478">
        <w:rPr>
          <w:i/>
        </w:rPr>
        <w:t xml:space="preserve"> </w:t>
      </w:r>
      <w:proofErr w:type="spellStart"/>
      <w:r w:rsidR="008B2478">
        <w:rPr>
          <w:i/>
        </w:rPr>
        <w:t>vomon</w:t>
      </w:r>
      <w:proofErr w:type="spellEnd"/>
      <w:r w:rsidR="008B2478">
        <w:rPr>
          <w:i/>
        </w:rPr>
        <w:t xml:space="preserve"> </w:t>
      </w:r>
      <w:proofErr w:type="spellStart"/>
      <w:r w:rsidR="008B2478">
        <w:rPr>
          <w:rFonts w:cs="Times New Roman"/>
          <w:i/>
        </w:rPr>
        <w:t>ē</w:t>
      </w:r>
      <w:r w:rsidR="008B2478">
        <w:rPr>
          <w:i/>
        </w:rPr>
        <w:t>xioun</w:t>
      </w:r>
      <w:proofErr w:type="spellEnd"/>
      <w:r w:rsidR="008B2478">
        <w:rPr>
          <w:i/>
        </w:rPr>
        <w:t xml:space="preserve"> </w:t>
      </w:r>
      <w:proofErr w:type="spellStart"/>
      <w:r w:rsidR="008B2478">
        <w:rPr>
          <w:i/>
        </w:rPr>
        <w:t>einai</w:t>
      </w:r>
      <w:proofErr w:type="spellEnd"/>
      <w:r w:rsidR="008B2478">
        <w:rPr>
          <w:i/>
        </w:rPr>
        <w:t xml:space="preserve"> </w:t>
      </w:r>
      <w:proofErr w:type="spellStart"/>
      <w:r w:rsidR="008B2478">
        <w:rPr>
          <w:i/>
        </w:rPr>
        <w:t>kuri</w:t>
      </w:r>
      <w:r w:rsidR="008B2478">
        <w:rPr>
          <w:rFonts w:cs="Times New Roman"/>
          <w:i/>
        </w:rPr>
        <w:t>ō</w:t>
      </w:r>
      <w:r w:rsidR="008B2478">
        <w:rPr>
          <w:i/>
        </w:rPr>
        <w:t>teron</w:t>
      </w:r>
      <w:proofErr w:type="spellEnd"/>
      <w:r w:rsidR="009E5D95">
        <w:rPr>
          <w:i/>
        </w:rPr>
        <w:t>, kai tauten</w:t>
      </w:r>
      <w:r w:rsidR="009E5D95">
        <w:rPr>
          <w:rFonts w:cs="Times New Roman"/>
          <w:i/>
        </w:rPr>
        <w:t xml:space="preserve"> </w:t>
      </w:r>
      <w:proofErr w:type="spellStart"/>
      <w:r w:rsidR="009E5D95">
        <w:rPr>
          <w:rFonts w:cs="Times New Roman"/>
          <w:i/>
        </w:rPr>
        <w:t>elabon</w:t>
      </w:r>
      <w:proofErr w:type="spellEnd"/>
      <w:r w:rsidR="009E5D95">
        <w:rPr>
          <w:rFonts w:cs="Times New Roman"/>
          <w:i/>
        </w:rPr>
        <w:t xml:space="preserve"> </w:t>
      </w:r>
      <w:proofErr w:type="spellStart"/>
      <w:r w:rsidR="009E5D95">
        <w:rPr>
          <w:rFonts w:cs="Times New Roman"/>
          <w:i/>
        </w:rPr>
        <w:t>tēn</w:t>
      </w:r>
      <w:proofErr w:type="spellEnd"/>
      <w:r w:rsidR="009E5D95">
        <w:rPr>
          <w:rFonts w:cs="Times New Roman"/>
          <w:i/>
        </w:rPr>
        <w:t xml:space="preserve"> </w:t>
      </w:r>
      <w:proofErr w:type="spellStart"/>
      <w:r w:rsidR="009E5D95">
        <w:rPr>
          <w:rFonts w:cs="Times New Roman"/>
          <w:i/>
        </w:rPr>
        <w:t>dikēn</w:t>
      </w:r>
      <w:proofErr w:type="spellEnd"/>
      <w:r w:rsidR="009E5D95">
        <w:rPr>
          <w:rFonts w:cs="Times New Roman"/>
          <w:i/>
        </w:rPr>
        <w:t xml:space="preserve">, </w:t>
      </w:r>
      <w:proofErr w:type="spellStart"/>
      <w:r w:rsidR="009E5D95">
        <w:rPr>
          <w:rFonts w:cs="Times New Roman"/>
          <w:i/>
        </w:rPr>
        <w:t>hēn</w:t>
      </w:r>
      <w:proofErr w:type="spellEnd"/>
      <w:r w:rsidR="009E5D95">
        <w:rPr>
          <w:rFonts w:cs="Times New Roman"/>
          <w:i/>
        </w:rPr>
        <w:t xml:space="preserve"> </w:t>
      </w:r>
      <w:proofErr w:type="spellStart"/>
      <w:r w:rsidR="009E5D95">
        <w:rPr>
          <w:rFonts w:cs="Times New Roman"/>
          <w:i/>
        </w:rPr>
        <w:t>humeis</w:t>
      </w:r>
      <w:proofErr w:type="spellEnd"/>
      <w:r w:rsidR="009E5D95">
        <w:rPr>
          <w:rFonts w:cs="Times New Roman"/>
          <w:i/>
        </w:rPr>
        <w:t xml:space="preserve"> </w:t>
      </w:r>
      <w:proofErr w:type="spellStart"/>
      <w:r w:rsidR="009E5D95">
        <w:rPr>
          <w:rFonts w:cs="Times New Roman"/>
          <w:i/>
        </w:rPr>
        <w:t>dikaiotatēn</w:t>
      </w:r>
      <w:proofErr w:type="spellEnd"/>
      <w:r w:rsidR="009E5D95">
        <w:rPr>
          <w:rFonts w:cs="Times New Roman"/>
          <w:i/>
        </w:rPr>
        <w:t xml:space="preserve"> </w:t>
      </w:r>
      <w:proofErr w:type="spellStart"/>
      <w:r w:rsidR="009E5D95">
        <w:rPr>
          <w:rFonts w:cs="Times New Roman"/>
          <w:i/>
        </w:rPr>
        <w:t>einai</w:t>
      </w:r>
      <w:proofErr w:type="spellEnd"/>
      <w:r w:rsidR="009E5D95">
        <w:rPr>
          <w:rFonts w:cs="Times New Roman"/>
          <w:i/>
        </w:rPr>
        <w:t xml:space="preserve"> </w:t>
      </w:r>
      <w:proofErr w:type="spellStart"/>
      <w:r w:rsidR="009E5D95">
        <w:rPr>
          <w:rFonts w:cs="Times New Roman"/>
          <w:i/>
        </w:rPr>
        <w:t>hēgēsam</w:t>
      </w:r>
      <w:r w:rsidR="00854D85">
        <w:rPr>
          <w:rFonts w:cs="Times New Roman"/>
          <w:i/>
        </w:rPr>
        <w:t>enoi</w:t>
      </w:r>
      <w:proofErr w:type="spellEnd"/>
      <w:r w:rsidR="00854D85">
        <w:rPr>
          <w:rFonts w:cs="Times New Roman"/>
          <w:i/>
        </w:rPr>
        <w:t xml:space="preserve"> </w:t>
      </w:r>
      <w:proofErr w:type="spellStart"/>
      <w:r w:rsidR="00854D85">
        <w:rPr>
          <w:rFonts w:cs="Times New Roman"/>
          <w:i/>
        </w:rPr>
        <w:t>tois</w:t>
      </w:r>
      <w:proofErr w:type="spellEnd"/>
      <w:r w:rsidR="00854D85">
        <w:rPr>
          <w:rFonts w:cs="Times New Roman"/>
          <w:i/>
        </w:rPr>
        <w:t xml:space="preserve"> ta </w:t>
      </w:r>
      <w:proofErr w:type="spellStart"/>
      <w:r w:rsidR="00854D85">
        <w:rPr>
          <w:rFonts w:cs="Times New Roman"/>
          <w:i/>
        </w:rPr>
        <w:t>toiauta</w:t>
      </w:r>
      <w:proofErr w:type="spellEnd"/>
      <w:r w:rsidR="00854D85">
        <w:rPr>
          <w:rFonts w:cs="Times New Roman"/>
          <w:i/>
        </w:rPr>
        <w:t xml:space="preserve"> </w:t>
      </w:r>
      <w:proofErr w:type="spellStart"/>
      <w:r w:rsidR="00854D85">
        <w:rPr>
          <w:rFonts w:cs="Times New Roman"/>
          <w:i/>
        </w:rPr>
        <w:t>epitēdeuousin</w:t>
      </w:r>
      <w:proofErr w:type="spellEnd"/>
      <w:r w:rsidR="008B2478">
        <w:t>.”</w:t>
      </w:r>
      <w:r w:rsidR="001163BC">
        <w:rPr>
          <w:rStyle w:val="FootnoteReference"/>
        </w:rPr>
        <w:footnoteReference w:id="26"/>
      </w:r>
      <w:r w:rsidR="008B2478">
        <w:t xml:space="preserve"> </w:t>
      </w:r>
      <w:r w:rsidR="003152CD">
        <w:t xml:space="preserve">Carey points out that Euphiletus is oversimplifying the law here: as the aggrieved husband, he equally had the right to subject the </w:t>
      </w:r>
      <w:r w:rsidR="009E5D95">
        <w:t xml:space="preserve">guilty </w:t>
      </w:r>
      <w:r w:rsidR="003152CD">
        <w:t>perpetrator to physical abuse</w:t>
      </w:r>
      <w:r w:rsidR="00536AD1">
        <w:t xml:space="preserve"> or</w:t>
      </w:r>
      <w:r w:rsidR="009E5D95">
        <w:t xml:space="preserve"> to</w:t>
      </w:r>
      <w:r w:rsidR="00536AD1">
        <w:t xml:space="preserve"> bring a </w:t>
      </w:r>
      <w:proofErr w:type="spellStart"/>
      <w:r w:rsidR="00536AD1">
        <w:rPr>
          <w:i/>
        </w:rPr>
        <w:t>graph</w:t>
      </w:r>
      <w:r w:rsidR="00536AD1">
        <w:rPr>
          <w:rFonts w:cs="Times New Roman"/>
          <w:i/>
        </w:rPr>
        <w:t>ē</w:t>
      </w:r>
      <w:proofErr w:type="spellEnd"/>
      <w:r w:rsidR="00536AD1">
        <w:rPr>
          <w:i/>
        </w:rPr>
        <w:t xml:space="preserve"> </w:t>
      </w:r>
      <w:proofErr w:type="spellStart"/>
      <w:r w:rsidR="00536AD1">
        <w:rPr>
          <w:i/>
        </w:rPr>
        <w:t>moicheias</w:t>
      </w:r>
      <w:proofErr w:type="spellEnd"/>
      <w:r w:rsidR="00536AD1">
        <w:t xml:space="preserve"> against him.</w:t>
      </w:r>
      <w:r w:rsidR="00536AD1">
        <w:rPr>
          <w:rStyle w:val="FootnoteReference"/>
        </w:rPr>
        <w:footnoteReference w:id="27"/>
      </w:r>
      <w:r w:rsidR="00536AD1">
        <w:t xml:space="preserve"> Euphiletus portrays himself as valuing the city’s laws over his own financial gain, a fact that he hopes will elicit the jurors’ sympathy. Whether they will be as sympathetic to his </w:t>
      </w:r>
      <w:r w:rsidR="009E5D95">
        <w:t xml:space="preserve">own </w:t>
      </w:r>
      <w:r w:rsidR="00536AD1">
        <w:t>truncated reading of the law—</w:t>
      </w:r>
      <w:proofErr w:type="spellStart"/>
      <w:r w:rsidR="00536AD1">
        <w:rPr>
          <w:i/>
        </w:rPr>
        <w:t>eg</w:t>
      </w:r>
      <w:r w:rsidR="00536AD1">
        <w:rPr>
          <w:rFonts w:cs="Times New Roman"/>
          <w:i/>
        </w:rPr>
        <w:t>ō</w:t>
      </w:r>
      <w:proofErr w:type="spellEnd"/>
      <w:r w:rsidR="00536AD1">
        <w:rPr>
          <w:rFonts w:cs="Times New Roman"/>
          <w:i/>
        </w:rPr>
        <w:t>…</w:t>
      </w:r>
      <w:r w:rsidR="00536AD1" w:rsidRPr="00536AD1">
        <w:rPr>
          <w:rFonts w:cs="Times New Roman"/>
          <w:i/>
        </w:rPr>
        <w:t xml:space="preserve"> </w:t>
      </w:r>
      <w:proofErr w:type="spellStart"/>
      <w:r w:rsidR="00536AD1">
        <w:rPr>
          <w:rFonts w:cs="Times New Roman"/>
          <w:i/>
        </w:rPr>
        <w:t>ē</w:t>
      </w:r>
      <w:r w:rsidR="00536AD1">
        <w:rPr>
          <w:i/>
        </w:rPr>
        <w:t>xioun</w:t>
      </w:r>
      <w:proofErr w:type="spellEnd"/>
      <w:r w:rsidR="009E5D95">
        <w:t>” makes</w:t>
      </w:r>
      <w:r w:rsidR="00536AD1">
        <w:t xml:space="preserve"> it clear that this is his own judgment</w:t>
      </w:r>
      <w:r w:rsidR="00854D85">
        <w:t xml:space="preserve"> that he took (</w:t>
      </w:r>
      <w:proofErr w:type="spellStart"/>
      <w:r w:rsidR="00854D85">
        <w:rPr>
          <w:i/>
        </w:rPr>
        <w:t>elabon</w:t>
      </w:r>
      <w:proofErr w:type="spellEnd"/>
      <w:r w:rsidR="00854D85">
        <w:t>) himself</w:t>
      </w:r>
      <w:r w:rsidR="00536AD1">
        <w:t>—is an open question.</w:t>
      </w:r>
    </w:p>
    <w:p w14:paraId="300DA4FE" w14:textId="3BE58577" w:rsidR="002D3E1E" w:rsidRDefault="00536AD1" w:rsidP="00536AD1">
      <w:pPr>
        <w:spacing w:line="480" w:lineRule="auto"/>
        <w:ind w:firstLine="720"/>
        <w:jc w:val="left"/>
        <w:rPr>
          <w:rFonts w:cs="Times New Roman"/>
        </w:rPr>
      </w:pPr>
      <w:r>
        <w:lastRenderedPageBreak/>
        <w:t>It is important to pause briefly to consider the l</w:t>
      </w:r>
      <w:r w:rsidR="009E5D95">
        <w:t>egal basis for Euphiletus’ case</w:t>
      </w:r>
      <w:r>
        <w:t xml:space="preserve"> now that it </w:t>
      </w:r>
      <w:proofErr w:type="gramStart"/>
      <w:r>
        <w:t>has been fully articulated</w:t>
      </w:r>
      <w:proofErr w:type="gramEnd"/>
      <w:r>
        <w:t xml:space="preserve">. </w:t>
      </w:r>
      <w:r w:rsidR="00B22EA5">
        <w:t xml:space="preserve">As mentioned, </w:t>
      </w:r>
      <w:r>
        <w:t xml:space="preserve">G. Herman argues </w:t>
      </w:r>
      <w:r w:rsidR="000F6A0B">
        <w:t xml:space="preserve">that, based on the laws and his portrayal of the case, the killing of Eratosthenes </w:t>
      </w:r>
      <w:r w:rsidR="004D0FB6">
        <w:t xml:space="preserve">was an act of execution, not an act of private </w:t>
      </w:r>
      <w:r w:rsidR="00B22EA5">
        <w:t>vengeance</w:t>
      </w:r>
      <w:r w:rsidR="004D0FB6">
        <w:t>.</w:t>
      </w:r>
      <w:r w:rsidR="000F6A0B">
        <w:rPr>
          <w:rStyle w:val="FootnoteReference"/>
        </w:rPr>
        <w:footnoteReference w:id="28"/>
      </w:r>
      <w:r>
        <w:t xml:space="preserve"> </w:t>
      </w:r>
      <w:r w:rsidR="000F6A0B">
        <w:t>Euphiletus has established himself as the arbitrator of justice, acting on behalf of the jurors</w:t>
      </w:r>
      <w:r w:rsidR="00B22EA5">
        <w:t xml:space="preserve"> since he exacted that penalty</w:t>
      </w:r>
      <w:r w:rsidR="004D0FB6">
        <w:t xml:space="preserve"> which </w:t>
      </w:r>
      <w:r w:rsidR="004D0FB6">
        <w:rPr>
          <w:i/>
          <w:iCs/>
        </w:rPr>
        <w:t xml:space="preserve">they </w:t>
      </w:r>
      <w:r w:rsidR="004D0FB6">
        <w:rPr>
          <w:rFonts w:cs="Times New Roman"/>
        </w:rPr>
        <w:t>had thought to be most right in this instance. In this way, argues Herman, Euphiletus indicates that he was not venting his anger, seeking a higher end as “he applied controlled violence in a dispassionate effort to enforce civic justice.”</w:t>
      </w:r>
      <w:r w:rsidR="004D0FB6">
        <w:rPr>
          <w:rStyle w:val="FootnoteReference"/>
          <w:rFonts w:cs="Times New Roman"/>
        </w:rPr>
        <w:footnoteReference w:id="29"/>
      </w:r>
      <w:r w:rsidR="004D0FB6">
        <w:rPr>
          <w:rFonts w:cs="Times New Roman"/>
        </w:rPr>
        <w:t xml:space="preserve"> This fact </w:t>
      </w:r>
      <w:proofErr w:type="gramStart"/>
      <w:r w:rsidR="004D0FB6">
        <w:rPr>
          <w:rFonts w:cs="Times New Roman"/>
        </w:rPr>
        <w:t>is supported</w:t>
      </w:r>
      <w:proofErr w:type="gramEnd"/>
      <w:r w:rsidR="004D0FB6">
        <w:rPr>
          <w:rFonts w:cs="Times New Roman"/>
        </w:rPr>
        <w:t xml:space="preserve"> by </w:t>
      </w:r>
      <w:proofErr w:type="spellStart"/>
      <w:r w:rsidR="004D0FB6">
        <w:rPr>
          <w:rFonts w:cs="Times New Roman"/>
        </w:rPr>
        <w:t>Euphiletus’s</w:t>
      </w:r>
      <w:proofErr w:type="spellEnd"/>
      <w:r w:rsidR="004D0FB6">
        <w:rPr>
          <w:rFonts w:cs="Times New Roman"/>
        </w:rPr>
        <w:t xml:space="preserve"> calm behavior throughout the night in question: he deliberately slipped out of his house to gather witnesses before confronting the adulterer rather than barge into the room in a fit of rage</w:t>
      </w:r>
      <w:r w:rsidR="00916094">
        <w:rPr>
          <w:rFonts w:cs="Times New Roman"/>
        </w:rPr>
        <w:t>.</w:t>
      </w:r>
      <w:r w:rsidR="00916094">
        <w:rPr>
          <w:rStyle w:val="FootnoteReference"/>
          <w:rFonts w:cs="Times New Roman"/>
        </w:rPr>
        <w:footnoteReference w:id="30"/>
      </w:r>
      <w:r w:rsidR="00916094">
        <w:rPr>
          <w:rFonts w:cs="Times New Roman"/>
        </w:rPr>
        <w:t xml:space="preserve"> Moreover, Euphiletus deliberately suppresses an appeal to his wounded honor, one that was typical in adultery cases, to show that his action was motivated by public concerns for the law rather than personal grievance.</w:t>
      </w:r>
      <w:r w:rsidR="00916094">
        <w:rPr>
          <w:rStyle w:val="FootnoteReference"/>
          <w:rFonts w:cs="Times New Roman"/>
        </w:rPr>
        <w:footnoteReference w:id="31"/>
      </w:r>
      <w:r w:rsidR="00916094">
        <w:rPr>
          <w:rFonts w:cs="Times New Roman"/>
        </w:rPr>
        <w:t xml:space="preserve"> </w:t>
      </w:r>
    </w:p>
    <w:p w14:paraId="33CA790F" w14:textId="535569EC" w:rsidR="00916094" w:rsidRDefault="00916094" w:rsidP="00536AD1">
      <w:pPr>
        <w:spacing w:line="480" w:lineRule="auto"/>
        <w:ind w:firstLine="720"/>
        <w:jc w:val="left"/>
        <w:rPr>
          <w:rFonts w:cs="Times New Roman"/>
        </w:rPr>
      </w:pPr>
      <w:r>
        <w:rPr>
          <w:rFonts w:cs="Times New Roman"/>
        </w:rPr>
        <w:t xml:space="preserve">Herman is correct that the strength of </w:t>
      </w:r>
      <w:proofErr w:type="spellStart"/>
      <w:r>
        <w:rPr>
          <w:rFonts w:cs="Times New Roman"/>
        </w:rPr>
        <w:t>Euphiletus’s</w:t>
      </w:r>
      <w:proofErr w:type="spellEnd"/>
      <w:r>
        <w:rPr>
          <w:rFonts w:cs="Times New Roman"/>
        </w:rPr>
        <w:t xml:space="preserve"> case hinges on b</w:t>
      </w:r>
      <w:r w:rsidR="00184B1B">
        <w:rPr>
          <w:rFonts w:cs="Times New Roman"/>
        </w:rPr>
        <w:t xml:space="preserve">alancing his choice of the </w:t>
      </w:r>
      <w:proofErr w:type="gramStart"/>
      <w:r w:rsidR="00184B1B">
        <w:rPr>
          <w:rFonts w:cs="Times New Roman"/>
        </w:rPr>
        <w:t xml:space="preserve">most </w:t>
      </w:r>
      <w:r>
        <w:rPr>
          <w:rFonts w:cs="Times New Roman"/>
        </w:rPr>
        <w:t>extreme</w:t>
      </w:r>
      <w:proofErr w:type="gramEnd"/>
      <w:r>
        <w:rPr>
          <w:rFonts w:cs="Times New Roman"/>
        </w:rPr>
        <w:t xml:space="preserve"> penalty with a calm mind. </w:t>
      </w:r>
      <w:r w:rsidR="007F2043">
        <w:rPr>
          <w:rFonts w:cs="Times New Roman"/>
        </w:rPr>
        <w:t xml:space="preserve">Killing Eratosthenes was within the law’s bounds, even if Euphiletus distorted the law in presenting his action as the </w:t>
      </w:r>
      <w:r w:rsidR="00184B1B">
        <w:rPr>
          <w:rFonts w:cs="Times New Roman"/>
        </w:rPr>
        <w:t xml:space="preserve">law’s </w:t>
      </w:r>
      <w:r w:rsidR="007F2043">
        <w:rPr>
          <w:rFonts w:cs="Times New Roman"/>
        </w:rPr>
        <w:t>only co</w:t>
      </w:r>
      <w:r w:rsidR="00184B1B">
        <w:rPr>
          <w:rFonts w:cs="Times New Roman"/>
        </w:rPr>
        <w:t>mmand. Herman is also correct in</w:t>
      </w:r>
      <w:r w:rsidR="007F2043">
        <w:rPr>
          <w:rFonts w:cs="Times New Roman"/>
        </w:rPr>
        <w:t xml:space="preserve"> judging </w:t>
      </w:r>
      <w:proofErr w:type="spellStart"/>
      <w:r w:rsidR="007F2043">
        <w:rPr>
          <w:rFonts w:cs="Times New Roman"/>
        </w:rPr>
        <w:t>Euphiletus’s</w:t>
      </w:r>
      <w:proofErr w:type="spellEnd"/>
      <w:r w:rsidR="007F2043">
        <w:rPr>
          <w:rFonts w:cs="Times New Roman"/>
        </w:rPr>
        <w:t xml:space="preserve"> self-portray</w:t>
      </w:r>
      <w:r w:rsidR="00184B1B">
        <w:rPr>
          <w:rFonts w:cs="Times New Roman"/>
        </w:rPr>
        <w:t>a</w:t>
      </w:r>
      <w:r w:rsidR="007F2043">
        <w:rPr>
          <w:rFonts w:cs="Times New Roman"/>
        </w:rPr>
        <w:t>l: by</w:t>
      </w:r>
      <w:r w:rsidR="002D7ADB">
        <w:rPr>
          <w:rFonts w:cs="Times New Roman"/>
        </w:rPr>
        <w:t xml:space="preserve"> making himself look more like a hapless cuckold, </w:t>
      </w:r>
      <w:r w:rsidR="007F2043">
        <w:rPr>
          <w:rFonts w:cs="Times New Roman"/>
        </w:rPr>
        <w:t>he</w:t>
      </w:r>
      <w:r w:rsidR="002D7ADB">
        <w:rPr>
          <w:rFonts w:cs="Times New Roman"/>
        </w:rPr>
        <w:t xml:space="preserve"> makes himself seem less like a man capable of raging murder</w:t>
      </w:r>
      <w:r w:rsidR="007F2043">
        <w:rPr>
          <w:rFonts w:cs="Times New Roman"/>
        </w:rPr>
        <w:t>, the accusation he is trying to defeat</w:t>
      </w:r>
      <w:r w:rsidR="002D7ADB">
        <w:rPr>
          <w:rFonts w:cs="Times New Roman"/>
        </w:rPr>
        <w:t>.</w:t>
      </w:r>
      <w:r w:rsidR="002D7ADB">
        <w:rPr>
          <w:rStyle w:val="FootnoteReference"/>
          <w:rFonts w:cs="Times New Roman"/>
        </w:rPr>
        <w:footnoteReference w:id="32"/>
      </w:r>
      <w:r w:rsidR="002D7ADB">
        <w:rPr>
          <w:rFonts w:cs="Times New Roman"/>
        </w:rPr>
        <w:t xml:space="preserve"> </w:t>
      </w:r>
      <w:r w:rsidR="007F2043">
        <w:rPr>
          <w:rFonts w:cs="Times New Roman"/>
        </w:rPr>
        <w:t>In this way</w:t>
      </w:r>
      <w:r w:rsidR="00184B1B">
        <w:rPr>
          <w:rFonts w:cs="Times New Roman"/>
        </w:rPr>
        <w:t>,</w:t>
      </w:r>
      <w:r w:rsidR="007F2043">
        <w:rPr>
          <w:rFonts w:cs="Times New Roman"/>
        </w:rPr>
        <w:t xml:space="preserve"> he unwittingly anticipates Porter’s objection, mentioned above, that the generic adultery narration </w:t>
      </w:r>
      <w:proofErr w:type="gramStart"/>
      <w:r w:rsidR="007F2043">
        <w:rPr>
          <w:rFonts w:cs="Times New Roman"/>
        </w:rPr>
        <w:t>is too contrived</w:t>
      </w:r>
      <w:proofErr w:type="gramEnd"/>
      <w:r w:rsidR="007F2043">
        <w:rPr>
          <w:rFonts w:cs="Times New Roman"/>
        </w:rPr>
        <w:t xml:space="preserve"> to </w:t>
      </w:r>
      <w:r w:rsidR="00184B1B">
        <w:rPr>
          <w:rFonts w:cs="Times New Roman"/>
        </w:rPr>
        <w:t xml:space="preserve">form </w:t>
      </w:r>
      <w:r w:rsidR="007F2043">
        <w:rPr>
          <w:rFonts w:cs="Times New Roman"/>
        </w:rPr>
        <w:t>the heart of a real case</w:t>
      </w:r>
      <w:r w:rsidR="00184B1B">
        <w:rPr>
          <w:rFonts w:cs="Times New Roman"/>
        </w:rPr>
        <w:t xml:space="preserve">; rather, the generic fuels the subtle legal point </w:t>
      </w:r>
      <w:proofErr w:type="spellStart"/>
      <w:r w:rsidR="00184B1B">
        <w:rPr>
          <w:rFonts w:cs="Times New Roman"/>
        </w:rPr>
        <w:t>Lysias</w:t>
      </w:r>
      <w:proofErr w:type="spellEnd"/>
      <w:r w:rsidR="00184B1B">
        <w:rPr>
          <w:rFonts w:cs="Times New Roman"/>
        </w:rPr>
        <w:t xml:space="preserve"> has decided to highlight</w:t>
      </w:r>
      <w:r w:rsidR="007F2043">
        <w:rPr>
          <w:rFonts w:cs="Times New Roman"/>
        </w:rPr>
        <w:t xml:space="preserve">. Returning to Gagarin’s thesis, </w:t>
      </w:r>
      <w:r w:rsidR="007F2043">
        <w:rPr>
          <w:rFonts w:cs="Times New Roman"/>
        </w:rPr>
        <w:lastRenderedPageBreak/>
        <w:t>mentioned above, that the key to a case’s outcome is a compelling narrative, more</w:t>
      </w:r>
      <w:r w:rsidR="00184B1B">
        <w:rPr>
          <w:rFonts w:cs="Times New Roman"/>
        </w:rPr>
        <w:t xml:space="preserve"> </w:t>
      </w:r>
      <w:r w:rsidR="007F2043">
        <w:rPr>
          <w:rFonts w:cs="Times New Roman"/>
        </w:rPr>
        <w:t xml:space="preserve">so than the cold facts of the case, Herman is right that </w:t>
      </w:r>
      <w:proofErr w:type="spellStart"/>
      <w:r w:rsidR="007F2043">
        <w:rPr>
          <w:rFonts w:cs="Times New Roman"/>
        </w:rPr>
        <w:t>Euphiletus’s</w:t>
      </w:r>
      <w:proofErr w:type="spellEnd"/>
      <w:r w:rsidR="007F2043">
        <w:rPr>
          <w:rFonts w:cs="Times New Roman"/>
        </w:rPr>
        <w:t xml:space="preserve"> legal argument is cogent, even if colored to fit his version of the events. </w:t>
      </w:r>
    </w:p>
    <w:p w14:paraId="34E4E6E6" w14:textId="2F08B0B8" w:rsidR="002D3E1E" w:rsidRDefault="002B2593" w:rsidP="002B2593">
      <w:pPr>
        <w:spacing w:line="480" w:lineRule="auto"/>
        <w:ind w:firstLine="720"/>
        <w:jc w:val="left"/>
        <w:rPr>
          <w:rFonts w:cs="Times New Roman"/>
        </w:rPr>
      </w:pPr>
      <w:r>
        <w:rPr>
          <w:rFonts w:cs="Times New Roman"/>
        </w:rPr>
        <w:t xml:space="preserve">Euphiletus follows this appeal to the law by calling forth witnesses who were present on the night in question. </w:t>
      </w:r>
      <w:r>
        <w:t>No record survives of who these witnesses were, but Carey surmises that these likely includ</w:t>
      </w:r>
      <w:r w:rsidR="006016CC">
        <w:t xml:space="preserve">ed </w:t>
      </w:r>
      <w:proofErr w:type="spellStart"/>
      <w:r w:rsidR="006016CC">
        <w:t>Sostratos</w:t>
      </w:r>
      <w:proofErr w:type="spellEnd"/>
      <w:r w:rsidR="006016CC">
        <w:t>, who had dined at</w:t>
      </w:r>
      <w:r>
        <w:t xml:space="preserve"> </w:t>
      </w:r>
      <w:proofErr w:type="spellStart"/>
      <w:r>
        <w:t>Euphiletus</w:t>
      </w:r>
      <w:r w:rsidR="006016CC">
        <w:t>’s</w:t>
      </w:r>
      <w:proofErr w:type="spellEnd"/>
      <w:r w:rsidR="006016CC">
        <w:t xml:space="preserve"> home</w:t>
      </w:r>
      <w:r>
        <w:t xml:space="preserve"> before these events unfolded, as well as friends who were both absent when Euphiletus called upon them and those who returned to his house with him.</w:t>
      </w:r>
      <w:r>
        <w:rPr>
          <w:rStyle w:val="FootnoteReference"/>
        </w:rPr>
        <w:footnoteReference w:id="33"/>
      </w:r>
      <w:r>
        <w:t xml:space="preserve"> Euphiletus then exhorts the jury to listen to a reading of the law mounted in the Areopagus, where, </w:t>
      </w:r>
      <w:proofErr w:type="spellStart"/>
      <w:r>
        <w:t>Scodel</w:t>
      </w:r>
      <w:proofErr w:type="spellEnd"/>
      <w:r>
        <w:t xml:space="preserve"> exp</w:t>
      </w:r>
      <w:r w:rsidR="006016CC">
        <w:t xml:space="preserve">lains, homicide cases </w:t>
      </w:r>
      <w:proofErr w:type="gramStart"/>
      <w:r w:rsidR="006016CC">
        <w:t>were heard</w:t>
      </w:r>
      <w:proofErr w:type="gramEnd"/>
      <w:r w:rsidR="0085039B">
        <w:t xml:space="preserve">, so it was likely that </w:t>
      </w:r>
      <w:r w:rsidR="006016CC">
        <w:t xml:space="preserve">a </w:t>
      </w:r>
      <w:r w:rsidR="0085039B">
        <w:t>stele containi</w:t>
      </w:r>
      <w:r w:rsidR="006016CC">
        <w:t>ng all homicide-related laws had been</w:t>
      </w:r>
      <w:r w:rsidR="0085039B">
        <w:t xml:space="preserve"> erected</w:t>
      </w:r>
      <w:r w:rsidR="006016CC">
        <w:t xml:space="preserve"> there</w:t>
      </w:r>
      <w:r>
        <w:t>.</w:t>
      </w:r>
      <w:r>
        <w:rPr>
          <w:rStyle w:val="FootnoteReference"/>
        </w:rPr>
        <w:footnoteReference w:id="34"/>
      </w:r>
      <w:r w:rsidR="0085039B">
        <w:t xml:space="preserve"> </w:t>
      </w:r>
      <w:r w:rsidR="00B05D67">
        <w:t>Carey states that the</w:t>
      </w:r>
      <w:r w:rsidR="006016CC">
        <w:t xml:space="preserve">se mounted laws </w:t>
      </w:r>
      <w:r w:rsidR="00B05D67">
        <w:t>were likely</w:t>
      </w:r>
      <w:r w:rsidR="006016CC">
        <w:t xml:space="preserve"> a revision of those </w:t>
      </w:r>
      <w:r w:rsidR="00B05D67">
        <w:t>begun by</w:t>
      </w:r>
      <w:r w:rsidR="006016CC">
        <w:t xml:space="preserve"> Draco, but not the ones specifically crafted by him</w:t>
      </w:r>
      <w:r w:rsidR="00B05D67">
        <w:t xml:space="preserve">; </w:t>
      </w:r>
      <w:proofErr w:type="spellStart"/>
      <w:r w:rsidR="00B05D67">
        <w:t>Scodel</w:t>
      </w:r>
      <w:proofErr w:type="spellEnd"/>
      <w:r w:rsidR="00B05D67">
        <w:t xml:space="preserve"> adds that the adverb </w:t>
      </w:r>
      <w:proofErr w:type="spellStart"/>
      <w:r w:rsidR="00B05D67">
        <w:rPr>
          <w:i/>
          <w:iCs/>
        </w:rPr>
        <w:t>diarr</w:t>
      </w:r>
      <w:r w:rsidR="00B05D67">
        <w:rPr>
          <w:rFonts w:cs="Times New Roman"/>
          <w:i/>
          <w:iCs/>
        </w:rPr>
        <w:t>ē</w:t>
      </w:r>
      <w:r w:rsidR="00B05D67">
        <w:rPr>
          <w:i/>
          <w:iCs/>
        </w:rPr>
        <w:t>d</w:t>
      </w:r>
      <w:r w:rsidR="00B05D67">
        <w:rPr>
          <w:rFonts w:cs="Times New Roman"/>
          <w:i/>
          <w:iCs/>
        </w:rPr>
        <w:t>ē</w:t>
      </w:r>
      <w:r w:rsidR="00B05D67">
        <w:rPr>
          <w:i/>
          <w:iCs/>
        </w:rPr>
        <w:t>n</w:t>
      </w:r>
      <w:proofErr w:type="spellEnd"/>
      <w:r w:rsidR="00B05D67">
        <w:t xml:space="preserve"> makes </w:t>
      </w:r>
      <w:proofErr w:type="spellStart"/>
      <w:r w:rsidR="00B719DF">
        <w:t>Euphiletus’s</w:t>
      </w:r>
      <w:proofErr w:type="spellEnd"/>
      <w:r w:rsidR="00B05D67">
        <w:t xml:space="preserve"> referen</w:t>
      </w:r>
      <w:r w:rsidR="006016CC">
        <w:t>ce to the law less explicit, and</w:t>
      </w:r>
      <w:r w:rsidR="00B719DF">
        <w:t xml:space="preserve"> still less likely to be those </w:t>
      </w:r>
      <w:r w:rsidR="00B05D67">
        <w:t>of Draco.</w:t>
      </w:r>
      <w:r w:rsidR="00B05D67">
        <w:rPr>
          <w:rStyle w:val="FootnoteReference"/>
        </w:rPr>
        <w:footnoteReference w:id="35"/>
      </w:r>
      <w:r w:rsidR="00B05D67">
        <w:t xml:space="preserve"> </w:t>
      </w:r>
      <w:r w:rsidR="0085039B">
        <w:t xml:space="preserve">Euphiletus here bases his argument on the </w:t>
      </w:r>
      <w:proofErr w:type="spellStart"/>
      <w:r w:rsidR="0085039B">
        <w:rPr>
          <w:i/>
          <w:iCs/>
        </w:rPr>
        <w:t>auctoritas</w:t>
      </w:r>
      <w:proofErr w:type="spellEnd"/>
      <w:r w:rsidR="0085039B">
        <w:t xml:space="preserve"> of the Areopagus: its antiquity (</w:t>
      </w:r>
      <w:proofErr w:type="spellStart"/>
      <w:r w:rsidR="0085039B">
        <w:rPr>
          <w:i/>
          <w:iCs/>
        </w:rPr>
        <w:t>h</w:t>
      </w:r>
      <w:r w:rsidR="0085039B">
        <w:rPr>
          <w:rFonts w:cs="Times New Roman"/>
          <w:i/>
          <w:iCs/>
        </w:rPr>
        <w:t>ō</w:t>
      </w:r>
      <w:proofErr w:type="spellEnd"/>
      <w:r w:rsidR="0085039B">
        <w:rPr>
          <w:rFonts w:cs="Times New Roman"/>
          <w:i/>
          <w:iCs/>
        </w:rPr>
        <w:t xml:space="preserve"> kai </w:t>
      </w:r>
      <w:proofErr w:type="spellStart"/>
      <w:r w:rsidR="0085039B">
        <w:rPr>
          <w:rFonts w:cs="Times New Roman"/>
          <w:i/>
          <w:iCs/>
        </w:rPr>
        <w:t>patrion</w:t>
      </w:r>
      <w:proofErr w:type="spellEnd"/>
      <w:r w:rsidR="0085039B">
        <w:rPr>
          <w:rFonts w:cs="Times New Roman"/>
          <w:i/>
          <w:iCs/>
        </w:rPr>
        <w:t xml:space="preserve"> </w:t>
      </w:r>
      <w:proofErr w:type="spellStart"/>
      <w:r w:rsidR="0085039B">
        <w:rPr>
          <w:rFonts w:cs="Times New Roman"/>
          <w:i/>
          <w:iCs/>
        </w:rPr>
        <w:t>esti</w:t>
      </w:r>
      <w:proofErr w:type="spellEnd"/>
      <w:r w:rsidR="0085039B">
        <w:rPr>
          <w:rFonts w:cs="Times New Roman"/>
          <w:i/>
          <w:iCs/>
        </w:rPr>
        <w:t xml:space="preserve"> kai </w:t>
      </w:r>
      <w:proofErr w:type="spellStart"/>
      <w:r w:rsidR="0085039B">
        <w:rPr>
          <w:rFonts w:cs="Times New Roman"/>
          <w:i/>
          <w:iCs/>
        </w:rPr>
        <w:t>eph</w:t>
      </w:r>
      <w:proofErr w:type="spellEnd"/>
      <w:r w:rsidR="0085039B">
        <w:rPr>
          <w:rFonts w:cs="Times New Roman"/>
          <w:i/>
          <w:iCs/>
        </w:rPr>
        <w:t xml:space="preserve">’ </w:t>
      </w:r>
      <w:proofErr w:type="spellStart"/>
      <w:r w:rsidR="0085039B">
        <w:rPr>
          <w:rFonts w:cs="Times New Roman"/>
          <w:i/>
          <w:iCs/>
        </w:rPr>
        <w:t>hēmon</w:t>
      </w:r>
      <w:proofErr w:type="spellEnd"/>
      <w:r w:rsidR="0085039B">
        <w:rPr>
          <w:rFonts w:cs="Times New Roman"/>
          <w:i/>
          <w:iCs/>
        </w:rPr>
        <w:t xml:space="preserve"> </w:t>
      </w:r>
      <w:proofErr w:type="spellStart"/>
      <w:r w:rsidR="0085039B">
        <w:rPr>
          <w:rFonts w:cs="Times New Roman"/>
          <w:i/>
          <w:iCs/>
        </w:rPr>
        <w:t>apodedotai</w:t>
      </w:r>
      <w:proofErr w:type="spellEnd"/>
      <w:r w:rsidR="0085039B">
        <w:rPr>
          <w:rFonts w:cs="Times New Roman"/>
        </w:rPr>
        <w:t>) and its constitution (</w:t>
      </w:r>
      <w:proofErr w:type="spellStart"/>
      <w:r w:rsidR="0085039B">
        <w:rPr>
          <w:rFonts w:cs="Times New Roman"/>
          <w:i/>
          <w:iCs/>
        </w:rPr>
        <w:t>tou</w:t>
      </w:r>
      <w:proofErr w:type="spellEnd"/>
      <w:r w:rsidR="0085039B">
        <w:rPr>
          <w:rFonts w:cs="Times New Roman"/>
          <w:i/>
          <w:iCs/>
        </w:rPr>
        <w:t xml:space="preserve"> </w:t>
      </w:r>
      <w:proofErr w:type="spellStart"/>
      <w:r w:rsidR="0085039B">
        <w:rPr>
          <w:rFonts w:cs="Times New Roman"/>
          <w:i/>
          <w:iCs/>
        </w:rPr>
        <w:t>phonou</w:t>
      </w:r>
      <w:proofErr w:type="spellEnd"/>
      <w:r w:rsidR="0085039B">
        <w:rPr>
          <w:rFonts w:cs="Times New Roman"/>
          <w:i/>
          <w:iCs/>
        </w:rPr>
        <w:t xml:space="preserve"> </w:t>
      </w:r>
      <w:proofErr w:type="spellStart"/>
      <w:proofErr w:type="gramStart"/>
      <w:r w:rsidR="0085039B">
        <w:rPr>
          <w:rFonts w:cs="Times New Roman"/>
          <w:i/>
          <w:iCs/>
        </w:rPr>
        <w:t>tas</w:t>
      </w:r>
      <w:proofErr w:type="spellEnd"/>
      <w:proofErr w:type="gramEnd"/>
      <w:r w:rsidR="0085039B">
        <w:rPr>
          <w:rFonts w:cs="Times New Roman"/>
          <w:i/>
          <w:iCs/>
        </w:rPr>
        <w:t xml:space="preserve"> </w:t>
      </w:r>
      <w:proofErr w:type="spellStart"/>
      <w:r w:rsidR="0085039B">
        <w:rPr>
          <w:rFonts w:cs="Times New Roman"/>
          <w:i/>
          <w:iCs/>
        </w:rPr>
        <w:t>dikas</w:t>
      </w:r>
      <w:proofErr w:type="spellEnd"/>
      <w:r w:rsidR="0085039B">
        <w:rPr>
          <w:rFonts w:cs="Times New Roman"/>
          <w:i/>
          <w:iCs/>
        </w:rPr>
        <w:t xml:space="preserve"> </w:t>
      </w:r>
      <w:proofErr w:type="spellStart"/>
      <w:r w:rsidR="0085039B">
        <w:rPr>
          <w:rFonts w:cs="Times New Roman"/>
          <w:i/>
          <w:iCs/>
        </w:rPr>
        <w:t>dikazein</w:t>
      </w:r>
      <w:proofErr w:type="spellEnd"/>
      <w:r w:rsidR="006016CC">
        <w:rPr>
          <w:rFonts w:cs="Times New Roman"/>
        </w:rPr>
        <w:t>) make</w:t>
      </w:r>
      <w:r w:rsidR="0085039B">
        <w:rPr>
          <w:rFonts w:cs="Times New Roman"/>
        </w:rPr>
        <w:t xml:space="preserve"> its law</w:t>
      </w:r>
      <w:r w:rsidR="006016CC">
        <w:rPr>
          <w:rFonts w:cs="Times New Roman"/>
        </w:rPr>
        <w:t>s all the more weighty, n</w:t>
      </w:r>
      <w:r w:rsidR="0085039B">
        <w:rPr>
          <w:rFonts w:cs="Times New Roman"/>
        </w:rPr>
        <w:t xml:space="preserve">amely, </w:t>
      </w:r>
      <w:r w:rsidR="00D21018">
        <w:rPr>
          <w:rFonts w:cs="Times New Roman"/>
        </w:rPr>
        <w:t>“</w:t>
      </w:r>
      <w:proofErr w:type="spellStart"/>
      <w:r w:rsidR="006016CC">
        <w:rPr>
          <w:rFonts w:cs="Times New Roman"/>
          <w:i/>
        </w:rPr>
        <w:t>toutou</w:t>
      </w:r>
      <w:proofErr w:type="spellEnd"/>
      <w:r w:rsidR="006016CC">
        <w:rPr>
          <w:rFonts w:cs="Times New Roman"/>
          <w:i/>
        </w:rPr>
        <w:t xml:space="preserve"> </w:t>
      </w:r>
      <w:proofErr w:type="spellStart"/>
      <w:r w:rsidR="00D21018">
        <w:rPr>
          <w:rFonts w:cs="Times New Roman"/>
          <w:i/>
          <w:iCs/>
        </w:rPr>
        <w:t>mē</w:t>
      </w:r>
      <w:proofErr w:type="spellEnd"/>
      <w:r w:rsidR="00D21018">
        <w:rPr>
          <w:rFonts w:cs="Times New Roman"/>
          <w:i/>
          <w:iCs/>
        </w:rPr>
        <w:t xml:space="preserve"> </w:t>
      </w:r>
      <w:proofErr w:type="spellStart"/>
      <w:r w:rsidR="00D21018">
        <w:rPr>
          <w:rFonts w:cs="Times New Roman"/>
          <w:i/>
          <w:iCs/>
        </w:rPr>
        <w:t>katagignōskein</w:t>
      </w:r>
      <w:proofErr w:type="spellEnd"/>
      <w:r w:rsidR="00D21018">
        <w:rPr>
          <w:rFonts w:cs="Times New Roman"/>
          <w:i/>
          <w:iCs/>
        </w:rPr>
        <w:t xml:space="preserve"> phonon hos an epi </w:t>
      </w:r>
      <w:proofErr w:type="spellStart"/>
      <w:r w:rsidR="00D21018">
        <w:rPr>
          <w:rFonts w:cs="Times New Roman"/>
          <w:i/>
          <w:iCs/>
        </w:rPr>
        <w:t>damarti</w:t>
      </w:r>
      <w:proofErr w:type="spellEnd"/>
      <w:r w:rsidR="00D21018">
        <w:rPr>
          <w:rFonts w:cs="Times New Roman"/>
          <w:i/>
          <w:iCs/>
        </w:rPr>
        <w:t xml:space="preserve"> </w:t>
      </w:r>
      <w:proofErr w:type="spellStart"/>
      <w:r w:rsidR="00D21018">
        <w:rPr>
          <w:rFonts w:cs="Times New Roman"/>
          <w:i/>
          <w:iCs/>
        </w:rPr>
        <w:t>tē</w:t>
      </w:r>
      <w:proofErr w:type="spellEnd"/>
      <w:r w:rsidR="00D21018">
        <w:rPr>
          <w:rFonts w:cs="Times New Roman"/>
          <w:i/>
          <w:iCs/>
        </w:rPr>
        <w:t xml:space="preserve"> </w:t>
      </w:r>
      <w:proofErr w:type="spellStart"/>
      <w:r w:rsidR="00D21018">
        <w:rPr>
          <w:rFonts w:cs="Times New Roman"/>
          <w:i/>
          <w:iCs/>
        </w:rPr>
        <w:t>heautou</w:t>
      </w:r>
      <w:proofErr w:type="spellEnd"/>
      <w:r w:rsidR="00D21018">
        <w:rPr>
          <w:rFonts w:cs="Times New Roman"/>
          <w:i/>
          <w:iCs/>
        </w:rPr>
        <w:t xml:space="preserve"> </w:t>
      </w:r>
      <w:proofErr w:type="spellStart"/>
      <w:r w:rsidR="00D21018">
        <w:rPr>
          <w:rFonts w:cs="Times New Roman"/>
          <w:i/>
          <w:iCs/>
        </w:rPr>
        <w:t>moichon</w:t>
      </w:r>
      <w:proofErr w:type="spellEnd"/>
      <w:r w:rsidR="00D21018">
        <w:rPr>
          <w:rFonts w:cs="Times New Roman"/>
          <w:i/>
          <w:iCs/>
        </w:rPr>
        <w:t xml:space="preserve"> </w:t>
      </w:r>
      <w:proofErr w:type="spellStart"/>
      <w:r w:rsidR="00D21018">
        <w:rPr>
          <w:rFonts w:cs="Times New Roman"/>
          <w:i/>
          <w:iCs/>
        </w:rPr>
        <w:t>labōn</w:t>
      </w:r>
      <w:proofErr w:type="spellEnd"/>
      <w:r w:rsidR="00D21018">
        <w:rPr>
          <w:rFonts w:cs="Times New Roman"/>
          <w:i/>
          <w:iCs/>
        </w:rPr>
        <w:t xml:space="preserve"> </w:t>
      </w:r>
      <w:proofErr w:type="spellStart"/>
      <w:r w:rsidR="00D21018">
        <w:rPr>
          <w:rFonts w:cs="Times New Roman"/>
          <w:i/>
          <w:iCs/>
        </w:rPr>
        <w:t>tautēn</w:t>
      </w:r>
      <w:proofErr w:type="spellEnd"/>
      <w:r w:rsidR="00D21018">
        <w:rPr>
          <w:rFonts w:cs="Times New Roman"/>
          <w:i/>
          <w:iCs/>
        </w:rPr>
        <w:t xml:space="preserve"> </w:t>
      </w:r>
      <w:proofErr w:type="spellStart"/>
      <w:r w:rsidR="00D21018">
        <w:rPr>
          <w:rFonts w:cs="Times New Roman"/>
          <w:i/>
          <w:iCs/>
        </w:rPr>
        <w:t>tēn</w:t>
      </w:r>
      <w:proofErr w:type="spellEnd"/>
      <w:r w:rsidR="00D21018">
        <w:rPr>
          <w:rFonts w:cs="Times New Roman"/>
          <w:i/>
          <w:iCs/>
        </w:rPr>
        <w:t xml:space="preserve"> </w:t>
      </w:r>
      <w:proofErr w:type="spellStart"/>
      <w:r w:rsidR="00D21018">
        <w:rPr>
          <w:rFonts w:cs="Times New Roman"/>
          <w:i/>
          <w:iCs/>
        </w:rPr>
        <w:t>timōrian</w:t>
      </w:r>
      <w:proofErr w:type="spellEnd"/>
      <w:r w:rsidR="00D21018">
        <w:rPr>
          <w:rFonts w:cs="Times New Roman"/>
          <w:i/>
          <w:iCs/>
        </w:rPr>
        <w:t xml:space="preserve"> </w:t>
      </w:r>
      <w:proofErr w:type="spellStart"/>
      <w:r w:rsidR="00D21018">
        <w:rPr>
          <w:rFonts w:cs="Times New Roman"/>
          <w:i/>
          <w:iCs/>
        </w:rPr>
        <w:t>poiēsētai</w:t>
      </w:r>
      <w:proofErr w:type="spellEnd"/>
      <w:r w:rsidR="00D21018">
        <w:rPr>
          <w:rFonts w:cs="Times New Roman"/>
          <w:i/>
          <w:iCs/>
        </w:rPr>
        <w:t>.</w:t>
      </w:r>
      <w:r w:rsidR="00D21018">
        <w:rPr>
          <w:rFonts w:cs="Times New Roman"/>
        </w:rPr>
        <w:t>”</w:t>
      </w:r>
      <w:r w:rsidR="006016CC">
        <w:rPr>
          <w:rStyle w:val="FootnoteReference"/>
          <w:rFonts w:cs="Times New Roman"/>
        </w:rPr>
        <w:footnoteReference w:id="36"/>
      </w:r>
      <w:r w:rsidR="00112F30">
        <w:rPr>
          <w:rFonts w:cs="Times New Roman"/>
        </w:rPr>
        <w:t xml:space="preserve"> As mentioned, t</w:t>
      </w:r>
      <w:r w:rsidR="00D21018">
        <w:rPr>
          <w:rFonts w:cs="Times New Roman"/>
        </w:rPr>
        <w:t>his is the law on which Eup</w:t>
      </w:r>
      <w:r w:rsidR="00112F30">
        <w:rPr>
          <w:rFonts w:cs="Times New Roman"/>
        </w:rPr>
        <w:t>h</w:t>
      </w:r>
      <w:r w:rsidR="00D21018">
        <w:rPr>
          <w:rFonts w:cs="Times New Roman"/>
        </w:rPr>
        <w:t xml:space="preserve">iletus stakes his defense. </w:t>
      </w:r>
      <w:r w:rsidR="00B05D67">
        <w:rPr>
          <w:rFonts w:cs="Times New Roman"/>
        </w:rPr>
        <w:t xml:space="preserve">Again, as Carey notes, this is a truncated version of the law—killing the adulterer caught in the act was one legal recourse but not </w:t>
      </w:r>
      <w:r w:rsidR="00B05D67">
        <w:rPr>
          <w:rFonts w:cs="Times New Roman"/>
          <w:i/>
          <w:iCs/>
        </w:rPr>
        <w:t>the</w:t>
      </w:r>
      <w:r w:rsidR="00B05D67">
        <w:rPr>
          <w:rFonts w:cs="Times New Roman"/>
        </w:rPr>
        <w:t xml:space="preserve"> legal recourse, as Euphiletus presents it.</w:t>
      </w:r>
      <w:r w:rsidR="00B05D67">
        <w:rPr>
          <w:rStyle w:val="FootnoteReference"/>
          <w:rFonts w:cs="Times New Roman"/>
        </w:rPr>
        <w:footnoteReference w:id="37"/>
      </w:r>
    </w:p>
    <w:p w14:paraId="4E8393B4" w14:textId="1F7CE0E3" w:rsidR="00FD538B" w:rsidRPr="00922FAA" w:rsidRDefault="00922FAA" w:rsidP="002B2593">
      <w:pPr>
        <w:spacing w:line="480" w:lineRule="auto"/>
        <w:ind w:firstLine="720"/>
        <w:jc w:val="left"/>
      </w:pPr>
      <w:proofErr w:type="spellStart"/>
      <w:r>
        <w:rPr>
          <w:rFonts w:cs="Times New Roman"/>
        </w:rPr>
        <w:lastRenderedPageBreak/>
        <w:t>Euphiletus’s</w:t>
      </w:r>
      <w:proofErr w:type="spellEnd"/>
      <w:r>
        <w:rPr>
          <w:rFonts w:cs="Times New Roman"/>
        </w:rPr>
        <w:t xml:space="preserve"> </w:t>
      </w:r>
      <w:proofErr w:type="spellStart"/>
      <w:r>
        <w:rPr>
          <w:rFonts w:cs="Times New Roman"/>
          <w:i/>
          <w:iCs/>
        </w:rPr>
        <w:t>pistis</w:t>
      </w:r>
      <w:proofErr w:type="spellEnd"/>
      <w:r>
        <w:rPr>
          <w:rFonts w:cs="Times New Roman"/>
        </w:rPr>
        <w:t xml:space="preserve"> will continue, as he proposes for the jury various legal scenarios in which the ruling on his particular case will be the tipping point for the future observance—or breaking—of other laws within the city, from more adulteries to theft. In a continuation of the rhetorical path he has trodden to this point, </w:t>
      </w:r>
      <w:r w:rsidR="00112F30">
        <w:rPr>
          <w:rFonts w:cs="Times New Roman"/>
        </w:rPr>
        <w:t>he argues that the future well-</w:t>
      </w:r>
      <w:r>
        <w:rPr>
          <w:rFonts w:cs="Times New Roman"/>
        </w:rPr>
        <w:t xml:space="preserve">being of Athens rests not on his personal fortune, but on whether the jury will be as willing to carry out justice according to the letter of the law as he himself was on that fateful night. </w:t>
      </w:r>
    </w:p>
    <w:p w14:paraId="1C8EE8C5" w14:textId="318481F1" w:rsidR="002D3E1E" w:rsidRDefault="002D3E1E" w:rsidP="002240D0">
      <w:pPr>
        <w:spacing w:line="480" w:lineRule="auto"/>
        <w:jc w:val="left"/>
      </w:pPr>
    </w:p>
    <w:p w14:paraId="4379D31E" w14:textId="33A4F433" w:rsidR="002D3E1E" w:rsidRDefault="002D3E1E" w:rsidP="002240D0">
      <w:pPr>
        <w:spacing w:line="480" w:lineRule="auto"/>
        <w:jc w:val="left"/>
      </w:pPr>
    </w:p>
    <w:p w14:paraId="5A391B3F" w14:textId="5BD72E1B" w:rsidR="002D3E1E" w:rsidRDefault="002D3E1E" w:rsidP="002240D0">
      <w:pPr>
        <w:spacing w:line="480" w:lineRule="auto"/>
        <w:jc w:val="left"/>
      </w:pPr>
    </w:p>
    <w:p w14:paraId="6910A310" w14:textId="3E4C942C" w:rsidR="002D3E1E" w:rsidRDefault="002D3E1E" w:rsidP="002240D0">
      <w:pPr>
        <w:spacing w:line="480" w:lineRule="auto"/>
        <w:jc w:val="left"/>
      </w:pPr>
    </w:p>
    <w:p w14:paraId="1ADD4363" w14:textId="356EF9EB" w:rsidR="002D3E1E" w:rsidRDefault="002D3E1E" w:rsidP="002240D0">
      <w:pPr>
        <w:spacing w:line="480" w:lineRule="auto"/>
        <w:jc w:val="left"/>
      </w:pPr>
    </w:p>
    <w:p w14:paraId="7D7674C0" w14:textId="4196BAB8" w:rsidR="002D3E1E" w:rsidRDefault="002D3E1E" w:rsidP="002240D0">
      <w:pPr>
        <w:spacing w:line="480" w:lineRule="auto"/>
        <w:jc w:val="left"/>
      </w:pPr>
    </w:p>
    <w:p w14:paraId="4E85E954" w14:textId="77777777" w:rsidR="00B719DF" w:rsidRDefault="00B719DF" w:rsidP="002240D0">
      <w:pPr>
        <w:spacing w:line="480" w:lineRule="auto"/>
        <w:jc w:val="left"/>
      </w:pPr>
    </w:p>
    <w:p w14:paraId="2B2D6AD3" w14:textId="0867EB49" w:rsidR="002D3E1E" w:rsidRDefault="002D3E1E" w:rsidP="002240D0">
      <w:pPr>
        <w:spacing w:line="480" w:lineRule="auto"/>
        <w:jc w:val="left"/>
      </w:pPr>
    </w:p>
    <w:p w14:paraId="15B9FFB4" w14:textId="1B934800" w:rsidR="002D3E1E" w:rsidRDefault="002D3E1E" w:rsidP="002240D0">
      <w:pPr>
        <w:spacing w:line="480" w:lineRule="auto"/>
        <w:jc w:val="left"/>
      </w:pPr>
    </w:p>
    <w:p w14:paraId="7C3DF6E5" w14:textId="77FCABD1" w:rsidR="002D3E1E" w:rsidRDefault="002D3E1E" w:rsidP="002240D0">
      <w:pPr>
        <w:spacing w:line="480" w:lineRule="auto"/>
        <w:jc w:val="left"/>
      </w:pPr>
    </w:p>
    <w:p w14:paraId="33585C13" w14:textId="471DC44C" w:rsidR="00B719DF" w:rsidRDefault="00B719DF" w:rsidP="002240D0">
      <w:pPr>
        <w:spacing w:line="480" w:lineRule="auto"/>
        <w:jc w:val="left"/>
      </w:pPr>
    </w:p>
    <w:p w14:paraId="5C00610A" w14:textId="77777777" w:rsidR="00B719DF" w:rsidRDefault="00B719DF" w:rsidP="002240D0">
      <w:pPr>
        <w:spacing w:line="480" w:lineRule="auto"/>
        <w:jc w:val="left"/>
      </w:pPr>
      <w:bookmarkStart w:id="0" w:name="_GoBack"/>
      <w:bookmarkEnd w:id="0"/>
    </w:p>
    <w:p w14:paraId="582055A5" w14:textId="6B827F45" w:rsidR="002D3E1E" w:rsidRDefault="002D3E1E" w:rsidP="002240D0">
      <w:pPr>
        <w:spacing w:line="480" w:lineRule="auto"/>
        <w:jc w:val="left"/>
      </w:pPr>
    </w:p>
    <w:p w14:paraId="08595C3A" w14:textId="6733CEBF" w:rsidR="002D3E1E" w:rsidRDefault="002D3E1E" w:rsidP="002240D0">
      <w:pPr>
        <w:spacing w:line="480" w:lineRule="auto"/>
        <w:jc w:val="left"/>
      </w:pPr>
    </w:p>
    <w:p w14:paraId="6559B0C6" w14:textId="0DAAEE52" w:rsidR="002D3E1E" w:rsidRDefault="002D3E1E" w:rsidP="002240D0">
      <w:pPr>
        <w:spacing w:line="480" w:lineRule="auto"/>
        <w:jc w:val="left"/>
      </w:pPr>
    </w:p>
    <w:p w14:paraId="718574D6" w14:textId="77777777" w:rsidR="00112F30" w:rsidRDefault="00112F30" w:rsidP="002240D0">
      <w:pPr>
        <w:spacing w:line="480" w:lineRule="auto"/>
        <w:jc w:val="left"/>
      </w:pPr>
    </w:p>
    <w:p w14:paraId="5BEB5841" w14:textId="6EA59ECF" w:rsidR="0022438D" w:rsidRDefault="0022438D" w:rsidP="002240D0">
      <w:pPr>
        <w:spacing w:line="480" w:lineRule="auto"/>
        <w:jc w:val="left"/>
        <w:rPr>
          <w:rFonts w:cs="Times New Roman"/>
        </w:rPr>
      </w:pPr>
    </w:p>
    <w:p w14:paraId="6FE02549" w14:textId="547A446F" w:rsidR="00945E8F" w:rsidRDefault="00945E8F" w:rsidP="00F6366A">
      <w:pPr>
        <w:spacing w:line="480" w:lineRule="auto"/>
        <w:rPr>
          <w:rFonts w:cs="Times New Roman"/>
        </w:rPr>
      </w:pPr>
      <w:r>
        <w:rPr>
          <w:rFonts w:cs="Times New Roman"/>
          <w:u w:val="single"/>
        </w:rPr>
        <w:lastRenderedPageBreak/>
        <w:t>Bibliography</w:t>
      </w:r>
    </w:p>
    <w:p w14:paraId="53F7CA3F" w14:textId="50B4F3AD" w:rsidR="0093729C" w:rsidRPr="0093729C" w:rsidRDefault="0093729C" w:rsidP="00F6366A">
      <w:pPr>
        <w:jc w:val="left"/>
        <w:rPr>
          <w:rFonts w:cs="Times New Roman"/>
        </w:rPr>
      </w:pPr>
      <w:r>
        <w:rPr>
          <w:rFonts w:cs="Times New Roman"/>
        </w:rPr>
        <w:t xml:space="preserve">Carey, C. 1989. </w:t>
      </w:r>
      <w:proofErr w:type="spellStart"/>
      <w:r>
        <w:rPr>
          <w:rFonts w:cs="Times New Roman"/>
          <w:i/>
          <w:iCs/>
        </w:rPr>
        <w:t>Lysias</w:t>
      </w:r>
      <w:proofErr w:type="spellEnd"/>
      <w:r>
        <w:rPr>
          <w:rFonts w:cs="Times New Roman"/>
          <w:i/>
          <w:iCs/>
        </w:rPr>
        <w:t>: Selected Speeches</w:t>
      </w:r>
      <w:r>
        <w:rPr>
          <w:rFonts w:cs="Times New Roman"/>
        </w:rPr>
        <w:t>. Cambridge: Cambridge University Press.</w:t>
      </w:r>
    </w:p>
    <w:p w14:paraId="2C94E834" w14:textId="41072D06" w:rsidR="0093729C" w:rsidRDefault="0093729C" w:rsidP="00F6366A">
      <w:pPr>
        <w:jc w:val="left"/>
        <w:rPr>
          <w:rFonts w:cs="Times New Roman"/>
        </w:rPr>
      </w:pPr>
    </w:p>
    <w:p w14:paraId="344AB328" w14:textId="3CE513B0" w:rsidR="00277574" w:rsidRPr="00277574" w:rsidRDefault="00277574" w:rsidP="00F6366A">
      <w:pPr>
        <w:jc w:val="left"/>
      </w:pPr>
      <w:bookmarkStart w:id="1" w:name="_Hlk534148163"/>
      <w:r>
        <w:t xml:space="preserve">Edmunds, L. (2001) </w:t>
      </w:r>
      <w:r>
        <w:rPr>
          <w:i/>
        </w:rPr>
        <w:t>Intertextuality and the Reading of Roman Poetry</w:t>
      </w:r>
      <w:r>
        <w:t>. Baltimore: Johns Hopkins University Press.</w:t>
      </w:r>
      <w:bookmarkEnd w:id="1"/>
    </w:p>
    <w:p w14:paraId="35CD3C8F" w14:textId="77777777" w:rsidR="00277574" w:rsidRDefault="00277574" w:rsidP="00F6366A">
      <w:pPr>
        <w:jc w:val="left"/>
        <w:rPr>
          <w:rFonts w:cs="Times New Roman"/>
        </w:rPr>
      </w:pPr>
    </w:p>
    <w:p w14:paraId="13B49B5D" w14:textId="68AED2CC" w:rsidR="007F2043" w:rsidRPr="00DF4F6C" w:rsidRDefault="007F2043" w:rsidP="00F6366A">
      <w:pPr>
        <w:jc w:val="left"/>
        <w:rPr>
          <w:rFonts w:cs="Times New Roman"/>
        </w:rPr>
      </w:pPr>
      <w:r>
        <w:rPr>
          <w:rFonts w:cs="Times New Roman"/>
        </w:rPr>
        <w:t xml:space="preserve">Gagarin, M. 2003: “Telling Stories in Athenian Law.” </w:t>
      </w:r>
      <w:r>
        <w:rPr>
          <w:rFonts w:cs="Times New Roman"/>
          <w:i/>
          <w:iCs/>
        </w:rPr>
        <w:t xml:space="preserve">Transactions of the </w:t>
      </w:r>
      <w:proofErr w:type="spellStart"/>
      <w:r>
        <w:rPr>
          <w:rFonts w:cs="Times New Roman"/>
          <w:i/>
          <w:iCs/>
        </w:rPr>
        <w:t>Americal</w:t>
      </w:r>
      <w:proofErr w:type="spellEnd"/>
      <w:r>
        <w:rPr>
          <w:rFonts w:cs="Times New Roman"/>
          <w:i/>
          <w:iCs/>
        </w:rPr>
        <w:t xml:space="preserve"> Philological Association</w:t>
      </w:r>
      <w:r w:rsidR="00DF4F6C">
        <w:rPr>
          <w:rFonts w:cs="Times New Roman"/>
          <w:i/>
          <w:iCs/>
        </w:rPr>
        <w:t xml:space="preserve"> </w:t>
      </w:r>
      <w:r w:rsidR="00DF4F6C">
        <w:rPr>
          <w:rFonts w:cs="Times New Roman"/>
        </w:rPr>
        <w:t>133.2, 197-207.</w:t>
      </w:r>
    </w:p>
    <w:p w14:paraId="5F51E20F" w14:textId="77777777" w:rsidR="007F2043" w:rsidRDefault="007F2043" w:rsidP="00F6366A">
      <w:pPr>
        <w:jc w:val="left"/>
        <w:rPr>
          <w:rFonts w:cs="Times New Roman"/>
        </w:rPr>
      </w:pPr>
    </w:p>
    <w:p w14:paraId="4B5726E1" w14:textId="12B90718" w:rsidR="00CB55DD" w:rsidRDefault="00CB55DD" w:rsidP="00F6366A">
      <w:pPr>
        <w:jc w:val="left"/>
        <w:rPr>
          <w:rFonts w:cs="Times New Roman"/>
        </w:rPr>
      </w:pPr>
      <w:r>
        <w:rPr>
          <w:rFonts w:cs="Times New Roman"/>
        </w:rPr>
        <w:t xml:space="preserve">Herman, G. 1993. “Tribal Codes of </w:t>
      </w:r>
      <w:proofErr w:type="spellStart"/>
      <w:r>
        <w:rPr>
          <w:rFonts w:cs="Times New Roman"/>
        </w:rPr>
        <w:t>Behaviour</w:t>
      </w:r>
      <w:proofErr w:type="spellEnd"/>
      <w:r>
        <w:rPr>
          <w:rFonts w:cs="Times New Roman"/>
        </w:rPr>
        <w:t xml:space="preserve"> in </w:t>
      </w:r>
      <w:proofErr w:type="spellStart"/>
      <w:r>
        <w:rPr>
          <w:rFonts w:cs="Times New Roman"/>
          <w:i/>
        </w:rPr>
        <w:t>Lysias</w:t>
      </w:r>
      <w:proofErr w:type="spellEnd"/>
      <w:r>
        <w:rPr>
          <w:rFonts w:cs="Times New Roman"/>
        </w:rPr>
        <w:t xml:space="preserve"> </w:t>
      </w:r>
      <w:r w:rsidRPr="00CB55DD">
        <w:rPr>
          <w:rFonts w:cs="Times New Roman"/>
          <w:i/>
        </w:rPr>
        <w:t>I</w:t>
      </w:r>
      <w:r>
        <w:rPr>
          <w:rFonts w:cs="Times New Roman"/>
        </w:rPr>
        <w:t xml:space="preserve">.” </w:t>
      </w:r>
      <w:r>
        <w:rPr>
          <w:rFonts w:cs="Times New Roman"/>
          <w:i/>
        </w:rPr>
        <w:t>The Classical Quarterly</w:t>
      </w:r>
      <w:r>
        <w:rPr>
          <w:rFonts w:cs="Times New Roman"/>
        </w:rPr>
        <w:t xml:space="preserve"> 43.2, 406-419.</w:t>
      </w:r>
    </w:p>
    <w:p w14:paraId="60673121" w14:textId="77777777" w:rsidR="00CB55DD" w:rsidRPr="00CB55DD" w:rsidRDefault="00CB55DD" w:rsidP="00F6366A">
      <w:pPr>
        <w:jc w:val="left"/>
        <w:rPr>
          <w:rFonts w:cs="Times New Roman"/>
        </w:rPr>
      </w:pPr>
    </w:p>
    <w:p w14:paraId="34AF914E" w14:textId="3346C608" w:rsidR="006A3A02" w:rsidRPr="006A3A02" w:rsidRDefault="006A3A02" w:rsidP="00007F03">
      <w:pPr>
        <w:jc w:val="left"/>
        <w:rPr>
          <w:rFonts w:cs="Times New Roman"/>
        </w:rPr>
      </w:pPr>
      <w:proofErr w:type="spellStart"/>
      <w:r>
        <w:t>Nyvlt</w:t>
      </w:r>
      <w:proofErr w:type="spellEnd"/>
      <w:r>
        <w:t xml:space="preserve">, P. 2013. “Killing of Eratosthenes Between Reality and Mime (Or, Was </w:t>
      </w:r>
      <w:proofErr w:type="spellStart"/>
      <w:r>
        <w:rPr>
          <w:i/>
        </w:rPr>
        <w:t>Lysias</w:t>
      </w:r>
      <w:proofErr w:type="spellEnd"/>
      <w:r>
        <w:rPr>
          <w:i/>
        </w:rPr>
        <w:t xml:space="preserve"> I</w:t>
      </w:r>
      <w:r>
        <w:t xml:space="preserve"> Really Pronounced?).” </w:t>
      </w:r>
      <w:proofErr w:type="spellStart"/>
      <w:r>
        <w:t>Graeco</w:t>
      </w:r>
      <w:proofErr w:type="spellEnd"/>
      <w:r>
        <w:t xml:space="preserve">-Latina </w:t>
      </w:r>
      <w:proofErr w:type="spellStart"/>
      <w:r>
        <w:t>Brunesia</w:t>
      </w:r>
      <w:proofErr w:type="spellEnd"/>
      <w:r>
        <w:t xml:space="preserve"> 18.1, 159-170.</w:t>
      </w:r>
    </w:p>
    <w:p w14:paraId="26D4F663" w14:textId="77777777" w:rsidR="006A3A02" w:rsidRDefault="006A3A02" w:rsidP="00007F03">
      <w:pPr>
        <w:jc w:val="left"/>
        <w:rPr>
          <w:rFonts w:cs="Times New Roman"/>
        </w:rPr>
      </w:pPr>
    </w:p>
    <w:p w14:paraId="3D87B38D" w14:textId="64EB02BD" w:rsidR="00007F03" w:rsidRDefault="00007F03" w:rsidP="00007F03">
      <w:pPr>
        <w:jc w:val="left"/>
        <w:rPr>
          <w:rFonts w:cs="Times New Roman"/>
        </w:rPr>
      </w:pPr>
      <w:r>
        <w:rPr>
          <w:rFonts w:cs="Times New Roman"/>
        </w:rPr>
        <w:t>Morgan</w:t>
      </w:r>
      <w:r w:rsidR="00CB55DD">
        <w:rPr>
          <w:rFonts w:cs="Times New Roman"/>
        </w:rPr>
        <w:t>, R.</w:t>
      </w:r>
      <w:r>
        <w:rPr>
          <w:rFonts w:cs="Times New Roman"/>
        </w:rPr>
        <w:t xml:space="preserve"> 1982. “</w:t>
      </w:r>
      <w:proofErr w:type="spellStart"/>
      <w:r>
        <w:rPr>
          <w:rFonts w:cs="Times New Roman"/>
        </w:rPr>
        <w:t>Euphiletos’s</w:t>
      </w:r>
      <w:proofErr w:type="spellEnd"/>
      <w:r>
        <w:rPr>
          <w:rFonts w:cs="Times New Roman"/>
        </w:rPr>
        <w:t xml:space="preserve"> House: </w:t>
      </w:r>
      <w:proofErr w:type="spellStart"/>
      <w:r>
        <w:rPr>
          <w:rFonts w:cs="Times New Roman"/>
        </w:rPr>
        <w:t>Lysias</w:t>
      </w:r>
      <w:proofErr w:type="spellEnd"/>
      <w:r>
        <w:rPr>
          <w:rFonts w:cs="Times New Roman"/>
        </w:rPr>
        <w:t xml:space="preserve"> I.” </w:t>
      </w:r>
      <w:r>
        <w:rPr>
          <w:rFonts w:cs="Times New Roman"/>
          <w:i/>
        </w:rPr>
        <w:t>Transactions of the American Philological Association</w:t>
      </w:r>
      <w:r>
        <w:rPr>
          <w:rFonts w:cs="Times New Roman"/>
        </w:rPr>
        <w:t xml:space="preserve"> 112, 115-123.</w:t>
      </w:r>
    </w:p>
    <w:p w14:paraId="41EB9D3C" w14:textId="4EE4D369" w:rsidR="00CB55DD" w:rsidRDefault="00CB55DD" w:rsidP="00007F03">
      <w:pPr>
        <w:jc w:val="left"/>
        <w:rPr>
          <w:rFonts w:cs="Times New Roman"/>
        </w:rPr>
      </w:pPr>
    </w:p>
    <w:p w14:paraId="3B8F4081" w14:textId="5D1C6C47" w:rsidR="00CB55DD" w:rsidRDefault="00CB55DD" w:rsidP="00007F03">
      <w:pPr>
        <w:jc w:val="left"/>
      </w:pPr>
      <w:r>
        <w:rPr>
          <w:rFonts w:cs="Times New Roman"/>
        </w:rPr>
        <w:t>Porter, J.R. 1997. “</w:t>
      </w:r>
      <w:r>
        <w:t xml:space="preserve">Adultery by the Book: </w:t>
      </w:r>
      <w:proofErr w:type="spellStart"/>
      <w:r w:rsidRPr="00C96B55">
        <w:rPr>
          <w:i/>
        </w:rPr>
        <w:t>Lysias</w:t>
      </w:r>
      <w:proofErr w:type="spellEnd"/>
      <w:r w:rsidRPr="00C96B55">
        <w:rPr>
          <w:i/>
        </w:rPr>
        <w:t xml:space="preserve"> I</w:t>
      </w:r>
      <w:r w:rsidR="00C96B55">
        <w:t xml:space="preserve"> (On the Murder of Eratosthenes</w:t>
      </w:r>
      <w:r>
        <w:t xml:space="preserve">) and Comic </w:t>
      </w:r>
      <w:proofErr w:type="spellStart"/>
      <w:r w:rsidRPr="00C96B55">
        <w:rPr>
          <w:i/>
        </w:rPr>
        <w:t>Diegesis</w:t>
      </w:r>
      <w:proofErr w:type="spellEnd"/>
      <w:r w:rsidR="00C96B55">
        <w:t xml:space="preserve">.” </w:t>
      </w:r>
      <w:proofErr w:type="spellStart"/>
      <w:r w:rsidR="00C96B55" w:rsidRPr="00C96B55">
        <w:rPr>
          <w:i/>
        </w:rPr>
        <w:t>Echos</w:t>
      </w:r>
      <w:proofErr w:type="spellEnd"/>
      <w:r w:rsidR="00C96B55">
        <w:rPr>
          <w:i/>
        </w:rPr>
        <w:t xml:space="preserve"> du Monde </w:t>
      </w:r>
      <w:proofErr w:type="spellStart"/>
      <w:r w:rsidR="00C96B55">
        <w:rPr>
          <w:i/>
        </w:rPr>
        <w:t>Classique</w:t>
      </w:r>
      <w:proofErr w:type="spellEnd"/>
      <w:r w:rsidR="00C96B55">
        <w:rPr>
          <w:i/>
        </w:rPr>
        <w:t>: Classical V</w:t>
      </w:r>
      <w:r w:rsidR="00C96B55" w:rsidRPr="00C96B55">
        <w:rPr>
          <w:i/>
        </w:rPr>
        <w:t>iews</w:t>
      </w:r>
      <w:r w:rsidR="00C96B55">
        <w:t>, XLI.3, 421-453.</w:t>
      </w:r>
    </w:p>
    <w:p w14:paraId="2672CCF7" w14:textId="7AA89AA6" w:rsidR="00B1284C" w:rsidRDefault="00B1284C" w:rsidP="00007F03">
      <w:pPr>
        <w:jc w:val="left"/>
      </w:pPr>
    </w:p>
    <w:p w14:paraId="3141DAAD" w14:textId="1368267B" w:rsidR="00B1284C" w:rsidRPr="0067788C" w:rsidRDefault="0067788C" w:rsidP="00007F03">
      <w:pPr>
        <w:jc w:val="left"/>
        <w:rPr>
          <w:rFonts w:cs="Times New Roman"/>
        </w:rPr>
      </w:pPr>
      <w:r>
        <w:rPr>
          <w:u w:val="single"/>
        </w:rPr>
        <w:tab/>
      </w:r>
      <w:r>
        <w:t>. 2003. “</w:t>
      </w:r>
      <w:r w:rsidRPr="0067788C">
        <w:rPr>
          <w:i/>
        </w:rPr>
        <w:t>Chariton</w:t>
      </w:r>
      <w:r>
        <w:t xml:space="preserve"> and </w:t>
      </w:r>
      <w:proofErr w:type="spellStart"/>
      <w:r>
        <w:rPr>
          <w:i/>
        </w:rPr>
        <w:t>Lysias</w:t>
      </w:r>
      <w:proofErr w:type="spellEnd"/>
      <w:r>
        <w:rPr>
          <w:i/>
        </w:rPr>
        <w:t xml:space="preserve"> I</w:t>
      </w:r>
      <w:r>
        <w:t xml:space="preserve">: Further Considerations.” </w:t>
      </w:r>
      <w:r>
        <w:rPr>
          <w:i/>
        </w:rPr>
        <w:t>Hermes</w:t>
      </w:r>
      <w:r>
        <w:t xml:space="preserve"> 131, 433-440.</w:t>
      </w:r>
    </w:p>
    <w:p w14:paraId="05475AB3" w14:textId="77777777" w:rsidR="00007F03" w:rsidRDefault="00007F03" w:rsidP="00F6366A">
      <w:pPr>
        <w:jc w:val="left"/>
        <w:rPr>
          <w:rFonts w:cs="Times New Roman"/>
        </w:rPr>
      </w:pPr>
    </w:p>
    <w:p w14:paraId="33198284" w14:textId="0CF95327" w:rsidR="00F6366A" w:rsidRDefault="00223D86" w:rsidP="00F6366A">
      <w:pPr>
        <w:jc w:val="left"/>
        <w:rPr>
          <w:rFonts w:cs="Times New Roman"/>
        </w:rPr>
      </w:pPr>
      <w:proofErr w:type="spellStart"/>
      <w:r>
        <w:rPr>
          <w:rFonts w:cs="Times New Roman"/>
        </w:rPr>
        <w:t>Scodel</w:t>
      </w:r>
      <w:proofErr w:type="spellEnd"/>
      <w:r>
        <w:rPr>
          <w:rFonts w:cs="Times New Roman"/>
        </w:rPr>
        <w:t xml:space="preserve">, R. 1986. </w:t>
      </w:r>
      <w:proofErr w:type="spellStart"/>
      <w:r>
        <w:rPr>
          <w:rFonts w:cs="Times New Roman"/>
          <w:i/>
          <w:iCs/>
        </w:rPr>
        <w:t>Lysias</w:t>
      </w:r>
      <w:proofErr w:type="spellEnd"/>
      <w:r>
        <w:rPr>
          <w:rFonts w:cs="Times New Roman"/>
          <w:i/>
          <w:iCs/>
        </w:rPr>
        <w:t xml:space="preserve"> Orations I, III.</w:t>
      </w:r>
      <w:r>
        <w:rPr>
          <w:rFonts w:cs="Times New Roman"/>
        </w:rPr>
        <w:t xml:space="preserve"> </w:t>
      </w:r>
      <w:r w:rsidR="00950D8C">
        <w:rPr>
          <w:rFonts w:cs="Times New Roman"/>
        </w:rPr>
        <w:t xml:space="preserve">Bryn, </w:t>
      </w:r>
      <w:proofErr w:type="spellStart"/>
      <w:r w:rsidR="00950D8C">
        <w:rPr>
          <w:rFonts w:cs="Times New Roman"/>
        </w:rPr>
        <w:t>Mawr</w:t>
      </w:r>
      <w:proofErr w:type="spellEnd"/>
      <w:r w:rsidR="00950D8C">
        <w:rPr>
          <w:rFonts w:cs="Times New Roman"/>
        </w:rPr>
        <w:t xml:space="preserve">, Pennsylvania: Bryn </w:t>
      </w:r>
      <w:proofErr w:type="spellStart"/>
      <w:r w:rsidR="00950D8C">
        <w:rPr>
          <w:rFonts w:cs="Times New Roman"/>
        </w:rPr>
        <w:t>Mawr</w:t>
      </w:r>
      <w:proofErr w:type="spellEnd"/>
      <w:r w:rsidR="00950D8C">
        <w:rPr>
          <w:rFonts w:cs="Times New Roman"/>
        </w:rPr>
        <w:t xml:space="preserve"> Greek Commentaries. </w:t>
      </w:r>
    </w:p>
    <w:p w14:paraId="12428F18" w14:textId="1E78427E" w:rsidR="00950D8C" w:rsidRDefault="00950D8C" w:rsidP="00F6366A">
      <w:pPr>
        <w:jc w:val="left"/>
        <w:rPr>
          <w:rFonts w:cs="Times New Roman"/>
        </w:rPr>
      </w:pPr>
    </w:p>
    <w:p w14:paraId="7EB96FC7" w14:textId="7933F1EF" w:rsidR="00950D8C" w:rsidRDefault="00950D8C" w:rsidP="00950D8C">
      <w:pPr>
        <w:jc w:val="left"/>
        <w:rPr>
          <w:rFonts w:cs="Times New Roman"/>
        </w:rPr>
      </w:pPr>
      <w:r>
        <w:rPr>
          <w:rFonts w:cs="Times New Roman"/>
          <w:u w:val="single"/>
        </w:rPr>
        <w:tab/>
      </w:r>
      <w:r>
        <w:rPr>
          <w:rFonts w:cs="Times New Roman"/>
        </w:rPr>
        <w:t xml:space="preserve">. 1986. “Volume Preface.” In </w:t>
      </w:r>
      <w:proofErr w:type="spellStart"/>
      <w:r>
        <w:rPr>
          <w:rFonts w:cs="Times New Roman"/>
          <w:i/>
          <w:iCs/>
        </w:rPr>
        <w:t>Lysias</w:t>
      </w:r>
      <w:proofErr w:type="spellEnd"/>
      <w:r>
        <w:rPr>
          <w:rFonts w:cs="Times New Roman"/>
          <w:i/>
          <w:iCs/>
        </w:rPr>
        <w:t xml:space="preserve"> Orations I, III.</w:t>
      </w:r>
      <w:r>
        <w:rPr>
          <w:rFonts w:cs="Times New Roman"/>
        </w:rPr>
        <w:t xml:space="preserve"> Bryn, </w:t>
      </w:r>
      <w:proofErr w:type="spellStart"/>
      <w:r>
        <w:rPr>
          <w:rFonts w:cs="Times New Roman"/>
        </w:rPr>
        <w:t>Mawr</w:t>
      </w:r>
      <w:proofErr w:type="spellEnd"/>
      <w:r>
        <w:rPr>
          <w:rFonts w:cs="Times New Roman"/>
        </w:rPr>
        <w:t xml:space="preserve">, Pennsylvania: Bryn </w:t>
      </w:r>
      <w:proofErr w:type="spellStart"/>
      <w:r>
        <w:rPr>
          <w:rFonts w:cs="Times New Roman"/>
        </w:rPr>
        <w:t>Mawr</w:t>
      </w:r>
      <w:proofErr w:type="spellEnd"/>
      <w:r>
        <w:rPr>
          <w:rFonts w:cs="Times New Roman"/>
        </w:rPr>
        <w:t xml:space="preserve"> Greek Commentaries. </w:t>
      </w:r>
    </w:p>
    <w:p w14:paraId="58D54D64" w14:textId="0A06E101" w:rsidR="00157443" w:rsidRDefault="00157443" w:rsidP="00950D8C">
      <w:pPr>
        <w:jc w:val="left"/>
        <w:rPr>
          <w:rFonts w:cs="Times New Roman"/>
        </w:rPr>
      </w:pPr>
    </w:p>
    <w:p w14:paraId="44F29783" w14:textId="3F8C1EC5" w:rsidR="00157443" w:rsidRDefault="00157443" w:rsidP="00950D8C">
      <w:pPr>
        <w:jc w:val="left"/>
        <w:rPr>
          <w:rFonts w:cs="Times New Roman"/>
        </w:rPr>
      </w:pPr>
      <w:r>
        <w:rPr>
          <w:rFonts w:cs="Times New Roman"/>
        </w:rPr>
        <w:t xml:space="preserve">Steadman, G. 2012. </w:t>
      </w:r>
      <w:proofErr w:type="spellStart"/>
      <w:r>
        <w:rPr>
          <w:rFonts w:cs="Times New Roman"/>
          <w:i/>
          <w:iCs/>
        </w:rPr>
        <w:t>Lysias</w:t>
      </w:r>
      <w:proofErr w:type="spellEnd"/>
      <w:r>
        <w:rPr>
          <w:rFonts w:cs="Times New Roman"/>
          <w:i/>
          <w:iCs/>
        </w:rPr>
        <w:t xml:space="preserve"> </w:t>
      </w:r>
      <w:proofErr w:type="gramStart"/>
      <w:r>
        <w:rPr>
          <w:rFonts w:cs="Times New Roman"/>
          <w:i/>
          <w:iCs/>
        </w:rPr>
        <w:t>I and Plato’s Crito</w:t>
      </w:r>
      <w:proofErr w:type="gramEnd"/>
      <w:r>
        <w:rPr>
          <w:rFonts w:cs="Times New Roman"/>
        </w:rPr>
        <w:t>. Geoffrey Steadman.</w:t>
      </w:r>
    </w:p>
    <w:p w14:paraId="7D852FF9" w14:textId="25879847" w:rsidR="00CB55DD" w:rsidRDefault="00CB55DD" w:rsidP="00950D8C">
      <w:pPr>
        <w:jc w:val="left"/>
        <w:rPr>
          <w:rFonts w:cs="Times New Roman"/>
        </w:rPr>
      </w:pPr>
    </w:p>
    <w:p w14:paraId="5DE9B57B" w14:textId="0A7D7972" w:rsidR="00CB55DD" w:rsidRPr="00CB55DD" w:rsidRDefault="00CB55DD" w:rsidP="00950D8C">
      <w:pPr>
        <w:jc w:val="left"/>
        <w:rPr>
          <w:rFonts w:cs="Times New Roman"/>
        </w:rPr>
      </w:pPr>
      <w:proofErr w:type="spellStart"/>
      <w:r>
        <w:rPr>
          <w:rFonts w:cs="Times New Roman"/>
        </w:rPr>
        <w:t>Wolpert</w:t>
      </w:r>
      <w:proofErr w:type="spellEnd"/>
      <w:r>
        <w:rPr>
          <w:rFonts w:cs="Times New Roman"/>
        </w:rPr>
        <w:t>, A. 2001. “</w:t>
      </w:r>
      <w:proofErr w:type="spellStart"/>
      <w:r>
        <w:rPr>
          <w:rFonts w:cs="Times New Roman"/>
          <w:i/>
        </w:rPr>
        <w:t>Lysias</w:t>
      </w:r>
      <w:proofErr w:type="spellEnd"/>
      <w:r>
        <w:rPr>
          <w:rFonts w:cs="Times New Roman"/>
          <w:i/>
        </w:rPr>
        <w:t xml:space="preserve"> I and the Politics of </w:t>
      </w:r>
      <w:proofErr w:type="spellStart"/>
      <w:r>
        <w:rPr>
          <w:rFonts w:cs="Times New Roman"/>
          <w:i/>
        </w:rPr>
        <w:t>Oikos</w:t>
      </w:r>
      <w:proofErr w:type="spellEnd"/>
      <w:r>
        <w:rPr>
          <w:rFonts w:cs="Times New Roman"/>
        </w:rPr>
        <w:t xml:space="preserve">.” </w:t>
      </w:r>
      <w:r>
        <w:rPr>
          <w:rFonts w:cs="Times New Roman"/>
          <w:i/>
        </w:rPr>
        <w:t>The Classical Journal</w:t>
      </w:r>
      <w:r>
        <w:rPr>
          <w:rFonts w:cs="Times New Roman"/>
        </w:rPr>
        <w:t xml:space="preserve"> 96.4, 415-424.</w:t>
      </w:r>
    </w:p>
    <w:p w14:paraId="069BAD26" w14:textId="2B02158A" w:rsidR="00950D8C" w:rsidRPr="00950D8C" w:rsidRDefault="00950D8C" w:rsidP="00F6366A">
      <w:pPr>
        <w:jc w:val="left"/>
        <w:rPr>
          <w:rFonts w:cs="Times New Roman"/>
        </w:rPr>
      </w:pPr>
    </w:p>
    <w:sectPr w:rsidR="00950D8C" w:rsidRPr="00950D8C">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3FBC5D7" w14:textId="77777777" w:rsidR="00CD553C" w:rsidRDefault="00CD553C" w:rsidP="00953535">
      <w:r>
        <w:separator/>
      </w:r>
    </w:p>
  </w:endnote>
  <w:endnote w:type="continuationSeparator" w:id="0">
    <w:p w14:paraId="21F96BDB" w14:textId="77777777" w:rsidR="00CD553C" w:rsidRDefault="00CD553C" w:rsidP="009535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50243917"/>
      <w:docPartObj>
        <w:docPartGallery w:val="Page Numbers (Bottom of Page)"/>
        <w:docPartUnique/>
      </w:docPartObj>
    </w:sdtPr>
    <w:sdtEndPr>
      <w:rPr>
        <w:noProof/>
      </w:rPr>
    </w:sdtEndPr>
    <w:sdtContent>
      <w:p w14:paraId="5761E524" w14:textId="353A1372" w:rsidR="00466973" w:rsidRDefault="00466973">
        <w:pPr>
          <w:pStyle w:val="Footer"/>
        </w:pPr>
        <w:r>
          <w:fldChar w:fldCharType="begin"/>
        </w:r>
        <w:r>
          <w:instrText xml:space="preserve"> PAGE   \* MERGEFORMAT </w:instrText>
        </w:r>
        <w:r>
          <w:fldChar w:fldCharType="separate"/>
        </w:r>
        <w:r w:rsidR="00B719DF">
          <w:rPr>
            <w:noProof/>
          </w:rPr>
          <w:t>10</w:t>
        </w:r>
        <w:r>
          <w:rPr>
            <w:noProof/>
          </w:rPr>
          <w:fldChar w:fldCharType="end"/>
        </w:r>
      </w:p>
    </w:sdtContent>
  </w:sdt>
  <w:p w14:paraId="4D8C8A34" w14:textId="77777777" w:rsidR="00466973" w:rsidRDefault="004669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39D5E2D" w14:textId="77777777" w:rsidR="00CD553C" w:rsidRDefault="00CD553C" w:rsidP="00953535">
      <w:r>
        <w:separator/>
      </w:r>
    </w:p>
  </w:footnote>
  <w:footnote w:type="continuationSeparator" w:id="0">
    <w:p w14:paraId="09CF38A6" w14:textId="77777777" w:rsidR="00CD553C" w:rsidRDefault="00CD553C" w:rsidP="00953535">
      <w:r>
        <w:continuationSeparator/>
      </w:r>
    </w:p>
  </w:footnote>
  <w:footnote w:id="1">
    <w:p w14:paraId="2C1E5C40" w14:textId="41878FE8" w:rsidR="00CE093D" w:rsidRDefault="00CE093D" w:rsidP="00CE093D">
      <w:pPr>
        <w:pStyle w:val="FootnoteText"/>
        <w:jc w:val="left"/>
      </w:pPr>
      <w:r>
        <w:rPr>
          <w:rStyle w:val="FootnoteReference"/>
        </w:rPr>
        <w:footnoteRef/>
      </w:r>
      <w:r>
        <w:t xml:space="preserve"> </w:t>
      </w:r>
      <w:proofErr w:type="spellStart"/>
      <w:r>
        <w:t>Scodel</w:t>
      </w:r>
      <w:proofErr w:type="spellEnd"/>
      <w:r>
        <w:t xml:space="preserve"> 1986: </w:t>
      </w:r>
      <w:proofErr w:type="gramStart"/>
      <w:r>
        <w:t>vi</w:t>
      </w:r>
      <w:proofErr w:type="gramEnd"/>
      <w:r>
        <w:t>.</w:t>
      </w:r>
    </w:p>
  </w:footnote>
  <w:footnote w:id="2">
    <w:p w14:paraId="1B8EFE3C" w14:textId="187B2318" w:rsidR="00343C00" w:rsidRDefault="00343C00" w:rsidP="00343C00">
      <w:pPr>
        <w:pStyle w:val="FootnoteText"/>
        <w:jc w:val="left"/>
      </w:pPr>
      <w:r>
        <w:rPr>
          <w:rStyle w:val="FootnoteReference"/>
        </w:rPr>
        <w:footnoteRef/>
      </w:r>
      <w:r>
        <w:t xml:space="preserve"> Ibid.</w:t>
      </w:r>
    </w:p>
  </w:footnote>
  <w:footnote w:id="3">
    <w:p w14:paraId="3DCC535A" w14:textId="0CC8EE07" w:rsidR="00343C00" w:rsidRDefault="00343C00" w:rsidP="00343C00">
      <w:pPr>
        <w:pStyle w:val="FootnoteText"/>
        <w:jc w:val="left"/>
      </w:pPr>
      <w:r>
        <w:rPr>
          <w:rStyle w:val="FootnoteReference"/>
        </w:rPr>
        <w:footnoteRef/>
      </w:r>
      <w:r>
        <w:t xml:space="preserve"> </w:t>
      </w:r>
      <w:proofErr w:type="gramStart"/>
      <w:r>
        <w:t>Ibid.,</w:t>
      </w:r>
      <w:proofErr w:type="gramEnd"/>
      <w:r>
        <w:t xml:space="preserve"> vi-vii. </w:t>
      </w:r>
    </w:p>
  </w:footnote>
  <w:footnote w:id="4">
    <w:p w14:paraId="31145731" w14:textId="161CFA9C" w:rsidR="00A01D61" w:rsidRDefault="00A01D61" w:rsidP="00A01D61">
      <w:pPr>
        <w:pStyle w:val="FootnoteText"/>
        <w:jc w:val="left"/>
      </w:pPr>
      <w:r>
        <w:rPr>
          <w:rStyle w:val="FootnoteReference"/>
        </w:rPr>
        <w:footnoteRef/>
      </w:r>
      <w:r>
        <w:t xml:space="preserve"> Carey 1989: 75-76. </w:t>
      </w:r>
    </w:p>
  </w:footnote>
  <w:footnote w:id="5">
    <w:p w14:paraId="20981738" w14:textId="4F9A75C3" w:rsidR="00F61BBA" w:rsidRDefault="00F61BBA" w:rsidP="00F61BBA">
      <w:pPr>
        <w:pStyle w:val="FootnoteText"/>
        <w:jc w:val="left"/>
      </w:pPr>
      <w:r>
        <w:rPr>
          <w:rStyle w:val="FootnoteReference"/>
        </w:rPr>
        <w:footnoteRef/>
      </w:r>
      <w:r>
        <w:t xml:space="preserve"> “This man has attained exactly the things which the law commands that those doing such things [should attain].”</w:t>
      </w:r>
    </w:p>
  </w:footnote>
  <w:footnote w:id="6">
    <w:p w14:paraId="2749C54B" w14:textId="7236AD33" w:rsidR="00806924" w:rsidRDefault="00806924" w:rsidP="00806924">
      <w:pPr>
        <w:pStyle w:val="FootnoteText"/>
        <w:jc w:val="left"/>
      </w:pPr>
      <w:r>
        <w:rPr>
          <w:rStyle w:val="FootnoteReference"/>
        </w:rPr>
        <w:footnoteRef/>
      </w:r>
      <w:r>
        <w:t xml:space="preserve"> </w:t>
      </w:r>
      <w:proofErr w:type="spellStart"/>
      <w:r>
        <w:t>Lysias</w:t>
      </w:r>
      <w:proofErr w:type="spellEnd"/>
      <w:r>
        <w:t xml:space="preserve"> I.26: “It is not I, but the laws of the city, that kill you.”</w:t>
      </w:r>
      <w:r w:rsidR="00B1284C">
        <w:t xml:space="preserve"> </w:t>
      </w:r>
    </w:p>
  </w:footnote>
  <w:footnote w:id="7">
    <w:p w14:paraId="0C3BED30" w14:textId="739C591F" w:rsidR="00B1284C" w:rsidRDefault="00B1284C" w:rsidP="00B1284C">
      <w:pPr>
        <w:pStyle w:val="FootnoteText"/>
        <w:jc w:val="left"/>
      </w:pPr>
      <w:r>
        <w:rPr>
          <w:rStyle w:val="FootnoteReference"/>
        </w:rPr>
        <w:footnoteRef/>
      </w:r>
      <w:r>
        <w:t xml:space="preserve"> </w:t>
      </w:r>
      <w:proofErr w:type="gramStart"/>
      <w:r>
        <w:t xml:space="preserve">This point is also made by Herman 1993 and </w:t>
      </w:r>
      <w:proofErr w:type="spellStart"/>
      <w:r>
        <w:t>Wolpert</w:t>
      </w:r>
      <w:proofErr w:type="spellEnd"/>
      <w:r>
        <w:t xml:space="preserve"> 2001</w:t>
      </w:r>
      <w:proofErr w:type="gramEnd"/>
      <w:r>
        <w:t>.</w:t>
      </w:r>
    </w:p>
  </w:footnote>
  <w:footnote w:id="8">
    <w:p w14:paraId="571DA7D7" w14:textId="5D605387" w:rsidR="00743A41" w:rsidRPr="00743A41" w:rsidRDefault="00743A41" w:rsidP="00743A41">
      <w:pPr>
        <w:pStyle w:val="FootnoteText"/>
        <w:jc w:val="left"/>
      </w:pPr>
      <w:r>
        <w:rPr>
          <w:rStyle w:val="FootnoteReference"/>
        </w:rPr>
        <w:footnoteRef/>
      </w:r>
      <w:r>
        <w:t xml:space="preserve"> </w:t>
      </w:r>
      <w:proofErr w:type="spellStart"/>
      <w:r>
        <w:t>Scodel</w:t>
      </w:r>
      <w:proofErr w:type="spellEnd"/>
      <w:r>
        <w:t xml:space="preserve"> 1986 points out that </w:t>
      </w:r>
      <w:proofErr w:type="spellStart"/>
      <w:r>
        <w:rPr>
          <w:i/>
          <w:iCs/>
        </w:rPr>
        <w:t>houtos</w:t>
      </w:r>
      <w:proofErr w:type="spellEnd"/>
      <w:r>
        <w:t xml:space="preserve"> is regularly used to refer to one’s opponent in forensic speeches: 9.</w:t>
      </w:r>
    </w:p>
  </w:footnote>
  <w:footnote w:id="9">
    <w:p w14:paraId="24EF90CD" w14:textId="048660D7" w:rsidR="00743A41" w:rsidRDefault="00743A41" w:rsidP="00743A41">
      <w:pPr>
        <w:pStyle w:val="FootnoteText"/>
        <w:jc w:val="left"/>
      </w:pPr>
      <w:r>
        <w:rPr>
          <w:rStyle w:val="FootnoteReference"/>
        </w:rPr>
        <w:footnoteRef/>
      </w:r>
      <w:r>
        <w:t xml:space="preserve"> </w:t>
      </w:r>
      <w:proofErr w:type="spellStart"/>
      <w:r>
        <w:t>Scodel</w:t>
      </w:r>
      <w:proofErr w:type="spellEnd"/>
      <w:r>
        <w:t xml:space="preserve"> 1986: 9.</w:t>
      </w:r>
    </w:p>
  </w:footnote>
  <w:footnote w:id="10">
    <w:p w14:paraId="5D5F6C9D" w14:textId="27082DF9" w:rsidR="00743A41" w:rsidRDefault="00743A41" w:rsidP="00743A41">
      <w:pPr>
        <w:pStyle w:val="FootnoteText"/>
        <w:jc w:val="left"/>
      </w:pPr>
      <w:r>
        <w:rPr>
          <w:rStyle w:val="FootnoteReference"/>
        </w:rPr>
        <w:footnoteRef/>
      </w:r>
      <w:r>
        <w:t xml:space="preserve"> Carey 1989: 76.</w:t>
      </w:r>
    </w:p>
  </w:footnote>
  <w:footnote w:id="11">
    <w:p w14:paraId="391FF0B2" w14:textId="032F0295" w:rsidR="00803E04" w:rsidRDefault="00803E04" w:rsidP="00803E04">
      <w:pPr>
        <w:pStyle w:val="FootnoteText"/>
        <w:jc w:val="left"/>
      </w:pPr>
      <w:r>
        <w:rPr>
          <w:rStyle w:val="FootnoteReference"/>
        </w:rPr>
        <w:footnoteRef/>
      </w:r>
      <w:r>
        <w:t xml:space="preserve"> </w:t>
      </w:r>
      <w:proofErr w:type="spellStart"/>
      <w:r>
        <w:t>Scodel</w:t>
      </w:r>
      <w:proofErr w:type="spellEnd"/>
      <w:r>
        <w:t xml:space="preserve"> 1986: 9. </w:t>
      </w:r>
      <w:r w:rsidR="00007F03">
        <w:t xml:space="preserve">For the questionable location of where exactly within </w:t>
      </w:r>
      <w:proofErr w:type="spellStart"/>
      <w:r w:rsidR="00007F03">
        <w:t>Euphiletus’s</w:t>
      </w:r>
      <w:proofErr w:type="spellEnd"/>
      <w:r w:rsidR="00007F03">
        <w:t xml:space="preserve"> house the hearth would have been located, see Morgan 1982: 120.</w:t>
      </w:r>
    </w:p>
  </w:footnote>
  <w:footnote w:id="12">
    <w:p w14:paraId="77AA9A00" w14:textId="6284CF9D" w:rsidR="00F82558" w:rsidRDefault="00F82558" w:rsidP="00F82558">
      <w:pPr>
        <w:pStyle w:val="FootnoteText"/>
        <w:jc w:val="left"/>
      </w:pPr>
      <w:r>
        <w:rPr>
          <w:rStyle w:val="FootnoteReference"/>
        </w:rPr>
        <w:footnoteRef/>
      </w:r>
      <w:r>
        <w:t xml:space="preserve"> J.R. Porter 1997: 421-453.</w:t>
      </w:r>
    </w:p>
  </w:footnote>
  <w:footnote w:id="13">
    <w:p w14:paraId="686B0317" w14:textId="7FE947EC" w:rsidR="006E6806" w:rsidRDefault="006E6806" w:rsidP="006E6806">
      <w:pPr>
        <w:pStyle w:val="FootnoteText"/>
        <w:jc w:val="left"/>
      </w:pPr>
      <w:r>
        <w:rPr>
          <w:rStyle w:val="FootnoteReference"/>
        </w:rPr>
        <w:footnoteRef/>
      </w:r>
      <w:r>
        <w:t xml:space="preserve"> G. Herman 1993: 408</w:t>
      </w:r>
      <w:r w:rsidR="00907ED7">
        <w:t>-412</w:t>
      </w:r>
      <w:r>
        <w:t>.</w:t>
      </w:r>
      <w:r w:rsidR="00BD0DE5">
        <w:t xml:space="preserve"> Herman’s thesis </w:t>
      </w:r>
      <w:proofErr w:type="gramStart"/>
      <w:r w:rsidR="00BD0DE5">
        <w:t>will be examined</w:t>
      </w:r>
      <w:proofErr w:type="gramEnd"/>
      <w:r w:rsidR="00BD0DE5">
        <w:t xml:space="preserve"> in more detail below.</w:t>
      </w:r>
    </w:p>
  </w:footnote>
  <w:footnote w:id="14">
    <w:p w14:paraId="761A3BDF" w14:textId="496D7C6C" w:rsidR="00B25CD8" w:rsidRDefault="00B25CD8" w:rsidP="00B25CD8">
      <w:pPr>
        <w:pStyle w:val="FootnoteText"/>
        <w:jc w:val="left"/>
      </w:pPr>
      <w:r>
        <w:rPr>
          <w:rStyle w:val="FootnoteReference"/>
        </w:rPr>
        <w:footnoteRef/>
      </w:r>
      <w:r>
        <w:t xml:space="preserve"> Porter 1997: 439-440.</w:t>
      </w:r>
    </w:p>
  </w:footnote>
  <w:footnote w:id="15">
    <w:p w14:paraId="746A303B" w14:textId="172D437E" w:rsidR="00695339" w:rsidRDefault="00695339" w:rsidP="00695339">
      <w:pPr>
        <w:pStyle w:val="FootnoteText"/>
        <w:jc w:val="left"/>
      </w:pPr>
      <w:r>
        <w:rPr>
          <w:rStyle w:val="FootnoteReference"/>
        </w:rPr>
        <w:footnoteRef/>
      </w:r>
      <w:r>
        <w:t xml:space="preserve"> M. Gagarin 2003: 200.</w:t>
      </w:r>
    </w:p>
  </w:footnote>
  <w:footnote w:id="16">
    <w:p w14:paraId="2F4F4159" w14:textId="21D663EE" w:rsidR="00CF027E" w:rsidRDefault="00CF027E" w:rsidP="00CF027E">
      <w:pPr>
        <w:pStyle w:val="FootnoteText"/>
        <w:jc w:val="left"/>
      </w:pPr>
      <w:r>
        <w:rPr>
          <w:rStyle w:val="FootnoteReference"/>
        </w:rPr>
        <w:footnoteRef/>
      </w:r>
      <w:r>
        <w:t xml:space="preserve"> </w:t>
      </w:r>
      <w:proofErr w:type="gramStart"/>
      <w:r>
        <w:t>Ibid.,</w:t>
      </w:r>
      <w:proofErr w:type="gramEnd"/>
      <w:r>
        <w:t xml:space="preserve"> 206-207.</w:t>
      </w:r>
    </w:p>
  </w:footnote>
  <w:footnote w:id="17">
    <w:p w14:paraId="0C2C250C" w14:textId="683CCF3B" w:rsidR="00CF027E" w:rsidRDefault="00CF027E" w:rsidP="00CF027E">
      <w:pPr>
        <w:pStyle w:val="FootnoteText"/>
        <w:jc w:val="left"/>
      </w:pPr>
      <w:r>
        <w:rPr>
          <w:rStyle w:val="FootnoteReference"/>
        </w:rPr>
        <w:footnoteRef/>
      </w:r>
      <w:r>
        <w:t xml:space="preserve"> Ibid.</w:t>
      </w:r>
    </w:p>
  </w:footnote>
  <w:footnote w:id="18">
    <w:p w14:paraId="61961E16" w14:textId="4F69E95C" w:rsidR="009B3B02" w:rsidRDefault="009B3B02" w:rsidP="009B3B02">
      <w:pPr>
        <w:pStyle w:val="FootnoteText"/>
        <w:jc w:val="left"/>
      </w:pPr>
      <w:r>
        <w:rPr>
          <w:rStyle w:val="FootnoteReference"/>
        </w:rPr>
        <w:footnoteRef/>
      </w:r>
      <w:r>
        <w:t xml:space="preserve"> Porter 1997: 435.</w:t>
      </w:r>
    </w:p>
  </w:footnote>
  <w:footnote w:id="19">
    <w:p w14:paraId="3F65DBD3" w14:textId="3785DE17" w:rsidR="00875A0C" w:rsidRDefault="00875A0C" w:rsidP="00875A0C">
      <w:pPr>
        <w:pStyle w:val="FootnoteText"/>
        <w:jc w:val="both"/>
      </w:pPr>
      <w:r>
        <w:rPr>
          <w:rStyle w:val="FootnoteReference"/>
        </w:rPr>
        <w:footnoteRef/>
      </w:r>
      <w:r>
        <w:t xml:space="preserve"> </w:t>
      </w:r>
      <w:proofErr w:type="spellStart"/>
      <w:r>
        <w:t>Nyvlt</w:t>
      </w:r>
      <w:proofErr w:type="spellEnd"/>
      <w:r>
        <w:t xml:space="preserve"> 2013: 163.</w:t>
      </w:r>
    </w:p>
  </w:footnote>
  <w:footnote w:id="20">
    <w:p w14:paraId="1613AD1D" w14:textId="358FA413" w:rsidR="00277574" w:rsidRDefault="00277574" w:rsidP="00277574">
      <w:pPr>
        <w:pStyle w:val="FootnoteText"/>
        <w:jc w:val="left"/>
      </w:pPr>
      <w:r>
        <w:rPr>
          <w:rStyle w:val="FootnoteReference"/>
        </w:rPr>
        <w:footnoteRef/>
      </w:r>
      <w:r>
        <w:t xml:space="preserve"> Edmunds 2001: 166.</w:t>
      </w:r>
    </w:p>
  </w:footnote>
  <w:footnote w:id="21">
    <w:p w14:paraId="423BB4E1" w14:textId="77777777" w:rsidR="00C12FCE" w:rsidRDefault="00C12FCE" w:rsidP="00C12FCE">
      <w:pPr>
        <w:pStyle w:val="FootnoteText"/>
        <w:jc w:val="left"/>
      </w:pPr>
      <w:r>
        <w:rPr>
          <w:rStyle w:val="FootnoteReference"/>
        </w:rPr>
        <w:footnoteRef/>
      </w:r>
      <w:r>
        <w:t xml:space="preserve"> See </w:t>
      </w:r>
      <w:proofErr w:type="spellStart"/>
      <w:r>
        <w:rPr>
          <w:i/>
        </w:rPr>
        <w:t>Lysias</w:t>
      </w:r>
      <w:proofErr w:type="spellEnd"/>
      <w:r>
        <w:rPr>
          <w:i/>
        </w:rPr>
        <w:t xml:space="preserve"> I</w:t>
      </w:r>
      <w:r>
        <w:t>.2 (</w:t>
      </w:r>
      <w:proofErr w:type="spellStart"/>
      <w:r>
        <w:rPr>
          <w:i/>
        </w:rPr>
        <w:t>hout</w:t>
      </w:r>
      <w:r>
        <w:rPr>
          <w:rFonts w:cs="Times New Roman"/>
          <w:i/>
        </w:rPr>
        <w:t>ō</w:t>
      </w:r>
      <w:r>
        <w:rPr>
          <w:i/>
        </w:rPr>
        <w:t>s</w:t>
      </w:r>
      <w:proofErr w:type="spellEnd"/>
      <w:r>
        <w:rPr>
          <w:i/>
        </w:rPr>
        <w:t xml:space="preserve">, </w:t>
      </w:r>
      <w:r>
        <w:rPr>
          <w:rFonts w:cs="Times New Roman"/>
          <w:i/>
        </w:rPr>
        <w:t>ō</w:t>
      </w:r>
      <w:r>
        <w:rPr>
          <w:i/>
        </w:rPr>
        <w:t xml:space="preserve"> </w:t>
      </w:r>
      <w:proofErr w:type="spellStart"/>
      <w:r>
        <w:rPr>
          <w:i/>
        </w:rPr>
        <w:t>andres</w:t>
      </w:r>
      <w:proofErr w:type="spellEnd"/>
      <w:r>
        <w:t>), 4 (</w:t>
      </w:r>
      <w:proofErr w:type="spellStart"/>
      <w:r>
        <w:rPr>
          <w:i/>
        </w:rPr>
        <w:t>h</w:t>
      </w:r>
      <w:r>
        <w:rPr>
          <w:rFonts w:cs="Times New Roman"/>
          <w:i/>
        </w:rPr>
        <w:t>ē</w:t>
      </w:r>
      <w:r>
        <w:rPr>
          <w:i/>
        </w:rPr>
        <w:t>goumai</w:t>
      </w:r>
      <w:proofErr w:type="spellEnd"/>
      <w:r>
        <w:rPr>
          <w:i/>
        </w:rPr>
        <w:t xml:space="preserve"> de, </w:t>
      </w:r>
      <w:r>
        <w:rPr>
          <w:rFonts w:cs="Times New Roman"/>
          <w:i/>
        </w:rPr>
        <w:t>ō</w:t>
      </w:r>
      <w:r>
        <w:rPr>
          <w:i/>
        </w:rPr>
        <w:t xml:space="preserve"> </w:t>
      </w:r>
      <w:proofErr w:type="spellStart"/>
      <w:r>
        <w:rPr>
          <w:i/>
        </w:rPr>
        <w:t>andres</w:t>
      </w:r>
      <w:proofErr w:type="spellEnd"/>
      <w:r>
        <w:t>), 6 (</w:t>
      </w:r>
      <w:proofErr w:type="spellStart"/>
      <w:r>
        <w:rPr>
          <w:i/>
        </w:rPr>
        <w:t>eg</w:t>
      </w:r>
      <w:r>
        <w:rPr>
          <w:rFonts w:cs="Times New Roman"/>
          <w:i/>
        </w:rPr>
        <w:t>ō</w:t>
      </w:r>
      <w:proofErr w:type="spellEnd"/>
      <w:r>
        <w:rPr>
          <w:i/>
        </w:rPr>
        <w:t xml:space="preserve"> gar, </w:t>
      </w:r>
      <w:r>
        <w:rPr>
          <w:rFonts w:cs="Times New Roman"/>
          <w:i/>
        </w:rPr>
        <w:t>ō</w:t>
      </w:r>
      <w:r>
        <w:rPr>
          <w:i/>
        </w:rPr>
        <w:t xml:space="preserve"> </w:t>
      </w:r>
      <w:proofErr w:type="spellStart"/>
      <w:r>
        <w:rPr>
          <w:i/>
        </w:rPr>
        <w:t>Ath</w:t>
      </w:r>
      <w:r>
        <w:rPr>
          <w:rFonts w:cs="Times New Roman"/>
          <w:i/>
        </w:rPr>
        <w:t>ē</w:t>
      </w:r>
      <w:r>
        <w:rPr>
          <w:i/>
        </w:rPr>
        <w:t>naioi</w:t>
      </w:r>
      <w:proofErr w:type="spellEnd"/>
      <w:r>
        <w:t>), 9 (</w:t>
      </w:r>
      <w:r>
        <w:rPr>
          <w:i/>
        </w:rPr>
        <w:t xml:space="preserve">proton men </w:t>
      </w:r>
      <w:proofErr w:type="spellStart"/>
      <w:r>
        <w:rPr>
          <w:i/>
        </w:rPr>
        <w:t>oun</w:t>
      </w:r>
      <w:proofErr w:type="spellEnd"/>
      <w:r>
        <w:rPr>
          <w:i/>
        </w:rPr>
        <w:t xml:space="preserve">, </w:t>
      </w:r>
      <w:r>
        <w:rPr>
          <w:rFonts w:cs="Times New Roman"/>
          <w:i/>
        </w:rPr>
        <w:t>ō</w:t>
      </w:r>
      <w:r>
        <w:rPr>
          <w:i/>
        </w:rPr>
        <w:t xml:space="preserve"> </w:t>
      </w:r>
      <w:proofErr w:type="spellStart"/>
      <w:r>
        <w:rPr>
          <w:i/>
        </w:rPr>
        <w:t>andres</w:t>
      </w:r>
      <w:proofErr w:type="spellEnd"/>
      <w:r>
        <w:t>), 15 (</w:t>
      </w:r>
      <w:r>
        <w:rPr>
          <w:i/>
        </w:rPr>
        <w:t xml:space="preserve">meta de </w:t>
      </w:r>
      <w:proofErr w:type="spellStart"/>
      <w:r>
        <w:rPr>
          <w:i/>
        </w:rPr>
        <w:t>tauta</w:t>
      </w:r>
      <w:proofErr w:type="spellEnd"/>
      <w:r>
        <w:rPr>
          <w:i/>
        </w:rPr>
        <w:t xml:space="preserve">, </w:t>
      </w:r>
      <w:r>
        <w:rPr>
          <w:rFonts w:cs="Times New Roman"/>
          <w:i/>
        </w:rPr>
        <w:t>ō</w:t>
      </w:r>
      <w:r>
        <w:rPr>
          <w:i/>
        </w:rPr>
        <w:t xml:space="preserve"> </w:t>
      </w:r>
      <w:proofErr w:type="spellStart"/>
      <w:r>
        <w:rPr>
          <w:i/>
        </w:rPr>
        <w:t>andres</w:t>
      </w:r>
      <w:proofErr w:type="spellEnd"/>
      <w:r>
        <w:t>), 25 (</w:t>
      </w:r>
      <w:proofErr w:type="spellStart"/>
      <w:r>
        <w:rPr>
          <w:i/>
        </w:rPr>
        <w:t>eg</w:t>
      </w:r>
      <w:r>
        <w:rPr>
          <w:rFonts w:cs="Times New Roman"/>
          <w:i/>
        </w:rPr>
        <w:t>ō</w:t>
      </w:r>
      <w:proofErr w:type="spellEnd"/>
      <w:r>
        <w:rPr>
          <w:i/>
        </w:rPr>
        <w:t xml:space="preserve"> d’, </w:t>
      </w:r>
      <w:r>
        <w:rPr>
          <w:rFonts w:cs="Times New Roman"/>
          <w:i/>
        </w:rPr>
        <w:t>ō</w:t>
      </w:r>
      <w:r>
        <w:rPr>
          <w:i/>
        </w:rPr>
        <w:t xml:space="preserve"> </w:t>
      </w:r>
      <w:proofErr w:type="spellStart"/>
      <w:r>
        <w:rPr>
          <w:i/>
        </w:rPr>
        <w:t>andres</w:t>
      </w:r>
      <w:proofErr w:type="spellEnd"/>
      <w:r>
        <w:t>), 27 (</w:t>
      </w:r>
      <w:proofErr w:type="spellStart"/>
      <w:r>
        <w:rPr>
          <w:i/>
        </w:rPr>
        <w:t>hout</w:t>
      </w:r>
      <w:r>
        <w:rPr>
          <w:rFonts w:cs="Times New Roman"/>
          <w:i/>
        </w:rPr>
        <w:t>ō</w:t>
      </w:r>
      <w:r>
        <w:rPr>
          <w:i/>
        </w:rPr>
        <w:t>s</w:t>
      </w:r>
      <w:proofErr w:type="spellEnd"/>
      <w:r>
        <w:rPr>
          <w:i/>
        </w:rPr>
        <w:t xml:space="preserve">, </w:t>
      </w:r>
      <w:r>
        <w:rPr>
          <w:rFonts w:cs="Times New Roman"/>
          <w:i/>
        </w:rPr>
        <w:t>ō</w:t>
      </w:r>
      <w:r>
        <w:rPr>
          <w:i/>
        </w:rPr>
        <w:t xml:space="preserve"> </w:t>
      </w:r>
      <w:proofErr w:type="spellStart"/>
      <w:r>
        <w:rPr>
          <w:i/>
        </w:rPr>
        <w:t>andres</w:t>
      </w:r>
      <w:proofErr w:type="spellEnd"/>
      <w:r>
        <w:t>).</w:t>
      </w:r>
    </w:p>
  </w:footnote>
  <w:footnote w:id="22">
    <w:p w14:paraId="07970697" w14:textId="77777777" w:rsidR="00C12FCE" w:rsidRDefault="00C12FCE" w:rsidP="00C12FCE">
      <w:pPr>
        <w:pStyle w:val="FootnoteText"/>
        <w:jc w:val="left"/>
      </w:pPr>
      <w:r>
        <w:rPr>
          <w:rStyle w:val="FootnoteReference"/>
        </w:rPr>
        <w:footnoteRef/>
      </w:r>
      <w:r>
        <w:t xml:space="preserve"> See </w:t>
      </w:r>
      <w:proofErr w:type="spellStart"/>
      <w:r>
        <w:rPr>
          <w:i/>
        </w:rPr>
        <w:t>Lysias</w:t>
      </w:r>
      <w:proofErr w:type="spellEnd"/>
      <w:r>
        <w:rPr>
          <w:i/>
        </w:rPr>
        <w:t xml:space="preserve"> I</w:t>
      </w:r>
      <w:r>
        <w:t>.1</w:t>
      </w:r>
    </w:p>
  </w:footnote>
  <w:footnote w:id="23">
    <w:p w14:paraId="0961E82D" w14:textId="68E15D78" w:rsidR="00CF7B1E" w:rsidRPr="00CF7B1E" w:rsidRDefault="00CF7B1E" w:rsidP="00CF7B1E">
      <w:pPr>
        <w:pStyle w:val="FootnoteText"/>
        <w:jc w:val="left"/>
      </w:pPr>
      <w:r>
        <w:rPr>
          <w:rStyle w:val="FootnoteReference"/>
        </w:rPr>
        <w:footnoteRef/>
      </w:r>
      <w:r>
        <w:t xml:space="preserve"> “</w:t>
      </w:r>
      <w:proofErr w:type="spellStart"/>
      <w:proofErr w:type="gramStart"/>
      <w:r>
        <w:rPr>
          <w:i/>
        </w:rPr>
        <w:t>m</w:t>
      </w:r>
      <w:r>
        <w:rPr>
          <w:rFonts w:cs="Times New Roman"/>
          <w:i/>
        </w:rPr>
        <w:t>ē</w:t>
      </w:r>
      <w:proofErr w:type="spellEnd"/>
      <w:proofErr w:type="gramEnd"/>
      <w:r>
        <w:rPr>
          <w:i/>
        </w:rPr>
        <w:t xml:space="preserve"> ta </w:t>
      </w:r>
      <w:proofErr w:type="spellStart"/>
      <w:r>
        <w:rPr>
          <w:i/>
        </w:rPr>
        <w:t>dikaia</w:t>
      </w:r>
      <w:proofErr w:type="spellEnd"/>
      <w:r>
        <w:rPr>
          <w:i/>
        </w:rPr>
        <w:t xml:space="preserve"> </w:t>
      </w:r>
      <w:proofErr w:type="spellStart"/>
      <w:r>
        <w:rPr>
          <w:i/>
        </w:rPr>
        <w:t>prattontes</w:t>
      </w:r>
      <w:proofErr w:type="spellEnd"/>
      <w:r>
        <w:rPr>
          <w:i/>
        </w:rPr>
        <w:t>…</w:t>
      </w:r>
      <w:proofErr w:type="spellStart"/>
      <w:r>
        <w:rPr>
          <w:i/>
        </w:rPr>
        <w:t>pseudomenoi</w:t>
      </w:r>
      <w:proofErr w:type="spellEnd"/>
      <w:r>
        <w:rPr>
          <w:i/>
        </w:rPr>
        <w:t xml:space="preserve">…ta </w:t>
      </w:r>
      <w:proofErr w:type="spellStart"/>
      <w:r>
        <w:rPr>
          <w:i/>
        </w:rPr>
        <w:t>toiauta</w:t>
      </w:r>
      <w:proofErr w:type="spellEnd"/>
      <w:r>
        <w:rPr>
          <w:i/>
        </w:rPr>
        <w:t xml:space="preserve"> </w:t>
      </w:r>
      <w:proofErr w:type="spellStart"/>
      <w:r>
        <w:rPr>
          <w:i/>
        </w:rPr>
        <w:t>m</w:t>
      </w:r>
      <w:r>
        <w:rPr>
          <w:rFonts w:cs="Times New Roman"/>
          <w:i/>
        </w:rPr>
        <w:t>ē</w:t>
      </w:r>
      <w:r>
        <w:rPr>
          <w:i/>
        </w:rPr>
        <w:t>chan</w:t>
      </w:r>
      <w:r>
        <w:rPr>
          <w:rFonts w:cs="Times New Roman"/>
          <w:i/>
        </w:rPr>
        <w:t>ōmenoi</w:t>
      </w:r>
      <w:proofErr w:type="spellEnd"/>
      <w:r>
        <w:rPr>
          <w:rFonts w:cs="Times New Roman"/>
          <w:i/>
        </w:rPr>
        <w:t xml:space="preserve"> </w:t>
      </w:r>
      <w:proofErr w:type="spellStart"/>
      <w:r>
        <w:rPr>
          <w:rFonts w:cs="Times New Roman"/>
          <w:i/>
        </w:rPr>
        <w:t>orgas</w:t>
      </w:r>
      <w:proofErr w:type="spellEnd"/>
      <w:r>
        <w:rPr>
          <w:rFonts w:cs="Times New Roman"/>
          <w:i/>
        </w:rPr>
        <w:t xml:space="preserve"> </w:t>
      </w:r>
      <w:proofErr w:type="spellStart"/>
      <w:r>
        <w:rPr>
          <w:rFonts w:cs="Times New Roman"/>
          <w:i/>
        </w:rPr>
        <w:t>tois</w:t>
      </w:r>
      <w:proofErr w:type="spellEnd"/>
      <w:r>
        <w:rPr>
          <w:rFonts w:cs="Times New Roman"/>
          <w:i/>
        </w:rPr>
        <w:t xml:space="preserve"> </w:t>
      </w:r>
      <w:proofErr w:type="spellStart"/>
      <w:r>
        <w:rPr>
          <w:rFonts w:cs="Times New Roman"/>
          <w:i/>
        </w:rPr>
        <w:t>akouousi</w:t>
      </w:r>
      <w:proofErr w:type="spellEnd"/>
      <w:r>
        <w:rPr>
          <w:rFonts w:cs="Times New Roman"/>
          <w:i/>
        </w:rPr>
        <w:t xml:space="preserve"> kata </w:t>
      </w:r>
      <w:proofErr w:type="spellStart"/>
      <w:r>
        <w:rPr>
          <w:rFonts w:cs="Times New Roman"/>
          <w:i/>
        </w:rPr>
        <w:t>tōn</w:t>
      </w:r>
      <w:proofErr w:type="spellEnd"/>
      <w:r>
        <w:rPr>
          <w:rFonts w:cs="Times New Roman"/>
          <w:i/>
        </w:rPr>
        <w:t xml:space="preserve"> ta </w:t>
      </w:r>
      <w:proofErr w:type="spellStart"/>
      <w:r>
        <w:rPr>
          <w:rFonts w:cs="Times New Roman"/>
          <w:i/>
        </w:rPr>
        <w:t>dikaia</w:t>
      </w:r>
      <w:proofErr w:type="spellEnd"/>
      <w:r>
        <w:rPr>
          <w:rFonts w:cs="Times New Roman"/>
          <w:i/>
        </w:rPr>
        <w:t xml:space="preserve"> </w:t>
      </w:r>
      <w:proofErr w:type="spellStart"/>
      <w:r>
        <w:rPr>
          <w:rFonts w:cs="Times New Roman"/>
          <w:i/>
        </w:rPr>
        <w:t>prattontōn</w:t>
      </w:r>
      <w:proofErr w:type="spellEnd"/>
      <w:r>
        <w:rPr>
          <w:rFonts w:cs="Times New Roman"/>
          <w:i/>
        </w:rPr>
        <w:t>.</w:t>
      </w:r>
      <w:r>
        <w:rPr>
          <w:rFonts w:cs="Times New Roman"/>
        </w:rPr>
        <w:t>”</w:t>
      </w:r>
    </w:p>
  </w:footnote>
  <w:footnote w:id="24">
    <w:p w14:paraId="47E48315" w14:textId="3BAA6C17" w:rsidR="00C12FCE" w:rsidRDefault="00C12FCE" w:rsidP="00C12FCE">
      <w:pPr>
        <w:pStyle w:val="FootnoteText"/>
        <w:jc w:val="left"/>
      </w:pPr>
      <w:r>
        <w:rPr>
          <w:rStyle w:val="FootnoteReference"/>
        </w:rPr>
        <w:footnoteRef/>
      </w:r>
      <w:r>
        <w:t xml:space="preserve"> Carey 1989: 76.</w:t>
      </w:r>
    </w:p>
  </w:footnote>
  <w:footnote w:id="25">
    <w:p w14:paraId="24858742" w14:textId="77777777" w:rsidR="00C12FCE" w:rsidRDefault="00C12FCE" w:rsidP="00C12FCE">
      <w:pPr>
        <w:pStyle w:val="FootnoteText"/>
        <w:jc w:val="left"/>
      </w:pPr>
      <w:r>
        <w:rPr>
          <w:rStyle w:val="FootnoteReference"/>
        </w:rPr>
        <w:footnoteRef/>
      </w:r>
      <w:r>
        <w:t xml:space="preserve"> </w:t>
      </w:r>
      <w:proofErr w:type="gramStart"/>
      <w:r>
        <w:t>Ibid.,</w:t>
      </w:r>
      <w:proofErr w:type="gramEnd"/>
      <w:r>
        <w:t xml:space="preserve"> 76-77.</w:t>
      </w:r>
    </w:p>
  </w:footnote>
  <w:footnote w:id="26">
    <w:p w14:paraId="389CA104" w14:textId="1BFDF04D" w:rsidR="001163BC" w:rsidRDefault="001163BC" w:rsidP="001163BC">
      <w:pPr>
        <w:pStyle w:val="FootnoteText"/>
        <w:jc w:val="left"/>
      </w:pPr>
      <w:r>
        <w:rPr>
          <w:rStyle w:val="FootnoteReference"/>
        </w:rPr>
        <w:footnoteRef/>
      </w:r>
      <w:r>
        <w:t xml:space="preserve"> “I was thinking that the law of the city was</w:t>
      </w:r>
      <w:r w:rsidR="00B22EA5">
        <w:t xml:space="preserve"> more legitimate, and I carried out this penalty which you ordered, having thought it to be the most just for those doing such things.”</w:t>
      </w:r>
    </w:p>
  </w:footnote>
  <w:footnote w:id="27">
    <w:p w14:paraId="298C2625" w14:textId="51DCC65A" w:rsidR="00536AD1" w:rsidRDefault="00536AD1" w:rsidP="00536AD1">
      <w:pPr>
        <w:pStyle w:val="FootnoteText"/>
        <w:jc w:val="left"/>
      </w:pPr>
      <w:r>
        <w:rPr>
          <w:rStyle w:val="FootnoteReference"/>
        </w:rPr>
        <w:footnoteRef/>
      </w:r>
      <w:r>
        <w:t xml:space="preserve"> </w:t>
      </w:r>
      <w:proofErr w:type="gramStart"/>
      <w:r>
        <w:t>Ibid.,</w:t>
      </w:r>
      <w:proofErr w:type="gramEnd"/>
      <w:r>
        <w:t xml:space="preserve"> 75, 77.</w:t>
      </w:r>
    </w:p>
  </w:footnote>
  <w:footnote w:id="28">
    <w:p w14:paraId="15397A8C" w14:textId="059787BC" w:rsidR="000F6A0B" w:rsidRDefault="000F6A0B" w:rsidP="000F6A0B">
      <w:pPr>
        <w:pStyle w:val="FootnoteText"/>
        <w:jc w:val="left"/>
      </w:pPr>
      <w:r>
        <w:rPr>
          <w:rStyle w:val="FootnoteReference"/>
        </w:rPr>
        <w:footnoteRef/>
      </w:r>
      <w:r>
        <w:t xml:space="preserve"> Herman: 1993: 4</w:t>
      </w:r>
      <w:r w:rsidR="004D0FB6">
        <w:t>08-412</w:t>
      </w:r>
      <w:r>
        <w:t>.</w:t>
      </w:r>
      <w:r w:rsidR="00907ED7">
        <w:t xml:space="preserve"> See note 13, above.</w:t>
      </w:r>
    </w:p>
  </w:footnote>
  <w:footnote w:id="29">
    <w:p w14:paraId="76AAD73C" w14:textId="27315240" w:rsidR="004D0FB6" w:rsidRDefault="004D0FB6" w:rsidP="004D0FB6">
      <w:pPr>
        <w:pStyle w:val="FootnoteText"/>
        <w:jc w:val="left"/>
      </w:pPr>
      <w:r>
        <w:rPr>
          <w:rStyle w:val="FootnoteReference"/>
        </w:rPr>
        <w:footnoteRef/>
      </w:r>
      <w:r>
        <w:t xml:space="preserve"> </w:t>
      </w:r>
      <w:proofErr w:type="gramStart"/>
      <w:r>
        <w:t>Ibid.,</w:t>
      </w:r>
      <w:proofErr w:type="gramEnd"/>
      <w:r>
        <w:t xml:space="preserve"> 409.</w:t>
      </w:r>
    </w:p>
  </w:footnote>
  <w:footnote w:id="30">
    <w:p w14:paraId="1CD212B6" w14:textId="428C5F0E" w:rsidR="00916094" w:rsidRDefault="00916094" w:rsidP="00916094">
      <w:pPr>
        <w:pStyle w:val="FootnoteText"/>
        <w:jc w:val="left"/>
      </w:pPr>
      <w:r>
        <w:rPr>
          <w:rStyle w:val="FootnoteReference"/>
        </w:rPr>
        <w:footnoteRef/>
      </w:r>
      <w:r>
        <w:t xml:space="preserve"> Ibid, 408-412.</w:t>
      </w:r>
    </w:p>
  </w:footnote>
  <w:footnote w:id="31">
    <w:p w14:paraId="78DBF2B5" w14:textId="1309A74A" w:rsidR="00916094" w:rsidRDefault="00916094" w:rsidP="00916094">
      <w:pPr>
        <w:pStyle w:val="FootnoteText"/>
        <w:jc w:val="left"/>
      </w:pPr>
      <w:r>
        <w:rPr>
          <w:rStyle w:val="FootnoteReference"/>
        </w:rPr>
        <w:footnoteRef/>
      </w:r>
      <w:r>
        <w:t xml:space="preserve"> </w:t>
      </w:r>
      <w:proofErr w:type="gramStart"/>
      <w:r>
        <w:t>Ibid.,</w:t>
      </w:r>
      <w:proofErr w:type="gramEnd"/>
      <w:r>
        <w:t xml:space="preserve"> 412-417. Herman underscores this point by quoting from I.34 and I.47. The former, in Herman’s translation: “Therefore, gentlemen, the laws not only acquit me of my crime, but actually command me to exact this punishment.” See 417.</w:t>
      </w:r>
      <w:r w:rsidR="00B22EA5">
        <w:t xml:space="preserve"> </w:t>
      </w:r>
    </w:p>
  </w:footnote>
  <w:footnote w:id="32">
    <w:p w14:paraId="695151D8" w14:textId="07C4BC9D" w:rsidR="002D7ADB" w:rsidRDefault="002D7ADB" w:rsidP="002D7ADB">
      <w:pPr>
        <w:pStyle w:val="FootnoteText"/>
        <w:jc w:val="left"/>
      </w:pPr>
      <w:r>
        <w:rPr>
          <w:rStyle w:val="FootnoteReference"/>
        </w:rPr>
        <w:footnoteRef/>
      </w:r>
      <w:r>
        <w:t xml:space="preserve"> </w:t>
      </w:r>
      <w:proofErr w:type="gramStart"/>
      <w:r>
        <w:t>Ibid.,</w:t>
      </w:r>
      <w:proofErr w:type="gramEnd"/>
      <w:r>
        <w:t xml:space="preserve"> 416-417.</w:t>
      </w:r>
    </w:p>
  </w:footnote>
  <w:footnote w:id="33">
    <w:p w14:paraId="4EC28E86" w14:textId="59E5D14E" w:rsidR="002B2593" w:rsidRDefault="002B2593" w:rsidP="002B2593">
      <w:pPr>
        <w:pStyle w:val="FootnoteText"/>
        <w:jc w:val="left"/>
      </w:pPr>
      <w:r>
        <w:rPr>
          <w:rStyle w:val="FootnoteReference"/>
        </w:rPr>
        <w:footnoteRef/>
      </w:r>
      <w:r>
        <w:t xml:space="preserve"> Carey 1989: 76.</w:t>
      </w:r>
    </w:p>
  </w:footnote>
  <w:footnote w:id="34">
    <w:p w14:paraId="3F9BC98B" w14:textId="60AE3043" w:rsidR="002B2593" w:rsidRDefault="002B2593" w:rsidP="002B2593">
      <w:pPr>
        <w:pStyle w:val="FootnoteText"/>
        <w:jc w:val="left"/>
      </w:pPr>
      <w:r>
        <w:rPr>
          <w:rStyle w:val="FootnoteReference"/>
        </w:rPr>
        <w:footnoteRef/>
      </w:r>
      <w:r>
        <w:t xml:space="preserve"> </w:t>
      </w:r>
      <w:proofErr w:type="spellStart"/>
      <w:r>
        <w:t>Scodel</w:t>
      </w:r>
      <w:proofErr w:type="spellEnd"/>
      <w:r>
        <w:t xml:space="preserve"> 1986: 10.</w:t>
      </w:r>
    </w:p>
  </w:footnote>
  <w:footnote w:id="35">
    <w:p w14:paraId="305C777A" w14:textId="798F5A6D" w:rsidR="00B05D67" w:rsidRDefault="00B05D67" w:rsidP="00B05D67">
      <w:pPr>
        <w:pStyle w:val="FootnoteText"/>
        <w:jc w:val="left"/>
      </w:pPr>
      <w:r>
        <w:rPr>
          <w:rStyle w:val="FootnoteReference"/>
        </w:rPr>
        <w:footnoteRef/>
      </w:r>
      <w:r>
        <w:t xml:space="preserve"> Carey 1989: 78 and </w:t>
      </w:r>
      <w:proofErr w:type="spellStart"/>
      <w:r>
        <w:t>Scodel</w:t>
      </w:r>
      <w:proofErr w:type="spellEnd"/>
      <w:r>
        <w:t xml:space="preserve"> 1986: 10. </w:t>
      </w:r>
    </w:p>
  </w:footnote>
  <w:footnote w:id="36">
    <w:p w14:paraId="0DB0693A" w14:textId="55503C75" w:rsidR="006016CC" w:rsidRDefault="006016CC" w:rsidP="006016CC">
      <w:pPr>
        <w:pStyle w:val="FootnoteText"/>
        <w:jc w:val="left"/>
      </w:pPr>
      <w:r>
        <w:rPr>
          <w:rStyle w:val="FootnoteReference"/>
        </w:rPr>
        <w:footnoteRef/>
      </w:r>
      <w:r>
        <w:t xml:space="preserve"> “</w:t>
      </w:r>
      <w:r w:rsidR="00112F30">
        <w:t>He will not be sentenced for murder who, having caught an adulterer with his wife, takes this punishment.”</w:t>
      </w:r>
    </w:p>
  </w:footnote>
  <w:footnote w:id="37">
    <w:p w14:paraId="56401701" w14:textId="3A243B6D" w:rsidR="00B05D67" w:rsidRDefault="00B05D67" w:rsidP="00B05D67">
      <w:pPr>
        <w:pStyle w:val="FootnoteText"/>
        <w:jc w:val="left"/>
      </w:pPr>
      <w:r>
        <w:rPr>
          <w:rStyle w:val="FootnoteReference"/>
        </w:rPr>
        <w:footnoteRef/>
      </w:r>
      <w:r>
        <w:t xml:space="preserve"> Carey 1989: 77.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E2D24"/>
    <w:rsid w:val="0000078C"/>
    <w:rsid w:val="00007F03"/>
    <w:rsid w:val="00017E37"/>
    <w:rsid w:val="00055327"/>
    <w:rsid w:val="000A5045"/>
    <w:rsid w:val="000D0B30"/>
    <w:rsid w:val="000E548C"/>
    <w:rsid w:val="000F6A0B"/>
    <w:rsid w:val="00104442"/>
    <w:rsid w:val="00112F30"/>
    <w:rsid w:val="001163BC"/>
    <w:rsid w:val="0011782C"/>
    <w:rsid w:val="00157443"/>
    <w:rsid w:val="00184B1B"/>
    <w:rsid w:val="001B6AF8"/>
    <w:rsid w:val="001F1136"/>
    <w:rsid w:val="001F2946"/>
    <w:rsid w:val="0021659E"/>
    <w:rsid w:val="00223D86"/>
    <w:rsid w:val="002240D0"/>
    <w:rsid w:val="0022438D"/>
    <w:rsid w:val="00242470"/>
    <w:rsid w:val="002513D6"/>
    <w:rsid w:val="00255333"/>
    <w:rsid w:val="00265AF6"/>
    <w:rsid w:val="00277574"/>
    <w:rsid w:val="002A0F03"/>
    <w:rsid w:val="002B2593"/>
    <w:rsid w:val="002C12CC"/>
    <w:rsid w:val="002D3E1E"/>
    <w:rsid w:val="002D7ADB"/>
    <w:rsid w:val="00312390"/>
    <w:rsid w:val="003152CD"/>
    <w:rsid w:val="00333C13"/>
    <w:rsid w:val="00343C00"/>
    <w:rsid w:val="003511B1"/>
    <w:rsid w:val="0038041D"/>
    <w:rsid w:val="003B27C7"/>
    <w:rsid w:val="003D744F"/>
    <w:rsid w:val="003E091D"/>
    <w:rsid w:val="003E5AB6"/>
    <w:rsid w:val="00403863"/>
    <w:rsid w:val="00430C2D"/>
    <w:rsid w:val="00447D76"/>
    <w:rsid w:val="00466973"/>
    <w:rsid w:val="00471ABF"/>
    <w:rsid w:val="0049462B"/>
    <w:rsid w:val="004C1C4E"/>
    <w:rsid w:val="004D0FB6"/>
    <w:rsid w:val="004E0EC0"/>
    <w:rsid w:val="004E4C5D"/>
    <w:rsid w:val="004F6FB4"/>
    <w:rsid w:val="00517CAE"/>
    <w:rsid w:val="00536AD1"/>
    <w:rsid w:val="00540D33"/>
    <w:rsid w:val="00562BF1"/>
    <w:rsid w:val="005A0E8A"/>
    <w:rsid w:val="005E12EF"/>
    <w:rsid w:val="006016CC"/>
    <w:rsid w:val="00604435"/>
    <w:rsid w:val="00637FF5"/>
    <w:rsid w:val="00646D6D"/>
    <w:rsid w:val="0067788C"/>
    <w:rsid w:val="00695339"/>
    <w:rsid w:val="00697086"/>
    <w:rsid w:val="00697312"/>
    <w:rsid w:val="006A3A02"/>
    <w:rsid w:val="006B057F"/>
    <w:rsid w:val="006C60FC"/>
    <w:rsid w:val="006E6806"/>
    <w:rsid w:val="006F54AD"/>
    <w:rsid w:val="00743A41"/>
    <w:rsid w:val="00764AC7"/>
    <w:rsid w:val="00771838"/>
    <w:rsid w:val="00791FD4"/>
    <w:rsid w:val="007A6F88"/>
    <w:rsid w:val="007C3870"/>
    <w:rsid w:val="007F2043"/>
    <w:rsid w:val="00803E04"/>
    <w:rsid w:val="00806924"/>
    <w:rsid w:val="008137B4"/>
    <w:rsid w:val="00826306"/>
    <w:rsid w:val="00832C6E"/>
    <w:rsid w:val="00844F53"/>
    <w:rsid w:val="008450CE"/>
    <w:rsid w:val="0085039B"/>
    <w:rsid w:val="00854D85"/>
    <w:rsid w:val="00861BD2"/>
    <w:rsid w:val="00875A0C"/>
    <w:rsid w:val="008765C6"/>
    <w:rsid w:val="008B2478"/>
    <w:rsid w:val="008E4095"/>
    <w:rsid w:val="00907ED7"/>
    <w:rsid w:val="00916094"/>
    <w:rsid w:val="00922FAA"/>
    <w:rsid w:val="0093729C"/>
    <w:rsid w:val="00945E8F"/>
    <w:rsid w:val="00950D8C"/>
    <w:rsid w:val="00953535"/>
    <w:rsid w:val="00960CA2"/>
    <w:rsid w:val="00977571"/>
    <w:rsid w:val="009A01EA"/>
    <w:rsid w:val="009B3B02"/>
    <w:rsid w:val="009E5D95"/>
    <w:rsid w:val="00A01D61"/>
    <w:rsid w:val="00A44DCB"/>
    <w:rsid w:val="00A80690"/>
    <w:rsid w:val="00AB5488"/>
    <w:rsid w:val="00B05D67"/>
    <w:rsid w:val="00B1284C"/>
    <w:rsid w:val="00B22EA5"/>
    <w:rsid w:val="00B25CD8"/>
    <w:rsid w:val="00B719DF"/>
    <w:rsid w:val="00B76DFA"/>
    <w:rsid w:val="00BB1FC5"/>
    <w:rsid w:val="00BD0DE5"/>
    <w:rsid w:val="00C00E3B"/>
    <w:rsid w:val="00C04B1F"/>
    <w:rsid w:val="00C12FCE"/>
    <w:rsid w:val="00C52806"/>
    <w:rsid w:val="00C96B55"/>
    <w:rsid w:val="00CA004E"/>
    <w:rsid w:val="00CB55DD"/>
    <w:rsid w:val="00CC7D94"/>
    <w:rsid w:val="00CD553C"/>
    <w:rsid w:val="00CE093D"/>
    <w:rsid w:val="00CE2D24"/>
    <w:rsid w:val="00CF027E"/>
    <w:rsid w:val="00CF3980"/>
    <w:rsid w:val="00CF7B1E"/>
    <w:rsid w:val="00D21018"/>
    <w:rsid w:val="00D2612D"/>
    <w:rsid w:val="00D46920"/>
    <w:rsid w:val="00D70020"/>
    <w:rsid w:val="00DF4F6C"/>
    <w:rsid w:val="00E45808"/>
    <w:rsid w:val="00E46337"/>
    <w:rsid w:val="00E70FC0"/>
    <w:rsid w:val="00E719B2"/>
    <w:rsid w:val="00E92904"/>
    <w:rsid w:val="00EC173D"/>
    <w:rsid w:val="00F0507F"/>
    <w:rsid w:val="00F61BBA"/>
    <w:rsid w:val="00F6366A"/>
    <w:rsid w:val="00F82558"/>
    <w:rsid w:val="00FC58F3"/>
    <w:rsid w:val="00FC61C9"/>
    <w:rsid w:val="00FD53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05F235"/>
  <w15:chartTrackingRefBased/>
  <w15:docId w15:val="{097210A5-B649-42A2-A7D8-1862988CDD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heme="minorBidi"/>
        <w:sz w:val="24"/>
        <w:szCs w:val="22"/>
        <w:lang w:val="en-US" w:eastAsia="en-US" w:bidi="ar-SA"/>
      </w:rPr>
    </w:rPrDefault>
    <w:pPrDefault>
      <w:pPr>
        <w:jc w:val="center"/>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53535"/>
    <w:rPr>
      <w:sz w:val="20"/>
      <w:szCs w:val="20"/>
    </w:rPr>
  </w:style>
  <w:style w:type="character" w:customStyle="1" w:styleId="FootnoteTextChar">
    <w:name w:val="Footnote Text Char"/>
    <w:basedOn w:val="DefaultParagraphFont"/>
    <w:link w:val="FootnoteText"/>
    <w:uiPriority w:val="99"/>
    <w:semiHidden/>
    <w:rsid w:val="00953535"/>
    <w:rPr>
      <w:sz w:val="20"/>
      <w:szCs w:val="20"/>
    </w:rPr>
  </w:style>
  <w:style w:type="character" w:styleId="FootnoteReference">
    <w:name w:val="footnote reference"/>
    <w:basedOn w:val="DefaultParagraphFont"/>
    <w:uiPriority w:val="99"/>
    <w:semiHidden/>
    <w:unhideWhenUsed/>
    <w:rsid w:val="00953535"/>
    <w:rPr>
      <w:vertAlign w:val="superscript"/>
    </w:rPr>
  </w:style>
  <w:style w:type="paragraph" w:styleId="EndnoteText">
    <w:name w:val="endnote text"/>
    <w:basedOn w:val="Normal"/>
    <w:link w:val="EndnoteTextChar"/>
    <w:uiPriority w:val="99"/>
    <w:semiHidden/>
    <w:unhideWhenUsed/>
    <w:rsid w:val="00017E37"/>
    <w:rPr>
      <w:sz w:val="20"/>
      <w:szCs w:val="20"/>
    </w:rPr>
  </w:style>
  <w:style w:type="character" w:customStyle="1" w:styleId="EndnoteTextChar">
    <w:name w:val="Endnote Text Char"/>
    <w:basedOn w:val="DefaultParagraphFont"/>
    <w:link w:val="EndnoteText"/>
    <w:uiPriority w:val="99"/>
    <w:semiHidden/>
    <w:rsid w:val="00017E37"/>
    <w:rPr>
      <w:sz w:val="20"/>
      <w:szCs w:val="20"/>
    </w:rPr>
  </w:style>
  <w:style w:type="character" w:styleId="EndnoteReference">
    <w:name w:val="endnote reference"/>
    <w:basedOn w:val="DefaultParagraphFont"/>
    <w:uiPriority w:val="99"/>
    <w:semiHidden/>
    <w:unhideWhenUsed/>
    <w:rsid w:val="00017E37"/>
    <w:rPr>
      <w:vertAlign w:val="superscript"/>
    </w:rPr>
  </w:style>
  <w:style w:type="paragraph" w:styleId="Header">
    <w:name w:val="header"/>
    <w:basedOn w:val="Normal"/>
    <w:link w:val="HeaderChar"/>
    <w:uiPriority w:val="99"/>
    <w:unhideWhenUsed/>
    <w:rsid w:val="00466973"/>
    <w:pPr>
      <w:tabs>
        <w:tab w:val="center" w:pos="4680"/>
        <w:tab w:val="right" w:pos="9360"/>
      </w:tabs>
    </w:pPr>
  </w:style>
  <w:style w:type="character" w:customStyle="1" w:styleId="HeaderChar">
    <w:name w:val="Header Char"/>
    <w:basedOn w:val="DefaultParagraphFont"/>
    <w:link w:val="Header"/>
    <w:uiPriority w:val="99"/>
    <w:rsid w:val="00466973"/>
  </w:style>
  <w:style w:type="paragraph" w:styleId="Footer">
    <w:name w:val="footer"/>
    <w:basedOn w:val="Normal"/>
    <w:link w:val="FooterChar"/>
    <w:uiPriority w:val="99"/>
    <w:unhideWhenUsed/>
    <w:rsid w:val="00466973"/>
    <w:pPr>
      <w:tabs>
        <w:tab w:val="center" w:pos="4680"/>
        <w:tab w:val="right" w:pos="9360"/>
      </w:tabs>
    </w:pPr>
  </w:style>
  <w:style w:type="character" w:customStyle="1" w:styleId="FooterChar">
    <w:name w:val="Footer Char"/>
    <w:basedOn w:val="DefaultParagraphFont"/>
    <w:link w:val="Footer"/>
    <w:uiPriority w:val="99"/>
    <w:rsid w:val="004669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07879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TURABIAN.XSL" StyleName="Turabian" Version="6"/>
</file>

<file path=customXml/itemProps1.xml><?xml version="1.0" encoding="utf-8"?>
<ds:datastoreItem xmlns:ds="http://schemas.openxmlformats.org/officeDocument/2006/customXml" ds:itemID="{6CEB7D91-98AA-417A-BAAB-F3ADB6FC65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275</TotalTime>
  <Pages>10</Pages>
  <Words>2433</Words>
  <Characters>13872</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Bonagura, David</cp:lastModifiedBy>
  <cp:revision>8</cp:revision>
  <dcterms:created xsi:type="dcterms:W3CDTF">2020-05-04T02:14:00Z</dcterms:created>
  <dcterms:modified xsi:type="dcterms:W3CDTF">2020-05-04T20:13:00Z</dcterms:modified>
</cp:coreProperties>
</file>