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ACDBF" w14:textId="43311F30" w:rsidR="006F753A" w:rsidRPr="006F753A" w:rsidRDefault="008B1478" w:rsidP="006F753A">
      <w:pPr>
        <w:rPr>
          <w:u w:val="single"/>
        </w:rPr>
      </w:pPr>
      <w:r w:rsidRPr="003257B6">
        <w:rPr>
          <w:u w:val="single"/>
        </w:rPr>
        <w:t>Writing Piece 4</w:t>
      </w:r>
      <w:r w:rsidR="00ED7C74">
        <w:rPr>
          <w:u w:val="single"/>
        </w:rPr>
        <w:t xml:space="preserve"> </w:t>
      </w:r>
    </w:p>
    <w:p w14:paraId="46D407BB" w14:textId="77777777" w:rsidR="006F753A" w:rsidRDefault="006F753A" w:rsidP="006F753A">
      <w:r>
        <w:t>This piece of writing will be focussed on my reflective practice during the project as a whole. I’ve learned a lot about myself in the process of reflection and as Thompson and Thompson state “central to reflective practice is self-awareness.”  (2023,p120). This project was undertaken during a tumultuous time in my life due to a health condition. My outlook on the world was altered significantly and I was mentally, emotionally and physically exhausted. My health made me identify my needs and ask for support  whilst I was facilitating to ensure the safety of myself and the group.</w:t>
      </w:r>
    </w:p>
    <w:p w14:paraId="4F3967A0" w14:textId="77777777" w:rsidR="006F753A" w:rsidRDefault="006F753A" w:rsidP="006F753A">
      <w:r>
        <w:t xml:space="preserve">This may have been the first time during any project that I have recognised my needs and presented them as important in the process. Priority has previously been given to the group and how I can support the people I work with. I found it extremely challenging to not have my needs and the plans put in place respected by people I was working with (Co-facilitator and funding board member). The persona they knew had time and energy for everything. By setting boundaries and asserting my needs I gave my co-workers a new framework that they weren’t prepared to respond to in the way I needed at the time. </w:t>
      </w:r>
    </w:p>
    <w:p w14:paraId="68494508" w14:textId="3D1859C6" w:rsidR="006F753A" w:rsidRDefault="006F753A" w:rsidP="006F753A">
      <w:r>
        <w:t>I’ve often taken on a facilitation persona that embodies perceived expectations (mine and others) within the role presenting with endless energy and positivity. Preston discusses the negative impact of emotional labour by presenting a positive outward impression when it is in conflict with what is felt internally. (Preston, 2013, p238). She also writes of a facilitator called, Marie, making “a careful selection of the personae she presents” (Preston, 2013, p235) allowing the students she is working with to see the parts of her she wants them to see. Going forward</w:t>
      </w:r>
      <w:r w:rsidR="00076DD6">
        <w:t xml:space="preserve"> selecting</w:t>
      </w:r>
      <w:r w:rsidR="00B21F56">
        <w:t xml:space="preserve"> the parts of myself I want to be seen in the room</w:t>
      </w:r>
      <w:r>
        <w:t xml:space="preserve"> would be a beneficial method whilst facilitating</w:t>
      </w:r>
      <w:r w:rsidR="00F53F7B">
        <w:t>. Maintaining a sense of self</w:t>
      </w:r>
      <w:r>
        <w:t xml:space="preserve"> with all of my humanness opposed to a protective persona</w:t>
      </w:r>
      <w:r w:rsidR="00A42C65">
        <w:t xml:space="preserve"> would decrease emotional labour and </w:t>
      </w:r>
      <w:r w:rsidR="003938A0">
        <w:t xml:space="preserve">increase opportunities to connect with people. </w:t>
      </w:r>
    </w:p>
    <w:p w14:paraId="5DEA30ED" w14:textId="3EE91A64" w:rsidR="006F753A" w:rsidRDefault="006F753A" w:rsidP="006F753A">
      <w:r>
        <w:t xml:space="preserve">O’Connor interviewed applied theatre facilitators, identifying “Reflective  practice  emerg[ing]  as  a  pertinent  theme” (O’Connor, 2022,p.160). It is essential in this type of work to regularly reflect, I’ve noted my understanding of concepts shifting through reflection. I wrote about the Drama Triangle (Karpman, 2014)  and later realised the roles hadn’t fully been understood, for example, misaligning my role as protector with the Rescuer role. Another instance was perceiving moments of not communicating as the Victim role. My understanding of these roles broadened as I maintained </w:t>
      </w:r>
      <w:r w:rsidR="00AB3B97">
        <w:t xml:space="preserve">an </w:t>
      </w:r>
      <w:r>
        <w:t xml:space="preserve">awareness of </w:t>
      </w:r>
      <w:r w:rsidR="00AB3B97">
        <w:t xml:space="preserve">them </w:t>
      </w:r>
      <w:r>
        <w:t>during different aspects of reflection.</w:t>
      </w:r>
    </w:p>
    <w:p w14:paraId="7C63D8F3" w14:textId="5AB4D168" w:rsidR="006F753A" w:rsidRDefault="006F753A" w:rsidP="006F753A">
      <w:r>
        <w:t>Reflective practice is giving me the ability to implement a degree of separation from projects</w:t>
      </w:r>
      <w:r w:rsidR="001966F4">
        <w:t>,</w:t>
      </w:r>
      <w:r>
        <w:t xml:space="preserve"> th</w:t>
      </w:r>
      <w:r w:rsidR="008602BC">
        <w:t>us</w:t>
      </w:r>
      <w:r>
        <w:t xml:space="preserve"> allowing </w:t>
      </w:r>
      <w:r w:rsidR="001966F4">
        <w:t xml:space="preserve">for </w:t>
      </w:r>
      <w:r>
        <w:t xml:space="preserve">me not to feel personally responsible for everything that does or does not happen. Using models such as the Caring Cycle (Skovholt, 2005) and Gibbs Reflective Cycle (1988, p.49) allows the distance of a tool for reflection of all elements of the process or a situation. Giving a wider scope of how to effectively move forward </w:t>
      </w:r>
      <w:r>
        <w:lastRenderedPageBreak/>
        <w:t>without taking responsibility for things that may not be within my control. Previously I had burdened myself with a colossal amount of personal responsibility for all aspects of a project. As the facilitator I felt that I should appear all knowledgeable and have an answer for everything, this project has allowed me to see that  “sometimes, saying that you don’t know what to do is all that is needed to allow someone else to suggest an idea. Before long, the problem is resolved by the group.” (Matarasso, 2019, p115).</w:t>
      </w:r>
    </w:p>
    <w:p w14:paraId="1D86CEDA" w14:textId="7AB1E512" w:rsidR="006F753A" w:rsidRDefault="006F753A" w:rsidP="006F753A">
      <w:r>
        <w:t xml:space="preserve"> Following the event with, Stephen, I concluded that my values and safety were challenged in that moment, reflective practice has ultimately given me clarity about my values whilst facilitating which are intrinsically linked to my personal values. Recognising this event was also challenging for members of the group I chose to have an honest conversation with everyone in the next workshop about respect and being in the space together</w:t>
      </w:r>
      <w:r w:rsidR="00820809">
        <w:t>,</w:t>
      </w:r>
      <w:r>
        <w:t xml:space="preserve"> </w:t>
      </w:r>
      <w:r w:rsidR="00820809">
        <w:t>therefore</w:t>
      </w:r>
      <w:r w:rsidR="00B63DD4">
        <w:t>,</w:t>
      </w:r>
      <w:r>
        <w:t xml:space="preserve"> making space for people to share their own values and needs. “Our values (and those of participants) inform both what we do and how we do it are key to passing the “test” of being flexible within shifting contexts”  (Sadeghi-Yekta and Prendergast, 2022, p.45). Members of the group voiced feeling increased compassion towards others in the group making it easier to work with a variety of people as the tone had been set with mutual understanding. </w:t>
      </w:r>
    </w:p>
    <w:p w14:paraId="57BA3C50" w14:textId="12EA858A" w:rsidR="006F753A" w:rsidRDefault="006F753A" w:rsidP="006F753A">
      <w:r>
        <w:t>“At its centre is reflection and reflexivity: a … practitioner who reflects, questions, learns from mistakes and successes and moves on is developing competence” (Rifkin, 2010, p.19).</w:t>
      </w:r>
      <w:r w:rsidR="001315B9">
        <w:t xml:space="preserve"> Over the course of this project</w:t>
      </w:r>
      <w:r>
        <w:t xml:space="preserve"> </w:t>
      </w:r>
      <w:r w:rsidR="001315B9">
        <w:t>c</w:t>
      </w:r>
      <w:r>
        <w:t>onfidence in my own competence has developed through reflective practice. The workshops have certainly been mixed with mistakes and successes that have taught me a lot. Ultimately</w:t>
      </w:r>
      <w:r>
        <w:t>,</w:t>
      </w:r>
      <w:r>
        <w:t xml:space="preserve"> I feel better equipped to be reflexive in response to a variety of possible future situations whilst facilitating.  </w:t>
      </w:r>
    </w:p>
    <w:p w14:paraId="1EA8AEF8" w14:textId="77777777" w:rsidR="006F753A" w:rsidRDefault="006F753A" w:rsidP="006F753A"/>
    <w:p w14:paraId="484D14C5" w14:textId="77777777" w:rsidR="006F753A" w:rsidRDefault="006F753A" w:rsidP="006F753A"/>
    <w:p w14:paraId="502297A4" w14:textId="77777777" w:rsidR="006F753A" w:rsidRDefault="006F753A" w:rsidP="006F753A"/>
    <w:p w14:paraId="5A2052C2" w14:textId="77777777" w:rsidR="006F753A" w:rsidRDefault="006F753A" w:rsidP="006F753A"/>
    <w:p w14:paraId="2513B0B3" w14:textId="77777777" w:rsidR="006F753A" w:rsidRDefault="006F753A" w:rsidP="006F753A"/>
    <w:p w14:paraId="7F6E7CCB" w14:textId="77777777" w:rsidR="006F753A" w:rsidRDefault="006F753A" w:rsidP="006F753A"/>
    <w:p w14:paraId="4CB679AC" w14:textId="77777777" w:rsidR="006F753A" w:rsidRDefault="006F753A" w:rsidP="006F753A"/>
    <w:p w14:paraId="0F669421" w14:textId="77777777" w:rsidR="006F753A" w:rsidRDefault="006F753A" w:rsidP="006F753A"/>
    <w:p w14:paraId="6D744694" w14:textId="77777777" w:rsidR="00643238" w:rsidRDefault="00643238">
      <w:pPr>
        <w:rPr>
          <w:b/>
          <w:bCs/>
        </w:rPr>
      </w:pPr>
    </w:p>
    <w:p w14:paraId="2F4CE85B" w14:textId="77777777" w:rsidR="008F1944" w:rsidRDefault="008F1944"/>
    <w:p w14:paraId="616CC307" w14:textId="77777777" w:rsidR="00EC3926" w:rsidRDefault="00EC3926"/>
    <w:p w14:paraId="46520528" w14:textId="29590DE2" w:rsidR="00EC3926" w:rsidRDefault="00EC3926">
      <w:pPr>
        <w:rPr>
          <w:u w:val="single"/>
        </w:rPr>
      </w:pPr>
      <w:r w:rsidRPr="00EC3926">
        <w:rPr>
          <w:u w:val="single"/>
        </w:rPr>
        <w:lastRenderedPageBreak/>
        <w:t>References</w:t>
      </w:r>
    </w:p>
    <w:p w14:paraId="6A615BE1" w14:textId="3B7F3DF2" w:rsidR="00962B1C" w:rsidRDefault="00962B1C">
      <w:r w:rsidRPr="00962B1C">
        <w:t xml:space="preserve">Baim, C. (2020) </w:t>
      </w:r>
      <w:r w:rsidRPr="008150BB">
        <w:rPr>
          <w:i/>
          <w:iCs/>
        </w:rPr>
        <w:t>Staging the personal : a guide to safe and ethical practice.</w:t>
      </w:r>
      <w:r w:rsidRPr="00962B1C">
        <w:t xml:space="preserve"> Cham, Switzerland: Palgrave Macmillan, pp.115-166</w:t>
      </w:r>
    </w:p>
    <w:p w14:paraId="247A6A2F" w14:textId="7A0B4237" w:rsidR="00EC3926" w:rsidRDefault="00EC3926">
      <w:r w:rsidRPr="00EC3926">
        <w:t xml:space="preserve">François Matarasso (2019). </w:t>
      </w:r>
      <w:r w:rsidRPr="00EC3926">
        <w:rPr>
          <w:i/>
          <w:iCs/>
        </w:rPr>
        <w:t>A restless art : how participation won, and why it matters.</w:t>
      </w:r>
      <w:r w:rsidRPr="00EC3926">
        <w:t xml:space="preserve"> London: Calouste Gulbenkian Foundation, Uk Branch.</w:t>
      </w:r>
    </w:p>
    <w:p w14:paraId="5F9D7581" w14:textId="136E8A9B" w:rsidR="00A458EC" w:rsidRDefault="00A458EC">
      <w:r w:rsidRPr="00A458EC">
        <w:t>Gibbs, G. (1988).</w:t>
      </w:r>
      <w:r w:rsidRPr="008150BB">
        <w:rPr>
          <w:i/>
          <w:iCs/>
        </w:rPr>
        <w:t xml:space="preserve"> Learning by Doing: a Guide to Teaching and Learning Methods. </w:t>
      </w:r>
      <w:r w:rsidRPr="00A458EC">
        <w:t>Oxford: Oxford Further Education Unit.</w:t>
      </w:r>
    </w:p>
    <w:p w14:paraId="3857A9E2" w14:textId="7F5FA930" w:rsidR="00DF2A01" w:rsidRDefault="00DF2A01">
      <w:r w:rsidRPr="00DF2A01">
        <w:t>Karpman, S.B. (2014). A game free life : the definitive book on the Drama Triangle and the Compassion Triangle by the originator and author. San Francisco, California: Drama Triangle Productions.</w:t>
      </w:r>
    </w:p>
    <w:p w14:paraId="1704BD40" w14:textId="1265F82E" w:rsidR="00F96D58" w:rsidRPr="00EC3926" w:rsidRDefault="00F96D58">
      <w:r w:rsidRPr="00F96D58">
        <w:t xml:space="preserve">O’Connor, A. (2022). The work hurts. </w:t>
      </w:r>
      <w:r w:rsidRPr="00F96D58">
        <w:rPr>
          <w:i/>
          <w:iCs/>
        </w:rPr>
        <w:t>Journal of Applied Arts &amp; Health</w:t>
      </w:r>
      <w:r w:rsidRPr="00F96D58">
        <w:t>, 00(00), pp.1–14. doi:https://doi.org/10.1386/jaah_00096_1.</w:t>
      </w:r>
    </w:p>
    <w:p w14:paraId="51E909F5" w14:textId="38A8D52C" w:rsidR="00EC3926" w:rsidRDefault="007D32E7">
      <w:r w:rsidRPr="007D32E7">
        <w:t>Sadeghi-Yekta, K. and Prendergast, M. (2022</w:t>
      </w:r>
      <w:r w:rsidRPr="008150BB">
        <w:t>)</w:t>
      </w:r>
      <w:r w:rsidRPr="008150BB">
        <w:rPr>
          <w:i/>
          <w:iCs/>
        </w:rPr>
        <w:t>. Applied Theatre: Ethics</w:t>
      </w:r>
      <w:r w:rsidRPr="007D32E7">
        <w:t>. Bloomsbury Publishing Plc. Pp.44-67</w:t>
      </w:r>
    </w:p>
    <w:p w14:paraId="4BB57E00" w14:textId="491571B8" w:rsidR="00F3666E" w:rsidRDefault="00F3666E">
      <w:r w:rsidRPr="00F3666E">
        <w:t>Skovholt, T. M. (2005). The Cycle of Caring: A Model of Expertise in the Helping Professions. Journal of Mental Health Counseling, 27(1), 82–93.</w:t>
      </w:r>
      <w:r w:rsidR="00DD00FA">
        <w:t xml:space="preserve"> doi:</w:t>
      </w:r>
      <w:hyperlink r:id="rId7" w:history="1">
        <w:r w:rsidR="00DD00FA" w:rsidRPr="00392201">
          <w:rPr>
            <w:rStyle w:val="Hyperlink"/>
          </w:rPr>
          <w:t>https://doi.org/10.17744/mehc.27.1.mj5rcvy6c713tafw</w:t>
        </w:r>
      </w:hyperlink>
    </w:p>
    <w:p w14:paraId="699EB77A" w14:textId="03D143D3" w:rsidR="00EC3926" w:rsidRPr="009F5A42" w:rsidRDefault="009F5A42">
      <w:r w:rsidRPr="009F5A42">
        <w:t xml:space="preserve">Thompson, S. and Thompson, N. (2023). </w:t>
      </w:r>
      <w:r w:rsidRPr="009F5A42">
        <w:rPr>
          <w:i/>
          <w:iCs/>
        </w:rPr>
        <w:t>The critically reflective practitioner.</w:t>
      </w:r>
      <w:r w:rsidRPr="009F5A42">
        <w:t xml:space="preserve"> Basingstoke England ; New York: Palgrave Macmillan.</w:t>
      </w:r>
    </w:p>
    <w:p w14:paraId="399CAEC1" w14:textId="77777777" w:rsidR="00EC3926" w:rsidRDefault="00EC3926">
      <w:pPr>
        <w:rPr>
          <w:u w:val="single"/>
        </w:rPr>
      </w:pPr>
    </w:p>
    <w:p w14:paraId="67390FC2" w14:textId="155F7516" w:rsidR="00EC3926" w:rsidRDefault="00EC3926">
      <w:pPr>
        <w:rPr>
          <w:u w:val="single"/>
        </w:rPr>
      </w:pPr>
      <w:r>
        <w:rPr>
          <w:u w:val="single"/>
        </w:rPr>
        <w:t>Bibliography</w:t>
      </w:r>
      <w:r w:rsidR="00E87541">
        <w:rPr>
          <w:u w:val="single"/>
        </w:rPr>
        <w:t xml:space="preserve"> for Critical Writing Pieces 1</w:t>
      </w:r>
      <w:r w:rsidR="000B2AB9">
        <w:rPr>
          <w:u w:val="single"/>
        </w:rPr>
        <w:t>-4</w:t>
      </w:r>
    </w:p>
    <w:p w14:paraId="3BA62ADD" w14:textId="5F5BE18E" w:rsidR="009716ED" w:rsidRDefault="009716ED">
      <w:r w:rsidRPr="009716ED">
        <w:t xml:space="preserve">Arao, B. and Clemens, K. (2013) </w:t>
      </w:r>
      <w:r w:rsidRPr="009716ED">
        <w:rPr>
          <w:i/>
          <w:iCs/>
        </w:rPr>
        <w:t>‘From Safe Spaces to Brave Spaces: A New Way to Frame Dialogue Around Diversity and Social Justice.’</w:t>
      </w:r>
      <w:r w:rsidRPr="009716ED">
        <w:t xml:space="preserve">, in Landreman, L.M. </w:t>
      </w:r>
      <w:r w:rsidRPr="009716ED">
        <w:rPr>
          <w:i/>
          <w:iCs/>
        </w:rPr>
        <w:t>The Art of Effective Facilitation</w:t>
      </w:r>
      <w:r w:rsidRPr="009716ED">
        <w:t>. Taylor &amp; Francis, pp.135-150</w:t>
      </w:r>
    </w:p>
    <w:p w14:paraId="520C5471" w14:textId="77777777" w:rsidR="005B017F" w:rsidRDefault="005B017F" w:rsidP="005B017F">
      <w:r>
        <w:t xml:space="preserve">Baim, C. (2020) </w:t>
      </w:r>
      <w:r w:rsidRPr="005B017F">
        <w:rPr>
          <w:i/>
          <w:iCs/>
        </w:rPr>
        <w:t>Staging the personal : a guide to safe and ethical practice</w:t>
      </w:r>
      <w:r>
        <w:t>. Cham, Switzerland: Palgrave Macmillan, pp.115-166</w:t>
      </w:r>
    </w:p>
    <w:p w14:paraId="37EC9F6C" w14:textId="3E1043C0" w:rsidR="005B017F" w:rsidRDefault="005B017F" w:rsidP="005B017F">
      <w:r>
        <w:t xml:space="preserve">Boal, A. (1995). </w:t>
      </w:r>
      <w:r w:rsidRPr="005B017F">
        <w:rPr>
          <w:i/>
          <w:iCs/>
        </w:rPr>
        <w:t>The rainbow of desire : the Boal method of theatre and therapy.</w:t>
      </w:r>
      <w:r>
        <w:t xml:space="preserve"> London: Routledge.</w:t>
      </w:r>
    </w:p>
    <w:p w14:paraId="52AF9EA8" w14:textId="387E221C" w:rsidR="005B017F" w:rsidRDefault="005B017F">
      <w:r w:rsidRPr="005B017F">
        <w:t xml:space="preserve">Bolton, G. and Delderfield, R. (2018). </w:t>
      </w:r>
      <w:r w:rsidRPr="005B017F">
        <w:rPr>
          <w:i/>
          <w:iCs/>
        </w:rPr>
        <w:t>Reflective Practice : Writing and Professional Development.</w:t>
      </w:r>
      <w:r w:rsidRPr="005B017F">
        <w:t xml:space="preserve"> 5th edn. London: Sage.</w:t>
      </w:r>
    </w:p>
    <w:p w14:paraId="29886F91" w14:textId="7C6ADCF7" w:rsidR="005B017F" w:rsidRDefault="005B017F">
      <w:r w:rsidRPr="005B017F">
        <w:t xml:space="preserve">Emerald, D. (2016). </w:t>
      </w:r>
      <w:r w:rsidRPr="005B017F">
        <w:rPr>
          <w:i/>
          <w:iCs/>
        </w:rPr>
        <w:t>The power of TED : the empowerment dynamic.</w:t>
      </w:r>
      <w:r w:rsidRPr="005B017F">
        <w:t xml:space="preserve"> Bainbridge Island, Wa: Polaris Publishing.</w:t>
      </w:r>
    </w:p>
    <w:p w14:paraId="56F4A91D" w14:textId="67222756" w:rsidR="000C07B6" w:rsidRDefault="000C07B6">
      <w:r w:rsidRPr="000C07B6">
        <w:lastRenderedPageBreak/>
        <w:t xml:space="preserve">François Matarasso (2019). </w:t>
      </w:r>
      <w:r w:rsidRPr="000C07B6">
        <w:rPr>
          <w:i/>
          <w:iCs/>
        </w:rPr>
        <w:t>A restless art : how participation won, and why it matters.</w:t>
      </w:r>
      <w:r w:rsidRPr="000C07B6">
        <w:t xml:space="preserve"> London: Calouste Gulbenkian Foundation, Uk Branch.</w:t>
      </w:r>
    </w:p>
    <w:p w14:paraId="7C433617" w14:textId="73690E6D" w:rsidR="00AB1ADA" w:rsidRDefault="00AB1ADA">
      <w:r w:rsidRPr="00AB1ADA">
        <w:t xml:space="preserve">Grimm, J. and Wilhelm Grimm (2013). </w:t>
      </w:r>
      <w:r w:rsidRPr="00AB1ADA">
        <w:rPr>
          <w:i/>
          <w:iCs/>
        </w:rPr>
        <w:t>Fairy Tales from the Brothers Grimm : a New English Version ; [adapted by] Philip Pullman</w:t>
      </w:r>
      <w:r w:rsidRPr="00AB1ADA">
        <w:t>. New York: Penguin Books.</w:t>
      </w:r>
    </w:p>
    <w:p w14:paraId="4ABDA41A" w14:textId="77777777" w:rsidR="00AB1ADA" w:rsidRDefault="00AB1ADA" w:rsidP="00AB1ADA">
      <w:r>
        <w:t>International Playback Theatre Network. (2024). - International Playback Theatre Network. [online] Available at: https://playbacktheatrenetwork.org/ [Accessed 5 Nov. 2024].</w:t>
      </w:r>
    </w:p>
    <w:p w14:paraId="50EDC36B" w14:textId="684D4B0A" w:rsidR="00AB1ADA" w:rsidRDefault="00AB1ADA" w:rsidP="00AB1ADA">
      <w:r>
        <w:t xml:space="preserve">Johnstone, K. and Wardle, I. (2019). </w:t>
      </w:r>
      <w:r w:rsidRPr="00AB1ADA">
        <w:rPr>
          <w:i/>
          <w:iCs/>
        </w:rPr>
        <w:t>Impro : improvisation and the theatre.</w:t>
      </w:r>
      <w:r>
        <w:t xml:space="preserve"> London ; New York: Bloomsbury Academic, pp. 33-74</w:t>
      </w:r>
    </w:p>
    <w:p w14:paraId="3D20D739" w14:textId="07415594" w:rsidR="00A351F5" w:rsidRPr="009716ED" w:rsidRDefault="00A351F5" w:rsidP="00AB1ADA">
      <w:r w:rsidRPr="00A351F5">
        <w:t>Karpman, S.B. (2014).</w:t>
      </w:r>
      <w:r w:rsidRPr="00A351F5">
        <w:rPr>
          <w:i/>
          <w:iCs/>
        </w:rPr>
        <w:t xml:space="preserve"> A game free life : the definitive book on the Drama Triangle and the Compassion Triangle by the originator and author</w:t>
      </w:r>
      <w:r w:rsidRPr="00A351F5">
        <w:t>. San Francisco, California: Drama Triangle Productions.</w:t>
      </w:r>
    </w:p>
    <w:p w14:paraId="2D5C72B8" w14:textId="231D803D" w:rsidR="005B34F5" w:rsidRDefault="005B34F5">
      <w:r w:rsidRPr="005B34F5">
        <w:t xml:space="preserve">Lazaroo, N. and Ishak, I. (2019), </w:t>
      </w:r>
      <w:r w:rsidRPr="008150BB">
        <w:rPr>
          <w:i/>
          <w:iCs/>
        </w:rPr>
        <w:t>“The tyranny of emotional distance? Emotion/al work and emotional labour in applied theatre projects,</w:t>
      </w:r>
      <w:r w:rsidRPr="005B34F5">
        <w:t>” Applied Theatre Research, 7 (1), pp. 67–77. doi:10.1386/atr_00006_1</w:t>
      </w:r>
    </w:p>
    <w:p w14:paraId="09156314" w14:textId="6BC1C9AA" w:rsidR="00A351F5" w:rsidRDefault="00A351F5">
      <w:r w:rsidRPr="00A351F5">
        <w:t xml:space="preserve">O’Connor, A. (2022). The work hurts. </w:t>
      </w:r>
      <w:r w:rsidRPr="00A351F5">
        <w:rPr>
          <w:i/>
          <w:iCs/>
        </w:rPr>
        <w:t>Journal of Applied Arts &amp; Health,</w:t>
      </w:r>
      <w:r w:rsidRPr="00A351F5">
        <w:t xml:space="preserve"> 00(00), pp.1–14. doi:https://doi.org/10.1386/jaah_00096_1.</w:t>
      </w:r>
    </w:p>
    <w:p w14:paraId="0076C7C9" w14:textId="51BD1D9B" w:rsidR="009303B6" w:rsidRDefault="009303B6">
      <w:r w:rsidRPr="009303B6">
        <w:t xml:space="preserve">Prentki, T. and Abraham, N. (2021). </w:t>
      </w:r>
      <w:r w:rsidRPr="009303B6">
        <w:rPr>
          <w:i/>
          <w:iCs/>
        </w:rPr>
        <w:t>The Applied Theatre Reader.</w:t>
      </w:r>
      <w:r w:rsidRPr="009303B6">
        <w:t xml:space="preserve"> 2nd edn. Routledge: London</w:t>
      </w:r>
    </w:p>
    <w:p w14:paraId="5C3349E8" w14:textId="4E6390D3" w:rsidR="005F76C5" w:rsidRDefault="005F76C5" w:rsidP="005F76C5">
      <w:r>
        <w:t>Preston, S. (2013), ‘</w:t>
      </w:r>
      <w:r w:rsidRPr="008150BB">
        <w:rPr>
          <w:i/>
          <w:iCs/>
        </w:rPr>
        <w:t>Managed hearts: Emotional labour and the applied theatre</w:t>
      </w:r>
      <w:r w:rsidRPr="008150BB">
        <w:rPr>
          <w:i/>
          <w:iCs/>
        </w:rPr>
        <w:t xml:space="preserve"> </w:t>
      </w:r>
      <w:r w:rsidRPr="008150BB">
        <w:rPr>
          <w:i/>
          <w:iCs/>
        </w:rPr>
        <w:t>facilitator in urban settings’</w:t>
      </w:r>
      <w:r>
        <w:t>, Research in Drama Education: The Journal of</w:t>
      </w:r>
      <w:r>
        <w:t xml:space="preserve"> </w:t>
      </w:r>
      <w:r>
        <w:t>Applied Theatre and Performance, 18:3, pp. 230–</w:t>
      </w:r>
      <w:r w:rsidR="00952F8F">
        <w:t>2</w:t>
      </w:r>
      <w:r>
        <w:t>45</w:t>
      </w:r>
    </w:p>
    <w:p w14:paraId="4CE4EC35" w14:textId="0DDAE37C" w:rsidR="00A351F5" w:rsidRDefault="00A351F5" w:rsidP="005F76C5">
      <w:r>
        <w:t xml:space="preserve">Preston, S. (2016). </w:t>
      </w:r>
      <w:r w:rsidRPr="009303B6">
        <w:rPr>
          <w:i/>
          <w:iCs/>
        </w:rPr>
        <w:t>Applied theatre : facilitation : pedagogies, practices, resilience.</w:t>
      </w:r>
      <w:r>
        <w:t xml:space="preserve"> London: Bloomsbury Methuen Drama, An Imprint Of Bloomsbury Publishing Plc.</w:t>
      </w:r>
    </w:p>
    <w:p w14:paraId="27836660" w14:textId="04D4CFBC" w:rsidR="00766608" w:rsidRDefault="00766608" w:rsidP="00766608">
      <w:r>
        <w:t>Rifkin, F. (2010</w:t>
      </w:r>
      <w:r w:rsidRPr="008150BB">
        <w:t xml:space="preserve">) </w:t>
      </w:r>
      <w:r w:rsidRPr="008150BB">
        <w:rPr>
          <w:i/>
          <w:iCs/>
        </w:rPr>
        <w:t>The Ethics of Participatory Theatre in a Higher Education Setting.</w:t>
      </w:r>
      <w:r>
        <w:t xml:space="preserve"> </w:t>
      </w:r>
      <w:r>
        <w:t>Performing ethos, 2011-04, Vol.1 (2), p.197-220 Publisher Bristol: Intellect Ltd</w:t>
      </w:r>
    </w:p>
    <w:p w14:paraId="65D40BEC" w14:textId="69B6534F" w:rsidR="000F3951" w:rsidRDefault="00766608" w:rsidP="00766608">
      <w:r>
        <w:t xml:space="preserve">Sadeghi-Yekta, K. and Prendergast, M. (2022). </w:t>
      </w:r>
      <w:r w:rsidRPr="008150BB">
        <w:rPr>
          <w:i/>
          <w:iCs/>
        </w:rPr>
        <w:t>Applied Theatre: Ethics.</w:t>
      </w:r>
      <w:r>
        <w:t xml:space="preserve"> Bloomsbury Publishing Plc. Pp.44-67</w:t>
      </w:r>
    </w:p>
    <w:p w14:paraId="1B3A0BD7" w14:textId="77777777" w:rsidR="006E6EA8" w:rsidRDefault="006E6EA8" w:rsidP="006E6EA8">
      <w:r>
        <w:t xml:space="preserve">Skovholt, T. M. (2005). </w:t>
      </w:r>
      <w:r w:rsidRPr="006E6EA8">
        <w:rPr>
          <w:i/>
          <w:iCs/>
        </w:rPr>
        <w:t>The Cycle of Caring: A Model of Expertise in the Helping Professions</w:t>
      </w:r>
      <w:r>
        <w:t>. Journal of Mental Health Counseling, 27(1), 82–93. https://doi.org/10.17744/mehc.27.1.mj5rcvy6c713tafw</w:t>
      </w:r>
    </w:p>
    <w:p w14:paraId="3EA23916" w14:textId="1CE4EEB4" w:rsidR="006E6EA8" w:rsidRDefault="006E6EA8" w:rsidP="006E6EA8">
      <w:r>
        <w:t xml:space="preserve">Skovholt, T.M. and Trotter-Mathison, M. (2016). </w:t>
      </w:r>
      <w:r w:rsidRPr="006E6EA8">
        <w:rPr>
          <w:i/>
          <w:iCs/>
        </w:rPr>
        <w:t>The Resilient Practitioner: Burnout and Compassion Fatigue Prevention and Self-Care Strategies for the Helping Professions.</w:t>
      </w:r>
      <w:r>
        <w:t xml:space="preserve"> 3rd edn. New York: Routledge.</w:t>
      </w:r>
    </w:p>
    <w:p w14:paraId="368A386D" w14:textId="15D09770" w:rsidR="009F5A42" w:rsidRDefault="009F5A42" w:rsidP="00766608">
      <w:r w:rsidRPr="009F5A42">
        <w:lastRenderedPageBreak/>
        <w:t xml:space="preserve">Thompson, S. and Thompson, N. (2023). </w:t>
      </w:r>
      <w:r w:rsidRPr="009F5A42">
        <w:rPr>
          <w:i/>
          <w:iCs/>
        </w:rPr>
        <w:t>The critically reflective practitioner.</w:t>
      </w:r>
      <w:r w:rsidRPr="009F5A42">
        <w:t xml:space="preserve"> Basingstoke England ; New York: Palgrave Macmillan.</w:t>
      </w:r>
    </w:p>
    <w:p w14:paraId="7F3862A8" w14:textId="2CFB6D2E" w:rsidR="003A2F4A" w:rsidRDefault="00075B8A" w:rsidP="00075B8A">
      <w:pPr>
        <w:rPr>
          <w:lang w:val="it-IT"/>
        </w:rPr>
      </w:pPr>
      <w:r w:rsidRPr="00075B8A">
        <w:t xml:space="preserve">van der Kolk, B. (2014). </w:t>
      </w:r>
      <w:r w:rsidRPr="00746DE0">
        <w:rPr>
          <w:i/>
          <w:iCs/>
        </w:rPr>
        <w:t>The Body Keeps the Score: Mind, Brain and Body in the Transformation of Trauma.</w:t>
      </w:r>
      <w:r w:rsidRPr="00075B8A">
        <w:t xml:space="preserve"> </w:t>
      </w:r>
      <w:r w:rsidRPr="00075B8A">
        <w:rPr>
          <w:lang w:val="it-IT"/>
        </w:rPr>
        <w:t>London: Penguin Books.</w:t>
      </w:r>
    </w:p>
    <w:p w14:paraId="0861858F" w14:textId="3046352E" w:rsidR="008F71B8" w:rsidRDefault="00041AB2" w:rsidP="00075B8A">
      <w:r w:rsidRPr="00041AB2">
        <w:t xml:space="preserve">Walker, C. (2014). </w:t>
      </w:r>
      <w:r w:rsidRPr="00041AB2">
        <w:rPr>
          <w:i/>
          <w:iCs/>
        </w:rPr>
        <w:t>From contempt to curiosity : creating the conditions for groups to collaborate using clean language &amp; systemic modelling.</w:t>
      </w:r>
      <w:r w:rsidRPr="00041AB2">
        <w:t xml:space="preserve"> Fareham: Clean Publishing, Cop.</w:t>
      </w:r>
    </w:p>
    <w:p w14:paraId="01786E86" w14:textId="77777777" w:rsidR="002118DF" w:rsidRPr="001E5839" w:rsidRDefault="002118DF" w:rsidP="002118DF"/>
    <w:sectPr w:rsidR="002118DF" w:rsidRPr="001E58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15B87" w14:textId="77777777" w:rsidR="00535677" w:rsidRDefault="00535677" w:rsidP="00ED7C74">
      <w:pPr>
        <w:spacing w:after="0" w:line="240" w:lineRule="auto"/>
      </w:pPr>
      <w:r>
        <w:separator/>
      </w:r>
    </w:p>
  </w:endnote>
  <w:endnote w:type="continuationSeparator" w:id="0">
    <w:p w14:paraId="3082E72E" w14:textId="77777777" w:rsidR="00535677" w:rsidRDefault="00535677" w:rsidP="00ED7C74">
      <w:pPr>
        <w:spacing w:after="0" w:line="240" w:lineRule="auto"/>
      </w:pPr>
      <w:r>
        <w:continuationSeparator/>
      </w:r>
    </w:p>
  </w:endnote>
  <w:endnote w:type="continuationNotice" w:id="1">
    <w:p w14:paraId="744FF255" w14:textId="77777777" w:rsidR="00535677" w:rsidRDefault="005356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2B780" w14:textId="513914D0" w:rsidR="00ED7C74" w:rsidRDefault="00ED7C74">
    <w:pPr>
      <w:pStyle w:val="Footer"/>
    </w:pPr>
    <w:r w:rsidRPr="00ED7C74">
      <w:t>Ella West</w:t>
    </w:r>
    <w:r>
      <w:t xml:space="preserve"> - </w:t>
    </w:r>
    <w:r w:rsidRPr="00ED7C74">
      <w:t>2415610</w:t>
    </w:r>
  </w:p>
  <w:p w14:paraId="45F4CC34" w14:textId="77777777" w:rsidR="00ED7C74" w:rsidRDefault="00ED7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4CE2D" w14:textId="77777777" w:rsidR="00535677" w:rsidRDefault="00535677" w:rsidP="00ED7C74">
      <w:pPr>
        <w:spacing w:after="0" w:line="240" w:lineRule="auto"/>
      </w:pPr>
      <w:r>
        <w:separator/>
      </w:r>
    </w:p>
  </w:footnote>
  <w:footnote w:type="continuationSeparator" w:id="0">
    <w:p w14:paraId="2EBC0172" w14:textId="77777777" w:rsidR="00535677" w:rsidRDefault="00535677" w:rsidP="00ED7C74">
      <w:pPr>
        <w:spacing w:after="0" w:line="240" w:lineRule="auto"/>
      </w:pPr>
      <w:r>
        <w:continuationSeparator/>
      </w:r>
    </w:p>
  </w:footnote>
  <w:footnote w:type="continuationNotice" w:id="1">
    <w:p w14:paraId="1FF31784" w14:textId="77777777" w:rsidR="00535677" w:rsidRDefault="005356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78"/>
    <w:rsid w:val="0000101A"/>
    <w:rsid w:val="00001FB0"/>
    <w:rsid w:val="00003B5D"/>
    <w:rsid w:val="00010C1D"/>
    <w:rsid w:val="00011E08"/>
    <w:rsid w:val="00024BC8"/>
    <w:rsid w:val="00040802"/>
    <w:rsid w:val="00041AB2"/>
    <w:rsid w:val="00044CCE"/>
    <w:rsid w:val="00052BC2"/>
    <w:rsid w:val="00061EF4"/>
    <w:rsid w:val="00063F60"/>
    <w:rsid w:val="000665ED"/>
    <w:rsid w:val="00071345"/>
    <w:rsid w:val="00074C24"/>
    <w:rsid w:val="00075B8A"/>
    <w:rsid w:val="00076DD6"/>
    <w:rsid w:val="000928D5"/>
    <w:rsid w:val="000930A8"/>
    <w:rsid w:val="000939F8"/>
    <w:rsid w:val="000A5A84"/>
    <w:rsid w:val="000B252C"/>
    <w:rsid w:val="000B2AB9"/>
    <w:rsid w:val="000B4E12"/>
    <w:rsid w:val="000B7583"/>
    <w:rsid w:val="000C07B6"/>
    <w:rsid w:val="000C5472"/>
    <w:rsid w:val="000E16BB"/>
    <w:rsid w:val="000E24C3"/>
    <w:rsid w:val="000F0DA2"/>
    <w:rsid w:val="000F3323"/>
    <w:rsid w:val="000F3951"/>
    <w:rsid w:val="000F754F"/>
    <w:rsid w:val="000F7F59"/>
    <w:rsid w:val="00110F55"/>
    <w:rsid w:val="00122452"/>
    <w:rsid w:val="0012702A"/>
    <w:rsid w:val="001315B9"/>
    <w:rsid w:val="001401B7"/>
    <w:rsid w:val="00141915"/>
    <w:rsid w:val="00141962"/>
    <w:rsid w:val="00161AD3"/>
    <w:rsid w:val="001658C8"/>
    <w:rsid w:val="001743B5"/>
    <w:rsid w:val="001760AC"/>
    <w:rsid w:val="001838F6"/>
    <w:rsid w:val="00184CE0"/>
    <w:rsid w:val="00193AF0"/>
    <w:rsid w:val="001966F4"/>
    <w:rsid w:val="001A07B0"/>
    <w:rsid w:val="001C1ACE"/>
    <w:rsid w:val="001C3222"/>
    <w:rsid w:val="001C7EAD"/>
    <w:rsid w:val="001E5839"/>
    <w:rsid w:val="001F58C5"/>
    <w:rsid w:val="00203BDA"/>
    <w:rsid w:val="002118DF"/>
    <w:rsid w:val="00211CC8"/>
    <w:rsid w:val="00212F8A"/>
    <w:rsid w:val="00214B2A"/>
    <w:rsid w:val="002162FB"/>
    <w:rsid w:val="00227454"/>
    <w:rsid w:val="00230651"/>
    <w:rsid w:val="00233541"/>
    <w:rsid w:val="00234998"/>
    <w:rsid w:val="0023791C"/>
    <w:rsid w:val="002400A3"/>
    <w:rsid w:val="002503BA"/>
    <w:rsid w:val="00251BED"/>
    <w:rsid w:val="002611CB"/>
    <w:rsid w:val="00266027"/>
    <w:rsid w:val="00273EA7"/>
    <w:rsid w:val="00275624"/>
    <w:rsid w:val="00277C26"/>
    <w:rsid w:val="00287304"/>
    <w:rsid w:val="00292C7D"/>
    <w:rsid w:val="0029642A"/>
    <w:rsid w:val="002975E2"/>
    <w:rsid w:val="002A5025"/>
    <w:rsid w:val="002A7488"/>
    <w:rsid w:val="002B1670"/>
    <w:rsid w:val="002B326A"/>
    <w:rsid w:val="002B342A"/>
    <w:rsid w:val="002D000F"/>
    <w:rsid w:val="002D0C3D"/>
    <w:rsid w:val="002D415A"/>
    <w:rsid w:val="002D4B79"/>
    <w:rsid w:val="002F0A8F"/>
    <w:rsid w:val="002F319C"/>
    <w:rsid w:val="002F4B23"/>
    <w:rsid w:val="00313F75"/>
    <w:rsid w:val="003203F1"/>
    <w:rsid w:val="003221F2"/>
    <w:rsid w:val="003257B6"/>
    <w:rsid w:val="00327364"/>
    <w:rsid w:val="00330843"/>
    <w:rsid w:val="0033681A"/>
    <w:rsid w:val="00337CFF"/>
    <w:rsid w:val="00343D79"/>
    <w:rsid w:val="00352C45"/>
    <w:rsid w:val="003575F4"/>
    <w:rsid w:val="00364336"/>
    <w:rsid w:val="0036512F"/>
    <w:rsid w:val="00365182"/>
    <w:rsid w:val="00365D59"/>
    <w:rsid w:val="003701B4"/>
    <w:rsid w:val="003708D4"/>
    <w:rsid w:val="00371F98"/>
    <w:rsid w:val="00374103"/>
    <w:rsid w:val="00376BAB"/>
    <w:rsid w:val="003803B2"/>
    <w:rsid w:val="00391998"/>
    <w:rsid w:val="00392609"/>
    <w:rsid w:val="003938A0"/>
    <w:rsid w:val="003A0A01"/>
    <w:rsid w:val="003A2F4A"/>
    <w:rsid w:val="003A56D2"/>
    <w:rsid w:val="003B349E"/>
    <w:rsid w:val="003C06D3"/>
    <w:rsid w:val="003E6BA8"/>
    <w:rsid w:val="003F09C8"/>
    <w:rsid w:val="003F66D9"/>
    <w:rsid w:val="00413DE6"/>
    <w:rsid w:val="004172DA"/>
    <w:rsid w:val="00432B93"/>
    <w:rsid w:val="004364F7"/>
    <w:rsid w:val="00446ABA"/>
    <w:rsid w:val="00457C64"/>
    <w:rsid w:val="00462515"/>
    <w:rsid w:val="004644D5"/>
    <w:rsid w:val="00465C59"/>
    <w:rsid w:val="004706AB"/>
    <w:rsid w:val="00472C34"/>
    <w:rsid w:val="00492A43"/>
    <w:rsid w:val="00496DAB"/>
    <w:rsid w:val="004A7E35"/>
    <w:rsid w:val="004B1AD8"/>
    <w:rsid w:val="004B7EF7"/>
    <w:rsid w:val="004C30B2"/>
    <w:rsid w:val="004C6747"/>
    <w:rsid w:val="004E5066"/>
    <w:rsid w:val="004F0A75"/>
    <w:rsid w:val="004F2CFB"/>
    <w:rsid w:val="00505DAE"/>
    <w:rsid w:val="005062B2"/>
    <w:rsid w:val="0051146C"/>
    <w:rsid w:val="00516265"/>
    <w:rsid w:val="00523651"/>
    <w:rsid w:val="0052452E"/>
    <w:rsid w:val="00535677"/>
    <w:rsid w:val="00537E43"/>
    <w:rsid w:val="00543069"/>
    <w:rsid w:val="005437DC"/>
    <w:rsid w:val="00547B71"/>
    <w:rsid w:val="00553F0D"/>
    <w:rsid w:val="00554C6F"/>
    <w:rsid w:val="0056139E"/>
    <w:rsid w:val="00572BAE"/>
    <w:rsid w:val="00585546"/>
    <w:rsid w:val="00595F94"/>
    <w:rsid w:val="005A1852"/>
    <w:rsid w:val="005B017F"/>
    <w:rsid w:val="005B1B32"/>
    <w:rsid w:val="005B34F5"/>
    <w:rsid w:val="005D0822"/>
    <w:rsid w:val="005D25BC"/>
    <w:rsid w:val="005D4F99"/>
    <w:rsid w:val="005D654D"/>
    <w:rsid w:val="005D66C6"/>
    <w:rsid w:val="005F33F7"/>
    <w:rsid w:val="005F6DA7"/>
    <w:rsid w:val="005F76C5"/>
    <w:rsid w:val="006034E1"/>
    <w:rsid w:val="00614972"/>
    <w:rsid w:val="00615D8C"/>
    <w:rsid w:val="00621103"/>
    <w:rsid w:val="0063374F"/>
    <w:rsid w:val="00643238"/>
    <w:rsid w:val="00651377"/>
    <w:rsid w:val="00654A4B"/>
    <w:rsid w:val="00661912"/>
    <w:rsid w:val="006644DF"/>
    <w:rsid w:val="0066598F"/>
    <w:rsid w:val="00676BB5"/>
    <w:rsid w:val="00677A42"/>
    <w:rsid w:val="006809D0"/>
    <w:rsid w:val="0068106B"/>
    <w:rsid w:val="0069036F"/>
    <w:rsid w:val="006A38C8"/>
    <w:rsid w:val="006A7F84"/>
    <w:rsid w:val="006D56B8"/>
    <w:rsid w:val="006E0D7E"/>
    <w:rsid w:val="006E6EA8"/>
    <w:rsid w:val="006F72A0"/>
    <w:rsid w:val="006F753A"/>
    <w:rsid w:val="00701BAB"/>
    <w:rsid w:val="0070216A"/>
    <w:rsid w:val="00710E67"/>
    <w:rsid w:val="0071774D"/>
    <w:rsid w:val="0072338A"/>
    <w:rsid w:val="007249AF"/>
    <w:rsid w:val="0072600B"/>
    <w:rsid w:val="00733BE7"/>
    <w:rsid w:val="00736A40"/>
    <w:rsid w:val="00746DE0"/>
    <w:rsid w:val="007510D7"/>
    <w:rsid w:val="00754B7A"/>
    <w:rsid w:val="00754F21"/>
    <w:rsid w:val="00756F01"/>
    <w:rsid w:val="00766608"/>
    <w:rsid w:val="007743E0"/>
    <w:rsid w:val="0077573E"/>
    <w:rsid w:val="00782760"/>
    <w:rsid w:val="00782E16"/>
    <w:rsid w:val="00783D8D"/>
    <w:rsid w:val="007866BD"/>
    <w:rsid w:val="00794078"/>
    <w:rsid w:val="00794F20"/>
    <w:rsid w:val="007A766A"/>
    <w:rsid w:val="007B2BE8"/>
    <w:rsid w:val="007B2CA8"/>
    <w:rsid w:val="007B6085"/>
    <w:rsid w:val="007C0C8B"/>
    <w:rsid w:val="007D071E"/>
    <w:rsid w:val="007D287D"/>
    <w:rsid w:val="007D32E7"/>
    <w:rsid w:val="007E6D97"/>
    <w:rsid w:val="007F3967"/>
    <w:rsid w:val="007F446E"/>
    <w:rsid w:val="007F4981"/>
    <w:rsid w:val="007F4BFC"/>
    <w:rsid w:val="007F5651"/>
    <w:rsid w:val="007F6A46"/>
    <w:rsid w:val="0080343E"/>
    <w:rsid w:val="00803953"/>
    <w:rsid w:val="0080657F"/>
    <w:rsid w:val="008150BB"/>
    <w:rsid w:val="00820809"/>
    <w:rsid w:val="00832EB9"/>
    <w:rsid w:val="00837CC9"/>
    <w:rsid w:val="008426C2"/>
    <w:rsid w:val="00847334"/>
    <w:rsid w:val="008602BC"/>
    <w:rsid w:val="00874460"/>
    <w:rsid w:val="008826A1"/>
    <w:rsid w:val="00882992"/>
    <w:rsid w:val="00882C4C"/>
    <w:rsid w:val="00893D5B"/>
    <w:rsid w:val="00893F3D"/>
    <w:rsid w:val="008B0117"/>
    <w:rsid w:val="008B1478"/>
    <w:rsid w:val="008B34D0"/>
    <w:rsid w:val="008B34F7"/>
    <w:rsid w:val="008C0ABE"/>
    <w:rsid w:val="008C1EB9"/>
    <w:rsid w:val="008C42EC"/>
    <w:rsid w:val="008C48E4"/>
    <w:rsid w:val="008D544F"/>
    <w:rsid w:val="008E28F5"/>
    <w:rsid w:val="008E3004"/>
    <w:rsid w:val="008F0294"/>
    <w:rsid w:val="008F1944"/>
    <w:rsid w:val="008F2957"/>
    <w:rsid w:val="008F71B8"/>
    <w:rsid w:val="00900335"/>
    <w:rsid w:val="009007F7"/>
    <w:rsid w:val="00901ABA"/>
    <w:rsid w:val="00903837"/>
    <w:rsid w:val="00912683"/>
    <w:rsid w:val="009303B6"/>
    <w:rsid w:val="009308B4"/>
    <w:rsid w:val="00934007"/>
    <w:rsid w:val="00945CB7"/>
    <w:rsid w:val="0094692B"/>
    <w:rsid w:val="00952F8F"/>
    <w:rsid w:val="00962B1C"/>
    <w:rsid w:val="00964D9B"/>
    <w:rsid w:val="009716ED"/>
    <w:rsid w:val="00972602"/>
    <w:rsid w:val="00980996"/>
    <w:rsid w:val="00984C8A"/>
    <w:rsid w:val="00987030"/>
    <w:rsid w:val="00997BFD"/>
    <w:rsid w:val="009B5782"/>
    <w:rsid w:val="009B74FB"/>
    <w:rsid w:val="009C3050"/>
    <w:rsid w:val="009D17C3"/>
    <w:rsid w:val="009D453B"/>
    <w:rsid w:val="009E1C22"/>
    <w:rsid w:val="009E4149"/>
    <w:rsid w:val="009E7EB0"/>
    <w:rsid w:val="009F57B7"/>
    <w:rsid w:val="009F5A42"/>
    <w:rsid w:val="009F60AA"/>
    <w:rsid w:val="009F6BFA"/>
    <w:rsid w:val="009F7607"/>
    <w:rsid w:val="00A036E9"/>
    <w:rsid w:val="00A03C73"/>
    <w:rsid w:val="00A24279"/>
    <w:rsid w:val="00A26AB2"/>
    <w:rsid w:val="00A27A6D"/>
    <w:rsid w:val="00A33AE1"/>
    <w:rsid w:val="00A351F5"/>
    <w:rsid w:val="00A358D9"/>
    <w:rsid w:val="00A36C6D"/>
    <w:rsid w:val="00A42C65"/>
    <w:rsid w:val="00A458EC"/>
    <w:rsid w:val="00A524F9"/>
    <w:rsid w:val="00A53582"/>
    <w:rsid w:val="00A66247"/>
    <w:rsid w:val="00A76F2D"/>
    <w:rsid w:val="00A7723E"/>
    <w:rsid w:val="00A825F7"/>
    <w:rsid w:val="00A83296"/>
    <w:rsid w:val="00A91181"/>
    <w:rsid w:val="00A9753B"/>
    <w:rsid w:val="00AB0EED"/>
    <w:rsid w:val="00AB1ADA"/>
    <w:rsid w:val="00AB271F"/>
    <w:rsid w:val="00AB3B97"/>
    <w:rsid w:val="00AC4690"/>
    <w:rsid w:val="00AD1C07"/>
    <w:rsid w:val="00AD2ECF"/>
    <w:rsid w:val="00AD5C1A"/>
    <w:rsid w:val="00AD7DC8"/>
    <w:rsid w:val="00B045F3"/>
    <w:rsid w:val="00B163E7"/>
    <w:rsid w:val="00B17145"/>
    <w:rsid w:val="00B201C3"/>
    <w:rsid w:val="00B20C77"/>
    <w:rsid w:val="00B21F56"/>
    <w:rsid w:val="00B348EE"/>
    <w:rsid w:val="00B356C3"/>
    <w:rsid w:val="00B45453"/>
    <w:rsid w:val="00B522B5"/>
    <w:rsid w:val="00B525CA"/>
    <w:rsid w:val="00B6088A"/>
    <w:rsid w:val="00B60AFD"/>
    <w:rsid w:val="00B63DD4"/>
    <w:rsid w:val="00B67F62"/>
    <w:rsid w:val="00B76EDA"/>
    <w:rsid w:val="00B80919"/>
    <w:rsid w:val="00B80CD0"/>
    <w:rsid w:val="00B81795"/>
    <w:rsid w:val="00B92D2E"/>
    <w:rsid w:val="00B94B7B"/>
    <w:rsid w:val="00B96DD9"/>
    <w:rsid w:val="00BA4BE9"/>
    <w:rsid w:val="00BA5C60"/>
    <w:rsid w:val="00BA74BD"/>
    <w:rsid w:val="00BB2FBD"/>
    <w:rsid w:val="00BB5661"/>
    <w:rsid w:val="00BB5742"/>
    <w:rsid w:val="00BC5D3E"/>
    <w:rsid w:val="00BC611B"/>
    <w:rsid w:val="00BD7604"/>
    <w:rsid w:val="00BD7B81"/>
    <w:rsid w:val="00BE4CB2"/>
    <w:rsid w:val="00BF0524"/>
    <w:rsid w:val="00BF0A78"/>
    <w:rsid w:val="00BF6FE4"/>
    <w:rsid w:val="00C024CE"/>
    <w:rsid w:val="00C06BD6"/>
    <w:rsid w:val="00C25854"/>
    <w:rsid w:val="00C268B8"/>
    <w:rsid w:val="00C314C9"/>
    <w:rsid w:val="00C333F2"/>
    <w:rsid w:val="00C33957"/>
    <w:rsid w:val="00C353CE"/>
    <w:rsid w:val="00C53879"/>
    <w:rsid w:val="00C62645"/>
    <w:rsid w:val="00C631AE"/>
    <w:rsid w:val="00C72CD8"/>
    <w:rsid w:val="00C80A85"/>
    <w:rsid w:val="00C81DE2"/>
    <w:rsid w:val="00C829B9"/>
    <w:rsid w:val="00C82C7B"/>
    <w:rsid w:val="00C84137"/>
    <w:rsid w:val="00C84204"/>
    <w:rsid w:val="00C84389"/>
    <w:rsid w:val="00C9177A"/>
    <w:rsid w:val="00C93101"/>
    <w:rsid w:val="00C95E15"/>
    <w:rsid w:val="00CA0799"/>
    <w:rsid w:val="00CC0D6B"/>
    <w:rsid w:val="00CD4E06"/>
    <w:rsid w:val="00CD60F2"/>
    <w:rsid w:val="00CE4CEC"/>
    <w:rsid w:val="00CE65DE"/>
    <w:rsid w:val="00CF1B5B"/>
    <w:rsid w:val="00CF25CA"/>
    <w:rsid w:val="00CF2E7F"/>
    <w:rsid w:val="00CF4E7D"/>
    <w:rsid w:val="00CF78A7"/>
    <w:rsid w:val="00CF7F83"/>
    <w:rsid w:val="00CF7FD4"/>
    <w:rsid w:val="00D02909"/>
    <w:rsid w:val="00D07D6A"/>
    <w:rsid w:val="00D1034A"/>
    <w:rsid w:val="00D221C6"/>
    <w:rsid w:val="00D312EA"/>
    <w:rsid w:val="00D37EA8"/>
    <w:rsid w:val="00D527F0"/>
    <w:rsid w:val="00D53611"/>
    <w:rsid w:val="00D56A0E"/>
    <w:rsid w:val="00D66863"/>
    <w:rsid w:val="00D72900"/>
    <w:rsid w:val="00D75E61"/>
    <w:rsid w:val="00DA1555"/>
    <w:rsid w:val="00DA42BE"/>
    <w:rsid w:val="00DA527B"/>
    <w:rsid w:val="00DA5294"/>
    <w:rsid w:val="00DB0F9A"/>
    <w:rsid w:val="00DB577B"/>
    <w:rsid w:val="00DC2EB0"/>
    <w:rsid w:val="00DC7BF8"/>
    <w:rsid w:val="00DD00FA"/>
    <w:rsid w:val="00DD4868"/>
    <w:rsid w:val="00DD48AE"/>
    <w:rsid w:val="00DD5C06"/>
    <w:rsid w:val="00DE0134"/>
    <w:rsid w:val="00DE31BF"/>
    <w:rsid w:val="00DE3BCE"/>
    <w:rsid w:val="00DE6462"/>
    <w:rsid w:val="00DF2088"/>
    <w:rsid w:val="00DF2A01"/>
    <w:rsid w:val="00E034CC"/>
    <w:rsid w:val="00E12B9B"/>
    <w:rsid w:val="00E134C0"/>
    <w:rsid w:val="00E21BBD"/>
    <w:rsid w:val="00E26345"/>
    <w:rsid w:val="00E32055"/>
    <w:rsid w:val="00E37E2D"/>
    <w:rsid w:val="00E503DC"/>
    <w:rsid w:val="00E53721"/>
    <w:rsid w:val="00E552D4"/>
    <w:rsid w:val="00E5683A"/>
    <w:rsid w:val="00E56D26"/>
    <w:rsid w:val="00E64435"/>
    <w:rsid w:val="00E70700"/>
    <w:rsid w:val="00E72011"/>
    <w:rsid w:val="00E74628"/>
    <w:rsid w:val="00E838DC"/>
    <w:rsid w:val="00E87541"/>
    <w:rsid w:val="00E90D07"/>
    <w:rsid w:val="00E9410C"/>
    <w:rsid w:val="00E95C3D"/>
    <w:rsid w:val="00EB3911"/>
    <w:rsid w:val="00EB77C5"/>
    <w:rsid w:val="00EC3926"/>
    <w:rsid w:val="00EC76FF"/>
    <w:rsid w:val="00ED169D"/>
    <w:rsid w:val="00ED1A44"/>
    <w:rsid w:val="00ED7C74"/>
    <w:rsid w:val="00EE304B"/>
    <w:rsid w:val="00EE509F"/>
    <w:rsid w:val="00EE5B84"/>
    <w:rsid w:val="00F04D6D"/>
    <w:rsid w:val="00F07723"/>
    <w:rsid w:val="00F136F5"/>
    <w:rsid w:val="00F13D95"/>
    <w:rsid w:val="00F26788"/>
    <w:rsid w:val="00F26E9B"/>
    <w:rsid w:val="00F3666E"/>
    <w:rsid w:val="00F53F7B"/>
    <w:rsid w:val="00F5651E"/>
    <w:rsid w:val="00F57847"/>
    <w:rsid w:val="00F63BAF"/>
    <w:rsid w:val="00F65618"/>
    <w:rsid w:val="00F70F6C"/>
    <w:rsid w:val="00F72DB7"/>
    <w:rsid w:val="00F77C52"/>
    <w:rsid w:val="00F87635"/>
    <w:rsid w:val="00F91C48"/>
    <w:rsid w:val="00F96D58"/>
    <w:rsid w:val="00FA2E66"/>
    <w:rsid w:val="00FA6E67"/>
    <w:rsid w:val="00FA7D7B"/>
    <w:rsid w:val="00FB01A1"/>
    <w:rsid w:val="00FB1AC2"/>
    <w:rsid w:val="00FB25DB"/>
    <w:rsid w:val="00FC4F4C"/>
    <w:rsid w:val="00FE3525"/>
    <w:rsid w:val="00FF06EB"/>
    <w:rsid w:val="00FF075A"/>
    <w:rsid w:val="00FF1E99"/>
    <w:rsid w:val="00FF32B4"/>
    <w:rsid w:val="00FF5C40"/>
    <w:rsid w:val="00FF6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8138F"/>
  <w15:chartTrackingRefBased/>
  <w15:docId w15:val="{B15D07A2-03C4-4BC2-B8AB-7180B1086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14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14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14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14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14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4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4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4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4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14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14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14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14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14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4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4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478"/>
    <w:rPr>
      <w:rFonts w:eastAsiaTheme="majorEastAsia" w:cstheme="majorBidi"/>
      <w:color w:val="272727" w:themeColor="text1" w:themeTint="D8"/>
    </w:rPr>
  </w:style>
  <w:style w:type="paragraph" w:styleId="Title">
    <w:name w:val="Title"/>
    <w:basedOn w:val="Normal"/>
    <w:next w:val="Normal"/>
    <w:link w:val="TitleChar"/>
    <w:uiPriority w:val="10"/>
    <w:qFormat/>
    <w:rsid w:val="008B14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4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4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4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478"/>
    <w:pPr>
      <w:spacing w:before="160"/>
      <w:jc w:val="center"/>
    </w:pPr>
    <w:rPr>
      <w:i/>
      <w:iCs/>
      <w:color w:val="404040" w:themeColor="text1" w:themeTint="BF"/>
    </w:rPr>
  </w:style>
  <w:style w:type="character" w:customStyle="1" w:styleId="QuoteChar">
    <w:name w:val="Quote Char"/>
    <w:basedOn w:val="DefaultParagraphFont"/>
    <w:link w:val="Quote"/>
    <w:uiPriority w:val="29"/>
    <w:rsid w:val="008B1478"/>
    <w:rPr>
      <w:i/>
      <w:iCs/>
      <w:color w:val="404040" w:themeColor="text1" w:themeTint="BF"/>
    </w:rPr>
  </w:style>
  <w:style w:type="paragraph" w:styleId="ListParagraph">
    <w:name w:val="List Paragraph"/>
    <w:basedOn w:val="Normal"/>
    <w:uiPriority w:val="34"/>
    <w:qFormat/>
    <w:rsid w:val="008B1478"/>
    <w:pPr>
      <w:ind w:left="720"/>
      <w:contextualSpacing/>
    </w:pPr>
  </w:style>
  <w:style w:type="character" w:styleId="IntenseEmphasis">
    <w:name w:val="Intense Emphasis"/>
    <w:basedOn w:val="DefaultParagraphFont"/>
    <w:uiPriority w:val="21"/>
    <w:qFormat/>
    <w:rsid w:val="008B1478"/>
    <w:rPr>
      <w:i/>
      <w:iCs/>
      <w:color w:val="0F4761" w:themeColor="accent1" w:themeShade="BF"/>
    </w:rPr>
  </w:style>
  <w:style w:type="paragraph" w:styleId="IntenseQuote">
    <w:name w:val="Intense Quote"/>
    <w:basedOn w:val="Normal"/>
    <w:next w:val="Normal"/>
    <w:link w:val="IntenseQuoteChar"/>
    <w:uiPriority w:val="30"/>
    <w:qFormat/>
    <w:rsid w:val="008B14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1478"/>
    <w:rPr>
      <w:i/>
      <w:iCs/>
      <w:color w:val="0F4761" w:themeColor="accent1" w:themeShade="BF"/>
    </w:rPr>
  </w:style>
  <w:style w:type="character" w:styleId="IntenseReference">
    <w:name w:val="Intense Reference"/>
    <w:basedOn w:val="DefaultParagraphFont"/>
    <w:uiPriority w:val="32"/>
    <w:qFormat/>
    <w:rsid w:val="008B1478"/>
    <w:rPr>
      <w:b/>
      <w:bCs/>
      <w:smallCaps/>
      <w:color w:val="0F4761" w:themeColor="accent1" w:themeShade="BF"/>
      <w:spacing w:val="5"/>
    </w:rPr>
  </w:style>
  <w:style w:type="character" w:styleId="Hyperlink">
    <w:name w:val="Hyperlink"/>
    <w:basedOn w:val="DefaultParagraphFont"/>
    <w:uiPriority w:val="99"/>
    <w:unhideWhenUsed/>
    <w:rsid w:val="009F60AA"/>
    <w:rPr>
      <w:color w:val="467886" w:themeColor="hyperlink"/>
      <w:u w:val="single"/>
    </w:rPr>
  </w:style>
  <w:style w:type="character" w:styleId="UnresolvedMention">
    <w:name w:val="Unresolved Mention"/>
    <w:basedOn w:val="DefaultParagraphFont"/>
    <w:uiPriority w:val="99"/>
    <w:semiHidden/>
    <w:unhideWhenUsed/>
    <w:rsid w:val="009F60AA"/>
    <w:rPr>
      <w:color w:val="605E5C"/>
      <w:shd w:val="clear" w:color="auto" w:fill="E1DFDD"/>
    </w:rPr>
  </w:style>
  <w:style w:type="paragraph" w:styleId="Header">
    <w:name w:val="header"/>
    <w:basedOn w:val="Normal"/>
    <w:link w:val="HeaderChar"/>
    <w:uiPriority w:val="99"/>
    <w:unhideWhenUsed/>
    <w:rsid w:val="00ED7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C74"/>
  </w:style>
  <w:style w:type="paragraph" w:styleId="Footer">
    <w:name w:val="footer"/>
    <w:basedOn w:val="Normal"/>
    <w:link w:val="FooterChar"/>
    <w:uiPriority w:val="99"/>
    <w:unhideWhenUsed/>
    <w:rsid w:val="00ED7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7744/mehc.27.1.mj5rcvy6c713taf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1451</Words>
  <Characters>8271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9703</CharactersWithSpaces>
  <SharedDoc>false</SharedDoc>
  <HLinks>
    <vt:vector size="12" baseType="variant">
      <vt:variant>
        <vt:i4>5111872</vt:i4>
      </vt:variant>
      <vt:variant>
        <vt:i4>3</vt:i4>
      </vt:variant>
      <vt:variant>
        <vt:i4>0</vt:i4>
      </vt:variant>
      <vt:variant>
        <vt:i4>5</vt:i4>
      </vt:variant>
      <vt:variant>
        <vt:lpwstr>https://howlround.com/resisting-yes-and-culture-and-learning-say-no Sarah Nicole 2024</vt:lpwstr>
      </vt:variant>
      <vt:variant>
        <vt:lpwstr/>
      </vt:variant>
      <vt:variant>
        <vt:i4>2949175</vt:i4>
      </vt:variant>
      <vt:variant>
        <vt:i4>0</vt:i4>
      </vt:variant>
      <vt:variant>
        <vt:i4>0</vt:i4>
      </vt:variant>
      <vt:variant>
        <vt:i4>5</vt:i4>
      </vt:variant>
      <vt:variant>
        <vt:lpwstr>https://howlround.com/resisting-yes-and-culture-and-learning-say-no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West</dc:creator>
  <cp:keywords/>
  <dc:description/>
  <cp:lastModifiedBy>Ella West</cp:lastModifiedBy>
  <cp:revision>21</cp:revision>
  <dcterms:created xsi:type="dcterms:W3CDTF">2025-01-07T11:48:00Z</dcterms:created>
  <dcterms:modified xsi:type="dcterms:W3CDTF">2025-01-07T12:25:00Z</dcterms:modified>
</cp:coreProperties>
</file>