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Mrs Helen House</w:t>
      </w:r>
    </w:p>
    <w:p w:rsidR="00000000" w:rsidDel="00000000" w:rsidP="00000000" w:rsidRDefault="00000000" w:rsidRPr="00000000" w14:paraId="00000002">
      <w:pPr>
        <w:spacing w:line="240" w:lineRule="auto"/>
        <w:jc w:val="center"/>
        <w:rPr>
          <w:rFonts w:ascii="Calibri" w:cs="Calibri" w:eastAsia="Calibri" w:hAnsi="Calibri"/>
          <w:b w:val="1"/>
          <w:smallCaps w:val="1"/>
          <w:sz w:val="28"/>
          <w:szCs w:val="28"/>
        </w:rPr>
      </w:pPr>
      <w:r w:rsidDel="00000000" w:rsidR="00000000" w:rsidRPr="00000000">
        <w:rPr>
          <w:rFonts w:ascii="Calibri" w:cs="Calibri" w:eastAsia="Calibri" w:hAnsi="Calibri"/>
          <w:b w:val="1"/>
          <w:smallCaps w:val="1"/>
          <w:sz w:val="28"/>
          <w:szCs w:val="28"/>
          <w:rtl w:val="0"/>
        </w:rPr>
        <w:t xml:space="preserve">MODULE CODE: BMSA4001</w:t>
      </w:r>
    </w:p>
    <w:p w:rsidR="00000000" w:rsidDel="00000000" w:rsidP="00000000" w:rsidRDefault="00000000" w:rsidRPr="00000000" w14:paraId="00000003">
      <w:pPr>
        <w:spacing w:line="240" w:lineRule="auto"/>
        <w:jc w:val="center"/>
        <w:rPr>
          <w:rFonts w:ascii="Calibri" w:cs="Calibri" w:eastAsia="Calibri" w:hAnsi="Calibri"/>
          <w:b w:val="1"/>
          <w:smallCaps w:val="1"/>
          <w:sz w:val="28"/>
          <w:szCs w:val="28"/>
        </w:rPr>
      </w:pPr>
      <w:r w:rsidDel="00000000" w:rsidR="00000000" w:rsidRPr="00000000">
        <w:rPr>
          <w:rFonts w:ascii="Calibri" w:cs="Calibri" w:eastAsia="Calibri" w:hAnsi="Calibri"/>
          <w:b w:val="1"/>
          <w:smallCaps w:val="1"/>
          <w:sz w:val="28"/>
          <w:szCs w:val="28"/>
          <w:rtl w:val="0"/>
        </w:rPr>
        <w:t xml:space="preserve">Summer 2024</w:t>
      </w:r>
    </w:p>
    <w:p w:rsidR="00000000" w:rsidDel="00000000" w:rsidP="00000000" w:rsidRDefault="00000000" w:rsidRPr="00000000" w14:paraId="00000004">
      <w:pPr>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My Reflective Journal</w:t>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Researchers school has 442 pupils, from Nursery age to year 6.  The children are taught in 18 mainstream classes and two Learning Resource Bases (LRB).  There are 231 children in the Foundation Learning and 211 children in the Junior Department.  The school has  229 boys and 213girls.</w:t>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school is based in South Wales valleys, 53</w:t>
      </w:r>
      <w:r w:rsidDel="00000000" w:rsidR="00000000" w:rsidRPr="00000000">
        <w:rPr>
          <w:rFonts w:ascii="Times New Roman" w:cs="Times New Roman" w:eastAsia="Times New Roman" w:hAnsi="Times New Roman"/>
          <w:sz w:val="24"/>
          <w:szCs w:val="24"/>
          <w:rtl w:val="0"/>
        </w:rPr>
        <w:t xml:space="preserve">% of the childre</w:t>
      </w:r>
      <w:r w:rsidDel="00000000" w:rsidR="00000000" w:rsidRPr="00000000">
        <w:rPr>
          <w:rFonts w:ascii="Times New Roman" w:cs="Times New Roman" w:eastAsia="Times New Roman" w:hAnsi="Times New Roman"/>
          <w:sz w:val="24"/>
          <w:szCs w:val="24"/>
          <w:rtl w:val="0"/>
        </w:rPr>
        <w:t xml:space="preserve">n have free school meals, and</w:t>
      </w:r>
      <w:r w:rsidDel="00000000" w:rsidR="00000000" w:rsidRPr="00000000">
        <w:rPr>
          <w:rFonts w:ascii="Times New Roman" w:cs="Times New Roman" w:eastAsia="Times New Roman" w:hAnsi="Times New Roman"/>
          <w:sz w:val="24"/>
          <w:szCs w:val="24"/>
          <w:rtl w:val="0"/>
        </w:rPr>
        <w:t xml:space="preserve"> 22% of the children are on the ALN</w:t>
      </w:r>
      <w:r w:rsidDel="00000000" w:rsidR="00000000" w:rsidRPr="00000000">
        <w:rPr>
          <w:rFonts w:ascii="Times New Roman" w:cs="Times New Roman" w:eastAsia="Times New Roman" w:hAnsi="Times New Roman"/>
          <w:sz w:val="24"/>
          <w:szCs w:val="24"/>
          <w:rtl w:val="0"/>
        </w:rPr>
        <w:t xml:space="preserve"> (Additional Learning Needs) register.</w:t>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Researchers’ class comprised ten children aged between 4 and 8 years old. The pupils in the class have a list of ALN needs including global delay, ASD (Autism Spectrum Disorder), ADHD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Attention deficit hyperactivity disorder)</w:t>
      </w:r>
      <w:r w:rsidDel="00000000" w:rsidR="00000000" w:rsidRPr="00000000">
        <w:rPr>
          <w:rFonts w:ascii="Times New Roman" w:cs="Times New Roman" w:eastAsia="Times New Roman" w:hAnsi="Times New Roman"/>
          <w:b w:val="1"/>
          <w:color w:val="5f6368"/>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 PKU</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12b32"/>
          <w:sz w:val="24"/>
          <w:szCs w:val="24"/>
          <w:shd w:fill="f0f4f5" w:val="clear"/>
          <w:rtl w:val="0"/>
        </w:rPr>
        <w:t xml:space="preserve">Phenylketonuria)</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non verbal and some are not toilet trained.  There are 3 children in Reception, 3 children in Year 1 and 4 children in year 2.  </w:t>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Ayres suggests, children will develop their sensory integrative functions naturally, due to the ALN needs of the focus group these sensory integrative functions are delayed, Ayres suggests that in the second year the child should learn to talk and show understanding of words said to them.  The focus group has children who have no speech and do not babble, some who are showing signs of Echolalia and some who struggle to build a sentence of more than 2 or 3 words.</w:t>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ind w:left="2160" w:firstLine="0"/>
        <w:rPr>
          <w:rFonts w:ascii="Times New Roman" w:cs="Times New Roman" w:eastAsia="Times New Roman" w:hAnsi="Times New Roman"/>
          <w:color w:val="1d2125"/>
          <w:sz w:val="24"/>
          <w:szCs w:val="24"/>
          <w:shd w:fill="f8f9fa" w:val="clear"/>
        </w:rPr>
      </w:pPr>
      <w:r w:rsidDel="00000000" w:rsidR="00000000" w:rsidRPr="00000000">
        <w:rPr>
          <w:rFonts w:ascii="Times New Roman" w:cs="Times New Roman" w:eastAsia="Times New Roman" w:hAnsi="Times New Roman"/>
          <w:sz w:val="24"/>
          <w:szCs w:val="24"/>
          <w:rtl w:val="0"/>
        </w:rPr>
        <w:t xml:space="preserve">“Now the child learns to walk, to talk, and to plan more complex actions and perform them more effectively. It is quite certain that without all the sensory integration that took place during the first year, it would be very difficult for the child to learn these things. And in turn, without the integration that occurs in this second year, all subsequent development would be difficult” </w:t>
      </w:r>
      <w:r w:rsidDel="00000000" w:rsidR="00000000" w:rsidRPr="00000000">
        <w:rPr>
          <w:rFonts w:ascii="Times New Roman" w:cs="Times New Roman" w:eastAsia="Times New Roman" w:hAnsi="Times New Roman"/>
          <w:color w:val="1d2125"/>
          <w:sz w:val="24"/>
          <w:szCs w:val="24"/>
          <w:shd w:fill="f8f9fa" w:val="clear"/>
          <w:rtl w:val="0"/>
        </w:rPr>
        <w:t xml:space="preserve">Ayres, J. (2005 Chapter 2 p22) </w:t>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Considering the delayed aspects of the focus group, who are not working at age expected levels, the Researcher was aware there would be many other aspects of movement in early development which could have been missed, including stability, locomotion and manipulation.  Tonic labyrinthine reflex (TLR) can result in poor posture, balance, inability to sit at a desk, and children will often walk on their toes after they are 3 years of age. Palmer reflex resulting in poor handwriting, fine motor skills. Symmetrical Tonic Neck Reflex (STNR) can affect muscle tone, hand eye coordination and poor vertical tracking, children with ALN needs often retained STNR.  Spinal Galant Reflex can affect a child's posture, ability to sit still and bedwetting.  All of these difficulties are seen in the focus group.  From the knowledge gained during the SKIP training sessions and the background reading the Researcher decided to implement a number of activities to ensure the focus group were given an opportunity to experience areas they may have missed during the early years.  The introduction of outdoor play first thing in the morning,(appendix 3) this was to include climbing equipment, sensory circuits and running on the yard.  It was noticed the children were able to sit and complete table tasks after this extra outdoor activity and concentrate on their learning.</w:t>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school day, in addition to SKIP lessons the children would have access to activities to strengthen their fine motor skills and gross motor skills such as dough work, sand and water play, building blocks.  They would also have sensory balance paths, stepping stones, balls,  yoga and dance sessions. Also using the gonge spinning top and a spinning balance top.   These were used to give the children the opportunity to strengthen their sensory integration- proprioception and balance and movement and their vestibular system.  </w:t>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purpose of this study, two of the Reception children were not included in the results, as they were unable to communicate and follow instructions and were attending school on a part time basis.  Both children were achieving between 9 months to 2 years of age in communication, cognition and learning, physical and social skills.  Both children take part in all SKIP activities when they attend school.</w:t>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Researcher completed a baseline assessment of the 8 children, this consisted of a standing jump, catching a ball, balancing on one foot (right and left). The height and date of birth was noted also.  These activities are used in the baseline assessment as it has been identified that these are the fundamental skills needed.</w:t>
      </w:r>
      <w:r w:rsidDel="00000000" w:rsidR="00000000" w:rsidRPr="00000000">
        <w:rPr>
          <w:rtl w:val="0"/>
        </w:rPr>
      </w:r>
    </w:p>
    <w:p w:rsidR="00000000" w:rsidDel="00000000" w:rsidP="00000000" w:rsidRDefault="00000000" w:rsidRPr="00000000" w14:paraId="00000015">
      <w:pPr>
        <w:spacing w:after="240" w:before="240" w:lineRule="auto"/>
        <w:ind w:left="21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“If children cannot proficiently run, jump, catch, throw etc. then they will have limited opportunities for engagement in Physical Activity later in their lives because they will not have the prerequisite skills to be active”  </w:t>
      </w:r>
      <w:r w:rsidDel="00000000" w:rsidR="00000000" w:rsidRPr="00000000">
        <w:rPr>
          <w:rFonts w:ascii="Times New Roman" w:cs="Times New Roman" w:eastAsia="Times New Roman" w:hAnsi="Times New Roman"/>
          <w:sz w:val="24"/>
          <w:szCs w:val="24"/>
          <w:rtl w:val="0"/>
        </w:rPr>
        <w:t xml:space="preserve">Stodden D.F., Goodway, J.D., Langendorfer, Robertson, Rudisill, Garcia &amp; Garcia, (2012 p. 291).  </w:t>
      </w:r>
    </w:p>
    <w:p w:rsidR="00000000" w:rsidDel="00000000" w:rsidP="00000000" w:rsidRDefault="00000000" w:rsidRPr="00000000" w14:paraId="00000016">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assessment was interesting as some children were able to copy the action or follow instructions, some children were unable to score as they did not understand the instructions, this was due to the low cognitive ability of the children and their ALN (additional learning need) such as ASD.  All of the group were able to score when catching a ball.  Most  were able to jump from 2 feet to 2 feet.  Only a few were able to balance on one leg.</w:t>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first SKIP lessons in the school hall, the Researcher set the safe area using cones.  This was a difficult concept for the ASD children to understand.  The researcher used a happy green face and a red sad face (Appendix 2) to show the children they were in the correct area. Most of the children understood this after a few sessions, but did need to be reminded. One of the children was unable to understand the concept and would run around all of the hall space.  The Researcher decided that as the hall was a safe space, the exit doors were closed and could only be opened by a staff member, the surrounding areas were clear and safe, so this child not following the instructions was not an issue.</w:t>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first session in the school hall, the Researcher used ribbons in two colours for stop and go as part of the warm up game.  It was noted that the ribbons were too much and overstimulated the children, this was changed on the next occasion to a colour card which worked much better as it was a visual tool, but did not have the wavy movement of the ribbons. The progression was slow with each activity as the children found remembering instructions challenging.</w:t>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Researcher noticed that the children were overstimulated when they were in the empty hall, they needed to run and were unable to focus.  On other occasions when the children use the hall it is full and busy during lunch time or the whole school assembly.  During these occasions some of the children are able to sit, on the floor for assembly or at a table to eat, but some need to eat and then run around the hall, taking a liking to corners of the hall where the general sound is different and so giving a sensory feedback to the individual.   In order to keep the children on task, they were taken in groups of four, with two adults to support them in the hall, also the games and activities were extended into the classroom as part of our sensory circuits and during playtime.  When the children were called one at a time to practise a skill such as throwing a ball against the wall outside at play time, they were able to copy the adult and understand. </w:t>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sessions consisted of warm up activities for the first few weeks, then when the children understood the games, the children were introduced to the garden activities one activity each week. The children found the instructions for a game difficult, again due to their ASD needs.  PECS (Picture Exchange Communication System) cards were used to support the children.  </w:t>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one session the Researcher had planned a catching activity, the children had been catching scarves, passing from hand to hand balloons and beach balls, for the next session the children were asked to sit on the floor and roll a ball to their friend.  It was noticed that many of the children were unable to sit on the floor with their legs open, the children lacked the core muscles.  The Researcher then decided to ask them to kneel which some could do, but most preferred to sit in a ‘w’.</w:t>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ind w:left="21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020613"/>
          <w:sz w:val="24"/>
          <w:szCs w:val="24"/>
          <w:highlight w:val="white"/>
          <w:rtl w:val="0"/>
        </w:rPr>
        <w:t xml:space="preserve">When a child W sits they create a large base of support and a lower centre of gravity. In this position, tree trunk and core posture muscles don’t need to work hard and often not at all! For this reason, it can be a stable position for some children particularly those with lower than average tone, flexible joints or weak core muscles.”  Molloy, C.  (Feb 2017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W Sitting - Occupational Therapy Helping Children</w:t>
        </w:r>
      </w:hyperlink>
      <w:r w:rsidDel="00000000" w:rsidR="00000000" w:rsidRPr="00000000">
        <w:rPr>
          <w:rFonts w:ascii="Times New Roman" w:cs="Times New Roman" w:eastAsia="Times New Roman" w:hAnsi="Times New Roman"/>
          <w:color w:val="020613"/>
          <w:sz w:val="24"/>
          <w:szCs w:val="24"/>
          <w:highlight w:val="white"/>
          <w:rtl w:val="0"/>
        </w:rPr>
        <w:t xml:space="preserve">  )</w:t>
      </w: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the session the Researcher decided that the children needed to work on their core and balance before the skills of throwing and catching could be mastered. This was done through play and games suggested by Molloy C such as bum walking and marching on a gym ball.   Play is physical literacy in action, but due to the ALN needs of the children they have not been encouraged to play in this way, resulting in muscular, brain connections, vocabulary and personality not being built on.  </w:t>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early years when children are naturally motivated to move, some of the focus group have not been given the opportunity to move due to their ALN needs, often they would be encouraged to sit in a pushchair rather than walking and holding hands and not taken to soft play, busy places and noisy environments where the sound and light could be overwhelming and cause the child to demonstrate challenging behaviour.  Other children in the focus group have siblings with more severe ALN needs and have been left to their own devices while parents manage the situation, also some children have mirrored behaviours of other siblings with less mobility.  </w:t>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Solid foundations for physical literacy in the early years has therefore taken place when entering education as the focus group will not have had quality movement in a range of environments in their early years. This has caused significant delay in many areas of learning and growing.  Movement in young children is the framework for child development as Davies suggests, </w:t>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ind w:left="21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so inbuilt that it is not until movement is seen to be dysfunctional or ineffective in some way, such as in autism, depression, attention deficit hyperactivity disorder, cerebral palsy or mood swings, that it emerges as a significant educational phenomenon” Davies,M (2003, P1)</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result of the SKPI training, as a whole school it was decided to enhance all areas of the school to encourage play and movement.  The Junior end of the school had an outdoor climbing frame with outdoor fitness equipment.  It was decided to add a similar item to the Foundation Learning yard, which was named ‘the woodland trail.’  The trail has been timetabled to use during play time and lesson time, giving the children balance, jumping,  swinging and hanging skills, strengthening their hands and grip.  The school has also held a weekly ‘stay and play’ initiative where parents and carers are invited to stay after school and play with their children, staff set up gardens for the children to explore with their families.  This has encouraged parental engagement.  Our school has also purchased a huge amount of sporting equipment including balloons, beach balls, scarfs and a selection of balls in different sizes, colours and textures.  These have been sorted into bags and are used on the outdoor patio area during lessons, the yard at play time and a separate bag for the lessons in the hall.  </w:t>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Pre and Post test baseline, there has been significant improvement in the jumping and single leg balance.  Child CMcD made no progress in the single leg balance, he has very poor core muscles and was unable to sit on the floor with his legs in front of him during an early SKIP session.  Since this was noticed by the Researcher and activities added to the school day, it has been noticed he has become stronger and is able to sit on the floor for a short time (during circle time activities). Child LJ made little progress in the standing jump and balance, but had a good score in the beginning, due to the activities out of school such as riding a peddle bike proficiently, scooter and is given movement opportunities at home.  Both TR and JP made significant progress, as they have limited opportunities to move in younger years, TR due to the lack of garden as they live in a 3rd floor accommodation, JP would refuse to walk to school and parents would carry him or use a buggy.  </w:t>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result of the SKIP training, the Researchers school has invested in a number of resources to enhance the experiences and opportunity given to the children.  The Newell’s Model shows, environmental, individual and environmental constraints are reflected in their motor development.  </w:t>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977312" cy="2215376"/>
            <wp:effectExtent b="0" l="0" r="0" t="0"/>
            <wp:docPr id="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977312" cy="2215376"/>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the beginning of the study, the focus group have become more confident when catching a ball, running and playing.  It has been noticed that the children are now playing together in the yard, often choosing to play ‘tag’.  They are running with confidence and dodging friends which they were unable to do at the beginning of the study.  The concentration during table tasks has improved and it has been noticed that the children are stimming less. </w:t>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Reference:</w:t>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480" w:lineRule="auto"/>
        <w:ind w:left="284" w:right="-52"/>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Ayres, A. J., &amp; Robbins, J. (2005). </w:t>
      </w:r>
      <w:r w:rsidDel="00000000" w:rsidR="00000000" w:rsidRPr="00000000">
        <w:rPr>
          <w:rFonts w:ascii="Times New Roman" w:cs="Times New Roman" w:eastAsia="Times New Roman" w:hAnsi="Times New Roman"/>
          <w:i w:val="1"/>
          <w:sz w:val="24"/>
          <w:szCs w:val="24"/>
          <w:rtl w:val="0"/>
        </w:rPr>
        <w:t xml:space="preserve">Sensory integration and the child: Understanding hidden sensory challenges</w:t>
      </w:r>
      <w:r w:rsidDel="00000000" w:rsidR="00000000" w:rsidRPr="00000000">
        <w:rPr>
          <w:rFonts w:ascii="Times New Roman" w:cs="Times New Roman" w:eastAsia="Times New Roman" w:hAnsi="Times New Roman"/>
          <w:sz w:val="24"/>
          <w:szCs w:val="24"/>
          <w:highlight w:val="white"/>
          <w:rtl w:val="0"/>
        </w:rPr>
        <w:t xml:space="preserve">. Western Psychological Services.</w:t>
      </w:r>
      <w:r w:rsidDel="00000000" w:rsidR="00000000" w:rsidRPr="00000000">
        <w:rPr>
          <w:rtl w:val="0"/>
        </w:rPr>
      </w:r>
    </w:p>
    <w:p w:rsidR="00000000" w:rsidDel="00000000" w:rsidP="00000000" w:rsidRDefault="00000000" w:rsidRPr="00000000" w14:paraId="0000003A">
      <w:pPr>
        <w:spacing w:line="480" w:lineRule="auto"/>
        <w:ind w:left="284" w:right="-52"/>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Davies, M. (2003). </w:t>
      </w:r>
      <w:r w:rsidDel="00000000" w:rsidR="00000000" w:rsidRPr="00000000">
        <w:rPr>
          <w:rFonts w:ascii="Times New Roman" w:cs="Times New Roman" w:eastAsia="Times New Roman" w:hAnsi="Times New Roman"/>
          <w:i w:val="1"/>
          <w:sz w:val="24"/>
          <w:szCs w:val="24"/>
          <w:rtl w:val="0"/>
        </w:rPr>
        <w:t xml:space="preserve">Movement and dance in early childhood</w:t>
      </w:r>
      <w:r w:rsidDel="00000000" w:rsidR="00000000" w:rsidRPr="00000000">
        <w:rPr>
          <w:rFonts w:ascii="Times New Roman" w:cs="Times New Roman" w:eastAsia="Times New Roman" w:hAnsi="Times New Roman"/>
          <w:sz w:val="24"/>
          <w:szCs w:val="24"/>
          <w:rtl w:val="0"/>
        </w:rPr>
        <w:t xml:space="preserve">. Sage.</w:t>
      </w:r>
    </w:p>
    <w:p w:rsidR="00000000" w:rsidDel="00000000" w:rsidP="00000000" w:rsidRDefault="00000000" w:rsidRPr="00000000" w14:paraId="0000003B">
      <w:pPr>
        <w:spacing w:line="480" w:lineRule="auto"/>
        <w:ind w:left="284" w:right="-52"/>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Molloy, C (2017). </w:t>
      </w:r>
      <w:r w:rsidDel="00000000" w:rsidR="00000000" w:rsidRPr="00000000">
        <w:rPr>
          <w:rFonts w:ascii="Times New Roman" w:cs="Times New Roman" w:eastAsia="Times New Roman" w:hAnsi="Times New Roman"/>
          <w:color w:val="020613"/>
          <w:sz w:val="24"/>
          <w:szCs w:val="24"/>
          <w:highlight w:val="white"/>
          <w:rtl w:val="0"/>
        </w:rPr>
        <w:t xml:space="preserve">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W Sitting - Occupational Therapy Helping Children</w:t>
        </w:r>
      </w:hyperlink>
      <w:r w:rsidDel="00000000" w:rsidR="00000000" w:rsidRPr="00000000">
        <w:rPr>
          <w:rFonts w:ascii="Times New Roman" w:cs="Times New Roman" w:eastAsia="Times New Roman" w:hAnsi="Times New Roman"/>
          <w:color w:val="020613"/>
          <w:sz w:val="24"/>
          <w:szCs w:val="24"/>
          <w:highlight w:val="white"/>
          <w:rtl w:val="0"/>
        </w:rPr>
        <w:t xml:space="preserve">  </w:t>
      </w:r>
      <w:r w:rsidDel="00000000" w:rsidR="00000000" w:rsidRPr="00000000">
        <w:rPr>
          <w:rtl w:val="0"/>
        </w:rPr>
      </w:r>
    </w:p>
    <w:p w:rsidR="00000000" w:rsidDel="00000000" w:rsidP="00000000" w:rsidRDefault="00000000" w:rsidRPr="00000000" w14:paraId="0000003C">
      <w:pPr>
        <w:spacing w:line="480" w:lineRule="auto"/>
        <w:ind w:left="284" w:right="-52"/>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Stodden, D. F., Goodway, J. D., Langendorfer, S. J., Roberton, M. A., Rudisill, M. E., Garcia, C., &amp; Garcia, L. E. (2008). A developmental perspective on the role of motor skill competence in physical activity: An emergent relationship. </w:t>
      </w:r>
      <w:r w:rsidDel="00000000" w:rsidR="00000000" w:rsidRPr="00000000">
        <w:rPr>
          <w:rFonts w:ascii="Times New Roman" w:cs="Times New Roman" w:eastAsia="Times New Roman" w:hAnsi="Times New Roman"/>
          <w:i w:val="1"/>
          <w:sz w:val="24"/>
          <w:szCs w:val="24"/>
          <w:rtl w:val="0"/>
        </w:rPr>
        <w:t xml:space="preserve">Quest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rtl w:val="0"/>
        </w:rPr>
        <w:t xml:space="preserve">60</w:t>
      </w:r>
      <w:r w:rsidDel="00000000" w:rsidR="00000000" w:rsidRPr="00000000">
        <w:rPr>
          <w:rFonts w:ascii="Times New Roman" w:cs="Times New Roman" w:eastAsia="Times New Roman" w:hAnsi="Times New Roman"/>
          <w:sz w:val="24"/>
          <w:szCs w:val="24"/>
          <w:highlight w:val="white"/>
          <w:rtl w:val="0"/>
        </w:rPr>
        <w:t xml:space="preserve">(2), 290-306.</w:t>
      </w:r>
    </w:p>
    <w:p w:rsidR="00000000" w:rsidDel="00000000" w:rsidP="00000000" w:rsidRDefault="00000000" w:rsidRPr="00000000" w14:paraId="0000003D">
      <w:pPr>
        <w:spacing w:line="480" w:lineRule="auto"/>
        <w:ind w:left="284" w:right="-52"/>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Appendix 1</w:t>
      </w:r>
    </w:p>
    <w:p w:rsidR="00000000" w:rsidDel="00000000" w:rsidP="00000000" w:rsidRDefault="00000000" w:rsidRPr="00000000" w14:paraId="00000040">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Terms</w:t>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ALN- Additional Learning needs</w:t>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LRB- Learning Resource Base</w:t>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ASD- Autism Spectrum Disorder</w:t>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ADHD- </w:t>
      </w:r>
      <w:r w:rsidDel="00000000" w:rsidR="00000000" w:rsidRPr="00000000">
        <w:rPr>
          <w:rFonts w:ascii="Times New Roman" w:cs="Times New Roman" w:eastAsia="Times New Roman" w:hAnsi="Times New Roman"/>
          <w:sz w:val="24"/>
          <w:szCs w:val="24"/>
          <w:highlight w:val="white"/>
          <w:rtl w:val="0"/>
        </w:rPr>
        <w:t xml:space="preserve">Attention deficit hyperactivity disorder)</w:t>
      </w: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color w:val="212b32"/>
          <w:sz w:val="24"/>
          <w:szCs w:val="24"/>
          <w:shd w:fill="f0f4f5" w:val="clear"/>
        </w:rPr>
      </w:pPr>
      <w:r w:rsidDel="00000000" w:rsidR="00000000" w:rsidRPr="00000000">
        <w:rPr>
          <w:rFonts w:ascii="Times New Roman" w:cs="Times New Roman" w:eastAsia="Times New Roman" w:hAnsi="Times New Roman"/>
          <w:sz w:val="24"/>
          <w:szCs w:val="24"/>
          <w:rtl w:val="0"/>
        </w:rPr>
        <w:t xml:space="preserve">PKU- </w:t>
      </w:r>
      <w:r w:rsidDel="00000000" w:rsidR="00000000" w:rsidRPr="00000000">
        <w:rPr>
          <w:rFonts w:ascii="Times New Roman" w:cs="Times New Roman" w:eastAsia="Times New Roman" w:hAnsi="Times New Roman"/>
          <w:color w:val="212b32"/>
          <w:sz w:val="24"/>
          <w:szCs w:val="24"/>
          <w:shd w:fill="f0f4f5" w:val="clear"/>
          <w:rtl w:val="0"/>
        </w:rPr>
        <w:t xml:space="preserve">Phenylketonuria (The body is unable to break down Protein, a special diet is needed)</w:t>
      </w:r>
    </w:p>
    <w:p w:rsidR="00000000" w:rsidDel="00000000" w:rsidP="00000000" w:rsidRDefault="00000000" w:rsidRPr="00000000" w14:paraId="00000047">
      <w:pPr>
        <w:rPr>
          <w:rFonts w:ascii="Times New Roman" w:cs="Times New Roman" w:eastAsia="Times New Roman" w:hAnsi="Times New Roman"/>
          <w:color w:val="212b32"/>
          <w:sz w:val="24"/>
          <w:szCs w:val="24"/>
          <w:shd w:fill="f0f4f5" w:val="clear"/>
        </w:rPr>
      </w:pPr>
      <w:r w:rsidDel="00000000" w:rsidR="00000000" w:rsidRPr="00000000">
        <w:rPr>
          <w:rFonts w:ascii="Times New Roman" w:cs="Times New Roman" w:eastAsia="Times New Roman" w:hAnsi="Times New Roman"/>
          <w:color w:val="212b32"/>
          <w:sz w:val="24"/>
          <w:szCs w:val="24"/>
          <w:shd w:fill="f0f4f5" w:val="clear"/>
          <w:rtl w:val="0"/>
        </w:rPr>
        <w:t xml:space="preserve">PECS- </w:t>
      </w:r>
      <w:r w:rsidDel="00000000" w:rsidR="00000000" w:rsidRPr="00000000">
        <w:rPr>
          <w:rFonts w:ascii="Times New Roman" w:cs="Times New Roman" w:eastAsia="Times New Roman" w:hAnsi="Times New Roman"/>
          <w:sz w:val="24"/>
          <w:szCs w:val="24"/>
          <w:rtl w:val="0"/>
        </w:rPr>
        <w:t xml:space="preserve">(Picture Exchange Communication System</w:t>
      </w: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Appendix 2</w:t>
      </w:r>
    </w:p>
    <w:p w:rsidR="00000000" w:rsidDel="00000000" w:rsidP="00000000" w:rsidRDefault="00000000" w:rsidRPr="00000000" w14:paraId="0000004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Happy and Sad faces</w:t>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305050" cy="1638300"/>
            <wp:effectExtent b="0" l="0" r="0" t="0"/>
            <wp:docPr id="3" name="image2.png"/>
            <a:graphic>
              <a:graphicData uri="http://schemas.openxmlformats.org/drawingml/2006/picture">
                <pic:pic>
                  <pic:nvPicPr>
                    <pic:cNvPr id="0" name="image2.png"/>
                    <pic:cNvPicPr preferRelativeResize="0"/>
                  </pic:nvPicPr>
                  <pic:blipFill>
                    <a:blip r:embed="rId9"/>
                    <a:srcRect b="32912" l="5729" r="79297" t="48138"/>
                    <a:stretch>
                      <a:fillRect/>
                    </a:stretch>
                  </pic:blipFill>
                  <pic:spPr>
                    <a:xfrm>
                      <a:off x="0" y="0"/>
                      <a:ext cx="2305050" cy="163830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Appendix 3</w:t>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Change to morning routine.</w:t>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tl w:val="0"/>
        </w:rPr>
      </w:r>
    </w:p>
    <w:tbl>
      <w:tblPr>
        <w:tblStyle w:val="Table1"/>
        <w:tblW w:w="4530.0" w:type="dxa"/>
        <w:jc w:val="left"/>
        <w:tblInd w:w="-6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95"/>
        <w:gridCol w:w="2235"/>
        <w:tblGridChange w:id="0">
          <w:tblGrid>
            <w:gridCol w:w="2295"/>
            <w:gridCol w:w="223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Original plan: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plan: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8:35 doors open to the classroom</w:t>
            </w:r>
          </w:p>
          <w:p w:rsidR="00000000" w:rsidDel="00000000" w:rsidP="00000000" w:rsidRDefault="00000000" w:rsidRPr="00000000" w14:paraId="00000056">
            <w:pP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8:35 doors open to the classroom, classroom worship / story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8:45 breakfast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8:45 breakfast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9:00 assembly</w:t>
            </w:r>
          </w:p>
          <w:p w:rsidR="00000000" w:rsidDel="00000000" w:rsidP="00000000" w:rsidRDefault="00000000" w:rsidRPr="00000000" w14:paraId="0000005B">
            <w:pPr>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9:00 outdoor session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9:15 table tasks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9:15 table tasks</w:t>
            </w:r>
          </w:p>
        </w:tc>
      </w:tr>
    </w:tbl>
    <w:p w:rsidR="00000000" w:rsidDel="00000000" w:rsidP="00000000" w:rsidRDefault="00000000" w:rsidRPr="00000000" w14:paraId="0000005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Appendix 4</w:t>
      </w:r>
    </w:p>
    <w:p w:rsidR="00000000" w:rsidDel="00000000" w:rsidP="00000000" w:rsidRDefault="00000000" w:rsidRPr="00000000" w14:paraId="0000006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Baseline Pre and Post test results.</w:t>
      </w:r>
    </w:p>
    <w:p w:rsidR="00000000" w:rsidDel="00000000" w:rsidP="00000000" w:rsidRDefault="00000000" w:rsidRPr="00000000" w14:paraId="0000006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6162675" cy="1990725"/>
            <wp:effectExtent b="0" l="0" r="0" t="0"/>
            <wp:docPr id="1" name="image3.png"/>
            <a:graphic>
              <a:graphicData uri="http://schemas.openxmlformats.org/drawingml/2006/picture">
                <pic:pic>
                  <pic:nvPicPr>
                    <pic:cNvPr id="0" name="image3.png"/>
                    <pic:cNvPicPr preferRelativeResize="0"/>
                  </pic:nvPicPr>
                  <pic:blipFill>
                    <a:blip r:embed="rId10"/>
                    <a:srcRect b="42744" l="5687" r="63788" t="22292"/>
                    <a:stretch>
                      <a:fillRect/>
                    </a:stretch>
                  </pic:blipFill>
                  <pic:spPr>
                    <a:xfrm>
                      <a:off x="0" y="0"/>
                      <a:ext cx="6162675" cy="1990725"/>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rPr/>
      </w:pPr>
      <w:r w:rsidDel="00000000" w:rsidR="00000000" w:rsidRPr="00000000">
        <w:rPr/>
        <w:drawing>
          <wp:inline distB="114300" distT="114300" distL="114300" distR="114300">
            <wp:extent cx="6296025" cy="1736452"/>
            <wp:effectExtent b="0" l="0" r="0" t="0"/>
            <wp:docPr id="2" name="image4.png"/>
            <a:graphic>
              <a:graphicData uri="http://schemas.openxmlformats.org/drawingml/2006/picture">
                <pic:pic>
                  <pic:nvPicPr>
                    <pic:cNvPr id="0" name="image4.png"/>
                    <pic:cNvPicPr preferRelativeResize="0"/>
                  </pic:nvPicPr>
                  <pic:blipFill>
                    <a:blip r:embed="rId11"/>
                    <a:srcRect b="47260" l="5315" r="64119" t="22665"/>
                    <a:stretch>
                      <a:fillRect/>
                    </a:stretch>
                  </pic:blipFill>
                  <pic:spPr>
                    <a:xfrm>
                      <a:off x="0" y="0"/>
                      <a:ext cx="6296025" cy="1736452"/>
                    </a:xfrm>
                    <a:prstGeom prst="rect"/>
                    <a:ln/>
                  </pic:spPr>
                </pic:pic>
              </a:graphicData>
            </a:graphic>
          </wp:inline>
        </w:drawing>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4.png"/><Relationship Id="rId10" Type="http://schemas.openxmlformats.org/officeDocument/2006/relationships/image" Target="media/image3.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hyperlink" Target="https://www.occupationaltherapy.com.au/w-sitting/" TargetMode="External"/><Relationship Id="rId7" Type="http://schemas.openxmlformats.org/officeDocument/2006/relationships/image" Target="media/image1.png"/><Relationship Id="rId8" Type="http://schemas.openxmlformats.org/officeDocument/2006/relationships/hyperlink" Target="https://www.occupationaltherapy.com.au/w-sit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