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0000001" w14:textId="77777777" w:rsidR="002F2855" w:rsidRDefault="00B24762">
      <w:pPr>
        <w:jc w:val="center"/>
        <w:rPr>
          <w:b/>
          <w:bCs/>
          <w:sz w:val="40"/>
          <w:szCs w:val="40"/>
        </w:rPr>
      </w:pPr>
      <w:r>
        <w:rPr>
          <w:b/>
          <w:bCs/>
          <w:sz w:val="40"/>
          <w:szCs w:val="40"/>
        </w:rPr>
        <w:t>PROGRAMME: BA (HONS) BUSINESS MANAGEMENT</w:t>
      </w:r>
    </w:p>
    <w:p w14:paraId="00000002" w14:textId="77777777" w:rsidR="002F2855" w:rsidRDefault="002F2855">
      <w:pPr>
        <w:jc w:val="center"/>
        <w:rPr>
          <w:b/>
          <w:bCs/>
          <w:sz w:val="40"/>
          <w:szCs w:val="40"/>
        </w:rPr>
      </w:pPr>
    </w:p>
    <w:p w14:paraId="00000003" w14:textId="77777777" w:rsidR="002F2855" w:rsidRDefault="00B24762">
      <w:pPr>
        <w:jc w:val="center"/>
        <w:rPr>
          <w:b/>
          <w:bCs/>
          <w:sz w:val="40"/>
          <w:szCs w:val="40"/>
        </w:rPr>
      </w:pPr>
      <w:r>
        <w:rPr>
          <w:b/>
          <w:bCs/>
          <w:sz w:val="40"/>
          <w:szCs w:val="40"/>
        </w:rPr>
        <w:t>MODULE: ACADEMIC SKILLS</w:t>
      </w:r>
    </w:p>
    <w:p w14:paraId="00000004" w14:textId="77777777" w:rsidR="002F2855" w:rsidRDefault="002F2855">
      <w:pPr>
        <w:jc w:val="center"/>
        <w:rPr>
          <w:b/>
          <w:bCs/>
          <w:sz w:val="40"/>
          <w:szCs w:val="40"/>
        </w:rPr>
      </w:pPr>
    </w:p>
    <w:p w14:paraId="00000005" w14:textId="77777777" w:rsidR="002F2855" w:rsidRDefault="00B24762">
      <w:pPr>
        <w:jc w:val="center"/>
        <w:rPr>
          <w:b/>
          <w:bCs/>
          <w:sz w:val="40"/>
          <w:szCs w:val="40"/>
        </w:rPr>
      </w:pPr>
      <w:r>
        <w:rPr>
          <w:b/>
          <w:bCs/>
          <w:sz w:val="40"/>
          <w:szCs w:val="40"/>
        </w:rPr>
        <w:t>MODULE CODE: LCBB4012</w:t>
      </w:r>
    </w:p>
    <w:p w14:paraId="00000006" w14:textId="77777777" w:rsidR="002F2855" w:rsidRDefault="002F2855">
      <w:pPr>
        <w:jc w:val="center"/>
        <w:rPr>
          <w:b/>
          <w:bCs/>
          <w:sz w:val="40"/>
          <w:szCs w:val="40"/>
        </w:rPr>
      </w:pPr>
    </w:p>
    <w:p w14:paraId="00000007" w14:textId="77777777" w:rsidR="002F2855" w:rsidRDefault="00B24762">
      <w:pPr>
        <w:jc w:val="center"/>
        <w:rPr>
          <w:b/>
          <w:bCs/>
          <w:sz w:val="40"/>
          <w:szCs w:val="40"/>
        </w:rPr>
      </w:pPr>
      <w:r>
        <w:rPr>
          <w:b/>
          <w:bCs/>
          <w:sz w:val="40"/>
          <w:szCs w:val="40"/>
        </w:rPr>
        <w:t xml:space="preserve">ASSIGNMENT TITLE: COMPONENT 2: COURSEWORK GROUP REPORT </w:t>
      </w:r>
    </w:p>
    <w:p w14:paraId="00000008" w14:textId="77777777" w:rsidR="002F2855" w:rsidRDefault="002F2855">
      <w:pPr>
        <w:jc w:val="center"/>
        <w:rPr>
          <w:b/>
          <w:bCs/>
          <w:sz w:val="40"/>
          <w:szCs w:val="40"/>
        </w:rPr>
      </w:pPr>
    </w:p>
    <w:p w14:paraId="00000009" w14:textId="77777777" w:rsidR="002F2855" w:rsidRDefault="002F2855">
      <w:pPr>
        <w:jc w:val="center"/>
        <w:rPr>
          <w:b/>
          <w:bCs/>
          <w:sz w:val="40"/>
          <w:szCs w:val="40"/>
        </w:rPr>
      </w:pPr>
    </w:p>
    <w:p w14:paraId="0000000A" w14:textId="5E5FAA0F" w:rsidR="002F2855" w:rsidRDefault="00B24762">
      <w:pPr>
        <w:jc w:val="center"/>
        <w:rPr>
          <w:b/>
          <w:bCs/>
          <w:sz w:val="40"/>
          <w:szCs w:val="40"/>
        </w:rPr>
      </w:pPr>
      <w:r>
        <w:rPr>
          <w:b/>
          <w:bCs/>
          <w:sz w:val="40"/>
          <w:szCs w:val="40"/>
        </w:rPr>
        <w:t>STUDENT</w:t>
      </w:r>
      <w:r w:rsidR="00585DEA">
        <w:rPr>
          <w:b/>
          <w:bCs/>
          <w:sz w:val="40"/>
          <w:szCs w:val="40"/>
        </w:rPr>
        <w:t>S’</w:t>
      </w:r>
      <w:r>
        <w:rPr>
          <w:b/>
          <w:bCs/>
          <w:sz w:val="40"/>
          <w:szCs w:val="40"/>
        </w:rPr>
        <w:t>NAME</w:t>
      </w:r>
      <w:r w:rsidR="00DD62F1">
        <w:rPr>
          <w:b/>
          <w:bCs/>
          <w:sz w:val="40"/>
          <w:szCs w:val="40"/>
        </w:rPr>
        <w:t xml:space="preserve">S AND </w:t>
      </w:r>
    </w:p>
    <w:p w14:paraId="0000000B" w14:textId="30FC486F" w:rsidR="002F2855" w:rsidRDefault="00B24762">
      <w:pPr>
        <w:jc w:val="center"/>
        <w:rPr>
          <w:b/>
          <w:bCs/>
          <w:sz w:val="40"/>
          <w:szCs w:val="40"/>
        </w:rPr>
      </w:pPr>
      <w:r>
        <w:rPr>
          <w:b/>
          <w:bCs/>
          <w:sz w:val="40"/>
          <w:szCs w:val="40"/>
        </w:rPr>
        <w:t>STUDENT</w:t>
      </w:r>
      <w:r w:rsidR="00DD62F1">
        <w:rPr>
          <w:b/>
          <w:bCs/>
          <w:sz w:val="40"/>
          <w:szCs w:val="40"/>
        </w:rPr>
        <w:t>S</w:t>
      </w:r>
      <w:r w:rsidR="00585DEA">
        <w:rPr>
          <w:b/>
          <w:bCs/>
          <w:sz w:val="40"/>
          <w:szCs w:val="40"/>
        </w:rPr>
        <w:t>’</w:t>
      </w:r>
      <w:r>
        <w:rPr>
          <w:b/>
          <w:bCs/>
          <w:sz w:val="40"/>
          <w:szCs w:val="40"/>
        </w:rPr>
        <w:t>ID</w:t>
      </w:r>
      <w:r w:rsidR="00585DEA">
        <w:rPr>
          <w:b/>
          <w:bCs/>
          <w:sz w:val="40"/>
          <w:szCs w:val="40"/>
        </w:rPr>
        <w:t>S</w:t>
      </w:r>
      <w:r>
        <w:rPr>
          <w:b/>
          <w:bCs/>
          <w:sz w:val="40"/>
          <w:szCs w:val="40"/>
        </w:rPr>
        <w:t xml:space="preserve">: </w:t>
      </w:r>
    </w:p>
    <w:p w14:paraId="3C615DA2" w14:textId="4AD7294D" w:rsidR="006D1961" w:rsidRDefault="00CE6C15">
      <w:pPr>
        <w:jc w:val="center"/>
        <w:rPr>
          <w:b/>
          <w:bCs/>
          <w:sz w:val="40"/>
          <w:szCs w:val="40"/>
        </w:rPr>
      </w:pPr>
      <w:r>
        <w:rPr>
          <w:b/>
          <w:bCs/>
          <w:sz w:val="40"/>
          <w:szCs w:val="40"/>
        </w:rPr>
        <w:t>MARIANA CIJMARU-2526357</w:t>
      </w:r>
    </w:p>
    <w:p w14:paraId="7A849057" w14:textId="490DB7E0" w:rsidR="0088033F" w:rsidRDefault="0088033F">
      <w:pPr>
        <w:jc w:val="center"/>
        <w:rPr>
          <w:b/>
          <w:bCs/>
          <w:sz w:val="40"/>
          <w:szCs w:val="40"/>
        </w:rPr>
      </w:pPr>
      <w:r>
        <w:rPr>
          <w:b/>
          <w:bCs/>
          <w:sz w:val="40"/>
          <w:szCs w:val="40"/>
        </w:rPr>
        <w:t>ANDREI JIPA-2533451</w:t>
      </w:r>
    </w:p>
    <w:p w14:paraId="63DBDBD7" w14:textId="4BE83881" w:rsidR="0088033F" w:rsidRDefault="0088033F">
      <w:pPr>
        <w:jc w:val="center"/>
        <w:rPr>
          <w:b/>
          <w:bCs/>
          <w:sz w:val="40"/>
          <w:szCs w:val="40"/>
        </w:rPr>
      </w:pPr>
      <w:r>
        <w:rPr>
          <w:b/>
          <w:bCs/>
          <w:sz w:val="40"/>
          <w:szCs w:val="40"/>
        </w:rPr>
        <w:t>AMET MEMET-</w:t>
      </w:r>
      <w:r w:rsidR="008A271E">
        <w:rPr>
          <w:b/>
          <w:bCs/>
          <w:sz w:val="40"/>
          <w:szCs w:val="40"/>
        </w:rPr>
        <w:t>2532553</w:t>
      </w:r>
    </w:p>
    <w:p w14:paraId="0FF971D3" w14:textId="21413446" w:rsidR="008A271E" w:rsidRDefault="008A271E">
      <w:pPr>
        <w:jc w:val="center"/>
        <w:rPr>
          <w:b/>
          <w:bCs/>
          <w:sz w:val="40"/>
          <w:szCs w:val="40"/>
        </w:rPr>
      </w:pPr>
      <w:r>
        <w:rPr>
          <w:b/>
          <w:bCs/>
          <w:sz w:val="40"/>
          <w:szCs w:val="40"/>
        </w:rPr>
        <w:t xml:space="preserve">BAASEETA ALAM </w:t>
      </w:r>
      <w:r w:rsidR="0086303B">
        <w:rPr>
          <w:b/>
          <w:bCs/>
          <w:sz w:val="40"/>
          <w:szCs w:val="40"/>
        </w:rPr>
        <w:t>NAZ-2532405</w:t>
      </w:r>
    </w:p>
    <w:p w14:paraId="0000000C" w14:textId="77777777" w:rsidR="002F2855" w:rsidRDefault="00B24762">
      <w:pPr>
        <w:rPr>
          <w:b/>
          <w:bCs/>
          <w:sz w:val="40"/>
          <w:szCs w:val="40"/>
        </w:rPr>
      </w:pPr>
      <w:r>
        <w:br w:type="page"/>
      </w:r>
    </w:p>
    <w:p w14:paraId="0000000D" w14:textId="77777777" w:rsidR="002F2855" w:rsidRDefault="00B24762">
      <w:pPr>
        <w:keepNext/>
        <w:keepLines/>
        <w:pBdr>
          <w:top w:val="nil"/>
          <w:left w:val="nil"/>
          <w:bottom w:val="nil"/>
          <w:right w:val="nil"/>
          <w:between w:val="nil"/>
        </w:pBdr>
        <w:spacing w:before="240" w:after="0"/>
        <w:jc w:val="center"/>
        <w:rPr>
          <w:color w:val="0F4761"/>
          <w:sz w:val="32"/>
          <w:szCs w:val="32"/>
        </w:rPr>
      </w:pPr>
      <w:r>
        <w:rPr>
          <w:b/>
          <w:bCs/>
          <w:color w:val="000000"/>
        </w:rPr>
        <w:t>Table of Contents</w:t>
      </w:r>
    </w:p>
    <w:sdt>
      <w:sdtPr>
        <w:id w:val="-578986779"/>
        <w:docPartObj>
          <w:docPartGallery w:val="Table of Contents"/>
          <w:docPartUnique/>
        </w:docPartObj>
      </w:sdtPr>
      <w:sdtEndPr/>
      <w:sdtContent>
        <w:p w14:paraId="0000000E" w14:textId="77777777" w:rsidR="002F2855" w:rsidRDefault="00B24762">
          <w:pPr>
            <w:pBdr>
              <w:top w:val="nil"/>
              <w:left w:val="nil"/>
              <w:bottom w:val="nil"/>
              <w:right w:val="nil"/>
              <w:between w:val="nil"/>
            </w:pBdr>
            <w:tabs>
              <w:tab w:val="right" w:leader="dot" w:pos="9016"/>
            </w:tabs>
            <w:spacing w:after="100"/>
            <w:rPr>
              <w:color w:val="000000"/>
            </w:rPr>
          </w:pPr>
          <w:r>
            <w:fldChar w:fldCharType="begin"/>
          </w:r>
          <w:r>
            <w:instrText xml:space="preserve"> TOC \h \u \z \t "Heading 1,1,Heading 2,2,Heading 3,3,"</w:instrText>
          </w:r>
          <w:r>
            <w:fldChar w:fldCharType="separate"/>
          </w:r>
          <w:hyperlink w:anchor="_chx1608quvxk">
            <w:r w:rsidR="002F2855">
              <w:rPr>
                <w:color w:val="000000"/>
              </w:rPr>
              <w:t>Introduction</w:t>
            </w:r>
            <w:r w:rsidR="002F2855">
              <w:rPr>
                <w:color w:val="000000"/>
              </w:rPr>
              <w:tab/>
              <w:t>2</w:t>
            </w:r>
          </w:hyperlink>
        </w:p>
        <w:p w14:paraId="0000000F" w14:textId="77777777" w:rsidR="002F2855" w:rsidRDefault="002F2855">
          <w:pPr>
            <w:pBdr>
              <w:top w:val="nil"/>
              <w:left w:val="nil"/>
              <w:bottom w:val="nil"/>
              <w:right w:val="nil"/>
              <w:between w:val="nil"/>
            </w:pBdr>
            <w:tabs>
              <w:tab w:val="right" w:leader="dot" w:pos="9016"/>
            </w:tabs>
            <w:spacing w:after="100"/>
            <w:rPr>
              <w:color w:val="000000"/>
            </w:rPr>
          </w:pPr>
          <w:hyperlink w:anchor="_xgfi7yhkbmqa">
            <w:r>
              <w:rPr>
                <w:color w:val="000000"/>
              </w:rPr>
              <w:t>Definition of Skills</w:t>
            </w:r>
            <w:r>
              <w:rPr>
                <w:color w:val="000000"/>
              </w:rPr>
              <w:tab/>
              <w:t>2</w:t>
            </w:r>
          </w:hyperlink>
        </w:p>
        <w:p w14:paraId="00000010" w14:textId="77777777" w:rsidR="002F2855" w:rsidRDefault="002F2855">
          <w:pPr>
            <w:pBdr>
              <w:top w:val="nil"/>
              <w:left w:val="nil"/>
              <w:bottom w:val="nil"/>
              <w:right w:val="nil"/>
              <w:between w:val="nil"/>
            </w:pBdr>
            <w:tabs>
              <w:tab w:val="right" w:leader="dot" w:pos="9016"/>
            </w:tabs>
            <w:spacing w:after="100"/>
            <w:ind w:left="240"/>
            <w:rPr>
              <w:color w:val="000000"/>
            </w:rPr>
          </w:pPr>
          <w:hyperlink w:anchor="_p14qxurnpgxn">
            <w:r>
              <w:rPr>
                <w:color w:val="000000"/>
              </w:rPr>
              <w:t>Presentation Skills</w:t>
            </w:r>
            <w:r>
              <w:rPr>
                <w:color w:val="000000"/>
              </w:rPr>
              <w:tab/>
              <w:t>2</w:t>
            </w:r>
          </w:hyperlink>
        </w:p>
        <w:p w14:paraId="00000011" w14:textId="77777777" w:rsidR="002F2855" w:rsidRDefault="002F2855">
          <w:pPr>
            <w:pBdr>
              <w:top w:val="nil"/>
              <w:left w:val="nil"/>
              <w:bottom w:val="nil"/>
              <w:right w:val="nil"/>
              <w:between w:val="nil"/>
            </w:pBdr>
            <w:tabs>
              <w:tab w:val="right" w:leader="dot" w:pos="9016"/>
            </w:tabs>
            <w:spacing w:after="100"/>
            <w:ind w:left="240"/>
            <w:rPr>
              <w:color w:val="000000"/>
            </w:rPr>
          </w:pPr>
          <w:hyperlink w:anchor="_2698v9rtcfy5">
            <w:r>
              <w:rPr>
                <w:color w:val="000000"/>
              </w:rPr>
              <w:t>Academic Writing Skills</w:t>
            </w:r>
            <w:r>
              <w:rPr>
                <w:color w:val="000000"/>
              </w:rPr>
              <w:tab/>
              <w:t>2</w:t>
            </w:r>
          </w:hyperlink>
        </w:p>
        <w:p w14:paraId="00000012" w14:textId="77777777" w:rsidR="002F2855" w:rsidRDefault="002F2855">
          <w:pPr>
            <w:pBdr>
              <w:top w:val="nil"/>
              <w:left w:val="nil"/>
              <w:bottom w:val="nil"/>
              <w:right w:val="nil"/>
              <w:between w:val="nil"/>
            </w:pBdr>
            <w:tabs>
              <w:tab w:val="right" w:leader="dot" w:pos="9016"/>
            </w:tabs>
            <w:spacing w:after="100"/>
            <w:rPr>
              <w:color w:val="000000"/>
            </w:rPr>
          </w:pPr>
          <w:hyperlink w:anchor="_v88hkc3cet5u">
            <w:r>
              <w:rPr>
                <w:color w:val="000000"/>
              </w:rPr>
              <w:t>Importance of Presentation Skills</w:t>
            </w:r>
            <w:r>
              <w:rPr>
                <w:color w:val="000000"/>
              </w:rPr>
              <w:tab/>
              <w:t>3</w:t>
            </w:r>
          </w:hyperlink>
        </w:p>
        <w:p w14:paraId="00000013" w14:textId="77777777" w:rsidR="002F2855" w:rsidRDefault="002F2855">
          <w:pPr>
            <w:pBdr>
              <w:top w:val="nil"/>
              <w:left w:val="nil"/>
              <w:bottom w:val="nil"/>
              <w:right w:val="nil"/>
              <w:between w:val="nil"/>
            </w:pBdr>
            <w:tabs>
              <w:tab w:val="right" w:leader="dot" w:pos="9016"/>
            </w:tabs>
            <w:spacing w:after="100"/>
            <w:rPr>
              <w:color w:val="000000"/>
            </w:rPr>
          </w:pPr>
          <w:hyperlink w:anchor="_e16ogj4tlhuv">
            <w:r>
              <w:rPr>
                <w:color w:val="000000"/>
              </w:rPr>
              <w:t>Importance of Academic Writing Skills</w:t>
            </w:r>
            <w:r>
              <w:rPr>
                <w:color w:val="000000"/>
              </w:rPr>
              <w:tab/>
              <w:t>4</w:t>
            </w:r>
          </w:hyperlink>
        </w:p>
        <w:p w14:paraId="00000014" w14:textId="77777777" w:rsidR="002F2855" w:rsidRDefault="002F2855">
          <w:pPr>
            <w:pBdr>
              <w:top w:val="nil"/>
              <w:left w:val="nil"/>
              <w:bottom w:val="nil"/>
              <w:right w:val="nil"/>
              <w:between w:val="nil"/>
            </w:pBdr>
            <w:tabs>
              <w:tab w:val="right" w:leader="dot" w:pos="9016"/>
            </w:tabs>
            <w:spacing w:after="100"/>
            <w:rPr>
              <w:color w:val="000000"/>
            </w:rPr>
          </w:pPr>
          <w:hyperlink w:anchor="_qchsczo2f8bg">
            <w:r>
              <w:rPr>
                <w:color w:val="000000"/>
              </w:rPr>
              <w:t>Strategies to Improve Presentation Skills</w:t>
            </w:r>
            <w:r>
              <w:rPr>
                <w:color w:val="000000"/>
              </w:rPr>
              <w:tab/>
              <w:t>5</w:t>
            </w:r>
          </w:hyperlink>
        </w:p>
        <w:p w14:paraId="00000015" w14:textId="77777777" w:rsidR="002F2855" w:rsidRDefault="002F2855">
          <w:pPr>
            <w:pBdr>
              <w:top w:val="nil"/>
              <w:left w:val="nil"/>
              <w:bottom w:val="nil"/>
              <w:right w:val="nil"/>
              <w:between w:val="nil"/>
            </w:pBdr>
            <w:tabs>
              <w:tab w:val="right" w:leader="dot" w:pos="9016"/>
            </w:tabs>
            <w:spacing w:after="100"/>
            <w:rPr>
              <w:color w:val="000000"/>
            </w:rPr>
          </w:pPr>
          <w:hyperlink w:anchor="_7hqxnmxmi22k">
            <w:r>
              <w:rPr>
                <w:color w:val="000000"/>
              </w:rPr>
              <w:t>Strategies to Improve Academic Writing Skills</w:t>
            </w:r>
            <w:r>
              <w:rPr>
                <w:color w:val="000000"/>
              </w:rPr>
              <w:tab/>
              <w:t>6</w:t>
            </w:r>
          </w:hyperlink>
        </w:p>
        <w:p w14:paraId="00000016" w14:textId="77777777" w:rsidR="002F2855" w:rsidRDefault="002F2855">
          <w:pPr>
            <w:pBdr>
              <w:top w:val="nil"/>
              <w:left w:val="nil"/>
              <w:bottom w:val="nil"/>
              <w:right w:val="nil"/>
              <w:between w:val="nil"/>
            </w:pBdr>
            <w:tabs>
              <w:tab w:val="right" w:leader="dot" w:pos="9016"/>
            </w:tabs>
            <w:spacing w:after="100"/>
            <w:rPr>
              <w:color w:val="000000"/>
            </w:rPr>
          </w:pPr>
          <w:hyperlink w:anchor="_t2f5d5yszx5l">
            <w:r>
              <w:rPr>
                <w:color w:val="000000"/>
              </w:rPr>
              <w:t>Conclusion</w:t>
            </w:r>
            <w:r>
              <w:rPr>
                <w:color w:val="000000"/>
              </w:rPr>
              <w:tab/>
              <w:t>6</w:t>
            </w:r>
          </w:hyperlink>
        </w:p>
        <w:p w14:paraId="00000017" w14:textId="77777777" w:rsidR="002F2855" w:rsidRDefault="002F2855">
          <w:pPr>
            <w:pBdr>
              <w:top w:val="nil"/>
              <w:left w:val="nil"/>
              <w:bottom w:val="nil"/>
              <w:right w:val="nil"/>
              <w:between w:val="nil"/>
            </w:pBdr>
            <w:tabs>
              <w:tab w:val="right" w:leader="dot" w:pos="9016"/>
            </w:tabs>
            <w:spacing w:after="100"/>
            <w:rPr>
              <w:color w:val="000000"/>
            </w:rPr>
          </w:pPr>
          <w:hyperlink w:anchor="_3sg21pxcwhf5">
            <w:r>
              <w:rPr>
                <w:color w:val="000000"/>
              </w:rPr>
              <w:t>References</w:t>
            </w:r>
            <w:r>
              <w:rPr>
                <w:color w:val="000000"/>
              </w:rPr>
              <w:tab/>
              <w:t>8</w:t>
            </w:r>
          </w:hyperlink>
        </w:p>
        <w:p w14:paraId="00000018" w14:textId="77777777" w:rsidR="002F2855" w:rsidRDefault="00B24762">
          <w:r>
            <w:fldChar w:fldCharType="end"/>
          </w:r>
        </w:p>
      </w:sdtContent>
    </w:sdt>
    <w:p w14:paraId="00000019" w14:textId="77777777" w:rsidR="002F2855" w:rsidRDefault="00B24762">
      <w:pPr>
        <w:spacing w:line="278" w:lineRule="auto"/>
        <w:jc w:val="left"/>
        <w:rPr>
          <w:b/>
          <w:bCs/>
        </w:rPr>
      </w:pPr>
      <w:bookmarkStart w:id="0" w:name="_chx1608quvxk" w:colFirst="0" w:colLast="0"/>
      <w:bookmarkEnd w:id="0"/>
      <w:r>
        <w:br w:type="page"/>
      </w:r>
    </w:p>
    <w:p w14:paraId="0000001A" w14:textId="77777777" w:rsidR="002F2855" w:rsidRDefault="00B24762">
      <w:pPr>
        <w:pStyle w:val="Heading1"/>
      </w:pPr>
      <w:r>
        <w:t>Introduction</w:t>
      </w:r>
    </w:p>
    <w:p w14:paraId="0000001B" w14:textId="77777777" w:rsidR="002F2855" w:rsidRDefault="00B24762">
      <w:r>
        <w:t xml:space="preserve">In higher education academic skills are very important because it helps students to identify effective ways to learn, analyse tasks as well as communicate knowledge (Boettler </w:t>
      </w:r>
      <w:r>
        <w:rPr>
          <w:i/>
          <w:iCs/>
        </w:rPr>
        <w:t xml:space="preserve">et al., </w:t>
      </w:r>
      <w:r>
        <w:t>2022). Among these, presentation skills and academic writing skills are most important. Presentation skills include knowledge in communicating the ideas to the group of people in a clear and confident way with the help of verbal and non-verbal communication, whereas academic writing means presenting the idea in a structured and critical manner with the help of supporting evidence and references. These abilities combined will result in competent presentation of ideas both verbally and in writing, whi</w:t>
      </w:r>
      <w:r>
        <w:t>ch are key to academic achievement and ultimate employability. The purpose of this report is to discuss the relevance of presentation and academic writing skills in academic and professional life and determine the ways of how these skills could be enhanced. The report format comprises the definition of both skills then the importance, and development strategy. Writing or presentation is the key ingredient to academic success, as well as success at work.</w:t>
      </w:r>
    </w:p>
    <w:p w14:paraId="0000001C" w14:textId="77777777" w:rsidR="002F2855" w:rsidRDefault="00B24762">
      <w:pPr>
        <w:pStyle w:val="Heading1"/>
      </w:pPr>
      <w:bookmarkStart w:id="1" w:name="_xgfi7yhkbmqa" w:colFirst="0" w:colLast="0"/>
      <w:bookmarkEnd w:id="1"/>
      <w:r>
        <w:t xml:space="preserve">Definition of Skills </w:t>
      </w:r>
    </w:p>
    <w:p w14:paraId="0000001D" w14:textId="77777777" w:rsidR="002F2855" w:rsidRDefault="00B24762">
      <w:pPr>
        <w:pStyle w:val="Heading2"/>
      </w:pPr>
      <w:bookmarkStart w:id="2" w:name="_p14qxurnpgxn" w:colFirst="0" w:colLast="0"/>
      <w:bookmarkEnd w:id="2"/>
      <w:r>
        <w:t xml:space="preserve">Presentation Skills </w:t>
      </w:r>
    </w:p>
    <w:p w14:paraId="0000001E" w14:textId="77777777" w:rsidR="002F2855" w:rsidRDefault="00B24762">
      <w:r>
        <w:t xml:space="preserve">One may describe presentation skills as an ability to convey ideas to the audience in a way that works well without the use of any verbal presentation but a set of techniques that include both verbal and non-verbal means (Van Emden, Becker and Becker, 2025). Presentation skills incorporate various major aspects, such as verbal skills, i.e., clarity of the speech, tone, and articulation, non-verbal skills, i.e., moving of the body, eye contact, and body movements that help to add more weight to the message. </w:t>
      </w:r>
      <w:r>
        <w:t>Furthermore, information is understood and retained by the help of visual aids (Power point slides, charts and graphics). It is also necessary to interact, be confident and be responsive to listeners as another vital aspect of the performance (Mathias, 2020). Such aspects can be elucidated by the sender or receiver model of communication in which the presenter preserves a message and sends it to the audience so that it can be decoded (Planer and Godfrey</w:t>
      </w:r>
      <w:r>
        <w:rPr>
          <w:rFonts w:ascii="Cambria Math" w:eastAsia="Cambria Math" w:hAnsi="Cambria Math" w:cs="Cambria Math"/>
        </w:rPr>
        <w:t>‐</w:t>
      </w:r>
      <w:r>
        <w:t>Smith, 2021). Practically, presentation skills are a m</w:t>
      </w:r>
      <w:r>
        <w:t>ust in the university or any business pitching and meetings.</w:t>
      </w:r>
    </w:p>
    <w:p w14:paraId="0000001F" w14:textId="77777777" w:rsidR="002F2855" w:rsidRDefault="00B24762">
      <w:pPr>
        <w:pStyle w:val="Heading2"/>
      </w:pPr>
      <w:bookmarkStart w:id="3" w:name="_2698v9rtcfy5" w:colFirst="0" w:colLast="0"/>
      <w:bookmarkEnd w:id="3"/>
      <w:r>
        <w:t xml:space="preserve">Academic Writing Skills </w:t>
      </w:r>
    </w:p>
    <w:p w14:paraId="00000020" w14:textId="77777777" w:rsidR="002F2855" w:rsidRDefault="00B24762">
      <w:r>
        <w:t>Academic writing skills mean the skill to create a formal, written piece that is designed, evidence-based and well-structured to convey ideas logically and concisely. The structure of an academic writing is a vital aspect and most academic writing should have an introduction, main body and conclusion to ensure coherence and logical direction of the writing (Mallia, 2017). Critical analysis is also essential in academic writing, which entails that students need to judge, compare and synthesise information in</w:t>
      </w:r>
      <w:r>
        <w:t>stead of merely describing it. In order to recognise sources and ensure academic honesty, proper reference especially through the Harvard style is necessary (Weerawardane and Byrne, 2021). Additionally, a proper academic tone, i.e., formal, objective, and precise, will improve clarity and professionalism. Consciousness on plagiarism is very important since lack of referring the sources properly may result in dire academic outcomes (Irawan, 2017). Essays, reports, and dissertations are the common uses of aca</w:t>
      </w:r>
      <w:r>
        <w:t>demic writing. Notably, good writing indicates developing critical thinking, ability to analyse and build up supported arguments, rather than just proper use of grammar.</w:t>
      </w:r>
    </w:p>
    <w:p w14:paraId="00000021" w14:textId="77777777" w:rsidR="002F2855" w:rsidRDefault="00B24762">
      <w:pPr>
        <w:pStyle w:val="Heading1"/>
      </w:pPr>
      <w:bookmarkStart w:id="4" w:name="_v88hkc3cet5u" w:colFirst="0" w:colLast="0"/>
      <w:bookmarkEnd w:id="4"/>
      <w:r>
        <w:t xml:space="preserve">Importance of Presentation Skills </w:t>
      </w:r>
    </w:p>
    <w:p w14:paraId="00000022" w14:textId="77777777" w:rsidR="002F2855" w:rsidRDefault="00B24762">
      <w:r>
        <w:t>Presentation skills also play a significant role in academic, and generally professional context since they contribute to a better exchange of knowledge and confidence, and overall interaction. Students are commonly tested through presentations, particularly during group works, seminars and viva testing in which the academic institutions expects the students to convey ideas in a manner that is easy to understand. Good presentation skills help students to describe intricate ideas, make contributions and show</w:t>
      </w:r>
      <w:r>
        <w:t xml:space="preserve"> knowledge that ultimately boosts academic performance (Van Emden, Becker and Becker, 2025). In addition to this, speaking in front of the colleagues helps the students to gain confidence and their anxiety largely diminishes with time, which in turn encourages engagement in and participation in the classroom.</w:t>
      </w:r>
    </w:p>
    <w:p w14:paraId="00000023" w14:textId="77777777" w:rsidR="002F2855" w:rsidRDefault="00B24762">
      <w:r>
        <w:t>Presentation skills are also necessary in the workplace. They are important in meetings, sales talks, and engaging in one on one conversations, as one is expected to express the ideas in a persuasive way and have an impact on making decisions. Successful presentations have the potential to promote professional image, reputability and team work (Karol and Oakes, 2017). Therefore, good presentation skills play a vital role in determining employability and career advancement since an employer appreciates an em</w:t>
      </w:r>
      <w:r>
        <w:t>ployee with the ability to put across ideas in a confident and clear manner across the board.</w:t>
      </w:r>
    </w:p>
    <w:p w14:paraId="00000024" w14:textId="77777777" w:rsidR="002F2855" w:rsidRDefault="00B24762">
      <w:r>
        <w:t xml:space="preserve">Most importantly, making the contribution through presentation has become more significant in today digital working environment, where virtual platforms like Zoom and Microsoft Teams are predominantly utilised. There is a need to showcase ideas via remote access and, in many cases, to the international audience. Thus, clarity, engagement, and flexibility have become even more essential (Di Palma </w:t>
      </w:r>
      <w:r>
        <w:rPr>
          <w:i/>
          <w:iCs/>
        </w:rPr>
        <w:t xml:space="preserve">et al., </w:t>
      </w:r>
      <w:r>
        <w:t>2025). Incompetence when it comes to presentation skills on the other hand may result to poor communication, lack of understanding, and lost opportunities especially where competition is the order of the day.</w:t>
      </w:r>
    </w:p>
    <w:p w14:paraId="00000025" w14:textId="77777777" w:rsidR="002F2855" w:rsidRDefault="00B24762">
      <w:r>
        <w:t>Indicatively, during a business presentation, ideas must be pitched out to the stakeholders in a well-organised manner with confidence and persuasion. Such a presentation can either gain investment or approval or it might lead to rejection of ideas, hence it forms a significant aspect of learning how to present a presentation effectively.</w:t>
      </w:r>
    </w:p>
    <w:p w14:paraId="00000026" w14:textId="77777777" w:rsidR="002F2855" w:rsidRDefault="00B24762">
      <w:pPr>
        <w:pStyle w:val="Heading1"/>
      </w:pPr>
      <w:bookmarkStart w:id="5" w:name="_e16ogj4tlhuv" w:colFirst="0" w:colLast="0"/>
      <w:bookmarkEnd w:id="5"/>
      <w:r>
        <w:t xml:space="preserve">Importance of Academic Writing Skills </w:t>
      </w:r>
    </w:p>
    <w:p w14:paraId="00000027" w14:textId="77777777" w:rsidR="002F2855" w:rsidRDefault="00B24762">
      <w:r>
        <w:t xml:space="preserve">Higher education is a main criterion of academic writing skills because students should be able to fill in their essays, reports and examinations that provide the knowledge of the content of the subject. Academic writing provides students an opportunity to demonstrate their level of knowledge, critical thinking and research skills through the analysis of information, development of arguments and providing credible evidence of their arguments (Campbell, 2019). It is not about presenting information but also </w:t>
      </w:r>
      <w:r>
        <w:t>involve approaches to find out ways of communicating the ideas with clarity, while also organising and reasoning their arguments with them. Good academic writing helps learners to effectively convey complicated ideas that ultimately lead to improved grades and overall success.</w:t>
      </w:r>
    </w:p>
    <w:p w14:paraId="00000028" w14:textId="43587B6A" w:rsidR="002F2855" w:rsidRPr="00EE3D39" w:rsidRDefault="00B24762">
      <w:pPr>
        <w:rPr>
          <w:color w:val="EE0000"/>
        </w:rPr>
      </w:pPr>
      <w:r>
        <w:t xml:space="preserve">Academic writing skills are also quite applicable in professional situations. </w:t>
      </w:r>
      <w:r w:rsidR="00BB4074" w:rsidRPr="00EE3D39">
        <w:rPr>
          <w:color w:val="EE0000"/>
        </w:rPr>
        <w:t>For example, academic writing gets</w:t>
      </w:r>
      <w:r w:rsidRPr="00EE3D39">
        <w:rPr>
          <w:color w:val="EE0000"/>
        </w:rPr>
        <w:t xml:space="preserve"> mostly applied in the creation of reports, emails and policy documents, which must be clarified, accurate and professional. </w:t>
      </w:r>
      <w:r>
        <w:t xml:space="preserve">Good writing becomes a factor of professional validity since the way a person thinks and the way it gets communicated is revealed through writing (French, 2020). </w:t>
      </w:r>
      <w:r w:rsidR="00EE3D39">
        <w:rPr>
          <w:color w:val="EE0000"/>
        </w:rPr>
        <w:t>For instance</w:t>
      </w:r>
      <w:r w:rsidR="00BB4074" w:rsidRPr="00EE3D39">
        <w:rPr>
          <w:color w:val="EE0000"/>
        </w:rPr>
        <w:t xml:space="preserve">, </w:t>
      </w:r>
      <w:r w:rsidR="00EE3D39">
        <w:rPr>
          <w:color w:val="EE0000"/>
        </w:rPr>
        <w:t xml:space="preserve">effective organisation of information and ensuring a logical flow in them, is an appreciated trait among the </w:t>
      </w:r>
      <w:r w:rsidR="00BB4074" w:rsidRPr="00EE3D39">
        <w:rPr>
          <w:color w:val="EE0000"/>
        </w:rPr>
        <w:t>h</w:t>
      </w:r>
      <w:r w:rsidRPr="00EE3D39">
        <w:rPr>
          <w:color w:val="EE0000"/>
        </w:rPr>
        <w:t>iring managers.</w:t>
      </w:r>
    </w:p>
    <w:p w14:paraId="00000029" w14:textId="722D99E0" w:rsidR="002F2855" w:rsidRDefault="00B24762">
      <w:r>
        <w:t xml:space="preserve">Critically, low academic performance and miscommunication are some of the major challenges that may arise due to </w:t>
      </w:r>
      <w:r w:rsidR="00EE3D39">
        <w:t>poor academic writing</w:t>
      </w:r>
      <w:r>
        <w:t xml:space="preserve"> skills.</w:t>
      </w:r>
      <w:r w:rsidR="00EE3D39">
        <w:t xml:space="preserve"> </w:t>
      </w:r>
      <w:r w:rsidR="00EE3D39" w:rsidRPr="00EE3D39">
        <w:rPr>
          <w:color w:val="EE0000"/>
        </w:rPr>
        <w:t>This can be illustrated in form of</w:t>
      </w:r>
      <w:r w:rsidRPr="00EE3D39">
        <w:rPr>
          <w:color w:val="EE0000"/>
        </w:rPr>
        <w:t xml:space="preserve"> </w:t>
      </w:r>
      <w:r w:rsidR="00EE3D39" w:rsidRPr="00EE3D39">
        <w:rPr>
          <w:color w:val="EE0000"/>
        </w:rPr>
        <w:t>p</w:t>
      </w:r>
      <w:r w:rsidRPr="00EE3D39">
        <w:rPr>
          <w:color w:val="EE0000"/>
        </w:rPr>
        <w:t>oor quality or vague writ</w:t>
      </w:r>
      <w:r w:rsidR="00EE3D39" w:rsidRPr="00EE3D39">
        <w:rPr>
          <w:color w:val="EE0000"/>
        </w:rPr>
        <w:t>e-ups, which</w:t>
      </w:r>
      <w:r w:rsidRPr="00EE3D39">
        <w:rPr>
          <w:color w:val="EE0000"/>
        </w:rPr>
        <w:t xml:space="preserve"> can lead to poor interpretation, </w:t>
      </w:r>
      <w:r w:rsidR="00EE3D39" w:rsidRPr="00EE3D39">
        <w:rPr>
          <w:color w:val="EE0000"/>
        </w:rPr>
        <w:t xml:space="preserve">non-critical </w:t>
      </w:r>
      <w:r w:rsidRPr="00EE3D39">
        <w:rPr>
          <w:color w:val="EE0000"/>
        </w:rPr>
        <w:t xml:space="preserve">arguments, </w:t>
      </w:r>
      <w:r w:rsidR="00EE3D39" w:rsidRPr="00EE3D39">
        <w:rPr>
          <w:color w:val="EE0000"/>
        </w:rPr>
        <w:t>and ultimately</w:t>
      </w:r>
      <w:r w:rsidRPr="00EE3D39">
        <w:rPr>
          <w:color w:val="EE0000"/>
        </w:rPr>
        <w:t xml:space="preserve"> low grades (Britton, Gulgoz and Glynn, 2012). </w:t>
      </w:r>
      <w:r>
        <w:t>Poor writing at the workplace may result in faults in decision-making, inaccuracy in the interpretation of information, and decreased organisational productivity. Academic writing is currently becoming even more vital in the contemporary world of data, where the need to document write-ups clearly and correctly to make informed decisions and act with responsibility is essential.</w:t>
      </w:r>
    </w:p>
    <w:p w14:paraId="0000002A" w14:textId="06768233" w:rsidR="002F2855" w:rsidRDefault="00B24762">
      <w:r>
        <w:t>Notably, presentation and academic writing skills are complementary</w:t>
      </w:r>
      <w:r w:rsidR="00EE3D39">
        <w:t xml:space="preserve"> skills</w:t>
      </w:r>
      <w:r>
        <w:t>. The level of academic writing demonstrates the level of thinking in which people can develop and form the ideas in a properly constructed way whereas presentation skills concern how to convey the ideas to an audience (Koleva, Branekova and Zafirov, 2018). They are able to combine as a whole, to create a complete set of communication skills and they help individuals both build and express their ideas in both academic and professional contexts.</w:t>
      </w:r>
    </w:p>
    <w:p w14:paraId="0000002B" w14:textId="77777777" w:rsidR="002F2855" w:rsidRDefault="00B24762">
      <w:pPr>
        <w:pStyle w:val="Heading1"/>
      </w:pPr>
      <w:bookmarkStart w:id="6" w:name="_qchsczo2f8bg" w:colFirst="0" w:colLast="0"/>
      <w:bookmarkEnd w:id="6"/>
      <w:r>
        <w:t>Strategies to Improve Presentation Skills</w:t>
      </w:r>
    </w:p>
    <w:p w14:paraId="0000002C" w14:textId="77777777" w:rsidR="002F2855" w:rsidRDefault="00B24762">
      <w:r>
        <w:rPr>
          <w:b/>
          <w:bCs/>
          <w:i/>
          <w:iCs/>
        </w:rPr>
        <w:t>Practice and rehearsal</w:t>
      </w:r>
      <w:r>
        <w:t xml:space="preserve"> is one of the best techniques to improve presentation skills. Practising presentations assists people to gain confidence, eliminate anxiety and enhance clarity in presentation. By practicing the material, presenters get used to the material so they can speak more fluently and will have more control over timing and structure. Practices like pretending to present things, or using recordings helps in consistent development. This is especially helpful where one can determine where their presentation is weak, i</w:t>
      </w:r>
      <w:r>
        <w:t>ncluding but not limited to: unclarity of speech, poor posture, or disengagement (Barmaki and Hughes, 2015). As an illustration, students who are going to have a group presentation can use it as a practice before peers or even record themselves to assess their performance and then follow it up to improve it prior to the actual presentation. Not only does this process instil confidence but it also makes the delivery more polished and professional.</w:t>
      </w:r>
    </w:p>
    <w:p w14:paraId="0000002D" w14:textId="77777777" w:rsidR="002F2855" w:rsidRDefault="00B24762">
      <w:r>
        <w:t xml:space="preserve">The other key technique is the </w:t>
      </w:r>
      <w:r>
        <w:rPr>
          <w:b/>
          <w:bCs/>
          <w:i/>
          <w:iCs/>
        </w:rPr>
        <w:t>good use of technology and visual aids</w:t>
      </w:r>
      <w:r>
        <w:t>. PowerPoint, Canva, and Prezi are tools that enable presenters to create visually appealing slides that accompany and complement their verbal message. Visual aids facilitate simplification of complicated information, thus enabling the audience to absorb and remember important information (Alabi, 2024). Also, appropriate images and slides can be more understandable by people and enhance the overall interaction. High level of IT skills is also exhibited with the use of s</w:t>
      </w:r>
      <w:r>
        <w:t>uch digital tools which is needed in both the academic and the workplace (Fukuhara and Kojiri, 2019). Technological competence is also an important skill in the contemporary workplace since presentations have to be delivered in digital platforms.</w:t>
      </w:r>
    </w:p>
    <w:p w14:paraId="0000002E" w14:textId="77777777" w:rsidR="002F2855" w:rsidRDefault="00B24762">
      <w:r>
        <w:t>On balance, both strategies are complementary towards enhancing presentation skills. Confidence and better delivery are mostly developed through practice and rehearsing, whereas more clarity and involvement of the audience are achieved with the use of technology and visuals. These strategies, when conjoined, result in better and more effective presentations, where the ideas to be conveyed are delivered in the best and professional manner.</w:t>
      </w:r>
    </w:p>
    <w:p w14:paraId="0000002F" w14:textId="77777777" w:rsidR="002F2855" w:rsidRDefault="00B24762">
      <w:pPr>
        <w:pStyle w:val="Heading1"/>
      </w:pPr>
      <w:bookmarkStart w:id="7" w:name="_7hqxnmxmi22k" w:colFirst="0" w:colLast="0"/>
      <w:bookmarkEnd w:id="7"/>
      <w:r>
        <w:t xml:space="preserve">Strategies to Improve Academic Writing Skills </w:t>
      </w:r>
    </w:p>
    <w:p w14:paraId="00000030" w14:textId="77777777" w:rsidR="002F2855" w:rsidRDefault="00B24762">
      <w:r>
        <w:t xml:space="preserve">Engaging in </w:t>
      </w:r>
      <w:r>
        <w:rPr>
          <w:b/>
          <w:bCs/>
          <w:i/>
          <w:iCs/>
        </w:rPr>
        <w:t>regular reading and research</w:t>
      </w:r>
      <w:r>
        <w:t xml:space="preserve"> is one of the best techniques through which the academic writing skills can be enhanced. Academic reading (through journals, textbooks, and a variety of other material) allows the students to acquire a better vocabulary and to gain greater knowledge about formal writing conventions (Castillo-Martínez and Ramírez-Montoya, 2021). Reading of good academic texts will enable them to see the way academic arguments are made, how evidence plays out, and how ideas are logically arranged.</w:t>
      </w:r>
      <w:r>
        <w:t xml:space="preserve"> This not only enhances the average of writing but also develops the critical thinking as students are taught to compare and contrast different views and integrate information. Subsequently, reading and researching give the background of generating coherent, well-formed and analysing academic work.</w:t>
      </w:r>
    </w:p>
    <w:p w14:paraId="00000031" w14:textId="77777777" w:rsidR="002F2855" w:rsidRDefault="00B24762">
      <w:r>
        <w:t xml:space="preserve">Next important tactic is to </w:t>
      </w:r>
      <w:r>
        <w:rPr>
          <w:b/>
          <w:bCs/>
          <w:i/>
          <w:iCs/>
        </w:rPr>
        <w:t>ask for feedback, and do extensive proofreading</w:t>
      </w:r>
      <w:r>
        <w:t xml:space="preserve">. Student feedback on tutors and peers can help students find out what they need to work on further, be it poor arguments, imprecision in expression, or their organisation. Other perspectives may also be offered by peer review that helps to perfect ideas and improve the quality, overall (McNally and Kooyman, 2017). Moreover, Grammarly and Turnitin are tools to aid in proofreading to detect grammatical mistakes, enhance the clarity of the sentences, and use the </w:t>
      </w:r>
      <w:r>
        <w:t>references correctly (Lukianenko, Vadaska and Korbut, 2024). These techniques increase quality, fluency and compliance with the academic rules, such as the appropriate use of the Harvard referencing.</w:t>
      </w:r>
    </w:p>
    <w:p w14:paraId="00000032" w14:textId="77777777" w:rsidR="002F2855" w:rsidRDefault="00B24762">
      <w:r>
        <w:t>All in all, these are both important and complementary strategies. Effective academic writing is built by reading and research to gain knowledge, vocabulary and skills in critical thinking. In the meantime, process of feedback and proofreading is used to refine and polish written work to make it clear, precise, and academically sound. These strategies, when put in a combination, go a long way in enhancing the quality and effectiveness of academic writing.</w:t>
      </w:r>
    </w:p>
    <w:p w14:paraId="00000033" w14:textId="77777777" w:rsidR="002F2855" w:rsidRDefault="00B24762">
      <w:pPr>
        <w:pStyle w:val="Heading1"/>
      </w:pPr>
      <w:bookmarkStart w:id="8" w:name="_t2f5d5yszx5l" w:colFirst="0" w:colLast="0"/>
      <w:bookmarkEnd w:id="8"/>
      <w:r>
        <w:t xml:space="preserve">Conclusion </w:t>
      </w:r>
    </w:p>
    <w:p w14:paraId="00000034" w14:textId="77777777" w:rsidR="002F2855" w:rsidRDefault="00B24762">
      <w:r>
        <w:t>Conclusively, this report has discussed the definition, significance and development plans of presentation and academic writing skills. Presentation skills were determined by giving the capacity to convey ideas clearly using the non-verbal, verbal and visual means of communication whereas academic writing skills entails drafting orderly, evidenced and critically analytical written information. Both have proven to be vital within the academic setting as they assist in knowledge presentation, critical thinkin</w:t>
      </w:r>
      <w:r>
        <w:t>g, and interaction and in the workplace setting where effective communication, credibility, and strong decision making are needed. Different recommendations to improve was also pointed out by the report such as practice and rehearsal combined with the use of technology in presentation skills and reading, research, feedback, and the process of proofreading of academic writing. The combination and coordination of these strategies promote the generation and provision of ideas. On the whole, it is clear that pr</w:t>
      </w:r>
      <w:r>
        <w:t>esentation skills and academic writing are essential in academic successes and professional communications. Acquisition of presentation and academic writing skills equip individuals with the skills of conveying ideas in any kind of setting.</w:t>
      </w:r>
      <w:r>
        <w:br w:type="page"/>
      </w:r>
    </w:p>
    <w:p w14:paraId="00000035" w14:textId="77777777" w:rsidR="002F2855" w:rsidRDefault="00B24762">
      <w:pPr>
        <w:pStyle w:val="Heading1"/>
      </w:pPr>
      <w:bookmarkStart w:id="9" w:name="_3sg21pxcwhf5" w:colFirst="0" w:colLast="0"/>
      <w:bookmarkEnd w:id="9"/>
      <w:r>
        <w:t xml:space="preserve">References </w:t>
      </w:r>
    </w:p>
    <w:p w14:paraId="00000036" w14:textId="77777777" w:rsidR="002F2855" w:rsidRDefault="00B24762">
      <w:r>
        <w:t>Alabi, M., (2024). Visual learning: The power of visual aids and multimedia. </w:t>
      </w:r>
      <w:r>
        <w:rPr>
          <w:i/>
          <w:iCs/>
        </w:rPr>
        <w:t>Journal of Educational Technology</w:t>
      </w:r>
      <w:r>
        <w:t>, </w:t>
      </w:r>
      <w:r>
        <w:rPr>
          <w:i/>
          <w:iCs/>
        </w:rPr>
        <w:t>15</w:t>
      </w:r>
      <w:r>
        <w:t>(4), pp.123-135.</w:t>
      </w:r>
    </w:p>
    <w:p w14:paraId="00000037" w14:textId="77777777" w:rsidR="002F2855" w:rsidRDefault="00B24762">
      <w:r>
        <w:t>Barmaki, R. and Hughes, C.E., (2015), November. Providing real-time feedback for student teachers in a virtual rehearsal environment. In </w:t>
      </w:r>
      <w:r>
        <w:rPr>
          <w:i/>
          <w:iCs/>
        </w:rPr>
        <w:t>Proceedings of the 2015 ACM on international conference on multimodal interaction</w:t>
      </w:r>
      <w:r>
        <w:t> (pp. 531-537).</w:t>
      </w:r>
    </w:p>
    <w:p w14:paraId="00000038" w14:textId="77777777" w:rsidR="002F2855" w:rsidRDefault="00B24762">
      <w:r>
        <w:t>Boettler, L.M., Goldfine, R.A., Leech, D.W. and Siegrist, G.R., (2022). Academic skills, community engaged, leadership, and global themed first-year seminars: Comparisons in student success. Journal of College Student Retention: Research, Theory &amp; Practice, 24(1), pp.213-233.</w:t>
      </w:r>
    </w:p>
    <w:p w14:paraId="00000039" w14:textId="77777777" w:rsidR="002F2855" w:rsidRDefault="00B24762">
      <w:r>
        <w:t>Britton, B.K., Gulgoz, S. and Glynn, S., (2012). Impact of good and poor writing on learners: Research and theory. In </w:t>
      </w:r>
      <w:r>
        <w:rPr>
          <w:i/>
          <w:iCs/>
        </w:rPr>
        <w:t>Learning from textbooks</w:t>
      </w:r>
      <w:r>
        <w:t> (pp. 1-46). Routledge.</w:t>
      </w:r>
    </w:p>
    <w:p w14:paraId="0000003A" w14:textId="77777777" w:rsidR="002F2855" w:rsidRDefault="00B24762">
      <w:r>
        <w:t>Campbell, M., (2019). Teaching academic writing in higher education. </w:t>
      </w:r>
      <w:r>
        <w:rPr>
          <w:i/>
          <w:iCs/>
        </w:rPr>
        <w:t>Education Quarterly Reviews</w:t>
      </w:r>
      <w:r>
        <w:t>, </w:t>
      </w:r>
      <w:r>
        <w:rPr>
          <w:i/>
          <w:iCs/>
        </w:rPr>
        <w:t>2</w:t>
      </w:r>
      <w:r>
        <w:t>(3).</w:t>
      </w:r>
    </w:p>
    <w:p w14:paraId="0000003B" w14:textId="77777777" w:rsidR="002F2855" w:rsidRDefault="00B24762">
      <w:r>
        <w:t>Castillo-Martínez, I.M. and Ramírez-Montoya, M.S., (2021), January. Research competencies to develop academic reading and writing: A systematic literature review. In </w:t>
      </w:r>
      <w:r>
        <w:rPr>
          <w:i/>
          <w:iCs/>
        </w:rPr>
        <w:t>Frontiers in Education</w:t>
      </w:r>
      <w:r>
        <w:t> (Vol. 5, p. 576961). Frontiers Media SA.</w:t>
      </w:r>
    </w:p>
    <w:p w14:paraId="0000003C" w14:textId="77777777" w:rsidR="002F2855" w:rsidRDefault="00B24762">
      <w:r>
        <w:t>Di Palma, R., Beausaert, S., Mahr, D., Heller, J. and Hilken, T., (2025). Does Using Virtual Reality to Enhance Students' Presentation Skills Work? The Role of Feedback and Presence. </w:t>
      </w:r>
      <w:r>
        <w:rPr>
          <w:i/>
          <w:iCs/>
        </w:rPr>
        <w:t>Journal of Computer Assisted Learning</w:t>
      </w:r>
      <w:r>
        <w:t>, </w:t>
      </w:r>
      <w:r>
        <w:rPr>
          <w:i/>
          <w:iCs/>
        </w:rPr>
        <w:t>41</w:t>
      </w:r>
      <w:r>
        <w:t>(5), p.e70097.</w:t>
      </w:r>
    </w:p>
    <w:p w14:paraId="0000003D" w14:textId="77777777" w:rsidR="002F2855" w:rsidRDefault="00B24762">
      <w:r>
        <w:t>French, A., (2020). Academic writing as identity-work in higher education: forming a ‘professional writing in higher education habitus’. </w:t>
      </w:r>
      <w:r>
        <w:rPr>
          <w:i/>
          <w:iCs/>
        </w:rPr>
        <w:t>Studies in Higher Education</w:t>
      </w:r>
      <w:r>
        <w:t>, </w:t>
      </w:r>
      <w:r>
        <w:rPr>
          <w:i/>
          <w:iCs/>
        </w:rPr>
        <w:t>45</w:t>
      </w:r>
      <w:r>
        <w:t>(8), pp.1605-1617.</w:t>
      </w:r>
    </w:p>
    <w:p w14:paraId="0000003E" w14:textId="77777777" w:rsidR="002F2855" w:rsidRDefault="00B24762">
      <w:r>
        <w:t>Fukuhara, K. and Kojiri, T., (2019). Paper Introduction Presentation Support Environment for Reading Skill and Presentation Skill Development. </w:t>
      </w:r>
      <w:r>
        <w:rPr>
          <w:i/>
          <w:iCs/>
        </w:rPr>
        <w:t>Procedia Computer Science</w:t>
      </w:r>
      <w:r>
        <w:t>, </w:t>
      </w:r>
      <w:r>
        <w:rPr>
          <w:i/>
          <w:iCs/>
        </w:rPr>
        <w:t>159</w:t>
      </w:r>
      <w:r>
        <w:t>, pp.2041-2050.</w:t>
      </w:r>
    </w:p>
    <w:p w14:paraId="0000003F" w14:textId="77777777" w:rsidR="002F2855" w:rsidRDefault="00B24762">
      <w:r>
        <w:t>Irawan, A.S., (2017). </w:t>
      </w:r>
      <w:r>
        <w:rPr>
          <w:i/>
          <w:iCs/>
        </w:rPr>
        <w:t>Patterns of subconscious plagiarism by college students in English Academic writing course</w:t>
      </w:r>
      <w:r>
        <w:t> (Doctoral dissertation, Universitas Negeri Malang).</w:t>
      </w:r>
    </w:p>
    <w:p w14:paraId="00000040" w14:textId="77777777" w:rsidR="002F2855" w:rsidRDefault="00B24762">
      <w:r>
        <w:t>Karol, P. and Oakes, C., (2017), June. It’s All in the Presentation-Techniques to Enhance Your Presentation Skills. In </w:t>
      </w:r>
      <w:r>
        <w:rPr>
          <w:i/>
          <w:iCs/>
        </w:rPr>
        <w:t>ASSE Professional Development Conference and Exposition</w:t>
      </w:r>
      <w:r>
        <w:t> (pp. ASSE-17). ASSE.</w:t>
      </w:r>
    </w:p>
    <w:p w14:paraId="00000041" w14:textId="77777777" w:rsidR="002F2855" w:rsidRDefault="00B24762">
      <w:r>
        <w:t>Koleva, A., Branekova, D. and Zafirov, H., (2018). Presentation and communication skills in the academic preparation of students of pedagogy. Trakia Journal of Science, 16(2), pp.77-82.</w:t>
      </w:r>
    </w:p>
    <w:p w14:paraId="00000042" w14:textId="77777777" w:rsidR="002F2855" w:rsidRDefault="00B24762">
      <w:r>
        <w:t>Lukianenko, V., Vadaska, S. and Korbut, O., (2024). DIGITAL TECHNOLOGY IN TEACHING ACADEMIC WRITING. </w:t>
      </w:r>
      <w:r>
        <w:rPr>
          <w:i/>
          <w:iCs/>
        </w:rPr>
        <w:t>ISSN 78112 Редакційна колегія</w:t>
      </w:r>
      <w:r>
        <w:t>, p.55.</w:t>
      </w:r>
    </w:p>
    <w:p w14:paraId="00000043" w14:textId="77777777" w:rsidR="002F2855" w:rsidRDefault="00B24762">
      <w:r>
        <w:t>Mallia, J., (2017). Strategies for developing English academic writing skills. </w:t>
      </w:r>
      <w:r>
        <w:rPr>
          <w:i/>
          <w:iCs/>
        </w:rPr>
        <w:t>Arab World English Journal (AWEJ) Volume</w:t>
      </w:r>
      <w:r>
        <w:t>, </w:t>
      </w:r>
      <w:r>
        <w:rPr>
          <w:i/>
          <w:iCs/>
        </w:rPr>
        <w:t>8</w:t>
      </w:r>
      <w:r>
        <w:t>.</w:t>
      </w:r>
    </w:p>
    <w:p w14:paraId="00000044" w14:textId="77777777" w:rsidR="002F2855" w:rsidRDefault="00B24762">
      <w:r>
        <w:t>Mathias, H., (2020). Presentation and Communication Skills. In </w:t>
      </w:r>
      <w:r>
        <w:rPr>
          <w:i/>
          <w:iCs/>
        </w:rPr>
        <w:t>Handbook for Research Students in the Social Sciences</w:t>
      </w:r>
      <w:r>
        <w:t> (pp. 107-116). Routledge.</w:t>
      </w:r>
    </w:p>
    <w:p w14:paraId="00000045" w14:textId="77777777" w:rsidR="002F2855" w:rsidRDefault="00B24762">
      <w:r>
        <w:t>McNally, D. and Kooyman, B.D., (2017). Drawing the line: Views from academic staff and skills advisors on acceptable proofreading with low proficiency writers. </w:t>
      </w:r>
      <w:r>
        <w:rPr>
          <w:i/>
          <w:iCs/>
        </w:rPr>
        <w:t>Journal of Academic Language and Learning</w:t>
      </w:r>
      <w:r>
        <w:t>, </w:t>
      </w:r>
      <w:r>
        <w:rPr>
          <w:i/>
          <w:iCs/>
        </w:rPr>
        <w:t>11</w:t>
      </w:r>
      <w:r>
        <w:t>(1), pp.A145-A158.</w:t>
      </w:r>
    </w:p>
    <w:p w14:paraId="00000046" w14:textId="77777777" w:rsidR="002F2855" w:rsidRDefault="00B24762">
      <w:r>
        <w:t>Planer, R.J. and Godfrey</w:t>
      </w:r>
      <w:r>
        <w:rPr>
          <w:rFonts w:ascii="Cambria Math" w:eastAsia="Cambria Math" w:hAnsi="Cambria Math" w:cs="Cambria Math"/>
        </w:rPr>
        <w:t>‐</w:t>
      </w:r>
      <w:r>
        <w:t>Smith, P., (2021). Communication and representation understood as sender</w:t>
      </w:r>
      <w:r>
        <w:rPr>
          <w:rFonts w:ascii="Aptos" w:eastAsia="Aptos" w:hAnsi="Aptos" w:cs="Aptos"/>
        </w:rPr>
        <w:t>–</w:t>
      </w:r>
      <w:r>
        <w:t>receiver coordination.</w:t>
      </w:r>
      <w:r>
        <w:rPr>
          <w:rFonts w:ascii="Aptos" w:eastAsia="Aptos" w:hAnsi="Aptos" w:cs="Aptos"/>
        </w:rPr>
        <w:t> </w:t>
      </w:r>
      <w:r>
        <w:rPr>
          <w:i/>
          <w:iCs/>
        </w:rPr>
        <w:t>Mind &amp; Language</w:t>
      </w:r>
      <w:r>
        <w:t>, </w:t>
      </w:r>
      <w:r>
        <w:rPr>
          <w:i/>
          <w:iCs/>
        </w:rPr>
        <w:t>36</w:t>
      </w:r>
      <w:r>
        <w:t>(5), pp.750-770.</w:t>
      </w:r>
    </w:p>
    <w:p w14:paraId="00000047" w14:textId="77777777" w:rsidR="002F2855" w:rsidRDefault="00B24762">
      <w:r>
        <w:t>Van Emden, J., Becker, L. and Becker, A., (2025). Presentation skills for students. Bloomsbury Publishing.</w:t>
      </w:r>
    </w:p>
    <w:p w14:paraId="00000048" w14:textId="77777777" w:rsidR="002F2855" w:rsidRDefault="00B24762">
      <w:r>
        <w:t>Van Emden, J., Becker, L. and Becker, A., (2025). </w:t>
      </w:r>
      <w:r>
        <w:rPr>
          <w:i/>
          <w:iCs/>
        </w:rPr>
        <w:t>Presentation skills for students</w:t>
      </w:r>
      <w:r>
        <w:t>. Bloomsbury Publishing.</w:t>
      </w:r>
    </w:p>
    <w:p w14:paraId="00000049" w14:textId="77777777" w:rsidR="002F2855" w:rsidRDefault="00B24762">
      <w:r>
        <w:t>Weerawardane, D. and Byrne, P., (2021). An introduction to critical thinking, academic writing and Harvard referencing. </w:t>
      </w:r>
      <w:r>
        <w:rPr>
          <w:i/>
          <w:iCs/>
        </w:rPr>
        <w:t>Academic Development and Employability</w:t>
      </w:r>
      <w:r>
        <w:t>, pp.3-54.</w:t>
      </w:r>
    </w:p>
    <w:sectPr w:rsidR="002F2855">
      <w:footerReference w:type="default" r:id="rId6"/>
      <w:pgSz w:w="11906" w:h="16838"/>
      <w:pgMar w:top="1440" w:right="1440" w:bottom="1440" w:left="1440" w:header="708" w:footer="708"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1BD369" w14:textId="77777777" w:rsidR="00C63C56" w:rsidRDefault="00C63C56">
      <w:pPr>
        <w:spacing w:after="0" w:line="240" w:lineRule="auto"/>
      </w:pPr>
      <w:r>
        <w:separator/>
      </w:r>
    </w:p>
  </w:endnote>
  <w:endnote w:type="continuationSeparator" w:id="0">
    <w:p w14:paraId="46124AAA" w14:textId="77777777" w:rsidR="00C63C56" w:rsidRDefault="00C63C5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Play">
    <w:charset w:val="00"/>
    <w:family w:val="auto"/>
    <w:pitch w:val="default"/>
  </w:font>
  <w:font w:name="Cambria Math">
    <w:panose1 w:val="02040503050406030204"/>
    <w:charset w:val="00"/>
    <w:family w:val="roman"/>
    <w:pitch w:val="variable"/>
    <w:sig w:usb0="E00006FF" w:usb1="420024FF" w:usb2="02000000" w:usb3="00000000" w:csb0="0000019F" w:csb1="00000000"/>
    <w:embedRegular r:id="rId1" w:fontKey="{2A45B696-8DD1-6C43-96F7-0626B1BBCC7B}"/>
  </w:font>
  <w:font w:name="Aptos">
    <w:panose1 w:val="020B0004020202020204"/>
    <w:charset w:val="00"/>
    <w:family w:val="swiss"/>
    <w:pitch w:val="variable"/>
    <w:sig w:usb0="20000287" w:usb1="00000003" w:usb2="00000000" w:usb3="00000000" w:csb0="0000019F" w:csb1="00000000"/>
    <w:embedRegular r:id="rId2" w:fontKey="{B3E13BEC-1B4E-8E40-9F61-660CE9BFADAF}"/>
  </w:font>
  <w:font w:name="Calibri">
    <w:panose1 w:val="020F0502020204030204"/>
    <w:charset w:val="00"/>
    <w:family w:val="swiss"/>
    <w:pitch w:val="variable"/>
    <w:sig w:usb0="E4002EFF" w:usb1="C200ACFF" w:usb2="00000009" w:usb3="00000000" w:csb0="000001FF" w:csb1="00000000"/>
    <w:embedRegular r:id="rId3" w:fontKey="{5DCBBD4E-7080-4BB5-9DF2-82D237106F49}"/>
  </w:font>
  <w:font w:name="Cambria">
    <w:panose1 w:val="02040503050406030204"/>
    <w:charset w:val="00"/>
    <w:family w:val="roman"/>
    <w:pitch w:val="variable"/>
    <w:sig w:usb0="E00006FF" w:usb1="420024FF" w:usb2="02000000" w:usb3="00000000" w:csb0="0000019F" w:csb1="00000000"/>
    <w:embedRegular r:id="rId4" w:fontKey="{F002FAD2-BB15-E14D-B965-7CAF9F76DF0C}"/>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000004A" w14:textId="6706D6A3" w:rsidR="002F2855" w:rsidRDefault="00B24762">
    <w:pPr>
      <w:pBdr>
        <w:top w:val="nil"/>
        <w:left w:val="nil"/>
        <w:bottom w:val="nil"/>
        <w:right w:val="nil"/>
        <w:between w:val="nil"/>
      </w:pBdr>
      <w:tabs>
        <w:tab w:val="center" w:pos="4513"/>
        <w:tab w:val="right" w:pos="9026"/>
      </w:tabs>
      <w:spacing w:after="0" w:line="240" w:lineRule="auto"/>
      <w:jc w:val="right"/>
      <w:rPr>
        <w:color w:val="000000"/>
      </w:rPr>
    </w:pPr>
    <w:r>
      <w:rPr>
        <w:color w:val="000000"/>
      </w:rPr>
      <w:fldChar w:fldCharType="begin"/>
    </w:r>
    <w:r>
      <w:rPr>
        <w:color w:val="000000"/>
      </w:rPr>
      <w:instrText>PAGE</w:instrText>
    </w:r>
    <w:r>
      <w:rPr>
        <w:color w:val="000000"/>
      </w:rPr>
      <w:fldChar w:fldCharType="separate"/>
    </w:r>
    <w:r w:rsidR="00BB4074">
      <w:rPr>
        <w:noProof/>
        <w:color w:val="000000"/>
      </w:rPr>
      <w:t>1</w:t>
    </w:r>
    <w:r>
      <w:rPr>
        <w:color w:val="000000"/>
      </w:rPr>
      <w:fldChar w:fldCharType="end"/>
    </w:r>
  </w:p>
  <w:p w14:paraId="0000004B" w14:textId="77777777" w:rsidR="002F2855" w:rsidRDefault="002F2855">
    <w:pPr>
      <w:pBdr>
        <w:top w:val="nil"/>
        <w:left w:val="nil"/>
        <w:bottom w:val="nil"/>
        <w:right w:val="nil"/>
        <w:between w:val="nil"/>
      </w:pBdr>
      <w:tabs>
        <w:tab w:val="center" w:pos="4513"/>
        <w:tab w:val="right" w:pos="9026"/>
      </w:tabs>
      <w:spacing w:after="0" w:line="240" w:lineRule="auto"/>
      <w:rPr>
        <w:color w:val="00000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159FC50" w14:textId="77777777" w:rsidR="00C63C56" w:rsidRDefault="00C63C56">
      <w:pPr>
        <w:spacing w:after="0" w:line="240" w:lineRule="auto"/>
      </w:pPr>
      <w:r>
        <w:separator/>
      </w:r>
    </w:p>
  </w:footnote>
  <w:footnote w:type="continuationSeparator" w:id="0">
    <w:p w14:paraId="1B6607B6" w14:textId="77777777" w:rsidR="00C63C56" w:rsidRDefault="00C63C56">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web"/>
  <w:zoom w:percent="54"/>
  <w:embedTrueTypeFonts/>
  <w:revisionView w:inkAnnotations="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F2855"/>
    <w:rsid w:val="0004039E"/>
    <w:rsid w:val="000B4663"/>
    <w:rsid w:val="002F2855"/>
    <w:rsid w:val="00585DEA"/>
    <w:rsid w:val="006D1961"/>
    <w:rsid w:val="0086303B"/>
    <w:rsid w:val="0088033F"/>
    <w:rsid w:val="008A271E"/>
    <w:rsid w:val="00B11EB5"/>
    <w:rsid w:val="00B24762"/>
    <w:rsid w:val="00BB4074"/>
    <w:rsid w:val="00C63C56"/>
    <w:rsid w:val="00CE6C15"/>
    <w:rsid w:val="00D12711"/>
    <w:rsid w:val="00DD62F1"/>
    <w:rsid w:val="00EE3D3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C651B63"/>
  <w15:docId w15:val="{D9D40E9A-79BE-46B0-9A95-0FF296AA71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sz w:val="24"/>
        <w:szCs w:val="24"/>
        <w:lang w:val="en-GB" w:eastAsia="en-IN" w:bidi="ar-SA"/>
      </w:rPr>
    </w:rPrDefault>
    <w:pPrDefault>
      <w:pPr>
        <w:spacing w:after="160"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360" w:after="80"/>
      <w:outlineLvl w:val="0"/>
    </w:pPr>
    <w:rPr>
      <w:b/>
      <w:bCs/>
    </w:rPr>
  </w:style>
  <w:style w:type="paragraph" w:styleId="Heading2">
    <w:name w:val="heading 2"/>
    <w:basedOn w:val="Normal"/>
    <w:next w:val="Normal"/>
    <w:uiPriority w:val="9"/>
    <w:unhideWhenUsed/>
    <w:qFormat/>
    <w:pPr>
      <w:keepNext/>
      <w:keepLines/>
      <w:spacing w:before="160" w:after="80"/>
      <w:outlineLvl w:val="1"/>
    </w:pPr>
    <w:rPr>
      <w:b/>
      <w:bCs/>
    </w:rPr>
  </w:style>
  <w:style w:type="paragraph" w:styleId="Heading3">
    <w:name w:val="heading 3"/>
    <w:basedOn w:val="Normal"/>
    <w:next w:val="Normal"/>
    <w:uiPriority w:val="9"/>
    <w:semiHidden/>
    <w:unhideWhenUsed/>
    <w:qFormat/>
    <w:pPr>
      <w:keepNext/>
      <w:keepLines/>
      <w:spacing w:before="160" w:after="80"/>
      <w:outlineLvl w:val="2"/>
    </w:pPr>
    <w:rPr>
      <w:color w:val="0F4761"/>
      <w:sz w:val="28"/>
      <w:szCs w:val="28"/>
    </w:rPr>
  </w:style>
  <w:style w:type="paragraph" w:styleId="Heading4">
    <w:name w:val="heading 4"/>
    <w:basedOn w:val="Normal"/>
    <w:next w:val="Normal"/>
    <w:uiPriority w:val="9"/>
    <w:semiHidden/>
    <w:unhideWhenUsed/>
    <w:qFormat/>
    <w:pPr>
      <w:keepNext/>
      <w:keepLines/>
      <w:spacing w:before="80" w:after="40"/>
      <w:outlineLvl w:val="3"/>
    </w:pPr>
    <w:rPr>
      <w:i/>
      <w:iCs/>
      <w:color w:val="0F4761"/>
    </w:rPr>
  </w:style>
  <w:style w:type="paragraph" w:styleId="Heading5">
    <w:name w:val="heading 5"/>
    <w:basedOn w:val="Normal"/>
    <w:next w:val="Normal"/>
    <w:uiPriority w:val="9"/>
    <w:semiHidden/>
    <w:unhideWhenUsed/>
    <w:qFormat/>
    <w:pPr>
      <w:keepNext/>
      <w:keepLines/>
      <w:spacing w:before="80" w:after="40"/>
      <w:outlineLvl w:val="4"/>
    </w:pPr>
    <w:rPr>
      <w:color w:val="0F4761"/>
    </w:rPr>
  </w:style>
  <w:style w:type="paragraph" w:styleId="Heading6">
    <w:name w:val="heading 6"/>
    <w:basedOn w:val="Normal"/>
    <w:next w:val="Normal"/>
    <w:uiPriority w:val="9"/>
    <w:semiHidden/>
    <w:unhideWhenUsed/>
    <w:qFormat/>
    <w:pPr>
      <w:keepNext/>
      <w:keepLines/>
      <w:spacing w:before="40" w:after="0"/>
      <w:outlineLvl w:val="5"/>
    </w:pPr>
    <w:rPr>
      <w:i/>
      <w:iCs/>
      <w:color w:val="595959"/>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spacing w:after="80" w:line="240" w:lineRule="auto"/>
    </w:pPr>
    <w:rPr>
      <w:rFonts w:ascii="Play" w:eastAsia="Play" w:hAnsi="Play" w:cs="Play"/>
      <w:sz w:val="56"/>
      <w:szCs w:val="56"/>
    </w:rPr>
  </w:style>
  <w:style w:type="paragraph" w:styleId="Subtitle">
    <w:name w:val="Subtitle"/>
    <w:basedOn w:val="Normal"/>
    <w:next w:val="Normal"/>
    <w:uiPriority w:val="11"/>
    <w:qFormat/>
    <w:rPr>
      <w:color w:val="595959"/>
      <w:sz w:val="28"/>
      <w:szCs w:val="2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footer" Target="footer1.xml" /><Relationship Id="rId5" Type="http://schemas.openxmlformats.org/officeDocument/2006/relationships/endnotes" Target="endnotes.xml" /><Relationship Id="rId4" Type="http://schemas.openxmlformats.org/officeDocument/2006/relationships/footnotes" Target="footnotes.xml" /></Relationships>
</file>

<file path=word/_rels/fontTable.xml.rels><?xml version="1.0" encoding="UTF-8" standalone="yes"?>
<Relationships xmlns="http://schemas.openxmlformats.org/package/2006/relationships"><Relationship Id="rId3" Type="http://schemas.openxmlformats.org/officeDocument/2006/relationships/font" Target="fonts/font3.odttf" /><Relationship Id="rId2" Type="http://schemas.openxmlformats.org/officeDocument/2006/relationships/font" Target="fonts/font2.odttf" /><Relationship Id="rId1" Type="http://schemas.openxmlformats.org/officeDocument/2006/relationships/font" Target="fonts/font1.odttf" /><Relationship Id="rId4" Type="http://schemas.openxmlformats.org/officeDocument/2006/relationships/font" Target="fonts/font4.odttf"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TotalTime>
  <Pages>1</Pages>
  <Words>2777</Words>
  <Characters>15834</Characters>
  <Application>Microsoft Office Word</Application>
  <DocSecurity>0</DocSecurity>
  <Lines>131</Lines>
  <Paragraphs>37</Paragraphs>
  <ScaleCrop>false</ScaleCrop>
  <Company/>
  <LinksUpToDate>false</LinksUpToDate>
  <CharactersWithSpaces>18574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Andrei Neata HE34989</cp:lastModifiedBy>
  <cp:revision>2</cp:revision>
  <dcterms:created xsi:type="dcterms:W3CDTF">2026-04-24T07:55:00Z</dcterms:created>
  <dcterms:modified xsi:type="dcterms:W3CDTF">2026-04-24T07:55:00Z</dcterms:modified>
</cp:coreProperties>
</file>