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6E7FF" w14:textId="53F6F194" w:rsidR="00C4292F" w:rsidRPr="00BD4C9D" w:rsidRDefault="00C4292F" w:rsidP="00C4292F">
      <w:pPr>
        <w:spacing w:line="360" w:lineRule="auto"/>
        <w:jc w:val="center"/>
        <w:rPr>
          <w:rFonts w:ascii="Arial" w:hAnsi="Arial" w:cs="Arial"/>
          <w:sz w:val="28"/>
          <w:szCs w:val="28"/>
        </w:rPr>
      </w:pPr>
      <w:r w:rsidRPr="00BD4C9D">
        <w:rPr>
          <w:rFonts w:ascii="Arial" w:hAnsi="Arial" w:cs="Arial"/>
          <w:sz w:val="28"/>
          <w:szCs w:val="28"/>
        </w:rPr>
        <w:drawing>
          <wp:inline distT="0" distB="0" distL="0" distR="0" wp14:anchorId="68316935" wp14:editId="3403ADCA">
            <wp:extent cx="4845230" cy="2023672"/>
            <wp:effectExtent l="0" t="0" r="0" b="0"/>
            <wp:docPr id="1924696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0446" cy="2025851"/>
                    </a:xfrm>
                    <a:prstGeom prst="rect">
                      <a:avLst/>
                    </a:prstGeom>
                    <a:noFill/>
                  </pic:spPr>
                </pic:pic>
              </a:graphicData>
            </a:graphic>
          </wp:inline>
        </w:drawing>
      </w:r>
    </w:p>
    <w:p w14:paraId="4A2A8349" w14:textId="77777777" w:rsidR="00C4292F" w:rsidRPr="00BD4C9D" w:rsidRDefault="00C4292F" w:rsidP="00C4292F">
      <w:pPr>
        <w:spacing w:line="360" w:lineRule="auto"/>
        <w:jc w:val="center"/>
        <w:rPr>
          <w:rFonts w:ascii="Arial" w:hAnsi="Arial" w:cs="Arial"/>
          <w:sz w:val="28"/>
          <w:szCs w:val="28"/>
        </w:rPr>
      </w:pPr>
      <w:r w:rsidRPr="00C4292F">
        <w:rPr>
          <w:rFonts w:ascii="Arial" w:hAnsi="Arial" w:cs="Arial"/>
          <w:b/>
          <w:bCs/>
          <w:sz w:val="28"/>
          <w:szCs w:val="28"/>
        </w:rPr>
        <w:t>Master of Business Administration (MBA)</w:t>
      </w:r>
    </w:p>
    <w:p w14:paraId="55AC5C24" w14:textId="77777777" w:rsidR="00C4292F" w:rsidRPr="00BD4C9D" w:rsidRDefault="00C4292F" w:rsidP="00C4292F">
      <w:pPr>
        <w:spacing w:line="360" w:lineRule="auto"/>
        <w:jc w:val="center"/>
        <w:rPr>
          <w:rFonts w:ascii="Arial" w:hAnsi="Arial" w:cs="Arial"/>
          <w:sz w:val="28"/>
          <w:szCs w:val="28"/>
        </w:rPr>
      </w:pPr>
      <w:r w:rsidRPr="00C4292F">
        <w:rPr>
          <w:rFonts w:ascii="Arial" w:hAnsi="Arial" w:cs="Arial"/>
          <w:b/>
          <w:bCs/>
          <w:sz w:val="28"/>
          <w:szCs w:val="28"/>
        </w:rPr>
        <w:t>Module:</w:t>
      </w:r>
      <w:r w:rsidRPr="00C4292F">
        <w:rPr>
          <w:rFonts w:ascii="Arial" w:hAnsi="Arial" w:cs="Arial"/>
          <w:sz w:val="28"/>
          <w:szCs w:val="28"/>
        </w:rPr>
        <w:t xml:space="preserve"> Marketing Management</w:t>
      </w:r>
    </w:p>
    <w:p w14:paraId="4D89F373" w14:textId="77777777" w:rsidR="00C4292F" w:rsidRPr="00BD4C9D" w:rsidRDefault="00C4292F" w:rsidP="00C4292F">
      <w:pPr>
        <w:spacing w:line="360" w:lineRule="auto"/>
        <w:jc w:val="center"/>
        <w:rPr>
          <w:rFonts w:ascii="Arial" w:hAnsi="Arial" w:cs="Arial"/>
          <w:b/>
          <w:bCs/>
          <w:sz w:val="28"/>
          <w:szCs w:val="28"/>
        </w:rPr>
      </w:pPr>
      <w:r w:rsidRPr="00C4292F">
        <w:rPr>
          <w:rFonts w:ascii="Arial" w:hAnsi="Arial" w:cs="Arial"/>
          <w:b/>
          <w:bCs/>
          <w:sz w:val="28"/>
          <w:szCs w:val="28"/>
        </w:rPr>
        <w:t>Module Code:</w:t>
      </w:r>
      <w:r w:rsidRPr="00C4292F">
        <w:rPr>
          <w:rFonts w:ascii="Arial" w:hAnsi="Arial" w:cs="Arial"/>
          <w:sz w:val="28"/>
          <w:szCs w:val="28"/>
        </w:rPr>
        <w:t xml:space="preserve"> LCMB7024</w:t>
      </w:r>
      <w:r w:rsidRPr="00C4292F">
        <w:rPr>
          <w:rFonts w:ascii="Arial" w:hAnsi="Arial" w:cs="Arial"/>
          <w:sz w:val="28"/>
          <w:szCs w:val="28"/>
        </w:rPr>
        <w:br/>
      </w:r>
    </w:p>
    <w:p w14:paraId="5CC97DB1" w14:textId="5057A60C" w:rsidR="00C4292F" w:rsidRPr="00C4292F" w:rsidRDefault="00C4292F" w:rsidP="00C4292F">
      <w:pPr>
        <w:spacing w:line="360" w:lineRule="auto"/>
        <w:jc w:val="center"/>
        <w:rPr>
          <w:rFonts w:ascii="Arial" w:hAnsi="Arial" w:cs="Arial"/>
          <w:sz w:val="28"/>
          <w:szCs w:val="28"/>
        </w:rPr>
      </w:pPr>
      <w:r w:rsidRPr="00C4292F">
        <w:rPr>
          <w:rFonts w:ascii="Arial" w:hAnsi="Arial" w:cs="Arial"/>
          <w:b/>
          <w:bCs/>
          <w:sz w:val="28"/>
          <w:szCs w:val="28"/>
        </w:rPr>
        <w:t>Lecturer(s):</w:t>
      </w:r>
      <w:r w:rsidRPr="00C4292F">
        <w:rPr>
          <w:rFonts w:ascii="Arial" w:hAnsi="Arial" w:cs="Arial"/>
          <w:sz w:val="28"/>
          <w:szCs w:val="28"/>
        </w:rPr>
        <w:t xml:space="preserve"> Laila Maazouz; Taonga Kaonga </w:t>
      </w:r>
      <w:proofErr w:type="spellStart"/>
      <w:r w:rsidRPr="00C4292F">
        <w:rPr>
          <w:rFonts w:ascii="Arial" w:hAnsi="Arial" w:cs="Arial"/>
          <w:sz w:val="28"/>
          <w:szCs w:val="28"/>
        </w:rPr>
        <w:t>Sobere-Snithers</w:t>
      </w:r>
      <w:proofErr w:type="spellEnd"/>
    </w:p>
    <w:p w14:paraId="29B4B692" w14:textId="77777777" w:rsidR="00C4292F" w:rsidRPr="00BD4C9D" w:rsidRDefault="00C4292F" w:rsidP="00C4292F">
      <w:pPr>
        <w:spacing w:line="360" w:lineRule="auto"/>
        <w:jc w:val="center"/>
        <w:rPr>
          <w:rFonts w:ascii="Arial" w:hAnsi="Arial" w:cs="Arial"/>
          <w:sz w:val="28"/>
          <w:szCs w:val="28"/>
        </w:rPr>
      </w:pPr>
      <w:r w:rsidRPr="00C4292F">
        <w:rPr>
          <w:rFonts w:ascii="Arial" w:hAnsi="Arial" w:cs="Arial"/>
          <w:b/>
          <w:bCs/>
          <w:sz w:val="28"/>
          <w:szCs w:val="28"/>
        </w:rPr>
        <w:t>Assignment Title:</w:t>
      </w:r>
      <w:r w:rsidRPr="00C4292F">
        <w:rPr>
          <w:rFonts w:ascii="Arial" w:hAnsi="Arial" w:cs="Arial"/>
          <w:sz w:val="28"/>
          <w:szCs w:val="28"/>
        </w:rPr>
        <w:t xml:space="preserve"> Assessment Component 1 – Marketing Environment Analysis</w:t>
      </w:r>
    </w:p>
    <w:p w14:paraId="0F199EE6" w14:textId="77777777" w:rsidR="00C4292F" w:rsidRPr="00BD4C9D" w:rsidRDefault="00C4292F" w:rsidP="00C4292F">
      <w:pPr>
        <w:spacing w:line="360" w:lineRule="auto"/>
        <w:jc w:val="center"/>
        <w:rPr>
          <w:rFonts w:ascii="Arial" w:hAnsi="Arial" w:cs="Arial"/>
          <w:sz w:val="28"/>
          <w:szCs w:val="28"/>
        </w:rPr>
      </w:pPr>
    </w:p>
    <w:p w14:paraId="44341542" w14:textId="029A1FBA" w:rsidR="00C4292F" w:rsidRPr="00BD4C9D" w:rsidRDefault="00C4292F" w:rsidP="00C4292F">
      <w:pPr>
        <w:spacing w:line="360" w:lineRule="auto"/>
        <w:jc w:val="center"/>
        <w:rPr>
          <w:rFonts w:ascii="Arial" w:hAnsi="Arial" w:cs="Arial"/>
          <w:b/>
          <w:bCs/>
          <w:sz w:val="28"/>
          <w:szCs w:val="28"/>
        </w:rPr>
      </w:pPr>
      <w:r w:rsidRPr="00C4292F">
        <w:rPr>
          <w:rFonts w:ascii="Arial" w:hAnsi="Arial" w:cs="Arial"/>
          <w:b/>
          <w:bCs/>
          <w:sz w:val="28"/>
          <w:szCs w:val="28"/>
        </w:rPr>
        <w:t>Student Name:</w:t>
      </w:r>
      <w:r w:rsidRPr="00C4292F">
        <w:rPr>
          <w:rFonts w:ascii="Arial" w:hAnsi="Arial" w:cs="Arial"/>
          <w:sz w:val="28"/>
          <w:szCs w:val="28"/>
        </w:rPr>
        <w:t xml:space="preserve"> </w:t>
      </w:r>
      <w:proofErr w:type="spellStart"/>
      <w:r w:rsidRPr="00BD4C9D">
        <w:rPr>
          <w:rFonts w:ascii="Arial" w:eastAsiaTheme="minorHAnsi" w:hAnsi="Arial" w:cs="Arial"/>
          <w:b/>
          <w:bCs/>
          <w:sz w:val="28"/>
          <w:szCs w:val="28"/>
        </w:rPr>
        <w:t>Rambhai</w:t>
      </w:r>
      <w:proofErr w:type="spellEnd"/>
      <w:r w:rsidRPr="00BD4C9D">
        <w:rPr>
          <w:rFonts w:ascii="Arial" w:eastAsiaTheme="minorHAnsi" w:hAnsi="Arial" w:cs="Arial"/>
          <w:b/>
          <w:bCs/>
          <w:sz w:val="28"/>
          <w:szCs w:val="28"/>
        </w:rPr>
        <w:t xml:space="preserve"> </w:t>
      </w:r>
      <w:proofErr w:type="spellStart"/>
      <w:r w:rsidRPr="00BD4C9D">
        <w:rPr>
          <w:rFonts w:ascii="Arial" w:eastAsiaTheme="minorHAnsi" w:hAnsi="Arial" w:cs="Arial"/>
          <w:b/>
          <w:bCs/>
          <w:sz w:val="28"/>
          <w:szCs w:val="28"/>
        </w:rPr>
        <w:t>Vejabhai</w:t>
      </w:r>
      <w:proofErr w:type="spellEnd"/>
      <w:r w:rsidRPr="00BD4C9D">
        <w:rPr>
          <w:rFonts w:ascii="Arial" w:eastAsiaTheme="minorHAnsi" w:hAnsi="Arial" w:cs="Arial"/>
          <w:b/>
          <w:bCs/>
          <w:sz w:val="28"/>
          <w:szCs w:val="28"/>
        </w:rPr>
        <w:t xml:space="preserve"> </w:t>
      </w:r>
      <w:proofErr w:type="spellStart"/>
      <w:r w:rsidRPr="00BD4C9D">
        <w:rPr>
          <w:rFonts w:ascii="Arial" w:eastAsiaTheme="minorHAnsi" w:hAnsi="Arial" w:cs="Arial"/>
          <w:b/>
          <w:bCs/>
          <w:sz w:val="28"/>
          <w:szCs w:val="28"/>
        </w:rPr>
        <w:t>Modhavadiya</w:t>
      </w:r>
      <w:proofErr w:type="spellEnd"/>
    </w:p>
    <w:p w14:paraId="2EEE3DD2" w14:textId="3394B182" w:rsidR="00C4292F" w:rsidRPr="00C4292F" w:rsidRDefault="00C4292F" w:rsidP="00C4292F">
      <w:pPr>
        <w:spacing w:line="360" w:lineRule="auto"/>
        <w:jc w:val="center"/>
        <w:rPr>
          <w:rFonts w:ascii="Arial" w:hAnsi="Arial" w:cs="Arial"/>
          <w:sz w:val="28"/>
          <w:szCs w:val="28"/>
        </w:rPr>
      </w:pPr>
      <w:r w:rsidRPr="00C4292F">
        <w:rPr>
          <w:rFonts w:ascii="Arial" w:hAnsi="Arial" w:cs="Arial"/>
          <w:b/>
          <w:bCs/>
          <w:sz w:val="28"/>
          <w:szCs w:val="28"/>
        </w:rPr>
        <w:t>Student ID:</w:t>
      </w:r>
      <w:r w:rsidRPr="00C4292F">
        <w:rPr>
          <w:rFonts w:ascii="Arial" w:hAnsi="Arial" w:cs="Arial"/>
          <w:sz w:val="28"/>
          <w:szCs w:val="28"/>
        </w:rPr>
        <w:t xml:space="preserve"> </w:t>
      </w:r>
      <w:r w:rsidR="00AD2A14" w:rsidRPr="00BD4C9D">
        <w:rPr>
          <w:rFonts w:ascii="Arial" w:hAnsi="Arial" w:cs="Arial"/>
          <w:sz w:val="28"/>
          <w:szCs w:val="28"/>
        </w:rPr>
        <w:t xml:space="preserve"> 2516705</w:t>
      </w:r>
    </w:p>
    <w:p w14:paraId="3816DA10" w14:textId="77777777" w:rsidR="00C4292F" w:rsidRPr="00BD4C9D" w:rsidRDefault="00C4292F" w:rsidP="00C4292F">
      <w:pPr>
        <w:rPr>
          <w:rFonts w:ascii="Arial" w:hAnsi="Arial" w:cs="Arial"/>
        </w:rPr>
      </w:pPr>
    </w:p>
    <w:p w14:paraId="378985E7" w14:textId="77777777" w:rsidR="00C4292F" w:rsidRPr="00BD4C9D" w:rsidRDefault="00C4292F" w:rsidP="00C4292F">
      <w:pPr>
        <w:rPr>
          <w:rFonts w:ascii="Arial" w:hAnsi="Arial" w:cs="Arial"/>
        </w:rPr>
      </w:pPr>
    </w:p>
    <w:p w14:paraId="617F2BB4" w14:textId="77777777" w:rsidR="00C4292F" w:rsidRPr="00BD4C9D" w:rsidRDefault="00C4292F" w:rsidP="00C4292F">
      <w:pPr>
        <w:rPr>
          <w:rFonts w:ascii="Arial" w:hAnsi="Arial" w:cs="Arial"/>
        </w:rPr>
      </w:pPr>
    </w:p>
    <w:p w14:paraId="679C45E9" w14:textId="77777777" w:rsidR="00C4292F" w:rsidRPr="00BD4C9D" w:rsidRDefault="00C4292F" w:rsidP="00C4292F">
      <w:pPr>
        <w:rPr>
          <w:rFonts w:ascii="Arial" w:hAnsi="Arial" w:cs="Arial"/>
        </w:rPr>
      </w:pPr>
    </w:p>
    <w:p w14:paraId="1D2212BE" w14:textId="77777777" w:rsidR="0032493D" w:rsidRDefault="0032493D" w:rsidP="00C4292F">
      <w:pPr>
        <w:rPr>
          <w:rFonts w:ascii="Arial" w:hAnsi="Arial" w:cs="Arial"/>
        </w:rPr>
      </w:pPr>
    </w:p>
    <w:p w14:paraId="00D0A89E" w14:textId="77777777" w:rsidR="00832ED0" w:rsidRDefault="00832ED0" w:rsidP="00C4292F">
      <w:pPr>
        <w:rPr>
          <w:rFonts w:ascii="Arial" w:hAnsi="Arial" w:cs="Arial"/>
        </w:rPr>
      </w:pPr>
    </w:p>
    <w:p w14:paraId="6755B5F7" w14:textId="77777777" w:rsidR="00832ED0" w:rsidRDefault="00832ED0" w:rsidP="00C4292F">
      <w:pPr>
        <w:rPr>
          <w:rFonts w:ascii="Arial" w:hAnsi="Arial" w:cs="Arial"/>
        </w:rPr>
      </w:pPr>
    </w:p>
    <w:p w14:paraId="5B72253D" w14:textId="77777777" w:rsidR="00832ED0" w:rsidRDefault="00832ED0" w:rsidP="00C4292F">
      <w:pPr>
        <w:rPr>
          <w:rFonts w:ascii="Arial" w:hAnsi="Arial" w:cs="Arial"/>
        </w:rPr>
      </w:pPr>
    </w:p>
    <w:p w14:paraId="64071527" w14:textId="77777777" w:rsidR="00832ED0" w:rsidRDefault="00832ED0" w:rsidP="00C4292F">
      <w:pPr>
        <w:rPr>
          <w:rFonts w:ascii="Arial" w:hAnsi="Arial" w:cs="Arial"/>
        </w:rPr>
      </w:pPr>
    </w:p>
    <w:p w14:paraId="26E3FEEF" w14:textId="77777777" w:rsidR="00832ED0" w:rsidRDefault="00832ED0" w:rsidP="00C4292F">
      <w:pPr>
        <w:rPr>
          <w:rFonts w:ascii="Arial" w:hAnsi="Arial" w:cs="Arial"/>
        </w:rPr>
      </w:pPr>
    </w:p>
    <w:p w14:paraId="106514C8" w14:textId="77777777" w:rsidR="00832ED0" w:rsidRDefault="00832ED0" w:rsidP="00C4292F">
      <w:pPr>
        <w:rPr>
          <w:rFonts w:ascii="Arial" w:hAnsi="Arial" w:cs="Arial"/>
        </w:rPr>
      </w:pPr>
    </w:p>
    <w:p w14:paraId="3A7A572E" w14:textId="77777777" w:rsidR="00832ED0" w:rsidRDefault="00832ED0" w:rsidP="00C4292F">
      <w:pPr>
        <w:rPr>
          <w:rFonts w:ascii="Arial" w:hAnsi="Arial" w:cs="Arial"/>
        </w:rPr>
      </w:pPr>
    </w:p>
    <w:p w14:paraId="02A360BB" w14:textId="77777777" w:rsidR="00832ED0" w:rsidRDefault="00832ED0" w:rsidP="00C4292F">
      <w:pPr>
        <w:rPr>
          <w:rFonts w:ascii="Arial" w:hAnsi="Arial" w:cs="Arial"/>
        </w:rPr>
      </w:pPr>
    </w:p>
    <w:p w14:paraId="524B136C" w14:textId="77777777" w:rsidR="00832ED0" w:rsidRDefault="00832ED0" w:rsidP="00C4292F">
      <w:pPr>
        <w:rPr>
          <w:rFonts w:ascii="Arial" w:hAnsi="Arial" w:cs="Arial"/>
        </w:rPr>
      </w:pPr>
    </w:p>
    <w:p w14:paraId="79E54657" w14:textId="77777777" w:rsidR="00832ED0" w:rsidRDefault="00832ED0" w:rsidP="00C4292F">
      <w:pPr>
        <w:rPr>
          <w:rFonts w:ascii="Arial" w:hAnsi="Arial" w:cs="Arial"/>
        </w:rPr>
      </w:pPr>
    </w:p>
    <w:p w14:paraId="034D41AC" w14:textId="77777777" w:rsidR="00832ED0" w:rsidRDefault="00832ED0" w:rsidP="00C4292F">
      <w:pPr>
        <w:rPr>
          <w:rFonts w:ascii="Arial" w:hAnsi="Arial" w:cs="Arial"/>
        </w:rPr>
      </w:pPr>
    </w:p>
    <w:p w14:paraId="4FCC15C3" w14:textId="77777777" w:rsidR="00832ED0" w:rsidRDefault="00832ED0" w:rsidP="00C4292F">
      <w:pPr>
        <w:rPr>
          <w:rFonts w:ascii="Arial" w:hAnsi="Arial" w:cs="Arial"/>
        </w:rPr>
      </w:pPr>
    </w:p>
    <w:p w14:paraId="5876320D" w14:textId="77777777" w:rsidR="00832ED0" w:rsidRPr="00C4292F" w:rsidRDefault="00832ED0" w:rsidP="00832ED0">
      <w:pPr>
        <w:spacing w:line="360" w:lineRule="auto"/>
        <w:jc w:val="center"/>
        <w:rPr>
          <w:rFonts w:ascii="Arial" w:hAnsi="Arial" w:cs="Arial"/>
          <w:sz w:val="28"/>
          <w:szCs w:val="28"/>
        </w:rPr>
      </w:pPr>
      <w:r w:rsidRPr="00C4292F">
        <w:rPr>
          <w:rFonts w:ascii="Arial" w:hAnsi="Arial" w:cs="Arial"/>
          <w:b/>
          <w:bCs/>
          <w:sz w:val="28"/>
          <w:szCs w:val="28"/>
        </w:rPr>
        <w:t>Assessment Topic:</w:t>
      </w:r>
      <w:r w:rsidRPr="00C4292F">
        <w:rPr>
          <w:rFonts w:ascii="Arial" w:hAnsi="Arial" w:cs="Arial"/>
          <w:sz w:val="28"/>
          <w:szCs w:val="28"/>
        </w:rPr>
        <w:t xml:space="preserve"> </w:t>
      </w:r>
      <w:r w:rsidRPr="00832ED0">
        <w:rPr>
          <w:rFonts w:ascii="Arial" w:hAnsi="Arial" w:cs="Arial"/>
          <w:sz w:val="28"/>
          <w:szCs w:val="28"/>
        </w:rPr>
        <w:t>Marketing Environment Analysis for Pioneers and Followers in the UK EV Industry: A Comparative Study of Tesla (Pioneer) and Ford (Follower)</w:t>
      </w:r>
    </w:p>
    <w:p w14:paraId="49D3ABE4" w14:textId="77777777" w:rsidR="00832ED0" w:rsidRDefault="00832ED0" w:rsidP="00C4292F">
      <w:pPr>
        <w:rPr>
          <w:rFonts w:ascii="Arial" w:hAnsi="Arial" w:cs="Arial"/>
        </w:rPr>
      </w:pPr>
    </w:p>
    <w:p w14:paraId="2B503825" w14:textId="77777777" w:rsidR="00832ED0" w:rsidRDefault="00832ED0" w:rsidP="00C4292F">
      <w:pPr>
        <w:rPr>
          <w:rFonts w:ascii="Arial" w:hAnsi="Arial" w:cs="Arial"/>
        </w:rPr>
      </w:pPr>
    </w:p>
    <w:p w14:paraId="2CA2C127" w14:textId="77777777" w:rsidR="00832ED0" w:rsidRDefault="00832ED0" w:rsidP="00C4292F">
      <w:pPr>
        <w:rPr>
          <w:rFonts w:ascii="Arial" w:hAnsi="Arial" w:cs="Arial"/>
        </w:rPr>
      </w:pPr>
    </w:p>
    <w:p w14:paraId="67BE9199" w14:textId="77777777" w:rsidR="00832ED0" w:rsidRDefault="00832ED0" w:rsidP="00C4292F">
      <w:pPr>
        <w:rPr>
          <w:rFonts w:ascii="Arial" w:hAnsi="Arial" w:cs="Arial"/>
        </w:rPr>
      </w:pPr>
    </w:p>
    <w:p w14:paraId="1F91B406" w14:textId="77777777" w:rsidR="00832ED0" w:rsidRDefault="00832ED0" w:rsidP="00C4292F">
      <w:pPr>
        <w:rPr>
          <w:rFonts w:ascii="Arial" w:hAnsi="Arial" w:cs="Arial"/>
        </w:rPr>
      </w:pPr>
    </w:p>
    <w:p w14:paraId="1D4A4E5C" w14:textId="77777777" w:rsidR="00832ED0" w:rsidRDefault="00832ED0" w:rsidP="00C4292F">
      <w:pPr>
        <w:rPr>
          <w:rFonts w:ascii="Arial" w:hAnsi="Arial" w:cs="Arial"/>
        </w:rPr>
      </w:pPr>
    </w:p>
    <w:p w14:paraId="6EC1D79F" w14:textId="77777777" w:rsidR="00832ED0" w:rsidRDefault="00832ED0" w:rsidP="00C4292F">
      <w:pPr>
        <w:rPr>
          <w:rFonts w:ascii="Arial" w:hAnsi="Arial" w:cs="Arial"/>
        </w:rPr>
      </w:pPr>
    </w:p>
    <w:p w14:paraId="67C06345" w14:textId="77777777" w:rsidR="00832ED0" w:rsidRDefault="00832ED0" w:rsidP="00C4292F">
      <w:pPr>
        <w:rPr>
          <w:rFonts w:ascii="Arial" w:hAnsi="Arial" w:cs="Arial"/>
        </w:rPr>
      </w:pPr>
    </w:p>
    <w:p w14:paraId="4541A302" w14:textId="77777777" w:rsidR="00832ED0" w:rsidRDefault="00832ED0" w:rsidP="00C4292F">
      <w:pPr>
        <w:rPr>
          <w:rFonts w:ascii="Arial" w:hAnsi="Arial" w:cs="Arial"/>
        </w:rPr>
      </w:pPr>
    </w:p>
    <w:p w14:paraId="52BE5441" w14:textId="77777777" w:rsidR="00832ED0" w:rsidRDefault="00832ED0" w:rsidP="00C4292F">
      <w:pPr>
        <w:rPr>
          <w:rFonts w:ascii="Arial" w:hAnsi="Arial" w:cs="Arial"/>
        </w:rPr>
      </w:pPr>
    </w:p>
    <w:p w14:paraId="77FF8DF9" w14:textId="77777777" w:rsidR="00832ED0" w:rsidRDefault="00832ED0" w:rsidP="00C4292F">
      <w:pPr>
        <w:rPr>
          <w:rFonts w:ascii="Arial" w:hAnsi="Arial" w:cs="Arial"/>
        </w:rPr>
      </w:pPr>
    </w:p>
    <w:p w14:paraId="063A961E" w14:textId="77777777" w:rsidR="00832ED0" w:rsidRDefault="00832ED0" w:rsidP="00C4292F">
      <w:pPr>
        <w:rPr>
          <w:rFonts w:ascii="Arial" w:hAnsi="Arial" w:cs="Arial"/>
        </w:rPr>
      </w:pPr>
    </w:p>
    <w:p w14:paraId="0AC0D8DB" w14:textId="77777777" w:rsidR="00832ED0" w:rsidRDefault="00832ED0" w:rsidP="00C4292F">
      <w:pPr>
        <w:rPr>
          <w:rFonts w:ascii="Arial" w:hAnsi="Arial" w:cs="Arial"/>
        </w:rPr>
      </w:pPr>
    </w:p>
    <w:p w14:paraId="345F7DA4" w14:textId="77777777" w:rsidR="00832ED0" w:rsidRDefault="00832ED0" w:rsidP="00C4292F">
      <w:pPr>
        <w:rPr>
          <w:rFonts w:ascii="Arial" w:hAnsi="Arial" w:cs="Arial"/>
        </w:rPr>
      </w:pPr>
    </w:p>
    <w:p w14:paraId="6767B591" w14:textId="77777777" w:rsidR="00832ED0" w:rsidRPr="00BD4C9D" w:rsidRDefault="00832ED0" w:rsidP="00C4292F">
      <w:pPr>
        <w:rPr>
          <w:rFonts w:ascii="Arial" w:hAnsi="Arial" w:cs="Arial"/>
        </w:rPr>
      </w:pPr>
    </w:p>
    <w:sdt>
      <w:sdtPr>
        <w:rPr>
          <w:rFonts w:ascii="Arial" w:hAnsi="Arial" w:cs="Arial"/>
        </w:rPr>
        <w:id w:val="1480656421"/>
        <w:docPartObj>
          <w:docPartGallery w:val="Table of Contents"/>
          <w:docPartUnique/>
        </w:docPartObj>
      </w:sdtPr>
      <w:sdtEndPr>
        <w:rPr>
          <w:rFonts w:eastAsiaTheme="minorEastAsia"/>
          <w:smallCaps w:val="0"/>
          <w:color w:val="auto"/>
          <w:sz w:val="22"/>
          <w:szCs w:val="22"/>
        </w:rPr>
      </w:sdtEndPr>
      <w:sdtContent>
        <w:p w14:paraId="26624D67" w14:textId="50782499" w:rsidR="0032493D" w:rsidRPr="0000558C" w:rsidRDefault="0032493D" w:rsidP="0032493D">
          <w:pPr>
            <w:pStyle w:val="TOCHeading"/>
            <w:numPr>
              <w:ilvl w:val="0"/>
              <w:numId w:val="0"/>
            </w:numPr>
            <w:ind w:left="432" w:hanging="432"/>
            <w:rPr>
              <w:rFonts w:ascii="Arial" w:hAnsi="Arial" w:cs="Arial"/>
              <w:sz w:val="24"/>
              <w:szCs w:val="24"/>
            </w:rPr>
          </w:pPr>
          <w:r w:rsidRPr="0000558C">
            <w:rPr>
              <w:rFonts w:ascii="Arial" w:hAnsi="Arial" w:cs="Arial"/>
              <w:sz w:val="24"/>
              <w:szCs w:val="24"/>
            </w:rPr>
            <w:t>Table of Contents</w:t>
          </w:r>
        </w:p>
        <w:p w14:paraId="74F305E2" w14:textId="55B93E89" w:rsidR="00F2491F" w:rsidRDefault="0032493D">
          <w:pPr>
            <w:pStyle w:val="TOC1"/>
            <w:tabs>
              <w:tab w:val="right" w:leader="dot" w:pos="9350"/>
            </w:tabs>
            <w:rPr>
              <w:noProof/>
              <w:kern w:val="2"/>
              <w:sz w:val="24"/>
              <w:szCs w:val="24"/>
              <w:lang w:val="en-US"/>
              <w14:ligatures w14:val="standardContextual"/>
            </w:rPr>
          </w:pPr>
          <w:r w:rsidRPr="00456C6E">
            <w:rPr>
              <w:rFonts w:ascii="Arial" w:hAnsi="Arial" w:cs="Arial"/>
            </w:rPr>
            <w:fldChar w:fldCharType="begin"/>
          </w:r>
          <w:r w:rsidRPr="00456C6E">
            <w:rPr>
              <w:rFonts w:ascii="Arial" w:hAnsi="Arial" w:cs="Arial"/>
            </w:rPr>
            <w:instrText xml:space="preserve"> TOC \o "1-3" \h \z \u </w:instrText>
          </w:r>
          <w:r w:rsidRPr="00456C6E">
            <w:rPr>
              <w:rFonts w:ascii="Arial" w:hAnsi="Arial" w:cs="Arial"/>
            </w:rPr>
            <w:fldChar w:fldCharType="separate"/>
          </w:r>
          <w:hyperlink w:anchor="_Toc223106530" w:history="1">
            <w:r w:rsidR="00F2491F" w:rsidRPr="003B2EA1">
              <w:rPr>
                <w:rStyle w:val="Hyperlink"/>
                <w:rFonts w:ascii="Arial" w:hAnsi="Arial" w:cs="Arial"/>
                <w:noProof/>
              </w:rPr>
              <w:t>List of Figures</w:t>
            </w:r>
            <w:r w:rsidR="00F2491F">
              <w:rPr>
                <w:noProof/>
                <w:webHidden/>
              </w:rPr>
              <w:tab/>
            </w:r>
            <w:r w:rsidR="00F2491F">
              <w:rPr>
                <w:noProof/>
                <w:webHidden/>
              </w:rPr>
              <w:fldChar w:fldCharType="begin"/>
            </w:r>
            <w:r w:rsidR="00F2491F">
              <w:rPr>
                <w:noProof/>
                <w:webHidden/>
              </w:rPr>
              <w:instrText xml:space="preserve"> PAGEREF _Toc223106530 \h </w:instrText>
            </w:r>
            <w:r w:rsidR="00F2491F">
              <w:rPr>
                <w:noProof/>
                <w:webHidden/>
              </w:rPr>
            </w:r>
            <w:r w:rsidR="00F2491F">
              <w:rPr>
                <w:noProof/>
                <w:webHidden/>
              </w:rPr>
              <w:fldChar w:fldCharType="separate"/>
            </w:r>
            <w:r w:rsidR="00F2491F">
              <w:rPr>
                <w:noProof/>
                <w:webHidden/>
              </w:rPr>
              <w:t>4</w:t>
            </w:r>
            <w:r w:rsidR="00F2491F">
              <w:rPr>
                <w:noProof/>
                <w:webHidden/>
              </w:rPr>
              <w:fldChar w:fldCharType="end"/>
            </w:r>
          </w:hyperlink>
        </w:p>
        <w:p w14:paraId="2A35B467" w14:textId="3FC7E77D" w:rsidR="00F2491F" w:rsidRDefault="00F2491F">
          <w:pPr>
            <w:pStyle w:val="TOC1"/>
            <w:tabs>
              <w:tab w:val="left" w:pos="440"/>
              <w:tab w:val="right" w:leader="dot" w:pos="9350"/>
            </w:tabs>
            <w:rPr>
              <w:noProof/>
              <w:kern w:val="2"/>
              <w:sz w:val="24"/>
              <w:szCs w:val="24"/>
              <w:lang w:val="en-US"/>
              <w14:ligatures w14:val="standardContextual"/>
            </w:rPr>
          </w:pPr>
          <w:hyperlink w:anchor="_Toc223106531" w:history="1">
            <w:r w:rsidRPr="003B2EA1">
              <w:rPr>
                <w:rStyle w:val="Hyperlink"/>
                <w:rFonts w:ascii="Arial" w:hAnsi="Arial" w:cs="Arial"/>
                <w:noProof/>
                <w:color w:val="0D0DFF" w:themeColor="hyperlink" w:themeTint="F2"/>
              </w:rPr>
              <w:t>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Task 1   Macro Marketing Environment Analysis (Pioneer vs Follower in the EV Industry)</w:t>
            </w:r>
            <w:r>
              <w:rPr>
                <w:noProof/>
                <w:webHidden/>
              </w:rPr>
              <w:tab/>
            </w:r>
            <w:r>
              <w:rPr>
                <w:noProof/>
                <w:webHidden/>
              </w:rPr>
              <w:fldChar w:fldCharType="begin"/>
            </w:r>
            <w:r>
              <w:rPr>
                <w:noProof/>
                <w:webHidden/>
              </w:rPr>
              <w:instrText xml:space="preserve"> PAGEREF _Toc223106531 \h </w:instrText>
            </w:r>
            <w:r>
              <w:rPr>
                <w:noProof/>
                <w:webHidden/>
              </w:rPr>
            </w:r>
            <w:r>
              <w:rPr>
                <w:noProof/>
                <w:webHidden/>
              </w:rPr>
              <w:fldChar w:fldCharType="separate"/>
            </w:r>
            <w:r>
              <w:rPr>
                <w:noProof/>
                <w:webHidden/>
              </w:rPr>
              <w:t>5</w:t>
            </w:r>
            <w:r>
              <w:rPr>
                <w:noProof/>
                <w:webHidden/>
              </w:rPr>
              <w:fldChar w:fldCharType="end"/>
            </w:r>
          </w:hyperlink>
        </w:p>
        <w:p w14:paraId="69568C49" w14:textId="273893EB" w:rsidR="00F2491F" w:rsidRDefault="00F2491F">
          <w:pPr>
            <w:pStyle w:val="TOC2"/>
            <w:tabs>
              <w:tab w:val="left" w:pos="960"/>
              <w:tab w:val="right" w:leader="dot" w:pos="9350"/>
            </w:tabs>
            <w:rPr>
              <w:noProof/>
              <w:kern w:val="2"/>
              <w:sz w:val="24"/>
              <w:szCs w:val="24"/>
              <w:lang w:val="en-US"/>
              <w14:ligatures w14:val="standardContextual"/>
            </w:rPr>
          </w:pPr>
          <w:hyperlink w:anchor="_Toc223106532" w:history="1">
            <w:r w:rsidRPr="003B2EA1">
              <w:rPr>
                <w:rStyle w:val="Hyperlink"/>
                <w:rFonts w:ascii="Arial" w:hAnsi="Arial" w:cs="Arial"/>
                <w:noProof/>
                <w:color w:val="0D0DFF" w:themeColor="hyperlink" w:themeTint="F2"/>
              </w:rPr>
              <w:t>1.1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Macro Actor 1: Political &amp; Legal Forces (Decarbonisation policy + market rules)</w:t>
            </w:r>
            <w:r>
              <w:rPr>
                <w:noProof/>
                <w:webHidden/>
              </w:rPr>
              <w:tab/>
            </w:r>
            <w:r>
              <w:rPr>
                <w:noProof/>
                <w:webHidden/>
              </w:rPr>
              <w:fldChar w:fldCharType="begin"/>
            </w:r>
            <w:r>
              <w:rPr>
                <w:noProof/>
                <w:webHidden/>
              </w:rPr>
              <w:instrText xml:space="preserve"> PAGEREF _Toc223106532 \h </w:instrText>
            </w:r>
            <w:r>
              <w:rPr>
                <w:noProof/>
                <w:webHidden/>
              </w:rPr>
            </w:r>
            <w:r>
              <w:rPr>
                <w:noProof/>
                <w:webHidden/>
              </w:rPr>
              <w:fldChar w:fldCharType="separate"/>
            </w:r>
            <w:r>
              <w:rPr>
                <w:noProof/>
                <w:webHidden/>
              </w:rPr>
              <w:t>5</w:t>
            </w:r>
            <w:r>
              <w:rPr>
                <w:noProof/>
                <w:webHidden/>
              </w:rPr>
              <w:fldChar w:fldCharType="end"/>
            </w:r>
          </w:hyperlink>
        </w:p>
        <w:p w14:paraId="3850C78D" w14:textId="55F5FB7C" w:rsidR="00F2491F" w:rsidRDefault="00F2491F">
          <w:pPr>
            <w:pStyle w:val="TOC3"/>
            <w:tabs>
              <w:tab w:val="left" w:pos="1200"/>
              <w:tab w:val="right" w:leader="dot" w:pos="9350"/>
            </w:tabs>
            <w:rPr>
              <w:noProof/>
              <w:kern w:val="2"/>
              <w:sz w:val="24"/>
              <w:szCs w:val="24"/>
              <w:lang w:val="en-US"/>
              <w14:ligatures w14:val="standardContextual"/>
            </w:rPr>
          </w:pPr>
          <w:hyperlink w:anchor="_Toc223106533" w:history="1">
            <w:r w:rsidRPr="003B2EA1">
              <w:rPr>
                <w:rStyle w:val="Hyperlink"/>
                <w:rFonts w:ascii="Arial" w:hAnsi="Arial" w:cs="Arial"/>
                <w:noProof/>
                <w:color w:val="0D0DFF" w:themeColor="hyperlink" w:themeTint="F2"/>
              </w:rPr>
              <w:t>1.1.1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Why this actor matters</w:t>
            </w:r>
            <w:r>
              <w:rPr>
                <w:noProof/>
                <w:webHidden/>
              </w:rPr>
              <w:tab/>
            </w:r>
            <w:r>
              <w:rPr>
                <w:noProof/>
                <w:webHidden/>
              </w:rPr>
              <w:fldChar w:fldCharType="begin"/>
            </w:r>
            <w:r>
              <w:rPr>
                <w:noProof/>
                <w:webHidden/>
              </w:rPr>
              <w:instrText xml:space="preserve"> PAGEREF _Toc223106533 \h </w:instrText>
            </w:r>
            <w:r>
              <w:rPr>
                <w:noProof/>
                <w:webHidden/>
              </w:rPr>
            </w:r>
            <w:r>
              <w:rPr>
                <w:noProof/>
                <w:webHidden/>
              </w:rPr>
              <w:fldChar w:fldCharType="separate"/>
            </w:r>
            <w:r>
              <w:rPr>
                <w:noProof/>
                <w:webHidden/>
              </w:rPr>
              <w:t>5</w:t>
            </w:r>
            <w:r>
              <w:rPr>
                <w:noProof/>
                <w:webHidden/>
              </w:rPr>
              <w:fldChar w:fldCharType="end"/>
            </w:r>
          </w:hyperlink>
        </w:p>
        <w:p w14:paraId="0E044FCE" w14:textId="7F41C968" w:rsidR="00F2491F" w:rsidRDefault="00F2491F">
          <w:pPr>
            <w:pStyle w:val="TOC3"/>
            <w:tabs>
              <w:tab w:val="left" w:pos="1200"/>
              <w:tab w:val="right" w:leader="dot" w:pos="9350"/>
            </w:tabs>
            <w:rPr>
              <w:noProof/>
              <w:kern w:val="2"/>
              <w:sz w:val="24"/>
              <w:szCs w:val="24"/>
              <w:lang w:val="en-US"/>
              <w14:ligatures w14:val="standardContextual"/>
            </w:rPr>
          </w:pPr>
          <w:hyperlink w:anchor="_Toc223106534" w:history="1">
            <w:r w:rsidRPr="003B2EA1">
              <w:rPr>
                <w:rStyle w:val="Hyperlink"/>
                <w:rFonts w:ascii="Arial" w:hAnsi="Arial" w:cs="Arial"/>
                <w:noProof/>
                <w:color w:val="0D0DFF" w:themeColor="hyperlink" w:themeTint="F2"/>
              </w:rPr>
              <w:t>1.1.2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Evidence of the policy-driven demand shift</w:t>
            </w:r>
            <w:r>
              <w:rPr>
                <w:noProof/>
                <w:webHidden/>
              </w:rPr>
              <w:tab/>
            </w:r>
            <w:r>
              <w:rPr>
                <w:noProof/>
                <w:webHidden/>
              </w:rPr>
              <w:fldChar w:fldCharType="begin"/>
            </w:r>
            <w:r>
              <w:rPr>
                <w:noProof/>
                <w:webHidden/>
              </w:rPr>
              <w:instrText xml:space="preserve"> PAGEREF _Toc223106534 \h </w:instrText>
            </w:r>
            <w:r>
              <w:rPr>
                <w:noProof/>
                <w:webHidden/>
              </w:rPr>
            </w:r>
            <w:r>
              <w:rPr>
                <w:noProof/>
                <w:webHidden/>
              </w:rPr>
              <w:fldChar w:fldCharType="separate"/>
            </w:r>
            <w:r>
              <w:rPr>
                <w:noProof/>
                <w:webHidden/>
              </w:rPr>
              <w:t>6</w:t>
            </w:r>
            <w:r>
              <w:rPr>
                <w:noProof/>
                <w:webHidden/>
              </w:rPr>
              <w:fldChar w:fldCharType="end"/>
            </w:r>
          </w:hyperlink>
        </w:p>
        <w:p w14:paraId="567654AC" w14:textId="25684B2D" w:rsidR="00F2491F" w:rsidRDefault="00F2491F">
          <w:pPr>
            <w:pStyle w:val="TOC3"/>
            <w:tabs>
              <w:tab w:val="left" w:pos="1200"/>
              <w:tab w:val="right" w:leader="dot" w:pos="9350"/>
            </w:tabs>
            <w:rPr>
              <w:noProof/>
              <w:kern w:val="2"/>
              <w:sz w:val="24"/>
              <w:szCs w:val="24"/>
              <w:lang w:val="en-US"/>
              <w14:ligatures w14:val="standardContextual"/>
            </w:rPr>
          </w:pPr>
          <w:hyperlink w:anchor="_Toc223106535" w:history="1">
            <w:r w:rsidRPr="003B2EA1">
              <w:rPr>
                <w:rStyle w:val="Hyperlink"/>
                <w:rFonts w:ascii="Arial" w:hAnsi="Arial" w:cs="Arial"/>
                <w:noProof/>
                <w:color w:val="0D0DFF" w:themeColor="hyperlink" w:themeTint="F2"/>
              </w:rPr>
              <w:t>1.1.3</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Opportunity/threat implications for Tesla (pioneer)</w:t>
            </w:r>
            <w:r>
              <w:rPr>
                <w:noProof/>
                <w:webHidden/>
              </w:rPr>
              <w:tab/>
            </w:r>
            <w:r>
              <w:rPr>
                <w:noProof/>
                <w:webHidden/>
              </w:rPr>
              <w:fldChar w:fldCharType="begin"/>
            </w:r>
            <w:r>
              <w:rPr>
                <w:noProof/>
                <w:webHidden/>
              </w:rPr>
              <w:instrText xml:space="preserve"> PAGEREF _Toc223106535 \h </w:instrText>
            </w:r>
            <w:r>
              <w:rPr>
                <w:noProof/>
                <w:webHidden/>
              </w:rPr>
            </w:r>
            <w:r>
              <w:rPr>
                <w:noProof/>
                <w:webHidden/>
              </w:rPr>
              <w:fldChar w:fldCharType="separate"/>
            </w:r>
            <w:r>
              <w:rPr>
                <w:noProof/>
                <w:webHidden/>
              </w:rPr>
              <w:t>8</w:t>
            </w:r>
            <w:r>
              <w:rPr>
                <w:noProof/>
                <w:webHidden/>
              </w:rPr>
              <w:fldChar w:fldCharType="end"/>
            </w:r>
          </w:hyperlink>
        </w:p>
        <w:p w14:paraId="149B253A" w14:textId="29862655" w:rsidR="00F2491F" w:rsidRDefault="00F2491F">
          <w:pPr>
            <w:pStyle w:val="TOC3"/>
            <w:tabs>
              <w:tab w:val="left" w:pos="1200"/>
              <w:tab w:val="right" w:leader="dot" w:pos="9350"/>
            </w:tabs>
            <w:rPr>
              <w:noProof/>
              <w:kern w:val="2"/>
              <w:sz w:val="24"/>
              <w:szCs w:val="24"/>
              <w:lang w:val="en-US"/>
              <w14:ligatures w14:val="standardContextual"/>
            </w:rPr>
          </w:pPr>
          <w:hyperlink w:anchor="_Toc223106536" w:history="1">
            <w:r w:rsidRPr="003B2EA1">
              <w:rPr>
                <w:rStyle w:val="Hyperlink"/>
                <w:rFonts w:ascii="Arial" w:hAnsi="Arial" w:cs="Arial"/>
                <w:noProof/>
                <w:color w:val="0D0DFF" w:themeColor="hyperlink" w:themeTint="F2"/>
              </w:rPr>
              <w:t>1.1.4</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Opportunity/threat implications for Ford (follower)</w:t>
            </w:r>
            <w:r>
              <w:rPr>
                <w:noProof/>
                <w:webHidden/>
              </w:rPr>
              <w:tab/>
            </w:r>
            <w:r>
              <w:rPr>
                <w:noProof/>
                <w:webHidden/>
              </w:rPr>
              <w:fldChar w:fldCharType="begin"/>
            </w:r>
            <w:r>
              <w:rPr>
                <w:noProof/>
                <w:webHidden/>
              </w:rPr>
              <w:instrText xml:space="preserve"> PAGEREF _Toc223106536 \h </w:instrText>
            </w:r>
            <w:r>
              <w:rPr>
                <w:noProof/>
                <w:webHidden/>
              </w:rPr>
            </w:r>
            <w:r>
              <w:rPr>
                <w:noProof/>
                <w:webHidden/>
              </w:rPr>
              <w:fldChar w:fldCharType="separate"/>
            </w:r>
            <w:r>
              <w:rPr>
                <w:noProof/>
                <w:webHidden/>
              </w:rPr>
              <w:t>9</w:t>
            </w:r>
            <w:r>
              <w:rPr>
                <w:noProof/>
                <w:webHidden/>
              </w:rPr>
              <w:fldChar w:fldCharType="end"/>
            </w:r>
          </w:hyperlink>
        </w:p>
        <w:p w14:paraId="1EEFD446" w14:textId="3AA1807A" w:rsidR="00F2491F" w:rsidRDefault="00F2491F">
          <w:pPr>
            <w:pStyle w:val="TOC3"/>
            <w:tabs>
              <w:tab w:val="left" w:pos="1200"/>
              <w:tab w:val="right" w:leader="dot" w:pos="9350"/>
            </w:tabs>
            <w:rPr>
              <w:noProof/>
              <w:kern w:val="2"/>
              <w:sz w:val="24"/>
              <w:szCs w:val="24"/>
              <w:lang w:val="en-US"/>
              <w14:ligatures w14:val="standardContextual"/>
            </w:rPr>
          </w:pPr>
          <w:hyperlink w:anchor="_Toc223106537" w:history="1">
            <w:r w:rsidRPr="003B2EA1">
              <w:rPr>
                <w:rStyle w:val="Hyperlink"/>
                <w:rFonts w:ascii="Arial" w:hAnsi="Arial" w:cs="Arial"/>
                <w:noProof/>
                <w:color w:val="0D0DFF" w:themeColor="hyperlink" w:themeTint="F2"/>
              </w:rPr>
              <w:t>1.1.5</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Table: Political/Legal actor impact on competitive position (Tesla vs Ford)</w:t>
            </w:r>
            <w:r>
              <w:rPr>
                <w:noProof/>
                <w:webHidden/>
              </w:rPr>
              <w:tab/>
            </w:r>
            <w:r>
              <w:rPr>
                <w:noProof/>
                <w:webHidden/>
              </w:rPr>
              <w:fldChar w:fldCharType="begin"/>
            </w:r>
            <w:r>
              <w:rPr>
                <w:noProof/>
                <w:webHidden/>
              </w:rPr>
              <w:instrText xml:space="preserve"> PAGEREF _Toc223106537 \h </w:instrText>
            </w:r>
            <w:r>
              <w:rPr>
                <w:noProof/>
                <w:webHidden/>
              </w:rPr>
            </w:r>
            <w:r>
              <w:rPr>
                <w:noProof/>
                <w:webHidden/>
              </w:rPr>
              <w:fldChar w:fldCharType="separate"/>
            </w:r>
            <w:r>
              <w:rPr>
                <w:noProof/>
                <w:webHidden/>
              </w:rPr>
              <w:t>10</w:t>
            </w:r>
            <w:r>
              <w:rPr>
                <w:noProof/>
                <w:webHidden/>
              </w:rPr>
              <w:fldChar w:fldCharType="end"/>
            </w:r>
          </w:hyperlink>
        </w:p>
        <w:p w14:paraId="71AF4FBA" w14:textId="59C7248A" w:rsidR="00F2491F" w:rsidRDefault="00F2491F">
          <w:pPr>
            <w:pStyle w:val="TOC1"/>
            <w:tabs>
              <w:tab w:val="left" w:pos="440"/>
              <w:tab w:val="right" w:leader="dot" w:pos="9350"/>
            </w:tabs>
            <w:rPr>
              <w:noProof/>
              <w:kern w:val="2"/>
              <w:sz w:val="24"/>
              <w:szCs w:val="24"/>
              <w:lang w:val="en-US"/>
              <w14:ligatures w14:val="standardContextual"/>
            </w:rPr>
          </w:pPr>
          <w:hyperlink w:anchor="_Toc223106538" w:history="1">
            <w:r w:rsidRPr="003B2EA1">
              <w:rPr>
                <w:rStyle w:val="Hyperlink"/>
                <w:rFonts w:ascii="Arial" w:hAnsi="Arial" w:cs="Arial"/>
                <w:noProof/>
                <w:color w:val="0D0DFF" w:themeColor="hyperlink" w:themeTint="F2"/>
              </w:rPr>
              <w:t>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Macro Actor 2: Technological Forces (battery economics + charging infrastructure + digital capability)</w:t>
            </w:r>
            <w:r>
              <w:rPr>
                <w:noProof/>
                <w:webHidden/>
              </w:rPr>
              <w:tab/>
            </w:r>
            <w:r>
              <w:rPr>
                <w:noProof/>
                <w:webHidden/>
              </w:rPr>
              <w:fldChar w:fldCharType="begin"/>
            </w:r>
            <w:r>
              <w:rPr>
                <w:noProof/>
                <w:webHidden/>
              </w:rPr>
              <w:instrText xml:space="preserve"> PAGEREF _Toc223106538 \h </w:instrText>
            </w:r>
            <w:r>
              <w:rPr>
                <w:noProof/>
                <w:webHidden/>
              </w:rPr>
            </w:r>
            <w:r>
              <w:rPr>
                <w:noProof/>
                <w:webHidden/>
              </w:rPr>
              <w:fldChar w:fldCharType="separate"/>
            </w:r>
            <w:r>
              <w:rPr>
                <w:noProof/>
                <w:webHidden/>
              </w:rPr>
              <w:t>10</w:t>
            </w:r>
            <w:r>
              <w:rPr>
                <w:noProof/>
                <w:webHidden/>
              </w:rPr>
              <w:fldChar w:fldCharType="end"/>
            </w:r>
          </w:hyperlink>
        </w:p>
        <w:p w14:paraId="6D928BA7" w14:textId="4F569142" w:rsidR="00F2491F" w:rsidRDefault="00F2491F">
          <w:pPr>
            <w:pStyle w:val="TOC2"/>
            <w:tabs>
              <w:tab w:val="left" w:pos="960"/>
              <w:tab w:val="right" w:leader="dot" w:pos="9350"/>
            </w:tabs>
            <w:rPr>
              <w:noProof/>
              <w:kern w:val="2"/>
              <w:sz w:val="24"/>
              <w:szCs w:val="24"/>
              <w:lang w:val="en-US"/>
              <w14:ligatures w14:val="standardContextual"/>
            </w:rPr>
          </w:pPr>
          <w:hyperlink w:anchor="_Toc223106539" w:history="1">
            <w:r w:rsidRPr="003B2EA1">
              <w:rPr>
                <w:rStyle w:val="Hyperlink"/>
                <w:rFonts w:ascii="Arial" w:hAnsi="Arial" w:cs="Arial"/>
                <w:noProof/>
                <w:color w:val="0D0DFF" w:themeColor="hyperlink" w:themeTint="F2"/>
              </w:rPr>
              <w:t>2.1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Evidence: ecosystem maturity and remaining “infrastructure constraint”</w:t>
            </w:r>
            <w:r>
              <w:rPr>
                <w:noProof/>
                <w:webHidden/>
              </w:rPr>
              <w:tab/>
            </w:r>
            <w:r>
              <w:rPr>
                <w:noProof/>
                <w:webHidden/>
              </w:rPr>
              <w:fldChar w:fldCharType="begin"/>
            </w:r>
            <w:r>
              <w:rPr>
                <w:noProof/>
                <w:webHidden/>
              </w:rPr>
              <w:instrText xml:space="preserve"> PAGEREF _Toc223106539 \h </w:instrText>
            </w:r>
            <w:r>
              <w:rPr>
                <w:noProof/>
                <w:webHidden/>
              </w:rPr>
            </w:r>
            <w:r>
              <w:rPr>
                <w:noProof/>
                <w:webHidden/>
              </w:rPr>
              <w:fldChar w:fldCharType="separate"/>
            </w:r>
            <w:r>
              <w:rPr>
                <w:noProof/>
                <w:webHidden/>
              </w:rPr>
              <w:t>10</w:t>
            </w:r>
            <w:r>
              <w:rPr>
                <w:noProof/>
                <w:webHidden/>
              </w:rPr>
              <w:fldChar w:fldCharType="end"/>
            </w:r>
          </w:hyperlink>
        </w:p>
        <w:p w14:paraId="2A0473E4" w14:textId="360E7F43" w:rsidR="00F2491F" w:rsidRDefault="00F2491F">
          <w:pPr>
            <w:pStyle w:val="TOC2"/>
            <w:tabs>
              <w:tab w:val="left" w:pos="960"/>
              <w:tab w:val="right" w:leader="dot" w:pos="9350"/>
            </w:tabs>
            <w:rPr>
              <w:noProof/>
              <w:kern w:val="2"/>
              <w:sz w:val="24"/>
              <w:szCs w:val="24"/>
              <w:lang w:val="en-US"/>
              <w14:ligatures w14:val="standardContextual"/>
            </w:rPr>
          </w:pPr>
          <w:hyperlink w:anchor="_Toc223106540" w:history="1">
            <w:r w:rsidRPr="003B2EA1">
              <w:rPr>
                <w:rStyle w:val="Hyperlink"/>
                <w:rFonts w:ascii="Arial" w:hAnsi="Arial" w:cs="Arial"/>
                <w:noProof/>
                <w:color w:val="0D0DFF" w:themeColor="hyperlink" w:themeTint="F2"/>
              </w:rPr>
              <w:t>2.2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Implications for Tesla (pioneer)</w:t>
            </w:r>
            <w:r>
              <w:rPr>
                <w:noProof/>
                <w:webHidden/>
              </w:rPr>
              <w:tab/>
            </w:r>
            <w:r>
              <w:rPr>
                <w:noProof/>
                <w:webHidden/>
              </w:rPr>
              <w:fldChar w:fldCharType="begin"/>
            </w:r>
            <w:r>
              <w:rPr>
                <w:noProof/>
                <w:webHidden/>
              </w:rPr>
              <w:instrText xml:space="preserve"> PAGEREF _Toc223106540 \h </w:instrText>
            </w:r>
            <w:r>
              <w:rPr>
                <w:noProof/>
                <w:webHidden/>
              </w:rPr>
            </w:r>
            <w:r>
              <w:rPr>
                <w:noProof/>
                <w:webHidden/>
              </w:rPr>
              <w:fldChar w:fldCharType="separate"/>
            </w:r>
            <w:r>
              <w:rPr>
                <w:noProof/>
                <w:webHidden/>
              </w:rPr>
              <w:t>12</w:t>
            </w:r>
            <w:r>
              <w:rPr>
                <w:noProof/>
                <w:webHidden/>
              </w:rPr>
              <w:fldChar w:fldCharType="end"/>
            </w:r>
          </w:hyperlink>
        </w:p>
        <w:p w14:paraId="07DEACCD" w14:textId="3CCBF39E" w:rsidR="00F2491F" w:rsidRDefault="00F2491F">
          <w:pPr>
            <w:pStyle w:val="TOC2"/>
            <w:tabs>
              <w:tab w:val="left" w:pos="960"/>
              <w:tab w:val="right" w:leader="dot" w:pos="9350"/>
            </w:tabs>
            <w:rPr>
              <w:noProof/>
              <w:kern w:val="2"/>
              <w:sz w:val="24"/>
              <w:szCs w:val="24"/>
              <w:lang w:val="en-US"/>
              <w14:ligatures w14:val="standardContextual"/>
            </w:rPr>
          </w:pPr>
          <w:hyperlink w:anchor="_Toc223106541" w:history="1">
            <w:r w:rsidRPr="003B2EA1">
              <w:rPr>
                <w:rStyle w:val="Hyperlink"/>
                <w:rFonts w:ascii="Arial" w:hAnsi="Arial" w:cs="Arial"/>
                <w:noProof/>
                <w:color w:val="0D0DFF" w:themeColor="hyperlink" w:themeTint="F2"/>
              </w:rPr>
              <w:t>2.3</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Implications for Ford (follower)</w:t>
            </w:r>
            <w:r>
              <w:rPr>
                <w:noProof/>
                <w:webHidden/>
              </w:rPr>
              <w:tab/>
            </w:r>
            <w:r>
              <w:rPr>
                <w:noProof/>
                <w:webHidden/>
              </w:rPr>
              <w:fldChar w:fldCharType="begin"/>
            </w:r>
            <w:r>
              <w:rPr>
                <w:noProof/>
                <w:webHidden/>
              </w:rPr>
              <w:instrText xml:space="preserve"> PAGEREF _Toc223106541 \h </w:instrText>
            </w:r>
            <w:r>
              <w:rPr>
                <w:noProof/>
                <w:webHidden/>
              </w:rPr>
            </w:r>
            <w:r>
              <w:rPr>
                <w:noProof/>
                <w:webHidden/>
              </w:rPr>
              <w:fldChar w:fldCharType="separate"/>
            </w:r>
            <w:r>
              <w:rPr>
                <w:noProof/>
                <w:webHidden/>
              </w:rPr>
              <w:t>12</w:t>
            </w:r>
            <w:r>
              <w:rPr>
                <w:noProof/>
                <w:webHidden/>
              </w:rPr>
              <w:fldChar w:fldCharType="end"/>
            </w:r>
          </w:hyperlink>
        </w:p>
        <w:p w14:paraId="0497E614" w14:textId="7FB422E8" w:rsidR="00F2491F" w:rsidRDefault="00F2491F">
          <w:pPr>
            <w:pStyle w:val="TOC1"/>
            <w:tabs>
              <w:tab w:val="left" w:pos="440"/>
              <w:tab w:val="right" w:leader="dot" w:pos="9350"/>
            </w:tabs>
            <w:rPr>
              <w:noProof/>
              <w:kern w:val="2"/>
              <w:sz w:val="24"/>
              <w:szCs w:val="24"/>
              <w:lang w:val="en-US"/>
              <w14:ligatures w14:val="standardContextual"/>
            </w:rPr>
          </w:pPr>
          <w:hyperlink w:anchor="_Toc223106542" w:history="1">
            <w:r w:rsidRPr="003B2EA1">
              <w:rPr>
                <w:rStyle w:val="Hyperlink"/>
                <w:rFonts w:ascii="Arial" w:hAnsi="Arial" w:cs="Arial"/>
                <w:noProof/>
                <w:color w:val="0D0DFF" w:themeColor="hyperlink" w:themeTint="F2"/>
              </w:rPr>
              <w:t>3</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TASK 2: Strategic responses to sustain growth (Tesla as pioneer vs Ford as follower) using Porter + Ansoff</w:t>
            </w:r>
            <w:r>
              <w:rPr>
                <w:noProof/>
                <w:webHidden/>
              </w:rPr>
              <w:tab/>
            </w:r>
            <w:r>
              <w:rPr>
                <w:noProof/>
                <w:webHidden/>
              </w:rPr>
              <w:fldChar w:fldCharType="begin"/>
            </w:r>
            <w:r>
              <w:rPr>
                <w:noProof/>
                <w:webHidden/>
              </w:rPr>
              <w:instrText xml:space="preserve"> PAGEREF _Toc223106542 \h </w:instrText>
            </w:r>
            <w:r>
              <w:rPr>
                <w:noProof/>
                <w:webHidden/>
              </w:rPr>
            </w:r>
            <w:r>
              <w:rPr>
                <w:noProof/>
                <w:webHidden/>
              </w:rPr>
              <w:fldChar w:fldCharType="separate"/>
            </w:r>
            <w:r>
              <w:rPr>
                <w:noProof/>
                <w:webHidden/>
              </w:rPr>
              <w:t>14</w:t>
            </w:r>
            <w:r>
              <w:rPr>
                <w:noProof/>
                <w:webHidden/>
              </w:rPr>
              <w:fldChar w:fldCharType="end"/>
            </w:r>
          </w:hyperlink>
        </w:p>
        <w:p w14:paraId="52624A2E" w14:textId="2FAD68BB" w:rsidR="00F2491F" w:rsidRDefault="00F2491F">
          <w:pPr>
            <w:pStyle w:val="TOC2"/>
            <w:tabs>
              <w:tab w:val="left" w:pos="960"/>
              <w:tab w:val="right" w:leader="dot" w:pos="9350"/>
            </w:tabs>
            <w:rPr>
              <w:noProof/>
              <w:kern w:val="2"/>
              <w:sz w:val="24"/>
              <w:szCs w:val="24"/>
              <w:lang w:val="en-US"/>
              <w14:ligatures w14:val="standardContextual"/>
            </w:rPr>
          </w:pPr>
          <w:hyperlink w:anchor="_Toc223106543" w:history="1">
            <w:r w:rsidRPr="003B2EA1">
              <w:rPr>
                <w:rStyle w:val="Hyperlink"/>
                <w:rFonts w:ascii="Arial" w:hAnsi="Arial" w:cs="Arial"/>
                <w:noProof/>
                <w:color w:val="0D0DFF" w:themeColor="hyperlink" w:themeTint="F2"/>
              </w:rPr>
              <w:t>3.1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Tesla (pioneer): scaling differentiation into an ecosystem-based advantage</w:t>
            </w:r>
            <w:r>
              <w:rPr>
                <w:noProof/>
                <w:webHidden/>
              </w:rPr>
              <w:tab/>
            </w:r>
            <w:r>
              <w:rPr>
                <w:noProof/>
                <w:webHidden/>
              </w:rPr>
              <w:fldChar w:fldCharType="begin"/>
            </w:r>
            <w:r>
              <w:rPr>
                <w:noProof/>
                <w:webHidden/>
              </w:rPr>
              <w:instrText xml:space="preserve"> PAGEREF _Toc223106543 \h </w:instrText>
            </w:r>
            <w:r>
              <w:rPr>
                <w:noProof/>
                <w:webHidden/>
              </w:rPr>
            </w:r>
            <w:r>
              <w:rPr>
                <w:noProof/>
                <w:webHidden/>
              </w:rPr>
              <w:fldChar w:fldCharType="separate"/>
            </w:r>
            <w:r>
              <w:rPr>
                <w:noProof/>
                <w:webHidden/>
              </w:rPr>
              <w:t>14</w:t>
            </w:r>
            <w:r>
              <w:rPr>
                <w:noProof/>
                <w:webHidden/>
              </w:rPr>
              <w:fldChar w:fldCharType="end"/>
            </w:r>
          </w:hyperlink>
        </w:p>
        <w:p w14:paraId="1FC4BA67" w14:textId="1371721E" w:rsidR="00F2491F" w:rsidRDefault="00F2491F">
          <w:pPr>
            <w:pStyle w:val="TOC3"/>
            <w:tabs>
              <w:tab w:val="left" w:pos="1200"/>
              <w:tab w:val="right" w:leader="dot" w:pos="9350"/>
            </w:tabs>
            <w:rPr>
              <w:noProof/>
              <w:kern w:val="2"/>
              <w:sz w:val="24"/>
              <w:szCs w:val="24"/>
              <w:lang w:val="en-US"/>
              <w14:ligatures w14:val="standardContextual"/>
            </w:rPr>
          </w:pPr>
          <w:hyperlink w:anchor="_Toc223106544" w:history="1">
            <w:r w:rsidRPr="003B2EA1">
              <w:rPr>
                <w:rStyle w:val="Hyperlink"/>
                <w:rFonts w:ascii="Arial" w:hAnsi="Arial" w:cs="Arial"/>
                <w:noProof/>
                <w:color w:val="0D0DFF" w:themeColor="hyperlink" w:themeTint="F2"/>
              </w:rPr>
              <w:t>3.1.1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Porter: Differentiation with selective cost-leadership logic</w:t>
            </w:r>
            <w:r>
              <w:rPr>
                <w:noProof/>
                <w:webHidden/>
              </w:rPr>
              <w:tab/>
            </w:r>
            <w:r>
              <w:rPr>
                <w:noProof/>
                <w:webHidden/>
              </w:rPr>
              <w:fldChar w:fldCharType="begin"/>
            </w:r>
            <w:r>
              <w:rPr>
                <w:noProof/>
                <w:webHidden/>
              </w:rPr>
              <w:instrText xml:space="preserve"> PAGEREF _Toc223106544 \h </w:instrText>
            </w:r>
            <w:r>
              <w:rPr>
                <w:noProof/>
                <w:webHidden/>
              </w:rPr>
            </w:r>
            <w:r>
              <w:rPr>
                <w:noProof/>
                <w:webHidden/>
              </w:rPr>
              <w:fldChar w:fldCharType="separate"/>
            </w:r>
            <w:r>
              <w:rPr>
                <w:noProof/>
                <w:webHidden/>
              </w:rPr>
              <w:t>14</w:t>
            </w:r>
            <w:r>
              <w:rPr>
                <w:noProof/>
                <w:webHidden/>
              </w:rPr>
              <w:fldChar w:fldCharType="end"/>
            </w:r>
          </w:hyperlink>
        </w:p>
        <w:p w14:paraId="592FC647" w14:textId="13B7A162" w:rsidR="00F2491F" w:rsidRDefault="00F2491F">
          <w:pPr>
            <w:pStyle w:val="TOC3"/>
            <w:tabs>
              <w:tab w:val="left" w:pos="1200"/>
              <w:tab w:val="right" w:leader="dot" w:pos="9350"/>
            </w:tabs>
            <w:rPr>
              <w:noProof/>
              <w:kern w:val="2"/>
              <w:sz w:val="24"/>
              <w:szCs w:val="24"/>
              <w:lang w:val="en-US"/>
              <w14:ligatures w14:val="standardContextual"/>
            </w:rPr>
          </w:pPr>
          <w:hyperlink w:anchor="_Toc223106545" w:history="1">
            <w:r w:rsidRPr="003B2EA1">
              <w:rPr>
                <w:rStyle w:val="Hyperlink"/>
                <w:rFonts w:ascii="Arial" w:hAnsi="Arial" w:cs="Arial"/>
                <w:noProof/>
                <w:color w:val="0D0DFF" w:themeColor="hyperlink" w:themeTint="F2"/>
              </w:rPr>
              <w:t>3.1.2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Ansoff: market penetration + diversification as the growth engine</w:t>
            </w:r>
            <w:r>
              <w:rPr>
                <w:noProof/>
                <w:webHidden/>
              </w:rPr>
              <w:tab/>
            </w:r>
            <w:r>
              <w:rPr>
                <w:noProof/>
                <w:webHidden/>
              </w:rPr>
              <w:fldChar w:fldCharType="begin"/>
            </w:r>
            <w:r>
              <w:rPr>
                <w:noProof/>
                <w:webHidden/>
              </w:rPr>
              <w:instrText xml:space="preserve"> PAGEREF _Toc223106545 \h </w:instrText>
            </w:r>
            <w:r>
              <w:rPr>
                <w:noProof/>
                <w:webHidden/>
              </w:rPr>
            </w:r>
            <w:r>
              <w:rPr>
                <w:noProof/>
                <w:webHidden/>
              </w:rPr>
              <w:fldChar w:fldCharType="separate"/>
            </w:r>
            <w:r>
              <w:rPr>
                <w:noProof/>
                <w:webHidden/>
              </w:rPr>
              <w:t>15</w:t>
            </w:r>
            <w:r>
              <w:rPr>
                <w:noProof/>
                <w:webHidden/>
              </w:rPr>
              <w:fldChar w:fldCharType="end"/>
            </w:r>
          </w:hyperlink>
        </w:p>
        <w:p w14:paraId="18D668DD" w14:textId="3151E159" w:rsidR="00F2491F" w:rsidRDefault="00F2491F">
          <w:pPr>
            <w:pStyle w:val="TOC2"/>
            <w:tabs>
              <w:tab w:val="left" w:pos="960"/>
              <w:tab w:val="right" w:leader="dot" w:pos="9350"/>
            </w:tabs>
            <w:rPr>
              <w:noProof/>
              <w:kern w:val="2"/>
              <w:sz w:val="24"/>
              <w:szCs w:val="24"/>
              <w:lang w:val="en-US"/>
              <w14:ligatures w14:val="standardContextual"/>
            </w:rPr>
          </w:pPr>
          <w:hyperlink w:anchor="_Toc223106546" w:history="1">
            <w:r w:rsidRPr="003B2EA1">
              <w:rPr>
                <w:rStyle w:val="Hyperlink"/>
                <w:rFonts w:ascii="Arial" w:hAnsi="Arial" w:cs="Arial"/>
                <w:noProof/>
                <w:color w:val="0D0DFF" w:themeColor="hyperlink" w:themeTint="F2"/>
              </w:rPr>
              <w:t>3.2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Ford (follower): dual-track strategy profit pools now, capability-building for EV scale</w:t>
            </w:r>
            <w:r>
              <w:rPr>
                <w:noProof/>
                <w:webHidden/>
              </w:rPr>
              <w:tab/>
            </w:r>
            <w:r>
              <w:rPr>
                <w:noProof/>
                <w:webHidden/>
              </w:rPr>
              <w:fldChar w:fldCharType="begin"/>
            </w:r>
            <w:r>
              <w:rPr>
                <w:noProof/>
                <w:webHidden/>
              </w:rPr>
              <w:instrText xml:space="preserve"> PAGEREF _Toc223106546 \h </w:instrText>
            </w:r>
            <w:r>
              <w:rPr>
                <w:noProof/>
                <w:webHidden/>
              </w:rPr>
            </w:r>
            <w:r>
              <w:rPr>
                <w:noProof/>
                <w:webHidden/>
              </w:rPr>
              <w:fldChar w:fldCharType="separate"/>
            </w:r>
            <w:r>
              <w:rPr>
                <w:noProof/>
                <w:webHidden/>
              </w:rPr>
              <w:t>16</w:t>
            </w:r>
            <w:r>
              <w:rPr>
                <w:noProof/>
                <w:webHidden/>
              </w:rPr>
              <w:fldChar w:fldCharType="end"/>
            </w:r>
          </w:hyperlink>
        </w:p>
        <w:p w14:paraId="74819C4E" w14:textId="5DF032C4" w:rsidR="00F2491F" w:rsidRDefault="00F2491F">
          <w:pPr>
            <w:pStyle w:val="TOC3"/>
            <w:tabs>
              <w:tab w:val="left" w:pos="1200"/>
              <w:tab w:val="right" w:leader="dot" w:pos="9350"/>
            </w:tabs>
            <w:rPr>
              <w:noProof/>
              <w:kern w:val="2"/>
              <w:sz w:val="24"/>
              <w:szCs w:val="24"/>
              <w:lang w:val="en-US"/>
              <w14:ligatures w14:val="standardContextual"/>
            </w:rPr>
          </w:pPr>
          <w:hyperlink w:anchor="_Toc223106547" w:history="1">
            <w:r w:rsidRPr="003B2EA1">
              <w:rPr>
                <w:rStyle w:val="Hyperlink"/>
                <w:rFonts w:ascii="Arial" w:hAnsi="Arial" w:cs="Arial"/>
                <w:noProof/>
                <w:color w:val="0D0DFF" w:themeColor="hyperlink" w:themeTint="F2"/>
              </w:rPr>
              <w:t>3.2.1</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Porter: Focused differentiation (commercial) + transitional strategy discipline</w:t>
            </w:r>
            <w:r>
              <w:rPr>
                <w:noProof/>
                <w:webHidden/>
              </w:rPr>
              <w:tab/>
            </w:r>
            <w:r>
              <w:rPr>
                <w:noProof/>
                <w:webHidden/>
              </w:rPr>
              <w:fldChar w:fldCharType="begin"/>
            </w:r>
            <w:r>
              <w:rPr>
                <w:noProof/>
                <w:webHidden/>
              </w:rPr>
              <w:instrText xml:space="preserve"> PAGEREF _Toc223106547 \h </w:instrText>
            </w:r>
            <w:r>
              <w:rPr>
                <w:noProof/>
                <w:webHidden/>
              </w:rPr>
            </w:r>
            <w:r>
              <w:rPr>
                <w:noProof/>
                <w:webHidden/>
              </w:rPr>
              <w:fldChar w:fldCharType="separate"/>
            </w:r>
            <w:r>
              <w:rPr>
                <w:noProof/>
                <w:webHidden/>
              </w:rPr>
              <w:t>16</w:t>
            </w:r>
            <w:r>
              <w:rPr>
                <w:noProof/>
                <w:webHidden/>
              </w:rPr>
              <w:fldChar w:fldCharType="end"/>
            </w:r>
          </w:hyperlink>
        </w:p>
        <w:p w14:paraId="2B565B1E" w14:textId="2211B208" w:rsidR="00F2491F" w:rsidRDefault="00F2491F">
          <w:pPr>
            <w:pStyle w:val="TOC3"/>
            <w:tabs>
              <w:tab w:val="left" w:pos="1200"/>
              <w:tab w:val="right" w:leader="dot" w:pos="9350"/>
            </w:tabs>
            <w:rPr>
              <w:noProof/>
              <w:kern w:val="2"/>
              <w:sz w:val="24"/>
              <w:szCs w:val="24"/>
              <w:lang w:val="en-US"/>
              <w14:ligatures w14:val="standardContextual"/>
            </w:rPr>
          </w:pPr>
          <w:hyperlink w:anchor="_Toc223106548" w:history="1">
            <w:r w:rsidRPr="003B2EA1">
              <w:rPr>
                <w:rStyle w:val="Hyperlink"/>
                <w:rFonts w:ascii="Arial" w:hAnsi="Arial" w:cs="Arial"/>
                <w:noProof/>
                <w:color w:val="0D0DFF" w:themeColor="hyperlink" w:themeTint="F2"/>
              </w:rPr>
              <w:t>3.2.2</w:t>
            </w:r>
            <w:r>
              <w:rPr>
                <w:noProof/>
                <w:kern w:val="2"/>
                <w:sz w:val="24"/>
                <w:szCs w:val="24"/>
                <w:lang w:val="en-US"/>
                <w14:ligatures w14:val="standardContextual"/>
              </w:rPr>
              <w:tab/>
            </w:r>
            <w:r w:rsidRPr="003B2EA1">
              <w:rPr>
                <w:rStyle w:val="Hyperlink"/>
                <w:rFonts w:ascii="Arial" w:hAnsi="Arial" w:cs="Arial"/>
                <w:noProof/>
                <w:color w:val="0D0DFF" w:themeColor="hyperlink" w:themeTint="F2"/>
              </w:rPr>
              <w:t>Ansoff: market development + product development enabled by ecosystem partnerships</w:t>
            </w:r>
            <w:r>
              <w:rPr>
                <w:noProof/>
                <w:webHidden/>
              </w:rPr>
              <w:tab/>
            </w:r>
            <w:r>
              <w:rPr>
                <w:noProof/>
                <w:webHidden/>
              </w:rPr>
              <w:fldChar w:fldCharType="begin"/>
            </w:r>
            <w:r>
              <w:rPr>
                <w:noProof/>
                <w:webHidden/>
              </w:rPr>
              <w:instrText xml:space="preserve"> PAGEREF _Toc223106548 \h </w:instrText>
            </w:r>
            <w:r>
              <w:rPr>
                <w:noProof/>
                <w:webHidden/>
              </w:rPr>
            </w:r>
            <w:r>
              <w:rPr>
                <w:noProof/>
                <w:webHidden/>
              </w:rPr>
              <w:fldChar w:fldCharType="separate"/>
            </w:r>
            <w:r>
              <w:rPr>
                <w:noProof/>
                <w:webHidden/>
              </w:rPr>
              <w:t>17</w:t>
            </w:r>
            <w:r>
              <w:rPr>
                <w:noProof/>
                <w:webHidden/>
              </w:rPr>
              <w:fldChar w:fldCharType="end"/>
            </w:r>
          </w:hyperlink>
        </w:p>
        <w:p w14:paraId="2AF24E43" w14:textId="22189D8C" w:rsidR="00F2491F" w:rsidRDefault="00F2491F">
          <w:pPr>
            <w:pStyle w:val="TOC1"/>
            <w:tabs>
              <w:tab w:val="left" w:pos="440"/>
              <w:tab w:val="right" w:leader="dot" w:pos="9350"/>
            </w:tabs>
            <w:rPr>
              <w:noProof/>
              <w:kern w:val="2"/>
              <w:sz w:val="24"/>
              <w:szCs w:val="24"/>
              <w:lang w:val="en-US"/>
              <w14:ligatures w14:val="standardContextual"/>
            </w:rPr>
          </w:pPr>
          <w:hyperlink w:anchor="_Toc223106549" w:history="1">
            <w:r w:rsidRPr="003B2EA1">
              <w:rPr>
                <w:rStyle w:val="Hyperlink"/>
                <w:rFonts w:ascii="Arial" w:hAnsi="Arial" w:cs="Arial"/>
                <w:noProof/>
              </w:rPr>
              <w:t>4</w:t>
            </w:r>
            <w:r>
              <w:rPr>
                <w:noProof/>
                <w:kern w:val="2"/>
                <w:sz w:val="24"/>
                <w:szCs w:val="24"/>
                <w:lang w:val="en-US"/>
                <w14:ligatures w14:val="standardContextual"/>
              </w:rPr>
              <w:tab/>
            </w:r>
            <w:r w:rsidRPr="003B2E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_Toc223106549 \h </w:instrText>
            </w:r>
            <w:r>
              <w:rPr>
                <w:noProof/>
                <w:webHidden/>
              </w:rPr>
            </w:r>
            <w:r>
              <w:rPr>
                <w:noProof/>
                <w:webHidden/>
              </w:rPr>
              <w:fldChar w:fldCharType="separate"/>
            </w:r>
            <w:r>
              <w:rPr>
                <w:noProof/>
                <w:webHidden/>
              </w:rPr>
              <w:t>19</w:t>
            </w:r>
            <w:r>
              <w:rPr>
                <w:noProof/>
                <w:webHidden/>
              </w:rPr>
              <w:fldChar w:fldCharType="end"/>
            </w:r>
          </w:hyperlink>
        </w:p>
        <w:p w14:paraId="244040D6" w14:textId="2CB13B4E" w:rsidR="0032493D" w:rsidRPr="00456C6E" w:rsidRDefault="0032493D">
          <w:pPr>
            <w:rPr>
              <w:rFonts w:ascii="Arial" w:hAnsi="Arial" w:cs="Arial"/>
            </w:rPr>
          </w:pPr>
          <w:r w:rsidRPr="00456C6E">
            <w:rPr>
              <w:rFonts w:ascii="Arial" w:hAnsi="Arial" w:cs="Arial"/>
              <w:b/>
              <w:bCs/>
            </w:rPr>
            <w:fldChar w:fldCharType="end"/>
          </w:r>
        </w:p>
      </w:sdtContent>
    </w:sdt>
    <w:p w14:paraId="0F922588" w14:textId="77777777" w:rsidR="0032493D" w:rsidRPr="00456C6E" w:rsidRDefault="0032493D" w:rsidP="00C4292F">
      <w:pPr>
        <w:rPr>
          <w:rFonts w:ascii="Arial" w:hAnsi="Arial" w:cs="Arial"/>
        </w:rPr>
      </w:pPr>
    </w:p>
    <w:p w14:paraId="4297474C" w14:textId="77777777" w:rsidR="0032493D" w:rsidRPr="00456C6E" w:rsidRDefault="0032493D" w:rsidP="00C4292F">
      <w:pPr>
        <w:rPr>
          <w:rFonts w:ascii="Arial" w:hAnsi="Arial" w:cs="Arial"/>
        </w:rPr>
      </w:pPr>
    </w:p>
    <w:p w14:paraId="3460CCAF" w14:textId="77777777" w:rsidR="0032493D" w:rsidRPr="00456C6E" w:rsidRDefault="0032493D" w:rsidP="00C4292F">
      <w:pPr>
        <w:rPr>
          <w:rFonts w:ascii="Arial" w:hAnsi="Arial" w:cs="Arial"/>
        </w:rPr>
      </w:pPr>
    </w:p>
    <w:p w14:paraId="13259864" w14:textId="77777777" w:rsidR="0032493D" w:rsidRPr="00456C6E" w:rsidRDefault="0032493D" w:rsidP="00C4292F">
      <w:pPr>
        <w:rPr>
          <w:rFonts w:ascii="Arial" w:hAnsi="Arial" w:cs="Arial"/>
        </w:rPr>
      </w:pPr>
    </w:p>
    <w:p w14:paraId="6499C2B1" w14:textId="77777777" w:rsidR="0032493D" w:rsidRPr="00456C6E" w:rsidRDefault="0032493D" w:rsidP="00C4292F">
      <w:pPr>
        <w:rPr>
          <w:rFonts w:ascii="Arial" w:hAnsi="Arial" w:cs="Arial"/>
        </w:rPr>
      </w:pPr>
    </w:p>
    <w:p w14:paraId="4C5175A7" w14:textId="77777777" w:rsidR="0032493D" w:rsidRPr="00456C6E" w:rsidRDefault="0032493D" w:rsidP="00C4292F">
      <w:pPr>
        <w:rPr>
          <w:rFonts w:ascii="Arial" w:hAnsi="Arial" w:cs="Arial"/>
        </w:rPr>
      </w:pPr>
    </w:p>
    <w:p w14:paraId="4689D912" w14:textId="77777777" w:rsidR="0032493D" w:rsidRPr="00456C6E" w:rsidRDefault="0032493D" w:rsidP="00C4292F">
      <w:pPr>
        <w:rPr>
          <w:rFonts w:ascii="Arial" w:hAnsi="Arial" w:cs="Arial"/>
        </w:rPr>
      </w:pPr>
    </w:p>
    <w:p w14:paraId="5B4528AE" w14:textId="44AF0194" w:rsidR="00B90DCB" w:rsidRPr="00456C6E" w:rsidRDefault="00B90DCB" w:rsidP="00945249">
      <w:pPr>
        <w:pStyle w:val="Heading1"/>
        <w:numPr>
          <w:ilvl w:val="0"/>
          <w:numId w:val="0"/>
        </w:numPr>
        <w:ind w:left="432" w:hanging="432"/>
        <w:rPr>
          <w:rFonts w:ascii="Arial" w:hAnsi="Arial" w:cs="Arial"/>
          <w:sz w:val="24"/>
          <w:szCs w:val="24"/>
        </w:rPr>
      </w:pPr>
      <w:bookmarkStart w:id="0" w:name="_Toc223106530"/>
      <w:r w:rsidRPr="00456C6E">
        <w:rPr>
          <w:rFonts w:ascii="Arial" w:hAnsi="Arial" w:cs="Arial"/>
          <w:sz w:val="24"/>
          <w:szCs w:val="24"/>
        </w:rPr>
        <w:lastRenderedPageBreak/>
        <w:t>List of Figures</w:t>
      </w:r>
      <w:bookmarkEnd w:id="0"/>
    </w:p>
    <w:p w14:paraId="3DC1990C" w14:textId="3FA40A5E" w:rsidR="00ED099C" w:rsidRDefault="00ED099C">
      <w:pPr>
        <w:pStyle w:val="TableofFigures"/>
        <w:tabs>
          <w:tab w:val="right" w:leader="dot" w:pos="9350"/>
        </w:tabs>
        <w:rPr>
          <w:noProof/>
          <w:kern w:val="2"/>
          <w:sz w:val="24"/>
          <w:szCs w:val="24"/>
          <w:lang w:val="en-US"/>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3104551" w:history="1">
        <w:r w:rsidRPr="001859B5">
          <w:rPr>
            <w:rStyle w:val="Hyperlink"/>
            <w:rFonts w:ascii="Arial" w:hAnsi="Arial" w:cs="Arial"/>
            <w:b/>
            <w:bCs/>
            <w:noProof/>
            <w:color w:val="0D0DFF" w:themeColor="hyperlink" w:themeTint="F2"/>
          </w:rPr>
          <w:t>Figure 1 UK Zero Emission Vehicle (ZEV) Sales Targets (Cars vs Vans), 2024–2035</w:t>
        </w:r>
        <w:r>
          <w:rPr>
            <w:noProof/>
            <w:webHidden/>
          </w:rPr>
          <w:tab/>
        </w:r>
        <w:r>
          <w:rPr>
            <w:noProof/>
            <w:webHidden/>
          </w:rPr>
          <w:fldChar w:fldCharType="begin"/>
        </w:r>
        <w:r>
          <w:rPr>
            <w:noProof/>
            <w:webHidden/>
          </w:rPr>
          <w:instrText xml:space="preserve"> PAGEREF _Toc223104551 \h </w:instrText>
        </w:r>
        <w:r>
          <w:rPr>
            <w:noProof/>
            <w:webHidden/>
          </w:rPr>
        </w:r>
        <w:r>
          <w:rPr>
            <w:noProof/>
            <w:webHidden/>
          </w:rPr>
          <w:fldChar w:fldCharType="separate"/>
        </w:r>
        <w:r>
          <w:rPr>
            <w:noProof/>
            <w:webHidden/>
          </w:rPr>
          <w:t>6</w:t>
        </w:r>
        <w:r>
          <w:rPr>
            <w:noProof/>
            <w:webHidden/>
          </w:rPr>
          <w:fldChar w:fldCharType="end"/>
        </w:r>
      </w:hyperlink>
    </w:p>
    <w:p w14:paraId="4719440A" w14:textId="7C3BED3C" w:rsidR="00ED099C" w:rsidRDefault="00ED099C">
      <w:pPr>
        <w:pStyle w:val="TableofFigures"/>
        <w:tabs>
          <w:tab w:val="right" w:leader="dot" w:pos="9350"/>
        </w:tabs>
        <w:rPr>
          <w:noProof/>
          <w:kern w:val="2"/>
          <w:sz w:val="24"/>
          <w:szCs w:val="24"/>
          <w:lang w:val="en-US"/>
          <w14:ligatures w14:val="standardContextual"/>
        </w:rPr>
      </w:pPr>
      <w:hyperlink w:anchor="_Toc223104552" w:history="1">
        <w:r w:rsidRPr="001859B5">
          <w:rPr>
            <w:rStyle w:val="Hyperlink"/>
            <w:rFonts w:ascii="Arial" w:hAnsi="Arial" w:cs="Arial"/>
            <w:b/>
            <w:bCs/>
            <w:noProof/>
            <w:color w:val="0D0DFF" w:themeColor="hyperlink" w:themeTint="F2"/>
          </w:rPr>
          <w:t>Figure 2 UK Battery Electric Vehicle (BEV) Market Share and New Registrations, 2021–2025 (vs 2025 Mandate Target)</w:t>
        </w:r>
        <w:r>
          <w:rPr>
            <w:noProof/>
            <w:webHidden/>
          </w:rPr>
          <w:tab/>
        </w:r>
        <w:r>
          <w:rPr>
            <w:noProof/>
            <w:webHidden/>
          </w:rPr>
          <w:fldChar w:fldCharType="begin"/>
        </w:r>
        <w:r>
          <w:rPr>
            <w:noProof/>
            <w:webHidden/>
          </w:rPr>
          <w:instrText xml:space="preserve"> PAGEREF _Toc223104552 \h </w:instrText>
        </w:r>
        <w:r>
          <w:rPr>
            <w:noProof/>
            <w:webHidden/>
          </w:rPr>
        </w:r>
        <w:r>
          <w:rPr>
            <w:noProof/>
            <w:webHidden/>
          </w:rPr>
          <w:fldChar w:fldCharType="separate"/>
        </w:r>
        <w:r>
          <w:rPr>
            <w:noProof/>
            <w:webHidden/>
          </w:rPr>
          <w:t>7</w:t>
        </w:r>
        <w:r>
          <w:rPr>
            <w:noProof/>
            <w:webHidden/>
          </w:rPr>
          <w:fldChar w:fldCharType="end"/>
        </w:r>
      </w:hyperlink>
    </w:p>
    <w:p w14:paraId="2F5415F1" w14:textId="50EF7651" w:rsidR="00ED099C" w:rsidRDefault="00ED099C">
      <w:pPr>
        <w:pStyle w:val="TableofFigures"/>
        <w:tabs>
          <w:tab w:val="right" w:leader="dot" w:pos="9350"/>
        </w:tabs>
        <w:rPr>
          <w:noProof/>
          <w:kern w:val="2"/>
          <w:sz w:val="24"/>
          <w:szCs w:val="24"/>
          <w:lang w:val="en-US"/>
          <w14:ligatures w14:val="standardContextual"/>
        </w:rPr>
      </w:pPr>
      <w:hyperlink w:anchor="_Toc223104553" w:history="1">
        <w:r w:rsidRPr="001859B5">
          <w:rPr>
            <w:rStyle w:val="Hyperlink"/>
            <w:rFonts w:ascii="Arial" w:hAnsi="Arial" w:cs="Arial"/>
            <w:b/>
            <w:bCs/>
            <w:noProof/>
            <w:color w:val="0D0DFF" w:themeColor="hyperlink" w:themeTint="F2"/>
          </w:rPr>
          <w:t>Figure 3 Most Popular Battery Electric Vehicles in the UK (Top 10) and Tesla’s Market Share, 2025</w:t>
        </w:r>
        <w:r>
          <w:rPr>
            <w:noProof/>
            <w:webHidden/>
          </w:rPr>
          <w:tab/>
        </w:r>
        <w:r>
          <w:rPr>
            <w:noProof/>
            <w:webHidden/>
          </w:rPr>
          <w:fldChar w:fldCharType="begin"/>
        </w:r>
        <w:r>
          <w:rPr>
            <w:noProof/>
            <w:webHidden/>
          </w:rPr>
          <w:instrText xml:space="preserve"> PAGEREF _Toc223104553 \h </w:instrText>
        </w:r>
        <w:r>
          <w:rPr>
            <w:noProof/>
            <w:webHidden/>
          </w:rPr>
        </w:r>
        <w:r>
          <w:rPr>
            <w:noProof/>
            <w:webHidden/>
          </w:rPr>
          <w:fldChar w:fldCharType="separate"/>
        </w:r>
        <w:r>
          <w:rPr>
            <w:noProof/>
            <w:webHidden/>
          </w:rPr>
          <w:t>8</w:t>
        </w:r>
        <w:r>
          <w:rPr>
            <w:noProof/>
            <w:webHidden/>
          </w:rPr>
          <w:fldChar w:fldCharType="end"/>
        </w:r>
      </w:hyperlink>
    </w:p>
    <w:p w14:paraId="47DA7E04" w14:textId="0989E97D" w:rsidR="00ED099C" w:rsidRDefault="00ED099C">
      <w:pPr>
        <w:pStyle w:val="TableofFigures"/>
        <w:tabs>
          <w:tab w:val="right" w:leader="dot" w:pos="9350"/>
        </w:tabs>
        <w:rPr>
          <w:noProof/>
          <w:kern w:val="2"/>
          <w:sz w:val="24"/>
          <w:szCs w:val="24"/>
          <w:lang w:val="en-US"/>
          <w14:ligatures w14:val="standardContextual"/>
        </w:rPr>
      </w:pPr>
      <w:hyperlink w:anchor="_Toc223104554" w:history="1">
        <w:r w:rsidRPr="001859B5">
          <w:rPr>
            <w:rStyle w:val="Hyperlink"/>
            <w:rFonts w:ascii="Arial" w:hAnsi="Arial" w:cs="Arial"/>
            <w:b/>
            <w:bCs/>
            <w:noProof/>
            <w:color w:val="0D0DFF" w:themeColor="hyperlink" w:themeTint="F2"/>
          </w:rPr>
          <w:t>Figure 4 Growth of Rapid and Ultra-Rapid EV Chargers in the UK, End-2024 to End-2025</w:t>
        </w:r>
        <w:r>
          <w:rPr>
            <w:noProof/>
            <w:webHidden/>
          </w:rPr>
          <w:tab/>
        </w:r>
        <w:r>
          <w:rPr>
            <w:noProof/>
            <w:webHidden/>
          </w:rPr>
          <w:fldChar w:fldCharType="begin"/>
        </w:r>
        <w:r>
          <w:rPr>
            <w:noProof/>
            <w:webHidden/>
          </w:rPr>
          <w:instrText xml:space="preserve"> PAGEREF _Toc223104554 \h </w:instrText>
        </w:r>
        <w:r>
          <w:rPr>
            <w:noProof/>
            <w:webHidden/>
          </w:rPr>
        </w:r>
        <w:r>
          <w:rPr>
            <w:noProof/>
            <w:webHidden/>
          </w:rPr>
          <w:fldChar w:fldCharType="separate"/>
        </w:r>
        <w:r>
          <w:rPr>
            <w:noProof/>
            <w:webHidden/>
          </w:rPr>
          <w:t>11</w:t>
        </w:r>
        <w:r>
          <w:rPr>
            <w:noProof/>
            <w:webHidden/>
          </w:rPr>
          <w:fldChar w:fldCharType="end"/>
        </w:r>
      </w:hyperlink>
    </w:p>
    <w:p w14:paraId="24213386" w14:textId="47BBC04C" w:rsidR="00ED099C" w:rsidRDefault="00ED099C">
      <w:pPr>
        <w:pStyle w:val="TableofFigures"/>
        <w:tabs>
          <w:tab w:val="right" w:leader="dot" w:pos="9350"/>
        </w:tabs>
        <w:rPr>
          <w:noProof/>
          <w:kern w:val="2"/>
          <w:sz w:val="24"/>
          <w:szCs w:val="24"/>
          <w:lang w:val="en-US"/>
          <w14:ligatures w14:val="standardContextual"/>
        </w:rPr>
      </w:pPr>
      <w:hyperlink w:anchor="_Toc223104555" w:history="1">
        <w:r w:rsidRPr="001859B5">
          <w:rPr>
            <w:rStyle w:val="Hyperlink"/>
            <w:rFonts w:ascii="Arial" w:hAnsi="Arial" w:cs="Arial"/>
            <w:b/>
            <w:bCs/>
            <w:noProof/>
            <w:color w:val="0D0DFF" w:themeColor="hyperlink" w:themeTint="F2"/>
          </w:rPr>
          <w:t>Figure 5 Porter’s Generic Strategies Matrix: Competitive Advantage (Cost vs Differentiation) and Scope (Total vs Niche)</w:t>
        </w:r>
        <w:r>
          <w:rPr>
            <w:noProof/>
            <w:webHidden/>
          </w:rPr>
          <w:tab/>
        </w:r>
        <w:r>
          <w:rPr>
            <w:noProof/>
            <w:webHidden/>
          </w:rPr>
          <w:fldChar w:fldCharType="begin"/>
        </w:r>
        <w:r>
          <w:rPr>
            <w:noProof/>
            <w:webHidden/>
          </w:rPr>
          <w:instrText xml:space="preserve"> PAGEREF _Toc223104555 \h </w:instrText>
        </w:r>
        <w:r>
          <w:rPr>
            <w:noProof/>
            <w:webHidden/>
          </w:rPr>
        </w:r>
        <w:r>
          <w:rPr>
            <w:noProof/>
            <w:webHidden/>
          </w:rPr>
          <w:fldChar w:fldCharType="separate"/>
        </w:r>
        <w:r>
          <w:rPr>
            <w:noProof/>
            <w:webHidden/>
          </w:rPr>
          <w:t>14</w:t>
        </w:r>
        <w:r>
          <w:rPr>
            <w:noProof/>
            <w:webHidden/>
          </w:rPr>
          <w:fldChar w:fldCharType="end"/>
        </w:r>
      </w:hyperlink>
    </w:p>
    <w:p w14:paraId="28C26DE1" w14:textId="3B54D440" w:rsidR="00ED099C" w:rsidRDefault="00ED099C">
      <w:pPr>
        <w:pStyle w:val="TableofFigures"/>
        <w:tabs>
          <w:tab w:val="right" w:leader="dot" w:pos="9350"/>
        </w:tabs>
        <w:rPr>
          <w:noProof/>
          <w:kern w:val="2"/>
          <w:sz w:val="24"/>
          <w:szCs w:val="24"/>
          <w:lang w:val="en-US"/>
          <w14:ligatures w14:val="standardContextual"/>
        </w:rPr>
      </w:pPr>
      <w:hyperlink w:anchor="_Toc223104556" w:history="1">
        <w:r w:rsidRPr="001859B5">
          <w:rPr>
            <w:rStyle w:val="Hyperlink"/>
            <w:rFonts w:ascii="Arial" w:hAnsi="Arial" w:cs="Arial"/>
            <w:b/>
            <w:bCs/>
            <w:noProof/>
            <w:color w:val="0D0DFF" w:themeColor="hyperlink" w:themeTint="F2"/>
          </w:rPr>
          <w:t>Figure 6 Tesla Ansoff Matrix</w:t>
        </w:r>
        <w:r>
          <w:rPr>
            <w:noProof/>
            <w:webHidden/>
          </w:rPr>
          <w:tab/>
        </w:r>
        <w:r>
          <w:rPr>
            <w:noProof/>
            <w:webHidden/>
          </w:rPr>
          <w:fldChar w:fldCharType="begin"/>
        </w:r>
        <w:r>
          <w:rPr>
            <w:noProof/>
            <w:webHidden/>
          </w:rPr>
          <w:instrText xml:space="preserve"> PAGEREF _Toc223104556 \h </w:instrText>
        </w:r>
        <w:r>
          <w:rPr>
            <w:noProof/>
            <w:webHidden/>
          </w:rPr>
        </w:r>
        <w:r>
          <w:rPr>
            <w:noProof/>
            <w:webHidden/>
          </w:rPr>
          <w:fldChar w:fldCharType="separate"/>
        </w:r>
        <w:r>
          <w:rPr>
            <w:noProof/>
            <w:webHidden/>
          </w:rPr>
          <w:t>15</w:t>
        </w:r>
        <w:r>
          <w:rPr>
            <w:noProof/>
            <w:webHidden/>
          </w:rPr>
          <w:fldChar w:fldCharType="end"/>
        </w:r>
      </w:hyperlink>
    </w:p>
    <w:p w14:paraId="09CA42F5" w14:textId="45FE0E2E" w:rsidR="00B90DCB" w:rsidRPr="00456C6E" w:rsidRDefault="00ED099C" w:rsidP="00C4292F">
      <w:pPr>
        <w:rPr>
          <w:rFonts w:ascii="Arial" w:hAnsi="Arial" w:cs="Arial"/>
        </w:rPr>
      </w:pPr>
      <w:r>
        <w:rPr>
          <w:rFonts w:ascii="Arial" w:hAnsi="Arial" w:cs="Arial"/>
        </w:rPr>
        <w:fldChar w:fldCharType="end"/>
      </w:r>
    </w:p>
    <w:p w14:paraId="14FA15F8" w14:textId="77777777" w:rsidR="00B90DCB" w:rsidRPr="00456C6E" w:rsidRDefault="00B90DCB" w:rsidP="00C4292F">
      <w:pPr>
        <w:rPr>
          <w:rFonts w:ascii="Arial" w:hAnsi="Arial" w:cs="Arial"/>
        </w:rPr>
      </w:pPr>
    </w:p>
    <w:p w14:paraId="3A61209B" w14:textId="77777777" w:rsidR="00B90DCB" w:rsidRPr="00456C6E" w:rsidRDefault="00B90DCB" w:rsidP="00C4292F">
      <w:pPr>
        <w:rPr>
          <w:rFonts w:ascii="Arial" w:hAnsi="Arial" w:cs="Arial"/>
        </w:rPr>
      </w:pPr>
    </w:p>
    <w:p w14:paraId="40189F24" w14:textId="77777777" w:rsidR="00B90DCB" w:rsidRPr="00456C6E" w:rsidRDefault="00B90DCB" w:rsidP="00C4292F">
      <w:pPr>
        <w:rPr>
          <w:rFonts w:ascii="Arial" w:hAnsi="Arial" w:cs="Arial"/>
        </w:rPr>
      </w:pPr>
    </w:p>
    <w:p w14:paraId="6DF6341C" w14:textId="77777777" w:rsidR="00B90DCB" w:rsidRPr="00456C6E" w:rsidRDefault="00B90DCB" w:rsidP="00C4292F">
      <w:pPr>
        <w:rPr>
          <w:rFonts w:ascii="Arial" w:hAnsi="Arial" w:cs="Arial"/>
        </w:rPr>
      </w:pPr>
    </w:p>
    <w:p w14:paraId="17EEB234" w14:textId="77777777" w:rsidR="00B90DCB" w:rsidRPr="00456C6E" w:rsidRDefault="00B90DCB" w:rsidP="00C4292F">
      <w:pPr>
        <w:rPr>
          <w:rFonts w:ascii="Arial" w:hAnsi="Arial" w:cs="Arial"/>
        </w:rPr>
      </w:pPr>
    </w:p>
    <w:p w14:paraId="4A602308" w14:textId="77777777" w:rsidR="00B90DCB" w:rsidRPr="00456C6E" w:rsidRDefault="00B90DCB" w:rsidP="00C4292F">
      <w:pPr>
        <w:rPr>
          <w:rFonts w:ascii="Arial" w:hAnsi="Arial" w:cs="Arial"/>
        </w:rPr>
      </w:pPr>
    </w:p>
    <w:p w14:paraId="4D790EE3" w14:textId="77777777" w:rsidR="00B90DCB" w:rsidRPr="00456C6E" w:rsidRDefault="00B90DCB" w:rsidP="00C4292F">
      <w:pPr>
        <w:rPr>
          <w:rFonts w:ascii="Arial" w:hAnsi="Arial" w:cs="Arial"/>
        </w:rPr>
      </w:pPr>
    </w:p>
    <w:p w14:paraId="0437A765" w14:textId="77777777" w:rsidR="00B90DCB" w:rsidRPr="00456C6E" w:rsidRDefault="00B90DCB" w:rsidP="00C4292F">
      <w:pPr>
        <w:rPr>
          <w:rFonts w:ascii="Arial" w:hAnsi="Arial" w:cs="Arial"/>
        </w:rPr>
      </w:pPr>
    </w:p>
    <w:p w14:paraId="6DF1CF7C" w14:textId="77777777" w:rsidR="00B90DCB" w:rsidRPr="00456C6E" w:rsidRDefault="00B90DCB" w:rsidP="00C4292F">
      <w:pPr>
        <w:rPr>
          <w:rFonts w:ascii="Arial" w:hAnsi="Arial" w:cs="Arial"/>
        </w:rPr>
      </w:pPr>
    </w:p>
    <w:p w14:paraId="43D4C866" w14:textId="77777777" w:rsidR="00B90DCB" w:rsidRPr="00456C6E" w:rsidRDefault="00B90DCB" w:rsidP="00C4292F">
      <w:pPr>
        <w:rPr>
          <w:rFonts w:ascii="Arial" w:hAnsi="Arial" w:cs="Arial"/>
        </w:rPr>
      </w:pPr>
    </w:p>
    <w:p w14:paraId="33889B59" w14:textId="77777777" w:rsidR="00B90DCB" w:rsidRPr="00456C6E" w:rsidRDefault="00B90DCB" w:rsidP="00C4292F">
      <w:pPr>
        <w:rPr>
          <w:rFonts w:ascii="Arial" w:hAnsi="Arial" w:cs="Arial"/>
        </w:rPr>
      </w:pPr>
    </w:p>
    <w:p w14:paraId="5FC9A1DC" w14:textId="77777777" w:rsidR="00B90DCB" w:rsidRPr="00456C6E" w:rsidRDefault="00B90DCB" w:rsidP="00C4292F">
      <w:pPr>
        <w:rPr>
          <w:rFonts w:ascii="Arial" w:hAnsi="Arial" w:cs="Arial"/>
        </w:rPr>
      </w:pPr>
    </w:p>
    <w:p w14:paraId="3E5830FD" w14:textId="77777777" w:rsidR="00B90DCB" w:rsidRPr="00456C6E" w:rsidRDefault="00B90DCB" w:rsidP="00C4292F">
      <w:pPr>
        <w:rPr>
          <w:rFonts w:ascii="Arial" w:hAnsi="Arial" w:cs="Arial"/>
        </w:rPr>
      </w:pPr>
    </w:p>
    <w:p w14:paraId="00A556D2" w14:textId="77777777" w:rsidR="00B90DCB" w:rsidRPr="00456C6E" w:rsidRDefault="00B90DCB" w:rsidP="00C4292F">
      <w:pPr>
        <w:rPr>
          <w:rFonts w:ascii="Arial" w:hAnsi="Arial" w:cs="Arial"/>
        </w:rPr>
      </w:pPr>
    </w:p>
    <w:p w14:paraId="52D996C0" w14:textId="77777777" w:rsidR="00B90DCB" w:rsidRPr="00456C6E" w:rsidRDefault="00B90DCB" w:rsidP="00C4292F">
      <w:pPr>
        <w:rPr>
          <w:rFonts w:ascii="Arial" w:hAnsi="Arial" w:cs="Arial"/>
        </w:rPr>
      </w:pPr>
    </w:p>
    <w:p w14:paraId="3F713A37" w14:textId="77777777" w:rsidR="00B90DCB" w:rsidRPr="00456C6E" w:rsidRDefault="00B90DCB" w:rsidP="00C4292F">
      <w:pPr>
        <w:rPr>
          <w:rFonts w:ascii="Arial" w:hAnsi="Arial" w:cs="Arial"/>
        </w:rPr>
      </w:pPr>
    </w:p>
    <w:p w14:paraId="241616D4" w14:textId="77777777" w:rsidR="00B90DCB" w:rsidRPr="00456C6E" w:rsidRDefault="00B90DCB" w:rsidP="00C4292F">
      <w:pPr>
        <w:rPr>
          <w:rFonts w:ascii="Arial" w:hAnsi="Arial" w:cs="Arial"/>
        </w:rPr>
      </w:pPr>
    </w:p>
    <w:p w14:paraId="6C53BA49" w14:textId="77777777" w:rsidR="00B90DCB" w:rsidRPr="00456C6E" w:rsidRDefault="00B90DCB" w:rsidP="00C4292F">
      <w:pPr>
        <w:rPr>
          <w:rFonts w:ascii="Arial" w:hAnsi="Arial" w:cs="Arial"/>
        </w:rPr>
      </w:pPr>
    </w:p>
    <w:p w14:paraId="0E61D0F9" w14:textId="77777777" w:rsidR="00B90DCB" w:rsidRPr="00456C6E" w:rsidRDefault="00B90DCB" w:rsidP="00C4292F">
      <w:pPr>
        <w:rPr>
          <w:rFonts w:ascii="Arial" w:hAnsi="Arial" w:cs="Arial"/>
        </w:rPr>
      </w:pPr>
    </w:p>
    <w:p w14:paraId="595A2BAB" w14:textId="77777777" w:rsidR="00B90DCB" w:rsidRPr="00456C6E" w:rsidRDefault="00B90DCB" w:rsidP="00C4292F">
      <w:pPr>
        <w:rPr>
          <w:rFonts w:ascii="Arial" w:hAnsi="Arial" w:cs="Arial"/>
        </w:rPr>
      </w:pPr>
    </w:p>
    <w:p w14:paraId="4E1BCE59" w14:textId="77777777" w:rsidR="00B90DCB" w:rsidRPr="00BD4C9D" w:rsidRDefault="00B90DCB" w:rsidP="00C4292F">
      <w:pPr>
        <w:rPr>
          <w:rFonts w:ascii="Arial" w:hAnsi="Arial" w:cs="Arial"/>
        </w:rPr>
      </w:pPr>
    </w:p>
    <w:p w14:paraId="79E06FAF" w14:textId="77777777" w:rsidR="0032493D" w:rsidRPr="009A209D" w:rsidRDefault="0032493D" w:rsidP="00754EB3">
      <w:pPr>
        <w:pStyle w:val="Heading1"/>
        <w:numPr>
          <w:ilvl w:val="0"/>
          <w:numId w:val="2"/>
        </w:numPr>
        <w:spacing w:line="360" w:lineRule="auto"/>
        <w:jc w:val="both"/>
        <w:rPr>
          <w:rFonts w:ascii="Arial" w:hAnsi="Arial" w:cs="Arial"/>
          <w:color w:val="0D0D0D" w:themeColor="text1" w:themeTint="F2"/>
          <w:sz w:val="24"/>
          <w:szCs w:val="24"/>
        </w:rPr>
      </w:pPr>
      <w:bookmarkStart w:id="1" w:name="_Toc223106531"/>
      <w:r w:rsidRPr="009A209D">
        <w:rPr>
          <w:rFonts w:ascii="Arial" w:hAnsi="Arial" w:cs="Arial"/>
          <w:color w:val="0D0D0D" w:themeColor="text1" w:themeTint="F2"/>
          <w:sz w:val="24"/>
          <w:szCs w:val="24"/>
        </w:rPr>
        <w:lastRenderedPageBreak/>
        <w:t>Task 1   Macro Marketing Environment Analysis (Pioneer vs Follower in the EV Industry)</w:t>
      </w:r>
      <w:bookmarkEnd w:id="1"/>
    </w:p>
    <w:p w14:paraId="06E8DAF2" w14:textId="5F65109A" w:rsidR="00D768F9" w:rsidRPr="00987537" w:rsidRDefault="00754C2D" w:rsidP="00754EB3">
      <w:pPr>
        <w:spacing w:line="360" w:lineRule="auto"/>
        <w:jc w:val="both"/>
        <w:rPr>
          <w:rFonts w:ascii="Arial" w:hAnsi="Arial" w:cs="Arial"/>
          <w:color w:val="0D0D0D" w:themeColor="text1" w:themeTint="F2"/>
          <w:sz w:val="24"/>
          <w:szCs w:val="24"/>
        </w:rPr>
      </w:pPr>
      <w:r w:rsidRPr="00754C2D">
        <w:rPr>
          <w:rFonts w:ascii="Arial" w:hAnsi="Arial" w:cs="Arial"/>
          <w:color w:val="0D0D0D" w:themeColor="text1" w:themeTint="F2"/>
          <w:sz w:val="24"/>
          <w:szCs w:val="24"/>
        </w:rPr>
        <w:t xml:space="preserve">In PESTLE, </w:t>
      </w:r>
      <w:r w:rsidR="00913FD9" w:rsidRPr="00913FD9">
        <w:rPr>
          <w:rFonts w:ascii="Arial" w:hAnsi="Arial" w:cs="Arial"/>
          <w:color w:val="0D0D0D" w:themeColor="text1" w:themeTint="F2"/>
          <w:sz w:val="24"/>
          <w:szCs w:val="24"/>
        </w:rPr>
        <w:t>UK political/legal forces in the EV industry are market-design mechanisms that affect demand and profitability (Kotler et al., 2020), generate coercive compliance pressures (DiMaggio and Powell, 1983), and reorganize rivalry and barriers (Porter, 1980).</w:t>
      </w:r>
    </w:p>
    <w:p w14:paraId="7ED3E26B" w14:textId="77777777" w:rsidR="0032493D" w:rsidRPr="009A209D" w:rsidRDefault="0032493D" w:rsidP="00754EB3">
      <w:pPr>
        <w:pStyle w:val="Heading2"/>
        <w:numPr>
          <w:ilvl w:val="1"/>
          <w:numId w:val="2"/>
        </w:numPr>
        <w:spacing w:line="360" w:lineRule="auto"/>
        <w:jc w:val="both"/>
        <w:rPr>
          <w:rFonts w:ascii="Arial" w:hAnsi="Arial" w:cs="Arial"/>
          <w:color w:val="0D0D0D" w:themeColor="text1" w:themeTint="F2"/>
          <w:sz w:val="24"/>
          <w:szCs w:val="24"/>
        </w:rPr>
      </w:pPr>
      <w:bookmarkStart w:id="2" w:name="_Toc223106532"/>
      <w:r w:rsidRPr="009A209D">
        <w:rPr>
          <w:rFonts w:ascii="Arial" w:hAnsi="Arial" w:cs="Arial"/>
          <w:color w:val="0D0D0D" w:themeColor="text1" w:themeTint="F2"/>
          <w:sz w:val="24"/>
          <w:szCs w:val="24"/>
        </w:rPr>
        <w:t>Macro Actor 1: Political &amp; Legal Forces (Decarbonisation policy + market rules)</w:t>
      </w:r>
      <w:bookmarkEnd w:id="2"/>
    </w:p>
    <w:p w14:paraId="21A22433" w14:textId="77777777" w:rsidR="0032493D" w:rsidRPr="009A209D" w:rsidRDefault="0032493D" w:rsidP="00754EB3">
      <w:pPr>
        <w:pStyle w:val="Heading3"/>
        <w:numPr>
          <w:ilvl w:val="2"/>
          <w:numId w:val="2"/>
        </w:numPr>
        <w:spacing w:line="360" w:lineRule="auto"/>
        <w:jc w:val="both"/>
        <w:rPr>
          <w:rFonts w:ascii="Arial" w:hAnsi="Arial" w:cs="Arial"/>
          <w:color w:val="0D0D0D" w:themeColor="text1" w:themeTint="F2"/>
          <w:sz w:val="24"/>
          <w:szCs w:val="24"/>
        </w:rPr>
      </w:pPr>
      <w:bookmarkStart w:id="3" w:name="_Toc223106533"/>
      <w:r w:rsidRPr="009A209D">
        <w:rPr>
          <w:rFonts w:ascii="Arial" w:hAnsi="Arial" w:cs="Arial"/>
          <w:color w:val="0D0D0D" w:themeColor="text1" w:themeTint="F2"/>
          <w:sz w:val="24"/>
          <w:szCs w:val="24"/>
        </w:rPr>
        <w:t>Why this actor matters</w:t>
      </w:r>
      <w:bookmarkEnd w:id="3"/>
    </w:p>
    <w:p w14:paraId="704F694F" w14:textId="214B095A" w:rsidR="008E7F9A" w:rsidRPr="00987537" w:rsidRDefault="00446464" w:rsidP="00754EB3">
      <w:pPr>
        <w:spacing w:line="360" w:lineRule="auto"/>
        <w:jc w:val="both"/>
        <w:rPr>
          <w:rFonts w:ascii="Arial" w:hAnsi="Arial" w:cs="Arial"/>
          <w:color w:val="0D0D0D" w:themeColor="text1" w:themeTint="F2"/>
          <w:sz w:val="24"/>
          <w:szCs w:val="24"/>
        </w:rPr>
      </w:pPr>
      <w:r w:rsidRPr="00446464">
        <w:rPr>
          <w:rFonts w:ascii="Arial" w:hAnsi="Arial" w:cs="Arial"/>
          <w:color w:val="0D0D0D" w:themeColor="text1" w:themeTint="F2"/>
          <w:sz w:val="24"/>
          <w:szCs w:val="24"/>
        </w:rPr>
        <w:t xml:space="preserve">Political/legal forces in the EV industry do not simply affect marketing; they shape the market. Regulation, a transition period, and mandates produce </w:t>
      </w:r>
      <w:proofErr w:type="gramStart"/>
      <w:r w:rsidRPr="00446464">
        <w:rPr>
          <w:rFonts w:ascii="Arial" w:hAnsi="Arial" w:cs="Arial"/>
          <w:color w:val="0D0D0D" w:themeColor="text1" w:themeTint="F2"/>
          <w:sz w:val="24"/>
          <w:szCs w:val="24"/>
        </w:rPr>
        <w:t>a</w:t>
      </w:r>
      <w:proofErr w:type="gramEnd"/>
      <w:r w:rsidRPr="00446464">
        <w:rPr>
          <w:rFonts w:ascii="Arial" w:hAnsi="Arial" w:cs="Arial"/>
          <w:color w:val="0D0D0D" w:themeColor="text1" w:themeTint="F2"/>
          <w:sz w:val="24"/>
          <w:szCs w:val="24"/>
        </w:rPr>
        <w:t xml:space="preserve"> imposed demand (and non-compliance penalties), so that product portfolios, prices, and channel incentives become competitive variables that are policy-influenced. This is consistent with the sentiment that the macro-environment has the potential to transform the game by changing the attractiveness of markets and the available strategic options to firms (Kotler et al., 2020).</w:t>
      </w:r>
    </w:p>
    <w:p w14:paraId="725A11E4" w14:textId="77777777" w:rsidR="0032493D" w:rsidRPr="009A209D" w:rsidRDefault="0032493D" w:rsidP="00754EB3">
      <w:pPr>
        <w:pStyle w:val="Heading3"/>
        <w:numPr>
          <w:ilvl w:val="2"/>
          <w:numId w:val="2"/>
        </w:numPr>
        <w:spacing w:line="360" w:lineRule="auto"/>
        <w:jc w:val="both"/>
        <w:rPr>
          <w:rFonts w:ascii="Arial" w:hAnsi="Arial" w:cs="Arial"/>
          <w:color w:val="0D0D0D" w:themeColor="text1" w:themeTint="F2"/>
          <w:sz w:val="24"/>
          <w:szCs w:val="24"/>
        </w:rPr>
      </w:pPr>
      <w:bookmarkStart w:id="4" w:name="_Toc223106534"/>
      <w:r w:rsidRPr="009A209D">
        <w:rPr>
          <w:rFonts w:ascii="Arial" w:hAnsi="Arial" w:cs="Arial"/>
          <w:color w:val="0D0D0D" w:themeColor="text1" w:themeTint="F2"/>
          <w:sz w:val="24"/>
          <w:szCs w:val="24"/>
        </w:rPr>
        <w:lastRenderedPageBreak/>
        <w:t>Evidence of the policy-driven demand shift</w:t>
      </w:r>
      <w:bookmarkEnd w:id="4"/>
    </w:p>
    <w:p w14:paraId="1BEECEDB" w14:textId="77777777" w:rsidR="00FE4AA5" w:rsidRPr="009A209D" w:rsidRDefault="0032493D" w:rsidP="00754EB3">
      <w:pPr>
        <w:keepNext/>
        <w:spacing w:line="360" w:lineRule="auto"/>
        <w:jc w:val="center"/>
        <w:rPr>
          <w:rFonts w:ascii="Arial" w:hAnsi="Arial" w:cs="Arial"/>
          <w:color w:val="0D0D0D" w:themeColor="text1" w:themeTint="F2"/>
          <w:sz w:val="24"/>
          <w:szCs w:val="24"/>
        </w:rPr>
      </w:pPr>
      <w:r w:rsidRPr="009A209D">
        <w:rPr>
          <w:rFonts w:ascii="Arial" w:hAnsi="Arial" w:cs="Arial"/>
          <w:color w:val="0D0D0D" w:themeColor="text1" w:themeTint="F2"/>
          <w:sz w:val="24"/>
          <w:szCs w:val="24"/>
        </w:rPr>
        <w:drawing>
          <wp:inline distT="0" distB="0" distL="0" distR="0" wp14:anchorId="0AE153FE" wp14:editId="015FF7A4">
            <wp:extent cx="4592096" cy="3061397"/>
            <wp:effectExtent l="0" t="0" r="0" b="5715"/>
            <wp:docPr id="176197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7886" cy="3065257"/>
                    </a:xfrm>
                    <a:prstGeom prst="rect">
                      <a:avLst/>
                    </a:prstGeom>
                    <a:noFill/>
                  </pic:spPr>
                </pic:pic>
              </a:graphicData>
            </a:graphic>
          </wp:inline>
        </w:drawing>
      </w:r>
    </w:p>
    <w:p w14:paraId="046D49CC" w14:textId="02FD4B80" w:rsidR="0032493D" w:rsidRDefault="00FE4AA5" w:rsidP="00754EB3">
      <w:pPr>
        <w:pStyle w:val="Caption"/>
        <w:spacing w:line="360" w:lineRule="auto"/>
        <w:jc w:val="center"/>
        <w:rPr>
          <w:rFonts w:ascii="Arial" w:hAnsi="Arial" w:cs="Arial"/>
          <w:b/>
          <w:bCs/>
          <w:i w:val="0"/>
          <w:iCs w:val="0"/>
          <w:color w:val="0D0D0D" w:themeColor="text1" w:themeTint="F2"/>
          <w:sz w:val="24"/>
          <w:szCs w:val="24"/>
          <w:u w:val="single"/>
        </w:rPr>
      </w:pPr>
      <w:bookmarkStart w:id="5" w:name="_Toc223104475"/>
      <w:bookmarkStart w:id="6" w:name="_Toc223104551"/>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007069FA" w:rsidRPr="009A209D">
        <w:rPr>
          <w:rFonts w:ascii="Arial" w:hAnsi="Arial" w:cs="Arial"/>
          <w:b/>
          <w:bCs/>
          <w:i w:val="0"/>
          <w:iCs w:val="0"/>
          <w:noProof/>
          <w:color w:val="0D0D0D" w:themeColor="text1" w:themeTint="F2"/>
          <w:sz w:val="24"/>
          <w:szCs w:val="24"/>
          <w:u w:val="single"/>
        </w:rPr>
        <w:t>1</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UK Zero Emission Vehicle (ZEV) Sales Targets (Cars vs Vans), 2024–2035</w:t>
      </w:r>
      <w:bookmarkEnd w:id="5"/>
      <w:bookmarkEnd w:id="6"/>
    </w:p>
    <w:p w14:paraId="284DC679" w14:textId="4E33190E" w:rsidR="00AF290B" w:rsidRPr="00AF290B" w:rsidRDefault="00AF290B" w:rsidP="002C6785">
      <w:pPr>
        <w:jc w:val="center"/>
        <w:rPr>
          <w:b/>
          <w:bCs/>
          <w:u w:val="single"/>
        </w:rPr>
      </w:pPr>
      <w:r w:rsidRPr="00AF290B">
        <w:rPr>
          <w:b/>
          <w:bCs/>
          <w:u w:val="single"/>
        </w:rPr>
        <w:t xml:space="preserve">Source: </w:t>
      </w:r>
      <w:r w:rsidRPr="00AF290B">
        <w:rPr>
          <w:rFonts w:ascii="Arial" w:hAnsi="Arial" w:cs="Arial"/>
          <w:b/>
          <w:bCs/>
          <w:color w:val="0D0D0D" w:themeColor="text1" w:themeTint="F2"/>
          <w:sz w:val="24"/>
          <w:szCs w:val="24"/>
          <w:u w:val="single"/>
        </w:rPr>
        <w:t>(UK Government, 2024).</w:t>
      </w:r>
    </w:p>
    <w:p w14:paraId="7B4A5994" w14:textId="7660651D" w:rsidR="001B2CCB" w:rsidRPr="009A209D" w:rsidRDefault="00D4463F" w:rsidP="00754EB3">
      <w:pPr>
        <w:spacing w:line="360" w:lineRule="auto"/>
        <w:jc w:val="both"/>
        <w:rPr>
          <w:rFonts w:ascii="Arial" w:hAnsi="Arial" w:cs="Arial"/>
          <w:color w:val="0D0D0D" w:themeColor="text1" w:themeTint="F2"/>
          <w:sz w:val="24"/>
          <w:szCs w:val="24"/>
        </w:rPr>
      </w:pPr>
      <w:r w:rsidRPr="00D4463F">
        <w:rPr>
          <w:rFonts w:ascii="Arial" w:hAnsi="Arial" w:cs="Arial"/>
          <w:color w:val="0D0D0D" w:themeColor="text1" w:themeTint="F2"/>
          <w:sz w:val="24"/>
          <w:szCs w:val="24"/>
        </w:rPr>
        <w:t>The Zero Emission Vehicle (ZEV) requirement in the UK was a legally formalized increase in the level of required zero-emission sales quota. Governmental messages prove the course: 80% of new vehicles and 70% of new vans are to be zero-emission in 2030, and 100% in 2035 (UK Government, 2024). The requirement that at least 22</w:t>
      </w:r>
      <w:r w:rsidR="007E275A">
        <w:rPr>
          <w:rFonts w:ascii="Arial" w:hAnsi="Arial" w:cs="Arial"/>
          <w:color w:val="0D0D0D" w:themeColor="text1" w:themeTint="F2"/>
          <w:sz w:val="24"/>
          <w:szCs w:val="24"/>
        </w:rPr>
        <w:t>%</w:t>
      </w:r>
      <w:r w:rsidRPr="00D4463F">
        <w:rPr>
          <w:rFonts w:ascii="Arial" w:hAnsi="Arial" w:cs="Arial"/>
          <w:color w:val="0D0D0D" w:themeColor="text1" w:themeTint="F2"/>
          <w:sz w:val="24"/>
          <w:szCs w:val="24"/>
        </w:rPr>
        <w:t>. of new car sales must be zero-emission by 2024, as is mandated by industry and advocacy summaries (EVA England, n.d.), supports the idea that compliance is progressive and escalating.</w:t>
      </w:r>
    </w:p>
    <w:p w14:paraId="4AFFE1DD" w14:textId="77777777" w:rsidR="007069FA" w:rsidRPr="009A209D" w:rsidRDefault="0032493D" w:rsidP="00754EB3">
      <w:pPr>
        <w:keepNext/>
        <w:spacing w:line="360" w:lineRule="auto"/>
        <w:jc w:val="center"/>
        <w:rPr>
          <w:rFonts w:ascii="Arial" w:hAnsi="Arial" w:cs="Arial"/>
          <w:color w:val="0D0D0D" w:themeColor="text1" w:themeTint="F2"/>
          <w:sz w:val="24"/>
          <w:szCs w:val="24"/>
        </w:rPr>
      </w:pPr>
      <w:r w:rsidRPr="009A209D">
        <w:rPr>
          <w:rFonts w:ascii="Arial" w:hAnsi="Arial" w:cs="Arial"/>
          <w:color w:val="0D0D0D" w:themeColor="text1" w:themeTint="F2"/>
          <w:sz w:val="24"/>
          <w:szCs w:val="24"/>
        </w:rPr>
        <w:lastRenderedPageBreak/>
        <w:drawing>
          <wp:inline distT="0" distB="0" distL="0" distR="0" wp14:anchorId="59AC032D" wp14:editId="3702C2D2">
            <wp:extent cx="4371033" cy="2914022"/>
            <wp:effectExtent l="0" t="0" r="0" b="635"/>
            <wp:docPr id="478890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5799" cy="2917200"/>
                    </a:xfrm>
                    <a:prstGeom prst="rect">
                      <a:avLst/>
                    </a:prstGeom>
                    <a:noFill/>
                  </pic:spPr>
                </pic:pic>
              </a:graphicData>
            </a:graphic>
          </wp:inline>
        </w:drawing>
      </w:r>
    </w:p>
    <w:p w14:paraId="0764DBCE" w14:textId="547075C7" w:rsidR="0032493D" w:rsidRDefault="007069FA" w:rsidP="00754EB3">
      <w:pPr>
        <w:pStyle w:val="Caption"/>
        <w:spacing w:line="360" w:lineRule="auto"/>
        <w:jc w:val="center"/>
        <w:rPr>
          <w:rFonts w:ascii="Arial" w:hAnsi="Arial" w:cs="Arial"/>
          <w:b/>
          <w:bCs/>
          <w:i w:val="0"/>
          <w:iCs w:val="0"/>
          <w:color w:val="0D0D0D" w:themeColor="text1" w:themeTint="F2"/>
          <w:sz w:val="24"/>
          <w:szCs w:val="24"/>
          <w:u w:val="single"/>
        </w:rPr>
      </w:pPr>
      <w:bookmarkStart w:id="7" w:name="_Toc223104476"/>
      <w:bookmarkStart w:id="8" w:name="_Toc223104552"/>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Pr="009A209D">
        <w:rPr>
          <w:rFonts w:ascii="Arial" w:hAnsi="Arial" w:cs="Arial"/>
          <w:b/>
          <w:bCs/>
          <w:i w:val="0"/>
          <w:iCs w:val="0"/>
          <w:noProof/>
          <w:color w:val="0D0D0D" w:themeColor="text1" w:themeTint="F2"/>
          <w:sz w:val="24"/>
          <w:szCs w:val="24"/>
          <w:u w:val="single"/>
        </w:rPr>
        <w:t>2</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UK Battery Electric Vehicle (BEV) Market Share and New Registrations, 2021–2025 (vs 2025 Mandate Target)</w:t>
      </w:r>
      <w:bookmarkEnd w:id="7"/>
      <w:bookmarkEnd w:id="8"/>
    </w:p>
    <w:p w14:paraId="3682CD0C" w14:textId="58A30C7B" w:rsidR="006421B8" w:rsidRPr="006421B8" w:rsidRDefault="006421B8" w:rsidP="00956DAB">
      <w:pPr>
        <w:jc w:val="center"/>
        <w:rPr>
          <w:b/>
          <w:bCs/>
          <w:u w:val="single"/>
        </w:rPr>
      </w:pPr>
      <w:r w:rsidRPr="006421B8">
        <w:rPr>
          <w:b/>
          <w:bCs/>
          <w:u w:val="single"/>
        </w:rPr>
        <w:t xml:space="preserve">Source: </w:t>
      </w:r>
      <w:r w:rsidRPr="006421B8">
        <w:rPr>
          <w:rFonts w:ascii="Arial" w:hAnsi="Arial" w:cs="Arial"/>
          <w:b/>
          <w:bCs/>
          <w:color w:val="0D0D0D" w:themeColor="text1" w:themeTint="F2"/>
          <w:sz w:val="24"/>
          <w:szCs w:val="24"/>
          <w:u w:val="single"/>
        </w:rPr>
        <w:t>(SMMT, 2026).</w:t>
      </w:r>
    </w:p>
    <w:p w14:paraId="5DA9C55C" w14:textId="0D2D51D0" w:rsidR="003E1F9A" w:rsidRPr="00987537" w:rsidRDefault="004A349B" w:rsidP="00754EB3">
      <w:pPr>
        <w:spacing w:line="360" w:lineRule="auto"/>
        <w:jc w:val="both"/>
        <w:rPr>
          <w:rFonts w:ascii="Arial" w:hAnsi="Arial" w:cs="Arial"/>
          <w:color w:val="0D0D0D" w:themeColor="text1" w:themeTint="F2"/>
          <w:sz w:val="24"/>
          <w:szCs w:val="24"/>
        </w:rPr>
      </w:pPr>
      <w:r w:rsidRPr="004A349B">
        <w:rPr>
          <w:rFonts w:ascii="Arial" w:hAnsi="Arial" w:cs="Arial"/>
          <w:color w:val="0D0D0D" w:themeColor="text1" w:themeTint="F2"/>
          <w:sz w:val="24"/>
          <w:szCs w:val="24"/>
        </w:rPr>
        <w:t>Market evidence indicates demand is responding, but not to the policy ambition completely. In 2025, Society of Motor Manufacturers and Traders registered 473,348 new BEVs, which put BEVs at 23.4</w:t>
      </w:r>
      <w:r>
        <w:rPr>
          <w:rFonts w:ascii="Arial" w:hAnsi="Arial" w:cs="Arial"/>
          <w:color w:val="0D0D0D" w:themeColor="text1" w:themeTint="F2"/>
          <w:sz w:val="24"/>
          <w:szCs w:val="24"/>
        </w:rPr>
        <w:t>%</w:t>
      </w:r>
      <w:r w:rsidRPr="004A349B">
        <w:rPr>
          <w:rFonts w:ascii="Arial" w:hAnsi="Arial" w:cs="Arial"/>
          <w:color w:val="0D0D0D" w:themeColor="text1" w:themeTint="F2"/>
          <w:sz w:val="24"/>
          <w:szCs w:val="24"/>
        </w:rPr>
        <w:t xml:space="preserve"> market share nearly one in four new-car sales (SMMT, 2026). </w:t>
      </w:r>
      <w:r w:rsidR="00D93977" w:rsidRPr="00D93977">
        <w:rPr>
          <w:rFonts w:ascii="Arial" w:hAnsi="Arial" w:cs="Arial"/>
          <w:color w:val="0D0D0D" w:themeColor="text1" w:themeTint="F2"/>
          <w:sz w:val="24"/>
          <w:szCs w:val="24"/>
        </w:rPr>
        <w:t>SMMT marks out a mandate gap (28% target), forcing companies into discounting, fleet prioritisation and credit trading, fuelling price contention and cost of customer-acquisition, reworking incentives, budgets and positioning (SMMT, 2026; Large, 2026).</w:t>
      </w:r>
    </w:p>
    <w:p w14:paraId="18F0DD53" w14:textId="77777777" w:rsidR="0032493D" w:rsidRPr="009A209D" w:rsidRDefault="0032493D" w:rsidP="00754EB3">
      <w:pPr>
        <w:pStyle w:val="Heading3"/>
        <w:numPr>
          <w:ilvl w:val="2"/>
          <w:numId w:val="2"/>
        </w:numPr>
        <w:spacing w:line="360" w:lineRule="auto"/>
        <w:jc w:val="both"/>
        <w:rPr>
          <w:rFonts w:ascii="Arial" w:hAnsi="Arial" w:cs="Arial"/>
          <w:color w:val="0D0D0D" w:themeColor="text1" w:themeTint="F2"/>
          <w:sz w:val="24"/>
          <w:szCs w:val="24"/>
        </w:rPr>
      </w:pPr>
      <w:bookmarkStart w:id="9" w:name="_Toc223106535"/>
      <w:r w:rsidRPr="009A209D">
        <w:rPr>
          <w:rFonts w:ascii="Arial" w:hAnsi="Arial" w:cs="Arial"/>
          <w:color w:val="0D0D0D" w:themeColor="text1" w:themeTint="F2"/>
          <w:sz w:val="24"/>
          <w:szCs w:val="24"/>
        </w:rPr>
        <w:lastRenderedPageBreak/>
        <w:t>Opportunity/threat implications for Tesla (pioneer)</w:t>
      </w:r>
      <w:bookmarkEnd w:id="9"/>
    </w:p>
    <w:p w14:paraId="5FD93501" w14:textId="77777777" w:rsidR="007069FA" w:rsidRPr="009A209D" w:rsidRDefault="0032493D" w:rsidP="00754EB3">
      <w:pPr>
        <w:keepNext/>
        <w:spacing w:line="360" w:lineRule="auto"/>
        <w:jc w:val="center"/>
        <w:rPr>
          <w:rFonts w:ascii="Arial" w:hAnsi="Arial" w:cs="Arial"/>
          <w:color w:val="0D0D0D" w:themeColor="text1" w:themeTint="F2"/>
          <w:sz w:val="24"/>
          <w:szCs w:val="24"/>
        </w:rPr>
      </w:pPr>
      <w:r w:rsidRPr="009A209D">
        <w:rPr>
          <w:rFonts w:ascii="Arial" w:hAnsi="Arial" w:cs="Arial"/>
          <w:color w:val="0D0D0D" w:themeColor="text1" w:themeTint="F2"/>
          <w:sz w:val="24"/>
          <w:szCs w:val="24"/>
        </w:rPr>
        <w:drawing>
          <wp:inline distT="0" distB="0" distL="0" distR="0" wp14:anchorId="7FF8BFB0" wp14:editId="04DEB522">
            <wp:extent cx="3657600" cy="2438400"/>
            <wp:effectExtent l="0" t="0" r="0" b="0"/>
            <wp:docPr id="6208155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0" cy="2438400"/>
                    </a:xfrm>
                    <a:prstGeom prst="rect">
                      <a:avLst/>
                    </a:prstGeom>
                    <a:noFill/>
                  </pic:spPr>
                </pic:pic>
              </a:graphicData>
            </a:graphic>
          </wp:inline>
        </w:drawing>
      </w:r>
    </w:p>
    <w:p w14:paraId="6B67838E" w14:textId="10390BC8" w:rsidR="0032493D" w:rsidRDefault="007069FA" w:rsidP="00754EB3">
      <w:pPr>
        <w:pStyle w:val="Caption"/>
        <w:spacing w:line="360" w:lineRule="auto"/>
        <w:jc w:val="center"/>
        <w:rPr>
          <w:rFonts w:ascii="Arial" w:hAnsi="Arial" w:cs="Arial"/>
          <w:b/>
          <w:bCs/>
          <w:i w:val="0"/>
          <w:iCs w:val="0"/>
          <w:color w:val="0D0D0D" w:themeColor="text1" w:themeTint="F2"/>
          <w:sz w:val="24"/>
          <w:szCs w:val="24"/>
          <w:u w:val="single"/>
        </w:rPr>
      </w:pPr>
      <w:bookmarkStart w:id="10" w:name="_Toc223104477"/>
      <w:bookmarkStart w:id="11" w:name="_Toc223104553"/>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Pr="009A209D">
        <w:rPr>
          <w:rFonts w:ascii="Arial" w:hAnsi="Arial" w:cs="Arial"/>
          <w:b/>
          <w:bCs/>
          <w:i w:val="0"/>
          <w:iCs w:val="0"/>
          <w:noProof/>
          <w:color w:val="0D0D0D" w:themeColor="text1" w:themeTint="F2"/>
          <w:sz w:val="24"/>
          <w:szCs w:val="24"/>
          <w:u w:val="single"/>
        </w:rPr>
        <w:t>3</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Most Popular Battery Electric Vehicles in the UK (Top 10) and Tesla’s Market Share, 2025</w:t>
      </w:r>
      <w:bookmarkEnd w:id="10"/>
      <w:bookmarkEnd w:id="11"/>
    </w:p>
    <w:p w14:paraId="202F59AF" w14:textId="14642623" w:rsidR="00634941" w:rsidRPr="00634941" w:rsidRDefault="00634941" w:rsidP="00024029">
      <w:pPr>
        <w:jc w:val="center"/>
        <w:rPr>
          <w:b/>
          <w:bCs/>
          <w:u w:val="single"/>
        </w:rPr>
      </w:pPr>
      <w:r w:rsidRPr="00634941">
        <w:rPr>
          <w:b/>
          <w:bCs/>
          <w:u w:val="single"/>
        </w:rPr>
        <w:t xml:space="preserve">Source: </w:t>
      </w:r>
      <w:r w:rsidRPr="00634941">
        <w:rPr>
          <w:rFonts w:ascii="Arial" w:eastAsia="Times New Roman" w:hAnsi="Arial" w:cs="Arial"/>
          <w:b/>
          <w:bCs/>
          <w:color w:val="0D0D0D" w:themeColor="text1" w:themeTint="F2"/>
          <w:sz w:val="24"/>
          <w:szCs w:val="24"/>
          <w:u w:val="single"/>
        </w:rPr>
        <w:t>(Tesla, 2026).</w:t>
      </w:r>
    </w:p>
    <w:p w14:paraId="762FF77B" w14:textId="2B7B3508" w:rsidR="00C054A6" w:rsidRDefault="0032493D" w:rsidP="00754EB3">
      <w:pPr>
        <w:spacing w:before="100" w:beforeAutospacing="1" w:after="100" w:afterAutospacing="1" w:line="360" w:lineRule="auto"/>
        <w:jc w:val="both"/>
        <w:rPr>
          <w:rFonts w:ascii="Arial" w:eastAsia="Times New Roman" w:hAnsi="Arial" w:cs="Arial"/>
          <w:color w:val="0D0D0D" w:themeColor="text1" w:themeTint="F2"/>
          <w:sz w:val="24"/>
          <w:szCs w:val="24"/>
        </w:rPr>
      </w:pPr>
      <w:r w:rsidRPr="00F835F5">
        <w:rPr>
          <w:rFonts w:ascii="Arial" w:eastAsia="Times New Roman" w:hAnsi="Arial" w:cs="Arial"/>
          <w:b/>
          <w:bCs/>
          <w:color w:val="0D0D0D" w:themeColor="text1" w:themeTint="F2"/>
          <w:sz w:val="24"/>
          <w:szCs w:val="24"/>
        </w:rPr>
        <w:t>Opportunity: regulation reinforces category legitimacy and Tesla’s pioneer positioning.</w:t>
      </w:r>
      <w:r w:rsidRPr="00F835F5">
        <w:rPr>
          <w:rFonts w:ascii="Arial" w:eastAsia="Times New Roman" w:hAnsi="Arial" w:cs="Arial"/>
          <w:color w:val="0D0D0D" w:themeColor="text1" w:themeTint="F2"/>
          <w:sz w:val="24"/>
          <w:szCs w:val="24"/>
        </w:rPr>
        <w:t xml:space="preserve"> </w:t>
      </w:r>
      <w:r w:rsidR="00C054A6" w:rsidRPr="00C054A6">
        <w:rPr>
          <w:rFonts w:ascii="Arial" w:eastAsia="Times New Roman" w:hAnsi="Arial" w:cs="Arial"/>
          <w:color w:val="0D0D0D" w:themeColor="text1" w:themeTint="F2"/>
          <w:sz w:val="24"/>
          <w:szCs w:val="24"/>
        </w:rPr>
        <w:t>As a pure-EV company, Tesla is advantaged by policy that encourages category adoption its marketing initiative is no longer focused on educating the market but gaining preference in the market (Kotler et al., 2020). This is supported by demand and visibility: the Tesla Model Y has registered 24,298 in the UK in 2025, which is the most popular EV in the UK (</w:t>
      </w:r>
      <w:r w:rsidR="00AD4BC4" w:rsidRPr="00AD4BC4">
        <w:rPr>
          <w:rFonts w:ascii="Arial" w:eastAsia="Times New Roman" w:hAnsi="Arial" w:cs="Arial"/>
          <w:color w:val="0D0D0D" w:themeColor="text1" w:themeTint="F2"/>
          <w:sz w:val="24"/>
          <w:szCs w:val="24"/>
        </w:rPr>
        <w:t>Tesla, 2026</w:t>
      </w:r>
      <w:r w:rsidR="00C054A6" w:rsidRPr="00C054A6">
        <w:rPr>
          <w:rFonts w:ascii="Arial" w:eastAsia="Times New Roman" w:hAnsi="Arial" w:cs="Arial"/>
          <w:color w:val="0D0D0D" w:themeColor="text1" w:themeTint="F2"/>
          <w:sz w:val="24"/>
          <w:szCs w:val="24"/>
        </w:rPr>
        <w:t>). Competitively, positionally, this maintains the differentiation edge of Tesla (technology-driven brand meaning, EV credibility) and reinforces salience as a necessary antecedent of loyalty and price forbearance</w:t>
      </w:r>
      <w:r w:rsidR="005E54FD">
        <w:rPr>
          <w:rFonts w:ascii="Arial" w:eastAsia="Times New Roman" w:hAnsi="Arial" w:cs="Arial"/>
          <w:color w:val="0D0D0D" w:themeColor="text1" w:themeTint="F2"/>
          <w:sz w:val="24"/>
          <w:szCs w:val="24"/>
        </w:rPr>
        <w:t xml:space="preserve"> </w:t>
      </w:r>
      <w:r w:rsidR="005E54FD" w:rsidRPr="005E54FD">
        <w:rPr>
          <w:rFonts w:ascii="Arial" w:eastAsia="Times New Roman" w:hAnsi="Arial" w:cs="Arial"/>
          <w:color w:val="0D0D0D" w:themeColor="text1" w:themeTint="F2"/>
          <w:sz w:val="24"/>
          <w:szCs w:val="24"/>
        </w:rPr>
        <w:t>(Dreiling and Bican, 2022).</w:t>
      </w:r>
    </w:p>
    <w:p w14:paraId="068546D5" w14:textId="671376DF" w:rsidR="0032493D" w:rsidRPr="00987537" w:rsidRDefault="0032493D" w:rsidP="00754EB3">
      <w:pPr>
        <w:spacing w:before="100" w:beforeAutospacing="1" w:after="100" w:afterAutospacing="1" w:line="360" w:lineRule="auto"/>
        <w:jc w:val="both"/>
        <w:rPr>
          <w:rFonts w:ascii="Arial" w:eastAsia="Times New Roman" w:hAnsi="Arial" w:cs="Arial"/>
          <w:color w:val="0D0D0D" w:themeColor="text1" w:themeTint="F2"/>
          <w:sz w:val="24"/>
          <w:szCs w:val="24"/>
        </w:rPr>
      </w:pPr>
      <w:r w:rsidRPr="00F835F5">
        <w:rPr>
          <w:rFonts w:ascii="Arial" w:eastAsia="Times New Roman" w:hAnsi="Arial" w:cs="Arial"/>
          <w:b/>
          <w:bCs/>
          <w:color w:val="0D0D0D" w:themeColor="text1" w:themeTint="F2"/>
          <w:sz w:val="24"/>
          <w:szCs w:val="24"/>
        </w:rPr>
        <w:t>Threat: policy-driven mainstreaming increases competitive crowding and price pressure.</w:t>
      </w:r>
      <w:r w:rsidRPr="00F835F5">
        <w:rPr>
          <w:rFonts w:ascii="Arial" w:eastAsia="Times New Roman" w:hAnsi="Arial" w:cs="Arial"/>
          <w:color w:val="0D0D0D" w:themeColor="text1" w:themeTint="F2"/>
          <w:sz w:val="24"/>
          <w:szCs w:val="24"/>
        </w:rPr>
        <w:t xml:space="preserve"> </w:t>
      </w:r>
      <w:r w:rsidR="00C054A6" w:rsidRPr="00C054A6">
        <w:rPr>
          <w:rFonts w:ascii="Arial" w:eastAsia="Times New Roman" w:hAnsi="Arial" w:cs="Arial"/>
          <w:color w:val="0D0D0D" w:themeColor="text1" w:themeTint="F2"/>
          <w:sz w:val="24"/>
          <w:szCs w:val="24"/>
        </w:rPr>
        <w:t xml:space="preserve">When regulation compels every manufacturer towards EVs, Tesla will neither be an early-mover and the competitiveness will grow (Porter, 1980). Also, in case consumers demand falls short of the target, manufacturers can use heavier incentives to bridge the compliance gap (SMMT, 2026). That forces can squeeze margins, and </w:t>
      </w:r>
      <w:r w:rsidR="00C054A6" w:rsidRPr="00C054A6">
        <w:rPr>
          <w:rFonts w:ascii="Arial" w:eastAsia="Times New Roman" w:hAnsi="Arial" w:cs="Arial"/>
          <w:color w:val="0D0D0D" w:themeColor="text1" w:themeTint="F2"/>
          <w:sz w:val="24"/>
          <w:szCs w:val="24"/>
        </w:rPr>
        <w:lastRenderedPageBreak/>
        <w:t>competition can become price-led, undermining Tesla capacity to rest on innovation-based brand equity alone</w:t>
      </w:r>
      <w:r w:rsidR="00B96833">
        <w:rPr>
          <w:rFonts w:ascii="Arial" w:eastAsia="Times New Roman" w:hAnsi="Arial" w:cs="Arial"/>
          <w:color w:val="0D0D0D" w:themeColor="text1" w:themeTint="F2"/>
          <w:sz w:val="24"/>
          <w:szCs w:val="24"/>
        </w:rPr>
        <w:t xml:space="preserve"> </w:t>
      </w:r>
      <w:r w:rsidR="00B96833" w:rsidRPr="00B96833">
        <w:rPr>
          <w:rFonts w:ascii="Arial" w:eastAsia="Times New Roman" w:hAnsi="Arial" w:cs="Arial"/>
          <w:color w:val="0D0D0D" w:themeColor="text1" w:themeTint="F2"/>
          <w:sz w:val="24"/>
          <w:szCs w:val="24"/>
        </w:rPr>
        <w:t>(Rosenberger et al., 2024).</w:t>
      </w:r>
    </w:p>
    <w:p w14:paraId="41FB00DE" w14:textId="77777777" w:rsidR="0032493D" w:rsidRPr="009A209D" w:rsidRDefault="0032493D" w:rsidP="00754EB3">
      <w:pPr>
        <w:pStyle w:val="Heading3"/>
        <w:numPr>
          <w:ilvl w:val="2"/>
          <w:numId w:val="2"/>
        </w:numPr>
        <w:spacing w:line="360" w:lineRule="auto"/>
        <w:jc w:val="both"/>
        <w:rPr>
          <w:rFonts w:ascii="Arial" w:hAnsi="Arial" w:cs="Arial"/>
          <w:color w:val="0D0D0D" w:themeColor="text1" w:themeTint="F2"/>
          <w:sz w:val="24"/>
          <w:szCs w:val="24"/>
        </w:rPr>
      </w:pPr>
      <w:bookmarkStart w:id="12" w:name="_Toc223106536"/>
      <w:r w:rsidRPr="009A209D">
        <w:rPr>
          <w:rFonts w:ascii="Arial" w:hAnsi="Arial" w:cs="Arial"/>
          <w:color w:val="0D0D0D" w:themeColor="text1" w:themeTint="F2"/>
          <w:sz w:val="24"/>
          <w:szCs w:val="24"/>
        </w:rPr>
        <w:t>Opportunity/threat implications for Ford (follower)</w:t>
      </w:r>
      <w:bookmarkEnd w:id="12"/>
    </w:p>
    <w:p w14:paraId="555D13EC" w14:textId="72536700" w:rsidR="0032493D" w:rsidRPr="00F835F5" w:rsidRDefault="0032493D" w:rsidP="00754EB3">
      <w:pPr>
        <w:spacing w:before="100" w:beforeAutospacing="1" w:after="100" w:afterAutospacing="1" w:line="360" w:lineRule="auto"/>
        <w:jc w:val="both"/>
        <w:rPr>
          <w:rFonts w:ascii="Arial" w:eastAsia="Times New Roman" w:hAnsi="Arial" w:cs="Arial"/>
          <w:color w:val="0D0D0D" w:themeColor="text1" w:themeTint="F2"/>
          <w:sz w:val="24"/>
          <w:szCs w:val="24"/>
        </w:rPr>
      </w:pPr>
      <w:r w:rsidRPr="00F835F5">
        <w:rPr>
          <w:rFonts w:ascii="Arial" w:eastAsia="Times New Roman" w:hAnsi="Arial" w:cs="Arial"/>
          <w:b/>
          <w:bCs/>
          <w:color w:val="0D0D0D" w:themeColor="text1" w:themeTint="F2"/>
          <w:sz w:val="24"/>
          <w:szCs w:val="24"/>
        </w:rPr>
        <w:t>Opportunity: regulation functions as a transformation lever and legitimacy shield.</w:t>
      </w:r>
      <w:r w:rsidRPr="00F835F5">
        <w:rPr>
          <w:rFonts w:ascii="Arial" w:eastAsia="Times New Roman" w:hAnsi="Arial" w:cs="Arial"/>
          <w:color w:val="0D0D0D" w:themeColor="text1" w:themeTint="F2"/>
          <w:sz w:val="24"/>
          <w:szCs w:val="24"/>
        </w:rPr>
        <w:t xml:space="preserve"> </w:t>
      </w:r>
      <w:r w:rsidR="001549E9" w:rsidRPr="001549E9">
        <w:rPr>
          <w:rFonts w:ascii="Arial" w:eastAsia="Times New Roman" w:hAnsi="Arial" w:cs="Arial"/>
          <w:color w:val="0D0D0D" w:themeColor="text1" w:themeTint="F2"/>
          <w:sz w:val="24"/>
          <w:szCs w:val="24"/>
        </w:rPr>
        <w:t>To a follower of ICE legacy, coercive regulation minimises strategic drift since it pushes organisation toward electrification (DiMaggio and Powell, 1983). Legacy trust (dealer support, warranties, servicing) can also be used by Ford to remove the perceived adoption risk, and it is well-placed to convert late adopters especially when charging access and affordability concerns remain</w:t>
      </w:r>
      <w:r w:rsidR="00A606A7">
        <w:rPr>
          <w:rFonts w:ascii="Arial" w:eastAsia="Times New Roman" w:hAnsi="Arial" w:cs="Arial"/>
          <w:color w:val="0D0D0D" w:themeColor="text1" w:themeTint="F2"/>
          <w:sz w:val="24"/>
          <w:szCs w:val="24"/>
        </w:rPr>
        <w:t xml:space="preserve"> </w:t>
      </w:r>
      <w:r w:rsidR="00A606A7" w:rsidRPr="00A606A7">
        <w:rPr>
          <w:rFonts w:ascii="Arial" w:eastAsia="Times New Roman" w:hAnsi="Arial" w:cs="Arial"/>
          <w:color w:val="0D0D0D" w:themeColor="text1" w:themeTint="F2"/>
          <w:sz w:val="24"/>
          <w:szCs w:val="24"/>
        </w:rPr>
        <w:t>(Ford UK, 2025).</w:t>
      </w:r>
    </w:p>
    <w:p w14:paraId="3A79239F" w14:textId="3346030F" w:rsidR="008C6B44" w:rsidRPr="00987537" w:rsidRDefault="0032493D" w:rsidP="00754EB3">
      <w:pPr>
        <w:spacing w:before="100" w:beforeAutospacing="1" w:after="100" w:afterAutospacing="1" w:line="360" w:lineRule="auto"/>
        <w:jc w:val="both"/>
        <w:rPr>
          <w:rFonts w:ascii="Arial" w:eastAsia="Times New Roman" w:hAnsi="Arial" w:cs="Arial"/>
          <w:color w:val="0D0D0D" w:themeColor="text1" w:themeTint="F2"/>
          <w:sz w:val="24"/>
          <w:szCs w:val="24"/>
        </w:rPr>
      </w:pPr>
      <w:r w:rsidRPr="00F835F5">
        <w:rPr>
          <w:rFonts w:ascii="Arial" w:eastAsia="Times New Roman" w:hAnsi="Arial" w:cs="Arial"/>
          <w:b/>
          <w:bCs/>
          <w:color w:val="0D0D0D" w:themeColor="text1" w:themeTint="F2"/>
          <w:sz w:val="24"/>
          <w:szCs w:val="24"/>
        </w:rPr>
        <w:t>Threat: compliance pressure collides with transition economics and limits strategic freedom.</w:t>
      </w:r>
      <w:r w:rsidRPr="00F835F5">
        <w:rPr>
          <w:rFonts w:ascii="Arial" w:eastAsia="Times New Roman" w:hAnsi="Arial" w:cs="Arial"/>
          <w:color w:val="0D0D0D" w:themeColor="text1" w:themeTint="F2"/>
          <w:sz w:val="24"/>
          <w:szCs w:val="24"/>
        </w:rPr>
        <w:t xml:space="preserve"> </w:t>
      </w:r>
      <w:r w:rsidR="00406668">
        <w:rPr>
          <w:rFonts w:ascii="Arial" w:eastAsia="Times New Roman" w:hAnsi="Arial" w:cs="Arial"/>
          <w:color w:val="0D0D0D" w:themeColor="text1" w:themeTint="F2"/>
          <w:sz w:val="24"/>
          <w:szCs w:val="24"/>
        </w:rPr>
        <w:t xml:space="preserve"> </w:t>
      </w:r>
      <w:r w:rsidR="00406668" w:rsidRPr="00406668">
        <w:rPr>
          <w:rFonts w:ascii="Arial" w:eastAsia="Times New Roman" w:hAnsi="Arial" w:cs="Arial"/>
          <w:color w:val="0D0D0D" w:themeColor="text1" w:themeTint="F2"/>
          <w:sz w:val="24"/>
          <w:szCs w:val="24"/>
        </w:rPr>
        <w:t xml:space="preserve">The cost of both EV transition and ICE decline limits Ford in its capacity to compete. In 2025, Ford anticipates making losses of </w:t>
      </w:r>
      <w:r w:rsidR="00406668" w:rsidRPr="00F835F5">
        <w:rPr>
          <w:rFonts w:ascii="Arial" w:eastAsia="Times New Roman" w:hAnsi="Arial" w:cs="Arial"/>
          <w:color w:val="0D0D0D" w:themeColor="text1" w:themeTint="F2"/>
          <w:sz w:val="24"/>
          <w:szCs w:val="24"/>
        </w:rPr>
        <w:t>$</w:t>
      </w:r>
      <w:r w:rsidR="00406668" w:rsidRPr="00406668">
        <w:rPr>
          <w:rFonts w:ascii="Arial" w:eastAsia="Times New Roman" w:hAnsi="Arial" w:cs="Arial"/>
          <w:color w:val="0D0D0D" w:themeColor="text1" w:themeTint="F2"/>
          <w:sz w:val="24"/>
          <w:szCs w:val="24"/>
        </w:rPr>
        <w:t>5.0-</w:t>
      </w:r>
      <w:r w:rsidR="00406668" w:rsidRPr="00F835F5">
        <w:rPr>
          <w:rFonts w:ascii="Arial" w:eastAsia="Times New Roman" w:hAnsi="Arial" w:cs="Arial"/>
          <w:color w:val="0D0D0D" w:themeColor="text1" w:themeTint="F2"/>
          <w:sz w:val="24"/>
          <w:szCs w:val="24"/>
        </w:rPr>
        <w:t>$</w:t>
      </w:r>
      <w:r w:rsidR="00406668" w:rsidRPr="00406668">
        <w:rPr>
          <w:rFonts w:ascii="Arial" w:eastAsia="Times New Roman" w:hAnsi="Arial" w:cs="Arial"/>
          <w:color w:val="0D0D0D" w:themeColor="text1" w:themeTint="F2"/>
          <w:sz w:val="24"/>
          <w:szCs w:val="24"/>
        </w:rPr>
        <w:t xml:space="preserve">5.5bn in its Model e EV segment according to S&amp;P Global (S&amp;P Global, 2025), having incurred an EV EBIT loss of </w:t>
      </w:r>
      <w:r w:rsidR="00406668" w:rsidRPr="00F835F5">
        <w:rPr>
          <w:rFonts w:ascii="Arial" w:eastAsia="Times New Roman" w:hAnsi="Arial" w:cs="Arial"/>
          <w:color w:val="0D0D0D" w:themeColor="text1" w:themeTint="F2"/>
          <w:sz w:val="24"/>
          <w:szCs w:val="24"/>
        </w:rPr>
        <w:t>$</w:t>
      </w:r>
      <w:r w:rsidR="00406668" w:rsidRPr="00406668">
        <w:rPr>
          <w:rFonts w:ascii="Arial" w:eastAsia="Times New Roman" w:hAnsi="Arial" w:cs="Arial"/>
          <w:color w:val="0D0D0D" w:themeColor="text1" w:themeTint="F2"/>
          <w:sz w:val="24"/>
          <w:szCs w:val="24"/>
        </w:rPr>
        <w:t>5.1bn in 2024</w:t>
      </w:r>
      <w:r w:rsidR="00AF2B59">
        <w:rPr>
          <w:rFonts w:ascii="Arial" w:eastAsia="Times New Roman" w:hAnsi="Arial" w:cs="Arial"/>
          <w:color w:val="0D0D0D" w:themeColor="text1" w:themeTint="F2"/>
          <w:sz w:val="24"/>
          <w:szCs w:val="24"/>
        </w:rPr>
        <w:t xml:space="preserve"> </w:t>
      </w:r>
      <w:r w:rsidR="00AF2B59" w:rsidRPr="00AF2B59">
        <w:rPr>
          <w:rFonts w:ascii="Arial" w:eastAsia="Times New Roman" w:hAnsi="Arial" w:cs="Arial"/>
          <w:color w:val="0D0D0D" w:themeColor="text1" w:themeTint="F2"/>
          <w:sz w:val="24"/>
          <w:szCs w:val="24"/>
        </w:rPr>
        <w:t>(Ford UK, 2025).</w:t>
      </w:r>
      <w:r w:rsidR="00406668" w:rsidRPr="00406668">
        <w:rPr>
          <w:rFonts w:ascii="Arial" w:eastAsia="Times New Roman" w:hAnsi="Arial" w:cs="Arial"/>
          <w:color w:val="0D0D0D" w:themeColor="text1" w:themeTint="F2"/>
          <w:sz w:val="24"/>
          <w:szCs w:val="24"/>
        </w:rPr>
        <w:t xml:space="preserve"> This is of strategic importance, as it may limit marketing flexibility at Ford (pricing headroom, promotional intensity, product refresh cadence) at a moment when the market is increasingly </w:t>
      </w:r>
      <w:r w:rsidR="00406668" w:rsidRPr="00406668">
        <w:rPr>
          <w:rFonts w:ascii="Arial" w:eastAsia="Times New Roman" w:hAnsi="Arial" w:cs="Arial"/>
          <w:color w:val="0D0D0D" w:themeColor="text1" w:themeTint="F2"/>
          <w:sz w:val="24"/>
          <w:szCs w:val="24"/>
        </w:rPr>
        <w:t>incentive seeking</w:t>
      </w:r>
      <w:r w:rsidR="00406668" w:rsidRPr="00406668">
        <w:rPr>
          <w:rFonts w:ascii="Arial" w:eastAsia="Times New Roman" w:hAnsi="Arial" w:cs="Arial"/>
          <w:color w:val="0D0D0D" w:themeColor="text1" w:themeTint="F2"/>
          <w:sz w:val="24"/>
          <w:szCs w:val="24"/>
        </w:rPr>
        <w:t xml:space="preserve"> to achieve mandate trajectories (SMMT, 2026). Weakened profitability in </w:t>
      </w:r>
      <w:proofErr w:type="spellStart"/>
      <w:r w:rsidR="00406668" w:rsidRPr="00406668">
        <w:rPr>
          <w:rFonts w:ascii="Arial" w:eastAsia="Times New Roman" w:hAnsi="Arial" w:cs="Arial"/>
          <w:color w:val="0D0D0D" w:themeColor="text1" w:themeTint="F2"/>
          <w:sz w:val="24"/>
          <w:szCs w:val="24"/>
        </w:rPr>
        <w:t>Porterian</w:t>
      </w:r>
      <w:proofErr w:type="spellEnd"/>
      <w:r w:rsidR="00406668" w:rsidRPr="00406668">
        <w:rPr>
          <w:rFonts w:ascii="Arial" w:eastAsia="Times New Roman" w:hAnsi="Arial" w:cs="Arial"/>
          <w:color w:val="0D0D0D" w:themeColor="text1" w:themeTint="F2"/>
          <w:sz w:val="24"/>
          <w:szCs w:val="24"/>
        </w:rPr>
        <w:t xml:space="preserve"> terms exacerbates susceptibility to competition and decreases the firm capacity to maintain differentiation or cost leadership at the same time (Porter, 1980).</w:t>
      </w:r>
    </w:p>
    <w:p w14:paraId="0EEE7370" w14:textId="77777777" w:rsidR="0032493D" w:rsidRPr="00987537" w:rsidRDefault="0032493D" w:rsidP="00754EB3">
      <w:pPr>
        <w:spacing w:line="360" w:lineRule="auto"/>
        <w:jc w:val="both"/>
        <w:rPr>
          <w:rFonts w:ascii="Arial" w:hAnsi="Arial" w:cs="Arial"/>
          <w:color w:val="0D0D0D" w:themeColor="text1" w:themeTint="F2"/>
          <w:sz w:val="24"/>
          <w:szCs w:val="24"/>
        </w:rPr>
      </w:pPr>
      <w:r w:rsidRPr="00987537">
        <w:rPr>
          <w:rFonts w:ascii="Arial" w:hAnsi="Arial" w:cs="Arial"/>
          <w:b/>
          <w:bCs/>
          <w:color w:val="0D0D0D" w:themeColor="text1" w:themeTint="F2"/>
          <w:sz w:val="24"/>
          <w:szCs w:val="24"/>
        </w:rPr>
        <w:t>Competitive position outcome (Political/Legal actor):</w:t>
      </w:r>
    </w:p>
    <w:p w14:paraId="6CCF4F73" w14:textId="101FE0B3" w:rsidR="0032493D" w:rsidRPr="00987537" w:rsidRDefault="0032493D" w:rsidP="00754EB3">
      <w:pPr>
        <w:numPr>
          <w:ilvl w:val="0"/>
          <w:numId w:val="1"/>
        </w:numPr>
        <w:spacing w:line="360" w:lineRule="auto"/>
        <w:jc w:val="both"/>
        <w:rPr>
          <w:rFonts w:ascii="Arial" w:hAnsi="Arial" w:cs="Arial"/>
          <w:color w:val="0D0D0D" w:themeColor="text1" w:themeTint="F2"/>
          <w:sz w:val="24"/>
          <w:szCs w:val="24"/>
        </w:rPr>
      </w:pPr>
      <w:r w:rsidRPr="00987537">
        <w:rPr>
          <w:rFonts w:ascii="Arial" w:hAnsi="Arial" w:cs="Arial"/>
          <w:color w:val="0D0D0D" w:themeColor="text1" w:themeTint="F2"/>
          <w:sz w:val="24"/>
          <w:szCs w:val="24"/>
        </w:rPr>
        <w:t>Tesla benefits from policy-aligned brand identity and earlier EV readiness, reinforcing a differentiated competitive position (innovation + EV credibility)</w:t>
      </w:r>
      <w:r w:rsidR="00AD3DCA">
        <w:rPr>
          <w:rFonts w:ascii="Arial" w:hAnsi="Arial" w:cs="Arial"/>
          <w:color w:val="0D0D0D" w:themeColor="text1" w:themeTint="F2"/>
          <w:sz w:val="24"/>
          <w:szCs w:val="24"/>
        </w:rPr>
        <w:t xml:space="preserve"> </w:t>
      </w:r>
      <w:r w:rsidR="00AD3DCA" w:rsidRPr="00AD3DCA">
        <w:rPr>
          <w:rFonts w:ascii="Arial" w:hAnsi="Arial" w:cs="Arial"/>
          <w:color w:val="0D0D0D" w:themeColor="text1" w:themeTint="F2"/>
          <w:sz w:val="24"/>
          <w:szCs w:val="24"/>
        </w:rPr>
        <w:t>(Ribo et al., 2023).</w:t>
      </w:r>
    </w:p>
    <w:p w14:paraId="6827DEB8" w14:textId="68CFFF28" w:rsidR="0032493D" w:rsidRPr="009A209D" w:rsidRDefault="0032493D" w:rsidP="00754EB3">
      <w:pPr>
        <w:numPr>
          <w:ilvl w:val="0"/>
          <w:numId w:val="1"/>
        </w:numPr>
        <w:spacing w:line="360" w:lineRule="auto"/>
        <w:jc w:val="both"/>
        <w:rPr>
          <w:rFonts w:ascii="Arial" w:hAnsi="Arial" w:cs="Arial"/>
          <w:color w:val="0D0D0D" w:themeColor="text1" w:themeTint="F2"/>
          <w:sz w:val="24"/>
          <w:szCs w:val="24"/>
        </w:rPr>
      </w:pPr>
      <w:r w:rsidRPr="00987537">
        <w:rPr>
          <w:rFonts w:ascii="Arial" w:hAnsi="Arial" w:cs="Arial"/>
          <w:color w:val="0D0D0D" w:themeColor="text1" w:themeTint="F2"/>
          <w:sz w:val="24"/>
          <w:szCs w:val="24"/>
        </w:rPr>
        <w:t>Ford’s position is squeezed by the cost and coordination burden of transformation, even though regulation creates demand it can potentially capture if execution improves</w:t>
      </w:r>
      <w:r w:rsidR="00460A3B">
        <w:rPr>
          <w:rFonts w:ascii="Arial" w:hAnsi="Arial" w:cs="Arial"/>
          <w:color w:val="0D0D0D" w:themeColor="text1" w:themeTint="F2"/>
          <w:sz w:val="24"/>
          <w:szCs w:val="24"/>
        </w:rPr>
        <w:t xml:space="preserve"> </w:t>
      </w:r>
      <w:r w:rsidR="00460A3B" w:rsidRPr="00460A3B">
        <w:rPr>
          <w:rFonts w:ascii="Arial" w:hAnsi="Arial" w:cs="Arial"/>
          <w:color w:val="0D0D0D" w:themeColor="text1" w:themeTint="F2"/>
          <w:sz w:val="24"/>
          <w:szCs w:val="24"/>
        </w:rPr>
        <w:t>(Large, 2026).</w:t>
      </w:r>
    </w:p>
    <w:p w14:paraId="5C982111" w14:textId="77777777" w:rsidR="0032493D" w:rsidRPr="009A209D" w:rsidRDefault="0032493D" w:rsidP="00754EB3">
      <w:pPr>
        <w:pStyle w:val="Heading3"/>
        <w:numPr>
          <w:ilvl w:val="2"/>
          <w:numId w:val="2"/>
        </w:numPr>
        <w:spacing w:line="360" w:lineRule="auto"/>
        <w:jc w:val="both"/>
        <w:rPr>
          <w:rFonts w:ascii="Arial" w:hAnsi="Arial" w:cs="Arial"/>
          <w:color w:val="0D0D0D" w:themeColor="text1" w:themeTint="F2"/>
          <w:sz w:val="24"/>
          <w:szCs w:val="24"/>
        </w:rPr>
      </w:pPr>
      <w:bookmarkStart w:id="13" w:name="_Toc223106537"/>
      <w:r w:rsidRPr="009A209D">
        <w:rPr>
          <w:rFonts w:ascii="Arial" w:hAnsi="Arial" w:cs="Arial"/>
          <w:color w:val="0D0D0D" w:themeColor="text1" w:themeTint="F2"/>
          <w:sz w:val="24"/>
          <w:szCs w:val="24"/>
        </w:rPr>
        <w:lastRenderedPageBreak/>
        <w:t>Table: Political/Legal actor impact on competitive position (Tesla vs Ford)</w:t>
      </w:r>
      <w:bookmarkEnd w:id="13"/>
    </w:p>
    <w:p w14:paraId="53397C6A" w14:textId="77777777" w:rsidR="0032493D" w:rsidRPr="00987537" w:rsidRDefault="0032493D" w:rsidP="00754EB3">
      <w:pPr>
        <w:spacing w:line="360" w:lineRule="auto"/>
        <w:jc w:val="both"/>
        <w:rPr>
          <w:rFonts w:ascii="Arial" w:hAnsi="Arial" w:cs="Arial"/>
          <w:color w:val="0D0D0D" w:themeColor="text1" w:themeTint="F2"/>
          <w:sz w:val="24"/>
          <w:szCs w:val="24"/>
        </w:rPr>
      </w:pPr>
      <w:r w:rsidRPr="009A209D">
        <w:rPr>
          <w:rFonts w:ascii="Arial" w:hAnsi="Arial" w:cs="Arial"/>
          <w:color w:val="0D0D0D" w:themeColor="text1" w:themeTint="F2"/>
          <w:sz w:val="24"/>
          <w:szCs w:val="24"/>
        </w:rPr>
        <w:drawing>
          <wp:inline distT="0" distB="0" distL="0" distR="0" wp14:anchorId="6ED785EE" wp14:editId="5D39FE96">
            <wp:extent cx="5943600" cy="4538980"/>
            <wp:effectExtent l="0" t="0" r="0" b="0"/>
            <wp:docPr id="950302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02814" name=""/>
                    <pic:cNvPicPr/>
                  </pic:nvPicPr>
                  <pic:blipFill>
                    <a:blip r:embed="rId12"/>
                    <a:stretch>
                      <a:fillRect/>
                    </a:stretch>
                  </pic:blipFill>
                  <pic:spPr>
                    <a:xfrm>
                      <a:off x="0" y="0"/>
                      <a:ext cx="5943600" cy="4538980"/>
                    </a:xfrm>
                    <a:prstGeom prst="rect">
                      <a:avLst/>
                    </a:prstGeom>
                  </pic:spPr>
                </pic:pic>
              </a:graphicData>
            </a:graphic>
          </wp:inline>
        </w:drawing>
      </w:r>
    </w:p>
    <w:p w14:paraId="5F66D648" w14:textId="77777777" w:rsidR="0032493D" w:rsidRPr="009A209D" w:rsidRDefault="0032493D" w:rsidP="00754EB3">
      <w:pPr>
        <w:pStyle w:val="Heading1"/>
        <w:numPr>
          <w:ilvl w:val="0"/>
          <w:numId w:val="2"/>
        </w:numPr>
        <w:spacing w:line="360" w:lineRule="auto"/>
        <w:jc w:val="both"/>
        <w:rPr>
          <w:rFonts w:ascii="Arial" w:hAnsi="Arial" w:cs="Arial"/>
          <w:color w:val="0D0D0D" w:themeColor="text1" w:themeTint="F2"/>
          <w:sz w:val="24"/>
          <w:szCs w:val="24"/>
        </w:rPr>
      </w:pPr>
      <w:bookmarkStart w:id="14" w:name="_Toc223106538"/>
      <w:r w:rsidRPr="009A209D">
        <w:rPr>
          <w:rFonts w:ascii="Arial" w:hAnsi="Arial" w:cs="Arial"/>
          <w:color w:val="0D0D0D" w:themeColor="text1" w:themeTint="F2"/>
          <w:sz w:val="24"/>
          <w:szCs w:val="24"/>
        </w:rPr>
        <w:t>Macro Actor 2: Technological Forces (battery economics + charging infrastructure + digital capability)</w:t>
      </w:r>
      <w:bookmarkEnd w:id="14"/>
    </w:p>
    <w:p w14:paraId="2E0B7365" w14:textId="6553D6AD" w:rsidR="00EE263E" w:rsidRPr="002863D1" w:rsidRDefault="00B86D04" w:rsidP="00754EB3">
      <w:pPr>
        <w:spacing w:line="360" w:lineRule="auto"/>
        <w:jc w:val="both"/>
        <w:rPr>
          <w:rFonts w:ascii="Arial" w:hAnsi="Arial" w:cs="Arial"/>
          <w:color w:val="0D0D0D" w:themeColor="text1" w:themeTint="F2"/>
          <w:sz w:val="24"/>
          <w:szCs w:val="24"/>
        </w:rPr>
      </w:pPr>
      <w:r w:rsidRPr="00B86D04">
        <w:rPr>
          <w:rFonts w:ascii="Arial" w:hAnsi="Arial" w:cs="Arial"/>
          <w:color w:val="0D0D0D" w:themeColor="text1" w:themeTint="F2"/>
          <w:sz w:val="24"/>
          <w:szCs w:val="24"/>
        </w:rPr>
        <w:t>Technology is a macro-PESTLE of creative destruction and new value logics (Kotler et al., 2020). With EVs, it defines value-in-use (range / charging), overall cost of ownership and software-defined experience. The higher the relative advantage and compatibility, the more mainstream adoption becomes (Rogers, 2003). The Competitiveness relies on evolving capabilities to feel, grab and reorganize quickly (Teece, 2007).</w:t>
      </w:r>
    </w:p>
    <w:p w14:paraId="76017F6A" w14:textId="77777777" w:rsidR="0032493D" w:rsidRPr="009A209D" w:rsidRDefault="0032493D" w:rsidP="00754EB3">
      <w:pPr>
        <w:pStyle w:val="Heading2"/>
        <w:numPr>
          <w:ilvl w:val="1"/>
          <w:numId w:val="2"/>
        </w:numPr>
        <w:spacing w:line="360" w:lineRule="auto"/>
        <w:rPr>
          <w:rFonts w:ascii="Arial" w:hAnsi="Arial" w:cs="Arial"/>
          <w:color w:val="0D0D0D" w:themeColor="text1" w:themeTint="F2"/>
          <w:sz w:val="24"/>
          <w:szCs w:val="24"/>
        </w:rPr>
      </w:pPr>
      <w:bookmarkStart w:id="15" w:name="_Toc223106539"/>
      <w:r w:rsidRPr="009A209D">
        <w:rPr>
          <w:rFonts w:ascii="Arial" w:hAnsi="Arial" w:cs="Arial"/>
          <w:color w:val="0D0D0D" w:themeColor="text1" w:themeTint="F2"/>
          <w:sz w:val="24"/>
          <w:szCs w:val="24"/>
        </w:rPr>
        <w:t>Evidence: ecosystem maturity and remaining “infrastructure constraint”</w:t>
      </w:r>
      <w:bookmarkEnd w:id="15"/>
    </w:p>
    <w:p w14:paraId="778765EF" w14:textId="11DBB04D" w:rsidR="00366250" w:rsidRPr="009A209D" w:rsidRDefault="00600B6B" w:rsidP="00754EB3">
      <w:pPr>
        <w:spacing w:line="360" w:lineRule="auto"/>
        <w:jc w:val="both"/>
        <w:rPr>
          <w:rFonts w:ascii="Arial" w:hAnsi="Arial" w:cs="Arial"/>
          <w:color w:val="0D0D0D" w:themeColor="text1" w:themeTint="F2"/>
          <w:sz w:val="24"/>
          <w:szCs w:val="24"/>
        </w:rPr>
      </w:pPr>
      <w:r w:rsidRPr="00600B6B">
        <w:rPr>
          <w:rFonts w:ascii="Arial" w:hAnsi="Arial" w:cs="Arial"/>
          <w:color w:val="0D0D0D" w:themeColor="text1" w:themeTint="F2"/>
          <w:sz w:val="24"/>
          <w:szCs w:val="24"/>
        </w:rPr>
        <w:t>Instead of the repeat numbers of previous headline totals, two more indicators reflect how technology is making it easy and difficult at the same time:</w:t>
      </w:r>
    </w:p>
    <w:p w14:paraId="44D8F33C" w14:textId="77777777" w:rsidR="007069FA" w:rsidRPr="009A209D" w:rsidRDefault="0032493D" w:rsidP="00754EB3">
      <w:pPr>
        <w:keepNext/>
        <w:spacing w:line="360" w:lineRule="auto"/>
        <w:jc w:val="center"/>
        <w:rPr>
          <w:rFonts w:ascii="Arial" w:hAnsi="Arial" w:cs="Arial"/>
          <w:color w:val="0D0D0D" w:themeColor="text1" w:themeTint="F2"/>
          <w:sz w:val="24"/>
          <w:szCs w:val="24"/>
        </w:rPr>
      </w:pPr>
      <w:r w:rsidRPr="009A209D">
        <w:rPr>
          <w:rFonts w:ascii="Arial" w:hAnsi="Arial" w:cs="Arial"/>
          <w:color w:val="0D0D0D" w:themeColor="text1" w:themeTint="F2"/>
          <w:sz w:val="24"/>
          <w:szCs w:val="24"/>
        </w:rPr>
        <w:lastRenderedPageBreak/>
        <w:drawing>
          <wp:inline distT="0" distB="0" distL="0" distR="0" wp14:anchorId="08B2FBE2" wp14:editId="2475C3E3">
            <wp:extent cx="3657600" cy="2438400"/>
            <wp:effectExtent l="0" t="0" r="0" b="0"/>
            <wp:docPr id="398675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2438400"/>
                    </a:xfrm>
                    <a:prstGeom prst="rect">
                      <a:avLst/>
                    </a:prstGeom>
                    <a:noFill/>
                  </pic:spPr>
                </pic:pic>
              </a:graphicData>
            </a:graphic>
          </wp:inline>
        </w:drawing>
      </w:r>
    </w:p>
    <w:p w14:paraId="07F4FEA0" w14:textId="2CC7024F" w:rsidR="0032493D" w:rsidRDefault="007069FA" w:rsidP="00754EB3">
      <w:pPr>
        <w:pStyle w:val="Caption"/>
        <w:spacing w:line="360" w:lineRule="auto"/>
        <w:jc w:val="center"/>
        <w:rPr>
          <w:rFonts w:ascii="Arial" w:hAnsi="Arial" w:cs="Arial"/>
          <w:b/>
          <w:bCs/>
          <w:i w:val="0"/>
          <w:iCs w:val="0"/>
          <w:color w:val="0D0D0D" w:themeColor="text1" w:themeTint="F2"/>
          <w:sz w:val="24"/>
          <w:szCs w:val="24"/>
          <w:u w:val="single"/>
        </w:rPr>
      </w:pPr>
      <w:bookmarkStart w:id="16" w:name="_Toc223104478"/>
      <w:bookmarkStart w:id="17" w:name="_Toc223104554"/>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Pr="009A209D">
        <w:rPr>
          <w:rFonts w:ascii="Arial" w:hAnsi="Arial" w:cs="Arial"/>
          <w:b/>
          <w:bCs/>
          <w:i w:val="0"/>
          <w:iCs w:val="0"/>
          <w:noProof/>
          <w:color w:val="0D0D0D" w:themeColor="text1" w:themeTint="F2"/>
          <w:sz w:val="24"/>
          <w:szCs w:val="24"/>
          <w:u w:val="single"/>
        </w:rPr>
        <w:t>4</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Growth of Rapid and Ultra-Rapid EV Chargers in the UK, End-2024 to End-2025</w:t>
      </w:r>
      <w:bookmarkEnd w:id="16"/>
      <w:bookmarkEnd w:id="17"/>
    </w:p>
    <w:p w14:paraId="05F656CD" w14:textId="5CA0A14D" w:rsidR="003F149B" w:rsidRPr="002863D1" w:rsidRDefault="003F149B" w:rsidP="00593A30">
      <w:pPr>
        <w:jc w:val="center"/>
        <w:rPr>
          <w:b/>
          <w:bCs/>
          <w:u w:val="single"/>
        </w:rPr>
      </w:pPr>
      <w:r w:rsidRPr="003F149B">
        <w:rPr>
          <w:b/>
          <w:bCs/>
          <w:u w:val="single"/>
        </w:rPr>
        <w:t xml:space="preserve">Source: </w:t>
      </w:r>
      <w:r w:rsidRPr="003F149B">
        <w:rPr>
          <w:rFonts w:ascii="Arial" w:hAnsi="Arial" w:cs="Arial"/>
          <w:b/>
          <w:bCs/>
          <w:color w:val="0D0D0D" w:themeColor="text1" w:themeTint="F2"/>
          <w:sz w:val="24"/>
          <w:szCs w:val="24"/>
          <w:u w:val="single"/>
        </w:rPr>
        <w:t>(</w:t>
      </w:r>
      <w:proofErr w:type="spellStart"/>
      <w:r w:rsidRPr="003F149B">
        <w:rPr>
          <w:rFonts w:ascii="Arial" w:hAnsi="Arial" w:cs="Arial"/>
          <w:b/>
          <w:bCs/>
          <w:color w:val="0D0D0D" w:themeColor="text1" w:themeTint="F2"/>
          <w:sz w:val="24"/>
          <w:szCs w:val="24"/>
          <w:u w:val="single"/>
        </w:rPr>
        <w:t>Zapmap</w:t>
      </w:r>
      <w:proofErr w:type="spellEnd"/>
      <w:r w:rsidRPr="003F149B">
        <w:rPr>
          <w:rFonts w:ascii="Arial" w:hAnsi="Arial" w:cs="Arial"/>
          <w:b/>
          <w:bCs/>
          <w:color w:val="0D0D0D" w:themeColor="text1" w:themeTint="F2"/>
          <w:sz w:val="24"/>
          <w:szCs w:val="24"/>
          <w:u w:val="single"/>
        </w:rPr>
        <w:t>, 2026).</w:t>
      </w:r>
    </w:p>
    <w:p w14:paraId="3E562924" w14:textId="1661E304" w:rsidR="0032493D" w:rsidRPr="002863D1" w:rsidRDefault="0032493D" w:rsidP="00754EB3">
      <w:pPr>
        <w:spacing w:line="360" w:lineRule="auto"/>
        <w:jc w:val="both"/>
        <w:rPr>
          <w:rFonts w:ascii="Arial" w:hAnsi="Arial" w:cs="Arial"/>
          <w:color w:val="0D0D0D" w:themeColor="text1" w:themeTint="F2"/>
          <w:sz w:val="24"/>
          <w:szCs w:val="24"/>
        </w:rPr>
      </w:pPr>
      <w:r w:rsidRPr="002863D1">
        <w:rPr>
          <w:rFonts w:ascii="Arial" w:hAnsi="Arial" w:cs="Arial"/>
          <w:b/>
          <w:bCs/>
          <w:color w:val="0D0D0D" w:themeColor="text1" w:themeTint="F2"/>
          <w:sz w:val="24"/>
          <w:szCs w:val="24"/>
        </w:rPr>
        <w:t>(a) Faster charging network is scaling, but unevenly.</w:t>
      </w:r>
      <w:r w:rsidRPr="002863D1">
        <w:rPr>
          <w:rFonts w:ascii="Arial" w:hAnsi="Arial" w:cs="Arial"/>
          <w:color w:val="0D0D0D" w:themeColor="text1" w:themeTint="F2"/>
          <w:sz w:val="24"/>
          <w:szCs w:val="24"/>
        </w:rPr>
        <w:t xml:space="preserve"> </w:t>
      </w:r>
      <w:proofErr w:type="spellStart"/>
      <w:r w:rsidR="00AA5A14" w:rsidRPr="00AA5A14">
        <w:rPr>
          <w:rFonts w:ascii="Arial" w:hAnsi="Arial" w:cs="Arial"/>
          <w:color w:val="0D0D0D" w:themeColor="text1" w:themeTint="F2"/>
          <w:sz w:val="24"/>
          <w:szCs w:val="24"/>
        </w:rPr>
        <w:t>Zapmap</w:t>
      </w:r>
      <w:proofErr w:type="spellEnd"/>
      <w:r w:rsidR="00AA5A14" w:rsidRPr="00AA5A14">
        <w:rPr>
          <w:rFonts w:ascii="Arial" w:hAnsi="Arial" w:cs="Arial"/>
          <w:color w:val="0D0D0D" w:themeColor="text1" w:themeTint="F2"/>
          <w:sz w:val="24"/>
          <w:szCs w:val="24"/>
        </w:rPr>
        <w:t xml:space="preserve"> forecasts rapid + ultra-rapid chargers grow 26,378 (end-2025), and 150kW+ ultra-rapid chargers 3425 (end-2025) which is a </w:t>
      </w:r>
      <w:r w:rsidR="00AA5A14" w:rsidRPr="00AA5A14">
        <w:rPr>
          <w:rFonts w:ascii="Arial" w:hAnsi="Arial" w:cs="Arial"/>
          <w:color w:val="0D0D0D" w:themeColor="text1" w:themeTint="F2"/>
          <w:sz w:val="24"/>
          <w:szCs w:val="24"/>
        </w:rPr>
        <w:t>gamechanger</w:t>
      </w:r>
      <w:r w:rsidR="00AA5A14" w:rsidRPr="00AA5A14">
        <w:rPr>
          <w:rFonts w:ascii="Arial" w:hAnsi="Arial" w:cs="Arial"/>
          <w:color w:val="0D0D0D" w:themeColor="text1" w:themeTint="F2"/>
          <w:sz w:val="24"/>
          <w:szCs w:val="24"/>
        </w:rPr>
        <w:t xml:space="preserve"> to the motorway and high-mileage user (</w:t>
      </w:r>
      <w:proofErr w:type="spellStart"/>
      <w:r w:rsidR="00AA5A14" w:rsidRPr="00AA5A14">
        <w:rPr>
          <w:rFonts w:ascii="Arial" w:hAnsi="Arial" w:cs="Arial"/>
          <w:color w:val="0D0D0D" w:themeColor="text1" w:themeTint="F2"/>
          <w:sz w:val="24"/>
          <w:szCs w:val="24"/>
        </w:rPr>
        <w:t>Zapmap</w:t>
      </w:r>
      <w:proofErr w:type="spellEnd"/>
      <w:r w:rsidR="00AA5A14" w:rsidRPr="00AA5A14">
        <w:rPr>
          <w:rFonts w:ascii="Arial" w:hAnsi="Arial" w:cs="Arial"/>
          <w:color w:val="0D0D0D" w:themeColor="text1" w:themeTint="F2"/>
          <w:sz w:val="24"/>
          <w:szCs w:val="24"/>
        </w:rPr>
        <w:t xml:space="preserve">, 2026). Nevertheless, formal planning assumptions remain that there is a significant rollout gap: a revised demand figure of UK Department of Transport is 250,000-550,000 public </w:t>
      </w:r>
      <w:proofErr w:type="spellStart"/>
      <w:r w:rsidR="00AA5A14" w:rsidRPr="00AA5A14">
        <w:rPr>
          <w:rFonts w:ascii="Arial" w:hAnsi="Arial" w:cs="Arial"/>
          <w:color w:val="0D0D0D" w:themeColor="text1" w:themeTint="F2"/>
          <w:sz w:val="24"/>
          <w:szCs w:val="24"/>
        </w:rPr>
        <w:t>chargepoints</w:t>
      </w:r>
      <w:proofErr w:type="spellEnd"/>
      <w:r w:rsidR="00AA5A14" w:rsidRPr="00AA5A14">
        <w:rPr>
          <w:rFonts w:ascii="Arial" w:hAnsi="Arial" w:cs="Arial"/>
          <w:color w:val="0D0D0D" w:themeColor="text1" w:themeTint="F2"/>
          <w:sz w:val="24"/>
          <w:szCs w:val="24"/>
        </w:rPr>
        <w:t xml:space="preserve"> by 2030 (DfT, 2026). The Financial Times reports over 88,000 charge points in the UK would require approximately 32,000 installations annually to achieve the same low-end target (and much more on the high-end end), indicating an ongoing macro-level infrastructure constraint (Financial Times, 2026).</w:t>
      </w:r>
    </w:p>
    <w:p w14:paraId="289D3D31" w14:textId="433CC235" w:rsidR="00722AD9" w:rsidRPr="002863D1" w:rsidRDefault="0032493D" w:rsidP="00FA64F4">
      <w:pPr>
        <w:spacing w:line="360" w:lineRule="auto"/>
        <w:jc w:val="both"/>
        <w:rPr>
          <w:rFonts w:ascii="Arial" w:hAnsi="Arial" w:cs="Arial"/>
          <w:color w:val="0D0D0D" w:themeColor="text1" w:themeTint="F2"/>
          <w:sz w:val="24"/>
          <w:szCs w:val="24"/>
          <w:lang w:val="en-US"/>
        </w:rPr>
      </w:pPr>
      <w:r w:rsidRPr="002863D1">
        <w:rPr>
          <w:rFonts w:ascii="Arial" w:hAnsi="Arial" w:cs="Arial"/>
          <w:b/>
          <w:bCs/>
          <w:color w:val="0D0D0D" w:themeColor="text1" w:themeTint="F2"/>
          <w:sz w:val="24"/>
          <w:szCs w:val="24"/>
        </w:rPr>
        <w:t xml:space="preserve">(b) Vehicle experience is becoming </w:t>
      </w:r>
      <w:r w:rsidRPr="009A209D">
        <w:rPr>
          <w:rFonts w:ascii="Arial" w:hAnsi="Arial" w:cs="Arial"/>
          <w:b/>
          <w:bCs/>
          <w:color w:val="0D0D0D" w:themeColor="text1" w:themeTint="F2"/>
          <w:sz w:val="24"/>
          <w:szCs w:val="24"/>
        </w:rPr>
        <w:t>software defined</w:t>
      </w:r>
      <w:r w:rsidRPr="002863D1">
        <w:rPr>
          <w:rFonts w:ascii="Arial" w:hAnsi="Arial" w:cs="Arial"/>
          <w:b/>
          <w:bCs/>
          <w:color w:val="0D0D0D" w:themeColor="text1" w:themeTint="F2"/>
          <w:sz w:val="24"/>
          <w:szCs w:val="24"/>
        </w:rPr>
        <w:t>.</w:t>
      </w:r>
      <w:r w:rsidRPr="002863D1">
        <w:rPr>
          <w:rFonts w:ascii="Arial" w:hAnsi="Arial" w:cs="Arial"/>
          <w:color w:val="0D0D0D" w:themeColor="text1" w:themeTint="F2"/>
          <w:sz w:val="24"/>
          <w:szCs w:val="24"/>
        </w:rPr>
        <w:t xml:space="preserve"> </w:t>
      </w:r>
      <w:r w:rsidR="00FA64F4" w:rsidRPr="00FA64F4">
        <w:rPr>
          <w:rFonts w:ascii="Arial" w:hAnsi="Arial" w:cs="Arial"/>
          <w:color w:val="0D0D0D" w:themeColor="text1" w:themeTint="F2"/>
          <w:sz w:val="24"/>
          <w:szCs w:val="24"/>
          <w:lang w:val="en-US"/>
        </w:rPr>
        <w:t>OEMs are also competing more aggressively through OTA updates, digital interfaces and connected services. Ford itself highlights over-the-air software updates as a continuous process of improvement of the digital experience of the company (Ford, 2023</w:t>
      </w:r>
      <w:r w:rsidR="00EC1668">
        <w:rPr>
          <w:rFonts w:ascii="Arial" w:hAnsi="Arial" w:cs="Arial"/>
          <w:color w:val="0D0D0D" w:themeColor="text1" w:themeTint="F2"/>
          <w:sz w:val="24"/>
          <w:szCs w:val="24"/>
          <w:lang w:val="en-US"/>
        </w:rPr>
        <w:t>-</w:t>
      </w:r>
      <w:r w:rsidR="00FA64F4" w:rsidRPr="00FA64F4">
        <w:rPr>
          <w:rFonts w:ascii="Arial" w:hAnsi="Arial" w:cs="Arial"/>
          <w:color w:val="0D0D0D" w:themeColor="text1" w:themeTint="F2"/>
          <w:sz w:val="24"/>
          <w:szCs w:val="24"/>
          <w:lang w:val="en-US"/>
        </w:rPr>
        <w:t>2026). This changes the consumer expectation of the evolution of products that appear phone-like, increasing the strategic emphasis on software platforms and data capabilities</w:t>
      </w:r>
      <w:r w:rsidR="00D43AF6">
        <w:rPr>
          <w:rFonts w:ascii="Arial" w:hAnsi="Arial" w:cs="Arial"/>
          <w:color w:val="0D0D0D" w:themeColor="text1" w:themeTint="F2"/>
          <w:sz w:val="24"/>
          <w:szCs w:val="24"/>
          <w:lang w:val="en-US"/>
        </w:rPr>
        <w:t xml:space="preserve"> </w:t>
      </w:r>
      <w:r w:rsidR="00D43AF6" w:rsidRPr="00D43AF6">
        <w:rPr>
          <w:rFonts w:ascii="Arial" w:hAnsi="Arial" w:cs="Arial"/>
          <w:color w:val="0D0D0D" w:themeColor="text1" w:themeTint="F2"/>
          <w:sz w:val="24"/>
          <w:szCs w:val="24"/>
          <w:lang w:val="en-US"/>
        </w:rPr>
        <w:t>(S&amp;P Global, 2025).</w:t>
      </w:r>
    </w:p>
    <w:p w14:paraId="4B825972" w14:textId="77777777" w:rsidR="0032493D" w:rsidRPr="009A209D" w:rsidRDefault="0032493D" w:rsidP="00754EB3">
      <w:pPr>
        <w:pStyle w:val="Heading2"/>
        <w:numPr>
          <w:ilvl w:val="1"/>
          <w:numId w:val="2"/>
        </w:numPr>
        <w:spacing w:line="360" w:lineRule="auto"/>
        <w:rPr>
          <w:rFonts w:ascii="Arial" w:hAnsi="Arial" w:cs="Arial"/>
          <w:color w:val="0D0D0D" w:themeColor="text1" w:themeTint="F2"/>
          <w:sz w:val="24"/>
          <w:szCs w:val="24"/>
        </w:rPr>
      </w:pPr>
      <w:bookmarkStart w:id="18" w:name="_Toc223106540"/>
      <w:r w:rsidRPr="009A209D">
        <w:rPr>
          <w:rFonts w:ascii="Arial" w:hAnsi="Arial" w:cs="Arial"/>
          <w:color w:val="0D0D0D" w:themeColor="text1" w:themeTint="F2"/>
          <w:sz w:val="24"/>
          <w:szCs w:val="24"/>
        </w:rPr>
        <w:lastRenderedPageBreak/>
        <w:t>Implications for Tesla (pioneer)</w:t>
      </w:r>
      <w:bookmarkEnd w:id="18"/>
    </w:p>
    <w:p w14:paraId="62AE57CF" w14:textId="3EEE6A54" w:rsidR="0032493D" w:rsidRPr="002863D1" w:rsidRDefault="0032493D" w:rsidP="00754EB3">
      <w:pPr>
        <w:spacing w:line="360" w:lineRule="auto"/>
        <w:jc w:val="both"/>
        <w:rPr>
          <w:rFonts w:ascii="Arial" w:hAnsi="Arial" w:cs="Arial"/>
          <w:color w:val="0D0D0D" w:themeColor="text1" w:themeTint="F2"/>
          <w:sz w:val="24"/>
          <w:szCs w:val="24"/>
        </w:rPr>
      </w:pPr>
      <w:r w:rsidRPr="002863D1">
        <w:rPr>
          <w:rFonts w:ascii="Arial" w:hAnsi="Arial" w:cs="Arial"/>
          <w:b/>
          <w:bCs/>
          <w:color w:val="0D0D0D" w:themeColor="text1" w:themeTint="F2"/>
          <w:sz w:val="24"/>
          <w:szCs w:val="24"/>
        </w:rPr>
        <w:t>Opportunity (tech leadership → perceived superiority and faster diffusion).</w:t>
      </w:r>
      <w:r w:rsidRPr="002863D1">
        <w:rPr>
          <w:rFonts w:ascii="Arial" w:hAnsi="Arial" w:cs="Arial"/>
          <w:color w:val="0D0D0D" w:themeColor="text1" w:themeTint="F2"/>
          <w:sz w:val="24"/>
          <w:szCs w:val="24"/>
        </w:rPr>
        <w:t xml:space="preserve"> </w:t>
      </w:r>
      <w:r w:rsidR="007C0608" w:rsidRPr="007C0608">
        <w:rPr>
          <w:rFonts w:ascii="Arial" w:hAnsi="Arial" w:cs="Arial"/>
          <w:color w:val="0D0D0D" w:themeColor="text1" w:themeTint="F2"/>
          <w:sz w:val="24"/>
          <w:szCs w:val="24"/>
        </w:rPr>
        <w:t xml:space="preserve">Ecosystem gains (increasing the speed of charging) can be translated into better perceived convenience an adoption accelerator by Tesla on the lines of Rogers so-called relative advantage and trialability attributes (Rogers, 2003). Tactically, Tesla </w:t>
      </w:r>
      <w:r w:rsidR="007C0608" w:rsidRPr="007C0608">
        <w:rPr>
          <w:rFonts w:ascii="Arial" w:hAnsi="Arial" w:cs="Arial"/>
          <w:color w:val="0D0D0D" w:themeColor="text1" w:themeTint="F2"/>
          <w:sz w:val="24"/>
          <w:szCs w:val="24"/>
        </w:rPr>
        <w:t>can</w:t>
      </w:r>
      <w:r w:rsidR="007C0608" w:rsidRPr="007C0608">
        <w:rPr>
          <w:rFonts w:ascii="Arial" w:hAnsi="Arial" w:cs="Arial"/>
          <w:color w:val="0D0D0D" w:themeColor="text1" w:themeTint="F2"/>
          <w:sz w:val="24"/>
          <w:szCs w:val="24"/>
        </w:rPr>
        <w:t xml:space="preserve"> leverage its strength by combining vehicle + software + charging into a consistent customer promise that makes technology a brand meaning rather than a </w:t>
      </w:r>
      <w:r w:rsidR="007C0608" w:rsidRPr="007C0608">
        <w:rPr>
          <w:rFonts w:ascii="Arial" w:hAnsi="Arial" w:cs="Arial"/>
          <w:color w:val="0D0D0D" w:themeColor="text1" w:themeTint="F2"/>
          <w:sz w:val="24"/>
          <w:szCs w:val="24"/>
        </w:rPr>
        <w:t>specification (Kotler et al., 2020)</w:t>
      </w:r>
      <w:r w:rsidR="007C0608" w:rsidRPr="007C0608">
        <w:rPr>
          <w:rFonts w:ascii="Arial" w:hAnsi="Arial" w:cs="Arial"/>
          <w:color w:val="0D0D0D" w:themeColor="text1" w:themeTint="F2"/>
          <w:sz w:val="24"/>
          <w:szCs w:val="24"/>
        </w:rPr>
        <w:t>.</w:t>
      </w:r>
    </w:p>
    <w:p w14:paraId="309AAF94" w14:textId="20522C45" w:rsidR="00603FCF" w:rsidRPr="002863D1" w:rsidRDefault="0032493D" w:rsidP="00754EB3">
      <w:pPr>
        <w:spacing w:line="360" w:lineRule="auto"/>
        <w:jc w:val="both"/>
        <w:rPr>
          <w:rFonts w:ascii="Arial" w:hAnsi="Arial" w:cs="Arial"/>
          <w:color w:val="0D0D0D" w:themeColor="text1" w:themeTint="F2"/>
          <w:sz w:val="24"/>
          <w:szCs w:val="24"/>
        </w:rPr>
      </w:pPr>
      <w:r w:rsidRPr="002863D1">
        <w:rPr>
          <w:rFonts w:ascii="Arial" w:hAnsi="Arial" w:cs="Arial"/>
          <w:b/>
          <w:bCs/>
          <w:color w:val="0D0D0D" w:themeColor="text1" w:themeTint="F2"/>
          <w:sz w:val="24"/>
          <w:szCs w:val="24"/>
        </w:rPr>
        <w:t>Threat (technology diffusion + platform parity).</w:t>
      </w:r>
      <w:r w:rsidRPr="002863D1">
        <w:rPr>
          <w:rFonts w:ascii="Arial" w:hAnsi="Arial" w:cs="Arial"/>
          <w:color w:val="0D0D0D" w:themeColor="text1" w:themeTint="F2"/>
          <w:sz w:val="24"/>
          <w:szCs w:val="24"/>
        </w:rPr>
        <w:t xml:space="preserve"> </w:t>
      </w:r>
      <w:r w:rsidR="00F9598B" w:rsidRPr="00F9598B">
        <w:rPr>
          <w:rFonts w:ascii="Arial" w:hAnsi="Arial" w:cs="Arial"/>
          <w:color w:val="0D0D0D" w:themeColor="text1" w:themeTint="F2"/>
          <w:sz w:val="24"/>
          <w:szCs w:val="24"/>
        </w:rPr>
        <w:t>Differentiation is threatened with commoditisation of Tesla as the rapid charging spreads networks and software-driven features spread</w:t>
      </w:r>
      <w:r w:rsidR="00942A2C">
        <w:rPr>
          <w:rFonts w:ascii="Arial" w:hAnsi="Arial" w:cs="Arial"/>
          <w:color w:val="0D0D0D" w:themeColor="text1" w:themeTint="F2"/>
          <w:sz w:val="24"/>
          <w:szCs w:val="24"/>
        </w:rPr>
        <w:t xml:space="preserve"> </w:t>
      </w:r>
      <w:r w:rsidR="00942A2C" w:rsidRPr="00942A2C">
        <w:rPr>
          <w:rFonts w:ascii="Arial" w:hAnsi="Arial" w:cs="Arial"/>
          <w:color w:val="0D0D0D" w:themeColor="text1" w:themeTint="F2"/>
          <w:sz w:val="24"/>
          <w:szCs w:val="24"/>
        </w:rPr>
        <w:t>(Fan, Li and Yao, 2024).</w:t>
      </w:r>
      <w:r w:rsidR="00F9598B" w:rsidRPr="00F9598B">
        <w:rPr>
          <w:rFonts w:ascii="Arial" w:hAnsi="Arial" w:cs="Arial"/>
          <w:color w:val="0D0D0D" w:themeColor="text1" w:themeTint="F2"/>
          <w:sz w:val="24"/>
          <w:szCs w:val="24"/>
        </w:rPr>
        <w:t xml:space="preserve"> Rivalry can subsequently shift to who innovates first to who is more reliable, service recovery and portfolio breadth, enhancing competition and price war particularly where infrastructure and affordability are adoption bottlenecks (Financial Times, 2026).</w:t>
      </w:r>
    </w:p>
    <w:p w14:paraId="18551660" w14:textId="77777777" w:rsidR="0032493D" w:rsidRPr="009A209D" w:rsidRDefault="0032493D" w:rsidP="00754EB3">
      <w:pPr>
        <w:pStyle w:val="Heading2"/>
        <w:numPr>
          <w:ilvl w:val="1"/>
          <w:numId w:val="2"/>
        </w:numPr>
        <w:spacing w:line="360" w:lineRule="auto"/>
        <w:rPr>
          <w:rFonts w:ascii="Arial" w:hAnsi="Arial" w:cs="Arial"/>
          <w:color w:val="0D0D0D" w:themeColor="text1" w:themeTint="F2"/>
          <w:sz w:val="24"/>
          <w:szCs w:val="24"/>
        </w:rPr>
      </w:pPr>
      <w:bookmarkStart w:id="19" w:name="_Toc223106541"/>
      <w:r w:rsidRPr="009A209D">
        <w:rPr>
          <w:rFonts w:ascii="Arial" w:hAnsi="Arial" w:cs="Arial"/>
          <w:color w:val="0D0D0D" w:themeColor="text1" w:themeTint="F2"/>
          <w:sz w:val="24"/>
          <w:szCs w:val="24"/>
        </w:rPr>
        <w:t>Implications for Ford (follower)</w:t>
      </w:r>
      <w:bookmarkEnd w:id="19"/>
    </w:p>
    <w:p w14:paraId="13481DCB" w14:textId="4949CAE4" w:rsidR="0032493D" w:rsidRPr="002863D1" w:rsidRDefault="0032493D" w:rsidP="00754EB3">
      <w:pPr>
        <w:spacing w:line="360" w:lineRule="auto"/>
        <w:jc w:val="both"/>
        <w:rPr>
          <w:rFonts w:ascii="Arial" w:hAnsi="Arial" w:cs="Arial"/>
          <w:color w:val="0D0D0D" w:themeColor="text1" w:themeTint="F2"/>
          <w:sz w:val="24"/>
          <w:szCs w:val="24"/>
        </w:rPr>
      </w:pPr>
      <w:r w:rsidRPr="002863D1">
        <w:rPr>
          <w:rFonts w:ascii="Arial" w:hAnsi="Arial" w:cs="Arial"/>
          <w:b/>
          <w:bCs/>
          <w:color w:val="0D0D0D" w:themeColor="text1" w:themeTint="F2"/>
          <w:sz w:val="24"/>
          <w:szCs w:val="24"/>
        </w:rPr>
        <w:t>Opportunity (ecosystem maturity lowers adoption barriers).</w:t>
      </w:r>
      <w:r w:rsidRPr="002863D1">
        <w:rPr>
          <w:rFonts w:ascii="Arial" w:hAnsi="Arial" w:cs="Arial"/>
          <w:color w:val="0D0D0D" w:themeColor="text1" w:themeTint="F2"/>
          <w:sz w:val="24"/>
          <w:szCs w:val="24"/>
        </w:rPr>
        <w:t xml:space="preserve"> </w:t>
      </w:r>
      <w:r w:rsidR="004904DE" w:rsidRPr="004904DE">
        <w:rPr>
          <w:rFonts w:ascii="Arial" w:hAnsi="Arial" w:cs="Arial"/>
          <w:color w:val="0D0D0D" w:themeColor="text1" w:themeTint="F2"/>
          <w:sz w:val="24"/>
          <w:szCs w:val="24"/>
        </w:rPr>
        <w:t>Development of rapid/ultra-rapid charging lowers one of the greatest objections of the convenience of mainstream buyers giving Ford the ability to capitalize on trust, dealer service, and financing to attract late adopters (Rogers, 2003). Marketing wise, the category loses its educative laden characteristics and has more to do with competitive positioning and perceived reduction in risk</w:t>
      </w:r>
      <w:r w:rsidR="00024CB8">
        <w:rPr>
          <w:rFonts w:ascii="Arial" w:hAnsi="Arial" w:cs="Arial"/>
          <w:color w:val="0D0D0D" w:themeColor="text1" w:themeTint="F2"/>
          <w:sz w:val="24"/>
          <w:szCs w:val="24"/>
        </w:rPr>
        <w:t xml:space="preserve"> </w:t>
      </w:r>
      <w:r w:rsidR="00024CB8" w:rsidRPr="00024CB8">
        <w:rPr>
          <w:rFonts w:ascii="Arial" w:hAnsi="Arial" w:cs="Arial"/>
          <w:color w:val="0D0D0D" w:themeColor="text1" w:themeTint="F2"/>
          <w:sz w:val="24"/>
          <w:szCs w:val="24"/>
        </w:rPr>
        <w:t>(Huang and Zhang, 2025).</w:t>
      </w:r>
    </w:p>
    <w:p w14:paraId="35042F0B" w14:textId="3722E653" w:rsidR="001D366E" w:rsidRPr="002863D1" w:rsidRDefault="0032493D" w:rsidP="00754EB3">
      <w:pPr>
        <w:spacing w:line="360" w:lineRule="auto"/>
        <w:jc w:val="both"/>
        <w:rPr>
          <w:rFonts w:ascii="Arial" w:hAnsi="Arial" w:cs="Arial"/>
          <w:color w:val="0D0D0D" w:themeColor="text1" w:themeTint="F2"/>
          <w:sz w:val="24"/>
          <w:szCs w:val="24"/>
        </w:rPr>
      </w:pPr>
      <w:r w:rsidRPr="002863D1">
        <w:rPr>
          <w:rFonts w:ascii="Arial" w:hAnsi="Arial" w:cs="Arial"/>
          <w:b/>
          <w:bCs/>
          <w:color w:val="0D0D0D" w:themeColor="text1" w:themeTint="F2"/>
          <w:sz w:val="24"/>
          <w:szCs w:val="24"/>
        </w:rPr>
        <w:t>Threat (dynamic capability gap in software and iteration speed).</w:t>
      </w:r>
      <w:r w:rsidRPr="002863D1">
        <w:rPr>
          <w:rFonts w:ascii="Arial" w:hAnsi="Arial" w:cs="Arial"/>
          <w:color w:val="0D0D0D" w:themeColor="text1" w:themeTint="F2"/>
          <w:sz w:val="24"/>
          <w:szCs w:val="24"/>
        </w:rPr>
        <w:t xml:space="preserve"> </w:t>
      </w:r>
      <w:r w:rsidR="00417BB9" w:rsidRPr="00417BB9">
        <w:rPr>
          <w:rFonts w:ascii="Arial" w:hAnsi="Arial" w:cs="Arial"/>
          <w:color w:val="0D0D0D" w:themeColor="text1" w:themeTint="F2"/>
          <w:sz w:val="24"/>
          <w:szCs w:val="24"/>
        </w:rPr>
        <w:t xml:space="preserve">EV competitions are being </w:t>
      </w:r>
      <w:r w:rsidR="00417BB9" w:rsidRPr="00417BB9">
        <w:rPr>
          <w:rFonts w:ascii="Arial" w:hAnsi="Arial" w:cs="Arial"/>
          <w:color w:val="0D0D0D" w:themeColor="text1" w:themeTint="F2"/>
          <w:sz w:val="24"/>
          <w:szCs w:val="24"/>
        </w:rPr>
        <w:t>more</w:t>
      </w:r>
      <w:r w:rsidR="00417BB9" w:rsidRPr="00417BB9">
        <w:rPr>
          <w:rFonts w:ascii="Arial" w:hAnsi="Arial" w:cs="Arial"/>
          <w:color w:val="0D0D0D" w:themeColor="text1" w:themeTint="F2"/>
          <w:sz w:val="24"/>
          <w:szCs w:val="24"/>
        </w:rPr>
        <w:t xml:space="preserve"> rewarding to swift learning cycles and platform integration. The legacy development architectures may have difficulty keeping up the pace and predictability of software-defined improvement, and in that case, the organisational capability renders technology a threat not only to product cost (Teece, 2007). When digital experience falls behind (OTA cadence, UI stability, connected-service reliability), Ford could face a perceived value that is less strong despite hardware parity</w:t>
      </w:r>
      <w:r w:rsidR="00BB4961">
        <w:rPr>
          <w:rFonts w:ascii="Arial" w:hAnsi="Arial" w:cs="Arial"/>
          <w:color w:val="0D0D0D" w:themeColor="text1" w:themeTint="F2"/>
          <w:sz w:val="24"/>
          <w:szCs w:val="24"/>
        </w:rPr>
        <w:t xml:space="preserve"> </w:t>
      </w:r>
      <w:r w:rsidR="00BB4961" w:rsidRPr="00BB4961">
        <w:rPr>
          <w:rFonts w:ascii="Arial" w:hAnsi="Arial" w:cs="Arial"/>
          <w:color w:val="0D0D0D" w:themeColor="text1" w:themeTint="F2"/>
          <w:sz w:val="24"/>
          <w:szCs w:val="24"/>
        </w:rPr>
        <w:t>(Liu et al., 2022).</w:t>
      </w:r>
    </w:p>
    <w:p w14:paraId="684117C2" w14:textId="77777777" w:rsidR="0032493D" w:rsidRPr="002863D1" w:rsidRDefault="0032493D" w:rsidP="00754EB3">
      <w:pPr>
        <w:spacing w:line="360" w:lineRule="auto"/>
        <w:jc w:val="both"/>
        <w:rPr>
          <w:rFonts w:ascii="Arial" w:hAnsi="Arial" w:cs="Arial"/>
          <w:b/>
          <w:bCs/>
          <w:color w:val="0D0D0D" w:themeColor="text1" w:themeTint="F2"/>
          <w:sz w:val="24"/>
          <w:szCs w:val="24"/>
        </w:rPr>
      </w:pPr>
      <w:r w:rsidRPr="002863D1">
        <w:rPr>
          <w:rFonts w:ascii="Arial" w:hAnsi="Arial" w:cs="Arial"/>
          <w:b/>
          <w:bCs/>
          <w:color w:val="0D0D0D" w:themeColor="text1" w:themeTint="F2"/>
          <w:sz w:val="24"/>
          <w:szCs w:val="24"/>
        </w:rPr>
        <w:t xml:space="preserve">Table: </w:t>
      </w:r>
      <w:r w:rsidRPr="009A209D">
        <w:rPr>
          <w:rFonts w:ascii="Arial" w:hAnsi="Arial" w:cs="Arial"/>
          <w:b/>
          <w:bCs/>
          <w:color w:val="0D0D0D" w:themeColor="text1" w:themeTint="F2"/>
          <w:sz w:val="24"/>
          <w:szCs w:val="24"/>
        </w:rPr>
        <w:t>Technological</w:t>
      </w:r>
      <w:r w:rsidRPr="002863D1">
        <w:rPr>
          <w:rFonts w:ascii="Arial" w:hAnsi="Arial" w:cs="Arial"/>
          <w:b/>
          <w:bCs/>
          <w:color w:val="0D0D0D" w:themeColor="text1" w:themeTint="F2"/>
          <w:sz w:val="24"/>
          <w:szCs w:val="24"/>
        </w:rPr>
        <w:t xml:space="preserve"> impact on competitive position</w:t>
      </w:r>
    </w:p>
    <w:p w14:paraId="342C4C6A" w14:textId="1A7B5F15" w:rsidR="00AD2A14" w:rsidRPr="009A209D" w:rsidRDefault="00AD2A14" w:rsidP="00754EB3">
      <w:pPr>
        <w:spacing w:line="360" w:lineRule="auto"/>
        <w:jc w:val="both"/>
        <w:rPr>
          <w:rFonts w:ascii="Arial" w:hAnsi="Arial" w:cs="Arial"/>
          <w:color w:val="0D0D0D" w:themeColor="text1" w:themeTint="F2"/>
          <w:sz w:val="24"/>
          <w:szCs w:val="24"/>
        </w:rPr>
      </w:pPr>
      <w:r w:rsidRPr="009A209D">
        <w:rPr>
          <w:rFonts w:ascii="Arial" w:hAnsi="Arial" w:cs="Arial"/>
          <w:noProof/>
          <w:color w:val="0D0D0D" w:themeColor="text1" w:themeTint="F2"/>
          <w:sz w:val="24"/>
          <w:szCs w:val="24"/>
        </w:rPr>
        <w:lastRenderedPageBreak/>
        <w:drawing>
          <wp:inline distT="0" distB="0" distL="0" distR="0" wp14:anchorId="09FB5930" wp14:editId="41D3B45B">
            <wp:extent cx="5943600" cy="4476750"/>
            <wp:effectExtent l="0" t="0" r="0" b="0"/>
            <wp:docPr id="135193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36291" name=""/>
                    <pic:cNvPicPr/>
                  </pic:nvPicPr>
                  <pic:blipFill>
                    <a:blip r:embed="rId14"/>
                    <a:stretch>
                      <a:fillRect/>
                    </a:stretch>
                  </pic:blipFill>
                  <pic:spPr>
                    <a:xfrm>
                      <a:off x="0" y="0"/>
                      <a:ext cx="5943600" cy="4476750"/>
                    </a:xfrm>
                    <a:prstGeom prst="rect">
                      <a:avLst/>
                    </a:prstGeom>
                  </pic:spPr>
                </pic:pic>
              </a:graphicData>
            </a:graphic>
          </wp:inline>
        </w:drawing>
      </w:r>
    </w:p>
    <w:p w14:paraId="7BCBB8AA" w14:textId="6EDB1450" w:rsidR="00E84B88" w:rsidRPr="009A209D" w:rsidRDefault="00D75FA7" w:rsidP="00754EB3">
      <w:pPr>
        <w:spacing w:line="360" w:lineRule="auto"/>
        <w:jc w:val="both"/>
        <w:rPr>
          <w:rFonts w:ascii="Arial" w:hAnsi="Arial" w:cs="Arial"/>
          <w:color w:val="0D0D0D" w:themeColor="text1" w:themeTint="F2"/>
          <w:sz w:val="24"/>
          <w:szCs w:val="24"/>
        </w:rPr>
      </w:pPr>
      <w:r w:rsidRPr="00D75FA7">
        <w:rPr>
          <w:rFonts w:ascii="Arial" w:hAnsi="Arial" w:cs="Arial"/>
          <w:color w:val="0D0D0D" w:themeColor="text1" w:themeTint="F2"/>
          <w:sz w:val="24"/>
          <w:szCs w:val="24"/>
        </w:rPr>
        <w:t>EV competition is being transformed by political/legal and technological forces. Electrification is a rule-driving transition subject to regulations (emissions rules, EV mandates) that benefits EV leaders such as Tesla and adds to the cost and urgency of electrification to follower such as Ford</w:t>
      </w:r>
      <w:r w:rsidR="00254FED">
        <w:rPr>
          <w:rFonts w:ascii="Arial" w:hAnsi="Arial" w:cs="Arial"/>
          <w:color w:val="0D0D0D" w:themeColor="text1" w:themeTint="F2"/>
          <w:sz w:val="24"/>
          <w:szCs w:val="24"/>
        </w:rPr>
        <w:t xml:space="preserve"> </w:t>
      </w:r>
      <w:r w:rsidR="00254FED" w:rsidRPr="00254FED">
        <w:rPr>
          <w:rFonts w:ascii="Arial" w:hAnsi="Arial" w:cs="Arial"/>
          <w:color w:val="0D0D0D" w:themeColor="text1" w:themeTint="F2"/>
          <w:sz w:val="24"/>
          <w:szCs w:val="24"/>
        </w:rPr>
        <w:t>(Huang and Zhang, 2025).</w:t>
      </w:r>
      <w:r w:rsidRPr="00D75FA7">
        <w:rPr>
          <w:rFonts w:ascii="Arial" w:hAnsi="Arial" w:cs="Arial"/>
          <w:color w:val="0D0D0D" w:themeColor="text1" w:themeTint="F2"/>
          <w:sz w:val="24"/>
          <w:szCs w:val="24"/>
        </w:rPr>
        <w:t xml:space="preserve"> Simultaneously, declining battery prices and a growing charging infrastructure expand the market and lower the barrier to adoption of either but also creates even greater competition as it allows more players to enter and shifts the advantage to software power, ecosystem adoption, and speed of innovation. All in all, Tesla is more in line with the current demand and category credibility, with Ford in a strained catch-up where execution speed and renewability will determine whether the mandated demand turns into sustained competitive advantage</w:t>
      </w:r>
      <w:r w:rsidR="00646E82">
        <w:rPr>
          <w:rFonts w:ascii="Arial" w:hAnsi="Arial" w:cs="Arial"/>
          <w:color w:val="0D0D0D" w:themeColor="text1" w:themeTint="F2"/>
          <w:sz w:val="24"/>
          <w:szCs w:val="24"/>
        </w:rPr>
        <w:t xml:space="preserve"> </w:t>
      </w:r>
      <w:r w:rsidR="00646E82" w:rsidRPr="00646E82">
        <w:rPr>
          <w:rFonts w:ascii="Arial" w:hAnsi="Arial" w:cs="Arial"/>
          <w:color w:val="0D0D0D" w:themeColor="text1" w:themeTint="F2"/>
          <w:sz w:val="24"/>
          <w:szCs w:val="24"/>
        </w:rPr>
        <w:t>(Liu et al., 2022).</w:t>
      </w:r>
    </w:p>
    <w:p w14:paraId="5459DFDA" w14:textId="77777777" w:rsidR="00AD2A14" w:rsidRPr="009A209D" w:rsidRDefault="00AD2A14" w:rsidP="00754EB3">
      <w:pPr>
        <w:pStyle w:val="Heading1"/>
        <w:numPr>
          <w:ilvl w:val="0"/>
          <w:numId w:val="2"/>
        </w:numPr>
        <w:spacing w:line="360" w:lineRule="auto"/>
        <w:rPr>
          <w:rFonts w:ascii="Arial" w:hAnsi="Arial" w:cs="Arial"/>
          <w:color w:val="0D0D0D" w:themeColor="text1" w:themeTint="F2"/>
          <w:sz w:val="24"/>
          <w:szCs w:val="24"/>
        </w:rPr>
      </w:pPr>
      <w:bookmarkStart w:id="20" w:name="_Toc223106542"/>
      <w:r w:rsidRPr="009A209D">
        <w:rPr>
          <w:rFonts w:ascii="Arial" w:hAnsi="Arial" w:cs="Arial"/>
          <w:color w:val="0D0D0D" w:themeColor="text1" w:themeTint="F2"/>
          <w:sz w:val="24"/>
          <w:szCs w:val="24"/>
        </w:rPr>
        <w:lastRenderedPageBreak/>
        <w:t>TASK 2: Strategic responses to sustain growth (Tesla as pioneer vs Ford as follower) using Porter + Ansoff</w:t>
      </w:r>
      <w:bookmarkEnd w:id="20"/>
    </w:p>
    <w:p w14:paraId="2A1839D8" w14:textId="58BEFAB6" w:rsidR="00AB7767" w:rsidRPr="00CA509B" w:rsidRDefault="00293399" w:rsidP="00754EB3">
      <w:pPr>
        <w:spacing w:line="360" w:lineRule="auto"/>
        <w:jc w:val="both"/>
        <w:rPr>
          <w:rFonts w:ascii="Arial" w:hAnsi="Arial" w:cs="Arial"/>
          <w:color w:val="0D0D0D" w:themeColor="text1" w:themeTint="F2"/>
          <w:sz w:val="24"/>
          <w:szCs w:val="24"/>
        </w:rPr>
      </w:pPr>
      <w:r w:rsidRPr="00293399">
        <w:rPr>
          <w:rFonts w:ascii="Arial" w:hAnsi="Arial" w:cs="Arial"/>
          <w:color w:val="0D0D0D" w:themeColor="text1" w:themeTint="F2"/>
          <w:sz w:val="24"/>
          <w:szCs w:val="24"/>
        </w:rPr>
        <w:t xml:space="preserve">EV industry strategic responses should balance political/legal pressure (mandates, compliance routes, fines) and technological disruption (charging convenience, software-defined vehicles, platform </w:t>
      </w:r>
      <w:proofErr w:type="spellStart"/>
      <w:r w:rsidRPr="00293399">
        <w:rPr>
          <w:rFonts w:ascii="Arial" w:hAnsi="Arial" w:cs="Arial"/>
          <w:color w:val="0D0D0D" w:themeColor="text1" w:themeTint="F2"/>
          <w:sz w:val="24"/>
          <w:szCs w:val="24"/>
        </w:rPr>
        <w:t>ecoystems</w:t>
      </w:r>
      <w:proofErr w:type="spellEnd"/>
      <w:r w:rsidRPr="00293399">
        <w:rPr>
          <w:rFonts w:ascii="Arial" w:hAnsi="Arial" w:cs="Arial"/>
          <w:color w:val="0D0D0D" w:themeColor="text1" w:themeTint="F2"/>
          <w:sz w:val="24"/>
          <w:szCs w:val="24"/>
        </w:rPr>
        <w:t>)</w:t>
      </w:r>
      <w:r w:rsidR="007E7F3F">
        <w:rPr>
          <w:rFonts w:ascii="Arial" w:hAnsi="Arial" w:cs="Arial"/>
          <w:color w:val="0D0D0D" w:themeColor="text1" w:themeTint="F2"/>
          <w:sz w:val="24"/>
          <w:szCs w:val="24"/>
        </w:rPr>
        <w:t xml:space="preserve"> </w:t>
      </w:r>
      <w:r w:rsidR="007E7F3F" w:rsidRPr="007E7F3F">
        <w:rPr>
          <w:rFonts w:ascii="Arial" w:hAnsi="Arial" w:cs="Arial"/>
          <w:color w:val="0D0D0D" w:themeColor="text1" w:themeTint="F2"/>
          <w:sz w:val="24"/>
          <w:szCs w:val="24"/>
        </w:rPr>
        <w:t>(Liu et al., 2022).</w:t>
      </w:r>
      <w:r w:rsidRPr="00293399">
        <w:rPr>
          <w:rFonts w:ascii="Arial" w:hAnsi="Arial" w:cs="Arial"/>
          <w:color w:val="0D0D0D" w:themeColor="text1" w:themeTint="F2"/>
          <w:sz w:val="24"/>
          <w:szCs w:val="24"/>
        </w:rPr>
        <w:t xml:space="preserve"> Based on Task 1, the following section assesses the way Tesla and Ford react to these forces and continue to grow and protect their competitive edge through the prism of Porters Generic Strategies and Ansoff Growth Matrix</w:t>
      </w:r>
      <w:r w:rsidR="00EF6D6E">
        <w:rPr>
          <w:rFonts w:ascii="Arial" w:hAnsi="Arial" w:cs="Arial"/>
          <w:color w:val="0D0D0D" w:themeColor="text1" w:themeTint="F2"/>
          <w:sz w:val="24"/>
          <w:szCs w:val="24"/>
        </w:rPr>
        <w:t xml:space="preserve"> </w:t>
      </w:r>
      <w:r w:rsidR="00EF6D6E" w:rsidRPr="00EF6D6E">
        <w:rPr>
          <w:rFonts w:ascii="Arial" w:hAnsi="Arial" w:cs="Arial"/>
          <w:color w:val="0D0D0D" w:themeColor="text1" w:themeTint="F2"/>
          <w:sz w:val="24"/>
          <w:szCs w:val="24"/>
        </w:rPr>
        <w:t>(Farrukh et al., 2025).</w:t>
      </w:r>
    </w:p>
    <w:p w14:paraId="30915E11" w14:textId="77777777" w:rsidR="00AD2A14" w:rsidRPr="009A209D" w:rsidRDefault="00AD2A14" w:rsidP="00754EB3">
      <w:pPr>
        <w:pStyle w:val="Heading2"/>
        <w:numPr>
          <w:ilvl w:val="1"/>
          <w:numId w:val="2"/>
        </w:numPr>
        <w:spacing w:line="360" w:lineRule="auto"/>
        <w:rPr>
          <w:rFonts w:ascii="Arial" w:hAnsi="Arial" w:cs="Arial"/>
          <w:color w:val="0D0D0D" w:themeColor="text1" w:themeTint="F2"/>
          <w:sz w:val="24"/>
          <w:szCs w:val="24"/>
        </w:rPr>
      </w:pPr>
      <w:bookmarkStart w:id="21" w:name="_Toc223106543"/>
      <w:r w:rsidRPr="009A209D">
        <w:rPr>
          <w:rFonts w:ascii="Arial" w:hAnsi="Arial" w:cs="Arial"/>
          <w:color w:val="0D0D0D" w:themeColor="text1" w:themeTint="F2"/>
          <w:sz w:val="24"/>
          <w:szCs w:val="24"/>
        </w:rPr>
        <w:t>Tesla (pioneer): scaling differentiation into an ecosystem-based advantage</w:t>
      </w:r>
      <w:bookmarkEnd w:id="21"/>
    </w:p>
    <w:p w14:paraId="53D26E58" w14:textId="77777777" w:rsidR="00AD2A14" w:rsidRPr="009A209D" w:rsidRDefault="00AD2A14" w:rsidP="00754EB3">
      <w:pPr>
        <w:pStyle w:val="Heading3"/>
        <w:numPr>
          <w:ilvl w:val="2"/>
          <w:numId w:val="2"/>
        </w:numPr>
        <w:spacing w:line="360" w:lineRule="auto"/>
        <w:rPr>
          <w:rFonts w:ascii="Arial" w:hAnsi="Arial" w:cs="Arial"/>
          <w:color w:val="0D0D0D" w:themeColor="text1" w:themeTint="F2"/>
          <w:sz w:val="24"/>
          <w:szCs w:val="24"/>
        </w:rPr>
      </w:pPr>
      <w:bookmarkStart w:id="22" w:name="_Toc223106544"/>
      <w:r w:rsidRPr="009A209D">
        <w:rPr>
          <w:rFonts w:ascii="Arial" w:hAnsi="Arial" w:cs="Arial"/>
          <w:color w:val="0D0D0D" w:themeColor="text1" w:themeTint="F2"/>
          <w:sz w:val="24"/>
          <w:szCs w:val="24"/>
        </w:rPr>
        <w:t>Porter: Differentiation with selective cost-leadership logic</w:t>
      </w:r>
      <w:bookmarkEnd w:id="22"/>
    </w:p>
    <w:p w14:paraId="3B258BE5" w14:textId="77777777" w:rsidR="007069FA" w:rsidRPr="009A209D" w:rsidRDefault="00AD2A14" w:rsidP="00754EB3">
      <w:pPr>
        <w:keepNext/>
        <w:spacing w:line="360" w:lineRule="auto"/>
        <w:jc w:val="center"/>
        <w:rPr>
          <w:rFonts w:ascii="Arial" w:hAnsi="Arial" w:cs="Arial"/>
          <w:color w:val="0D0D0D" w:themeColor="text1" w:themeTint="F2"/>
          <w:sz w:val="24"/>
          <w:szCs w:val="24"/>
        </w:rPr>
      </w:pPr>
      <w:r w:rsidRPr="009A209D">
        <w:rPr>
          <w:rFonts w:ascii="Arial" w:hAnsi="Arial" w:cs="Arial"/>
          <w:color w:val="0D0D0D" w:themeColor="text1" w:themeTint="F2"/>
          <w:sz w:val="24"/>
          <w:szCs w:val="24"/>
        </w:rPr>
        <w:drawing>
          <wp:inline distT="0" distB="0" distL="0" distR="0" wp14:anchorId="3A2256E3" wp14:editId="1338DFEB">
            <wp:extent cx="4257702" cy="2391773"/>
            <wp:effectExtent l="0" t="0" r="0" b="8890"/>
            <wp:docPr id="158863502" name="Picture 3"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Generic Strategies EXPLAINED with EXAMPLES | B2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59765" cy="2392932"/>
                    </a:xfrm>
                    <a:prstGeom prst="rect">
                      <a:avLst/>
                    </a:prstGeom>
                    <a:noFill/>
                    <a:ln>
                      <a:noFill/>
                    </a:ln>
                  </pic:spPr>
                </pic:pic>
              </a:graphicData>
            </a:graphic>
          </wp:inline>
        </w:drawing>
      </w:r>
    </w:p>
    <w:p w14:paraId="7C342FCE" w14:textId="63A087E3" w:rsidR="00AD2A14" w:rsidRPr="009A209D" w:rsidRDefault="007069FA" w:rsidP="00754EB3">
      <w:pPr>
        <w:pStyle w:val="Caption"/>
        <w:spacing w:line="360" w:lineRule="auto"/>
        <w:jc w:val="center"/>
        <w:rPr>
          <w:rFonts w:ascii="Arial" w:hAnsi="Arial" w:cs="Arial"/>
          <w:b/>
          <w:bCs/>
          <w:i w:val="0"/>
          <w:iCs w:val="0"/>
          <w:color w:val="0D0D0D" w:themeColor="text1" w:themeTint="F2"/>
          <w:sz w:val="24"/>
          <w:szCs w:val="24"/>
          <w:u w:val="single"/>
        </w:rPr>
      </w:pPr>
      <w:bookmarkStart w:id="23" w:name="_Toc223104479"/>
      <w:bookmarkStart w:id="24" w:name="_Toc223104555"/>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Pr="009A209D">
        <w:rPr>
          <w:rFonts w:ascii="Arial" w:hAnsi="Arial" w:cs="Arial"/>
          <w:b/>
          <w:bCs/>
          <w:i w:val="0"/>
          <w:iCs w:val="0"/>
          <w:noProof/>
          <w:color w:val="0D0D0D" w:themeColor="text1" w:themeTint="F2"/>
          <w:sz w:val="24"/>
          <w:szCs w:val="24"/>
          <w:u w:val="single"/>
        </w:rPr>
        <w:t>5</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Porter’s Generic Strategies Matrix: Competitive Advantage (Cost vs Differentiation) and Scope (Total vs Niche)</w:t>
      </w:r>
      <w:bookmarkEnd w:id="23"/>
      <w:bookmarkEnd w:id="24"/>
    </w:p>
    <w:p w14:paraId="32DE718C" w14:textId="40C964D4" w:rsidR="0000672B" w:rsidRPr="00CA509B" w:rsidRDefault="00AD2A14" w:rsidP="00754EB3">
      <w:pPr>
        <w:spacing w:line="360" w:lineRule="auto"/>
        <w:jc w:val="both"/>
        <w:rPr>
          <w:rFonts w:ascii="Arial" w:hAnsi="Arial" w:cs="Arial"/>
          <w:color w:val="0D0D0D" w:themeColor="text1" w:themeTint="F2"/>
          <w:sz w:val="24"/>
          <w:szCs w:val="24"/>
          <w:lang w:val="en-US"/>
        </w:rPr>
      </w:pPr>
      <w:r w:rsidRPr="00CA509B">
        <w:rPr>
          <w:rFonts w:ascii="Arial" w:hAnsi="Arial" w:cs="Arial"/>
          <w:b/>
          <w:bCs/>
          <w:color w:val="0D0D0D" w:themeColor="text1" w:themeTint="F2"/>
          <w:sz w:val="24"/>
          <w:szCs w:val="24"/>
        </w:rPr>
        <w:t>Tesla’s core posture remains differentiation:</w:t>
      </w:r>
      <w:r w:rsidRPr="00CA509B">
        <w:rPr>
          <w:rFonts w:ascii="Arial" w:hAnsi="Arial" w:cs="Arial"/>
          <w:color w:val="0D0D0D" w:themeColor="text1" w:themeTint="F2"/>
          <w:sz w:val="24"/>
          <w:szCs w:val="24"/>
        </w:rPr>
        <w:t xml:space="preserve"> </w:t>
      </w:r>
      <w:r w:rsidR="00F057A3" w:rsidRPr="00F057A3">
        <w:rPr>
          <w:rFonts w:ascii="Arial" w:hAnsi="Arial" w:cs="Arial"/>
          <w:color w:val="0D0D0D" w:themeColor="text1" w:themeTint="F2"/>
          <w:sz w:val="24"/>
          <w:szCs w:val="24"/>
          <w:lang w:val="en-US"/>
        </w:rPr>
        <w:t>it competes on software-led user experience, felt innovation leadership, and integration of ecosystems and not on car-as-hardware alone (Kotler et al., 2020). Platform choices contributing to this distinction include the creation of switching costs and perceived convenience (e.g. integrated routing/charging)</w:t>
      </w:r>
      <w:r w:rsidR="00392DAF">
        <w:rPr>
          <w:rFonts w:ascii="Arial" w:hAnsi="Arial" w:cs="Arial"/>
          <w:color w:val="0D0D0D" w:themeColor="text1" w:themeTint="F2"/>
          <w:sz w:val="24"/>
          <w:szCs w:val="24"/>
          <w:lang w:val="en-US"/>
        </w:rPr>
        <w:t xml:space="preserve"> </w:t>
      </w:r>
      <w:r w:rsidR="00392DAF" w:rsidRPr="00392DAF">
        <w:rPr>
          <w:rFonts w:ascii="Arial" w:hAnsi="Arial" w:cs="Arial"/>
          <w:color w:val="0D0D0D" w:themeColor="text1" w:themeTint="F2"/>
          <w:sz w:val="24"/>
          <w:szCs w:val="24"/>
          <w:lang w:val="en-US"/>
        </w:rPr>
        <w:t>(Park and Yi, 2023).</w:t>
      </w:r>
      <w:r w:rsidR="00F057A3" w:rsidRPr="00F057A3">
        <w:rPr>
          <w:rFonts w:ascii="Arial" w:hAnsi="Arial" w:cs="Arial"/>
          <w:color w:val="0D0D0D" w:themeColor="text1" w:themeTint="F2"/>
          <w:sz w:val="24"/>
          <w:szCs w:val="24"/>
          <w:lang w:val="en-US"/>
        </w:rPr>
        <w:t xml:space="preserve"> Nevertheless, Tesla also seeks a selective cost-leadership mechanism by manufacturing scale and simplification (high-volume platform strategy). The mix is important since target-delays-target policy-driven markets tend to be </w:t>
      </w:r>
      <w:r w:rsidR="00F057A3" w:rsidRPr="00F057A3">
        <w:rPr>
          <w:rFonts w:ascii="Arial" w:hAnsi="Arial" w:cs="Arial"/>
          <w:color w:val="0D0D0D" w:themeColor="text1" w:themeTint="F2"/>
          <w:sz w:val="24"/>
          <w:szCs w:val="24"/>
          <w:lang w:val="en-US"/>
        </w:rPr>
        <w:lastRenderedPageBreak/>
        <w:t xml:space="preserve">price-competitive, and Tesla must have </w:t>
      </w:r>
      <w:proofErr w:type="gramStart"/>
      <w:r w:rsidR="00F057A3" w:rsidRPr="00F057A3">
        <w:rPr>
          <w:rFonts w:ascii="Arial" w:hAnsi="Arial" w:cs="Arial"/>
          <w:color w:val="0D0D0D" w:themeColor="text1" w:themeTint="F2"/>
          <w:sz w:val="24"/>
          <w:szCs w:val="24"/>
          <w:lang w:val="en-US"/>
        </w:rPr>
        <w:t>both brand</w:t>
      </w:r>
      <w:proofErr w:type="gramEnd"/>
      <w:r w:rsidR="00F057A3" w:rsidRPr="00F057A3">
        <w:rPr>
          <w:rFonts w:ascii="Arial" w:hAnsi="Arial" w:cs="Arial"/>
          <w:color w:val="0D0D0D" w:themeColor="text1" w:themeTint="F2"/>
          <w:sz w:val="24"/>
          <w:szCs w:val="24"/>
          <w:lang w:val="en-US"/>
        </w:rPr>
        <w:t xml:space="preserve"> premium and cost-resilience</w:t>
      </w:r>
      <w:r w:rsidR="00C075BB">
        <w:rPr>
          <w:rFonts w:ascii="Arial" w:hAnsi="Arial" w:cs="Arial"/>
          <w:color w:val="0D0D0D" w:themeColor="text1" w:themeTint="F2"/>
          <w:sz w:val="24"/>
          <w:szCs w:val="24"/>
          <w:lang w:val="en-US"/>
        </w:rPr>
        <w:t xml:space="preserve"> </w:t>
      </w:r>
      <w:r w:rsidR="00C075BB" w:rsidRPr="00C075BB">
        <w:rPr>
          <w:rFonts w:ascii="Arial" w:hAnsi="Arial" w:cs="Arial"/>
          <w:color w:val="0D0D0D" w:themeColor="text1" w:themeTint="F2"/>
          <w:sz w:val="24"/>
          <w:szCs w:val="24"/>
          <w:lang w:val="en-US"/>
        </w:rPr>
        <w:t>(Liu et al., 2022).</w:t>
      </w:r>
    </w:p>
    <w:p w14:paraId="0D93A351" w14:textId="77777777" w:rsidR="00AD2A14" w:rsidRPr="009A209D" w:rsidRDefault="00AD2A14" w:rsidP="00754EB3">
      <w:pPr>
        <w:pStyle w:val="Heading3"/>
        <w:numPr>
          <w:ilvl w:val="2"/>
          <w:numId w:val="2"/>
        </w:numPr>
        <w:spacing w:line="360" w:lineRule="auto"/>
        <w:rPr>
          <w:rFonts w:ascii="Arial" w:hAnsi="Arial" w:cs="Arial"/>
          <w:color w:val="0D0D0D" w:themeColor="text1" w:themeTint="F2"/>
          <w:sz w:val="24"/>
          <w:szCs w:val="24"/>
        </w:rPr>
      </w:pPr>
      <w:bookmarkStart w:id="25" w:name="_Toc223106545"/>
      <w:r w:rsidRPr="009A209D">
        <w:rPr>
          <w:rFonts w:ascii="Arial" w:hAnsi="Arial" w:cs="Arial"/>
          <w:color w:val="0D0D0D" w:themeColor="text1" w:themeTint="F2"/>
          <w:sz w:val="24"/>
          <w:szCs w:val="24"/>
        </w:rPr>
        <w:t>Ansoff: market penetration + diversification as the growth engine</w:t>
      </w:r>
      <w:bookmarkEnd w:id="25"/>
    </w:p>
    <w:p w14:paraId="5B7F4BD2" w14:textId="77777777" w:rsidR="007069FA" w:rsidRPr="009A209D" w:rsidRDefault="00FE4AA5" w:rsidP="00754EB3">
      <w:pPr>
        <w:keepNext/>
        <w:spacing w:line="360" w:lineRule="auto"/>
        <w:jc w:val="center"/>
        <w:rPr>
          <w:rFonts w:ascii="Arial" w:hAnsi="Arial" w:cs="Arial"/>
          <w:color w:val="0D0D0D" w:themeColor="text1" w:themeTint="F2"/>
          <w:sz w:val="24"/>
          <w:szCs w:val="24"/>
        </w:rPr>
      </w:pPr>
      <w:r w:rsidRPr="009A209D">
        <w:rPr>
          <w:rFonts w:ascii="Arial" w:hAnsi="Arial" w:cs="Arial"/>
          <w:noProof/>
          <w:color w:val="0D0D0D" w:themeColor="text1" w:themeTint="F2"/>
          <w:sz w:val="24"/>
          <w:szCs w:val="24"/>
        </w:rPr>
        <w:drawing>
          <wp:inline distT="0" distB="0" distL="0" distR="0" wp14:anchorId="63855A07" wp14:editId="1A72B8BB">
            <wp:extent cx="3657600" cy="2438400"/>
            <wp:effectExtent l="0" t="0" r="0" b="0"/>
            <wp:docPr id="13818123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57600" cy="2438400"/>
                    </a:xfrm>
                    <a:prstGeom prst="rect">
                      <a:avLst/>
                    </a:prstGeom>
                    <a:noFill/>
                  </pic:spPr>
                </pic:pic>
              </a:graphicData>
            </a:graphic>
          </wp:inline>
        </w:drawing>
      </w:r>
    </w:p>
    <w:p w14:paraId="06ED0929" w14:textId="7E96FE40" w:rsidR="00FE4AA5" w:rsidRPr="009A209D" w:rsidRDefault="007069FA" w:rsidP="00754EB3">
      <w:pPr>
        <w:pStyle w:val="Caption"/>
        <w:spacing w:line="360" w:lineRule="auto"/>
        <w:jc w:val="center"/>
        <w:rPr>
          <w:rFonts w:ascii="Arial" w:hAnsi="Arial" w:cs="Arial"/>
          <w:b/>
          <w:bCs/>
          <w:i w:val="0"/>
          <w:iCs w:val="0"/>
          <w:color w:val="0D0D0D" w:themeColor="text1" w:themeTint="F2"/>
          <w:sz w:val="24"/>
          <w:szCs w:val="24"/>
          <w:u w:val="single"/>
        </w:rPr>
      </w:pPr>
      <w:bookmarkStart w:id="26" w:name="_Toc223104480"/>
      <w:bookmarkStart w:id="27" w:name="_Toc223104556"/>
      <w:r w:rsidRPr="009A209D">
        <w:rPr>
          <w:rFonts w:ascii="Arial" w:hAnsi="Arial" w:cs="Arial"/>
          <w:b/>
          <w:bCs/>
          <w:i w:val="0"/>
          <w:iCs w:val="0"/>
          <w:color w:val="0D0D0D" w:themeColor="text1" w:themeTint="F2"/>
          <w:sz w:val="24"/>
          <w:szCs w:val="24"/>
          <w:u w:val="single"/>
        </w:rPr>
        <w:t xml:space="preserve">Figure </w:t>
      </w:r>
      <w:r w:rsidRPr="009A209D">
        <w:rPr>
          <w:rFonts w:ascii="Arial" w:hAnsi="Arial" w:cs="Arial"/>
          <w:b/>
          <w:bCs/>
          <w:i w:val="0"/>
          <w:iCs w:val="0"/>
          <w:color w:val="0D0D0D" w:themeColor="text1" w:themeTint="F2"/>
          <w:sz w:val="24"/>
          <w:szCs w:val="24"/>
          <w:u w:val="single"/>
        </w:rPr>
        <w:fldChar w:fldCharType="begin"/>
      </w:r>
      <w:r w:rsidRPr="009A209D">
        <w:rPr>
          <w:rFonts w:ascii="Arial" w:hAnsi="Arial" w:cs="Arial"/>
          <w:b/>
          <w:bCs/>
          <w:i w:val="0"/>
          <w:iCs w:val="0"/>
          <w:color w:val="0D0D0D" w:themeColor="text1" w:themeTint="F2"/>
          <w:sz w:val="24"/>
          <w:szCs w:val="24"/>
          <w:u w:val="single"/>
        </w:rPr>
        <w:instrText xml:space="preserve"> SEQ Figure \* ARABIC </w:instrText>
      </w:r>
      <w:r w:rsidRPr="009A209D">
        <w:rPr>
          <w:rFonts w:ascii="Arial" w:hAnsi="Arial" w:cs="Arial"/>
          <w:b/>
          <w:bCs/>
          <w:i w:val="0"/>
          <w:iCs w:val="0"/>
          <w:color w:val="0D0D0D" w:themeColor="text1" w:themeTint="F2"/>
          <w:sz w:val="24"/>
          <w:szCs w:val="24"/>
          <w:u w:val="single"/>
        </w:rPr>
        <w:fldChar w:fldCharType="separate"/>
      </w:r>
      <w:r w:rsidRPr="009A209D">
        <w:rPr>
          <w:rFonts w:ascii="Arial" w:hAnsi="Arial" w:cs="Arial"/>
          <w:b/>
          <w:bCs/>
          <w:i w:val="0"/>
          <w:iCs w:val="0"/>
          <w:noProof/>
          <w:color w:val="0D0D0D" w:themeColor="text1" w:themeTint="F2"/>
          <w:sz w:val="24"/>
          <w:szCs w:val="24"/>
          <w:u w:val="single"/>
        </w:rPr>
        <w:t>6</w:t>
      </w:r>
      <w:r w:rsidRPr="009A209D">
        <w:rPr>
          <w:rFonts w:ascii="Arial" w:hAnsi="Arial" w:cs="Arial"/>
          <w:b/>
          <w:bCs/>
          <w:i w:val="0"/>
          <w:iCs w:val="0"/>
          <w:color w:val="0D0D0D" w:themeColor="text1" w:themeTint="F2"/>
          <w:sz w:val="24"/>
          <w:szCs w:val="24"/>
          <w:u w:val="single"/>
        </w:rPr>
        <w:fldChar w:fldCharType="end"/>
      </w:r>
      <w:r w:rsidRPr="009A209D">
        <w:rPr>
          <w:rFonts w:ascii="Arial" w:hAnsi="Arial" w:cs="Arial"/>
          <w:b/>
          <w:bCs/>
          <w:i w:val="0"/>
          <w:iCs w:val="0"/>
          <w:color w:val="0D0D0D" w:themeColor="text1" w:themeTint="F2"/>
          <w:sz w:val="24"/>
          <w:szCs w:val="24"/>
          <w:u w:val="single"/>
        </w:rPr>
        <w:t xml:space="preserve"> Tesla Ansoff Matrix</w:t>
      </w:r>
      <w:bookmarkEnd w:id="26"/>
      <w:bookmarkEnd w:id="27"/>
    </w:p>
    <w:p w14:paraId="73ED0761" w14:textId="23F2BFD3"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Market penetration (existing markets, existing products).</w:t>
      </w:r>
      <w:r w:rsidRPr="00CA509B">
        <w:rPr>
          <w:rFonts w:ascii="Arial" w:hAnsi="Arial" w:cs="Arial"/>
          <w:color w:val="0D0D0D" w:themeColor="text1" w:themeTint="F2"/>
          <w:sz w:val="24"/>
          <w:szCs w:val="24"/>
        </w:rPr>
        <w:t xml:space="preserve"> </w:t>
      </w:r>
      <w:r w:rsidR="00ED6732" w:rsidRPr="00ED6732">
        <w:rPr>
          <w:rFonts w:ascii="Arial" w:hAnsi="Arial" w:cs="Arial"/>
          <w:color w:val="0D0D0D" w:themeColor="text1" w:themeTint="F2"/>
          <w:sz w:val="24"/>
          <w:szCs w:val="24"/>
        </w:rPr>
        <w:t>The primary reaction of Tesla to compliance-based markets is to ensure that high-volume models continue to flow and category salience is preserved. The scale of its operations around the globe can already be seen in its 2025 deliveries: 1,636,129 vehicles delivered in 2025 (Tesla IR, 2026). This scale enables the common pricing/offer changes and swift production allocation features which help protect share in the increasingly dense, mandate shaped markets</w:t>
      </w:r>
      <w:r w:rsidR="00687F26">
        <w:rPr>
          <w:rFonts w:ascii="Arial" w:hAnsi="Arial" w:cs="Arial"/>
          <w:color w:val="0D0D0D" w:themeColor="text1" w:themeTint="F2"/>
          <w:sz w:val="24"/>
          <w:szCs w:val="24"/>
        </w:rPr>
        <w:t xml:space="preserve"> </w:t>
      </w:r>
      <w:r w:rsidR="00687F26" w:rsidRPr="00687F26">
        <w:rPr>
          <w:rFonts w:ascii="Arial" w:hAnsi="Arial" w:cs="Arial"/>
          <w:color w:val="0D0D0D" w:themeColor="text1" w:themeTint="F2"/>
          <w:sz w:val="24"/>
          <w:szCs w:val="24"/>
        </w:rPr>
        <w:t>(Park and Yi, 2023).</w:t>
      </w:r>
    </w:p>
    <w:p w14:paraId="674113D7" w14:textId="7F1CEC5F"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Product development (existing markets, new/improved products).</w:t>
      </w:r>
      <w:r w:rsidRPr="00CA509B">
        <w:rPr>
          <w:rFonts w:ascii="Arial" w:hAnsi="Arial" w:cs="Arial"/>
          <w:color w:val="0D0D0D" w:themeColor="text1" w:themeTint="F2"/>
          <w:sz w:val="24"/>
          <w:szCs w:val="24"/>
        </w:rPr>
        <w:t xml:space="preserve"> </w:t>
      </w:r>
      <w:r w:rsidR="004E33E3" w:rsidRPr="004E33E3">
        <w:rPr>
          <w:rFonts w:ascii="Arial" w:hAnsi="Arial" w:cs="Arial"/>
          <w:color w:val="0D0D0D" w:themeColor="text1" w:themeTint="F2"/>
          <w:sz w:val="24"/>
          <w:szCs w:val="24"/>
        </w:rPr>
        <w:t>To increase differentiation, Tesla constantly iterates the product experience through software-based innovation (updates, driver assistance, UX)</w:t>
      </w:r>
      <w:r w:rsidR="00C53D6E">
        <w:rPr>
          <w:rFonts w:ascii="Arial" w:hAnsi="Arial" w:cs="Arial"/>
          <w:color w:val="0D0D0D" w:themeColor="text1" w:themeTint="F2"/>
          <w:sz w:val="24"/>
          <w:szCs w:val="24"/>
        </w:rPr>
        <w:t xml:space="preserve"> </w:t>
      </w:r>
      <w:r w:rsidR="00C53D6E" w:rsidRPr="00C53D6E">
        <w:rPr>
          <w:rFonts w:ascii="Arial" w:hAnsi="Arial" w:cs="Arial"/>
          <w:color w:val="0D0D0D" w:themeColor="text1" w:themeTint="F2"/>
          <w:sz w:val="24"/>
          <w:szCs w:val="24"/>
        </w:rPr>
        <w:t>(Liu et al., 2022).</w:t>
      </w:r>
      <w:r w:rsidR="004E33E3" w:rsidRPr="004E33E3">
        <w:rPr>
          <w:rFonts w:ascii="Arial" w:hAnsi="Arial" w:cs="Arial"/>
          <w:color w:val="0D0D0D" w:themeColor="text1" w:themeTint="F2"/>
          <w:sz w:val="24"/>
          <w:szCs w:val="24"/>
        </w:rPr>
        <w:t xml:space="preserve"> The strategic rationale is applicable to dynamic markets, where expectations of the customers change rapidly: Tesla can compete based on the rate of improvement rather than specs (Kotler et al., 2020).</w:t>
      </w:r>
    </w:p>
    <w:p w14:paraId="5527E129" w14:textId="1F4D3786" w:rsidR="00714338"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Diversification (new markets, new products): energy + infrastructure platform.</w:t>
      </w:r>
      <w:r w:rsidRPr="00CA509B">
        <w:rPr>
          <w:rFonts w:ascii="Arial" w:hAnsi="Arial" w:cs="Arial"/>
          <w:color w:val="0D0D0D" w:themeColor="text1" w:themeTint="F2"/>
          <w:sz w:val="24"/>
          <w:szCs w:val="24"/>
        </w:rPr>
        <w:t xml:space="preserve"> </w:t>
      </w:r>
      <w:r w:rsidR="00412349" w:rsidRPr="00412349">
        <w:rPr>
          <w:rFonts w:ascii="Arial" w:hAnsi="Arial" w:cs="Arial"/>
          <w:color w:val="0D0D0D" w:themeColor="text1" w:themeTint="F2"/>
          <w:sz w:val="24"/>
          <w:szCs w:val="24"/>
        </w:rPr>
        <w:t xml:space="preserve">One very powerful example of a response that is macro-aligned is the diversification of Tesla </w:t>
      </w:r>
      <w:r w:rsidR="00412349" w:rsidRPr="00412349">
        <w:rPr>
          <w:rFonts w:ascii="Arial" w:hAnsi="Arial" w:cs="Arial"/>
          <w:color w:val="0D0D0D" w:themeColor="text1" w:themeTint="F2"/>
          <w:sz w:val="24"/>
          <w:szCs w:val="24"/>
        </w:rPr>
        <w:lastRenderedPageBreak/>
        <w:t>into energy, beyond autos. Tesla reported 46.7 GWh of deployments of energy storage in 2025 (Tesla IR, 2026). This is also strategically pertinent to the same macro forces: electrification policy and grid constraints create a higher demand in storage and flexibility. Diversification has the potential to stabilise the growth in cases when the auto cycles turn unstable, and the competitors flock around similar EVs features</w:t>
      </w:r>
      <w:r w:rsidR="00080014">
        <w:rPr>
          <w:rFonts w:ascii="Arial" w:hAnsi="Arial" w:cs="Arial"/>
          <w:color w:val="0D0D0D" w:themeColor="text1" w:themeTint="F2"/>
          <w:sz w:val="24"/>
          <w:szCs w:val="24"/>
        </w:rPr>
        <w:t xml:space="preserve"> </w:t>
      </w:r>
      <w:r w:rsidR="00080014" w:rsidRPr="00080014">
        <w:rPr>
          <w:rFonts w:ascii="Arial" w:hAnsi="Arial" w:cs="Arial"/>
          <w:color w:val="0D0D0D" w:themeColor="text1" w:themeTint="F2"/>
          <w:sz w:val="24"/>
          <w:szCs w:val="24"/>
        </w:rPr>
        <w:t>(Farrukh et al., 2025).</w:t>
      </w:r>
    </w:p>
    <w:p w14:paraId="77239757" w14:textId="77777777"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Evaluation (effectiveness vs macro forces).</w:t>
      </w:r>
    </w:p>
    <w:p w14:paraId="2B71D214" w14:textId="6768D44B" w:rsidR="00AD2A14" w:rsidRPr="00CA509B" w:rsidRDefault="00AD2A14" w:rsidP="00754EB3">
      <w:pPr>
        <w:numPr>
          <w:ilvl w:val="0"/>
          <w:numId w:val="13"/>
        </w:numPr>
        <w:spacing w:line="360" w:lineRule="auto"/>
        <w:jc w:val="both"/>
        <w:rPr>
          <w:rFonts w:ascii="Arial" w:hAnsi="Arial" w:cs="Arial"/>
          <w:color w:val="0D0D0D" w:themeColor="text1" w:themeTint="F2"/>
          <w:sz w:val="24"/>
          <w:szCs w:val="24"/>
        </w:rPr>
      </w:pPr>
      <w:r w:rsidRPr="00CA509B">
        <w:rPr>
          <w:rFonts w:ascii="Arial" w:hAnsi="Arial" w:cs="Arial"/>
          <w:color w:val="0D0D0D" w:themeColor="text1" w:themeTint="F2"/>
          <w:sz w:val="24"/>
          <w:szCs w:val="24"/>
        </w:rPr>
        <w:t>Against political/legal forces, Tesla’s advantage is readiness + scalability: it can comply without reallocating away from ICE profitability (because it lacks ICE exposure)</w:t>
      </w:r>
      <w:r w:rsidR="000542D0">
        <w:rPr>
          <w:rFonts w:ascii="Arial" w:hAnsi="Arial" w:cs="Arial"/>
          <w:color w:val="0D0D0D" w:themeColor="text1" w:themeTint="F2"/>
          <w:sz w:val="24"/>
          <w:szCs w:val="24"/>
        </w:rPr>
        <w:t xml:space="preserve"> </w:t>
      </w:r>
      <w:r w:rsidR="000542D0" w:rsidRPr="000542D0">
        <w:rPr>
          <w:rFonts w:ascii="Arial" w:hAnsi="Arial" w:cs="Arial"/>
          <w:color w:val="0D0D0D" w:themeColor="text1" w:themeTint="F2"/>
          <w:sz w:val="24"/>
          <w:szCs w:val="24"/>
        </w:rPr>
        <w:t>(Dreiling and Bican, 2022).</w:t>
      </w:r>
    </w:p>
    <w:p w14:paraId="48950B47" w14:textId="7A3B54FD" w:rsidR="00AD2A14" w:rsidRPr="00CA509B" w:rsidRDefault="00AD2A14" w:rsidP="00754EB3">
      <w:pPr>
        <w:numPr>
          <w:ilvl w:val="0"/>
          <w:numId w:val="13"/>
        </w:numPr>
        <w:spacing w:line="360" w:lineRule="auto"/>
        <w:jc w:val="both"/>
        <w:rPr>
          <w:rFonts w:ascii="Arial" w:hAnsi="Arial" w:cs="Arial"/>
          <w:color w:val="0D0D0D" w:themeColor="text1" w:themeTint="F2"/>
          <w:sz w:val="24"/>
          <w:szCs w:val="24"/>
        </w:rPr>
      </w:pPr>
      <w:r w:rsidRPr="00CA509B">
        <w:rPr>
          <w:rFonts w:ascii="Arial" w:hAnsi="Arial" w:cs="Arial"/>
          <w:color w:val="0D0D0D" w:themeColor="text1" w:themeTint="F2"/>
          <w:sz w:val="24"/>
          <w:szCs w:val="24"/>
        </w:rPr>
        <w:t>Against technological forces, Tesla’s ecosystem positioning helps</w:t>
      </w:r>
      <w:r w:rsidRPr="009A209D">
        <w:rPr>
          <w:rFonts w:ascii="Arial" w:hAnsi="Arial" w:cs="Arial"/>
          <w:color w:val="0D0D0D" w:themeColor="text1" w:themeTint="F2"/>
          <w:sz w:val="24"/>
          <w:szCs w:val="24"/>
        </w:rPr>
        <w:t xml:space="preserve"> </w:t>
      </w:r>
      <w:r w:rsidRPr="00CA509B">
        <w:rPr>
          <w:rFonts w:ascii="Arial" w:hAnsi="Arial" w:cs="Arial"/>
          <w:color w:val="0D0D0D" w:themeColor="text1" w:themeTint="F2"/>
          <w:sz w:val="24"/>
          <w:szCs w:val="24"/>
        </w:rPr>
        <w:t>but diffusion threatens uniqueness. The sustainability of Tesla’s advantage therefore depends on protecting “platform differentiation” (ecosystem + software cadence + charging integration) rather than only battery/range specs</w:t>
      </w:r>
      <w:r w:rsidR="00BA5D0E">
        <w:rPr>
          <w:rFonts w:ascii="Arial" w:hAnsi="Arial" w:cs="Arial"/>
          <w:color w:val="0D0D0D" w:themeColor="text1" w:themeTint="F2"/>
          <w:sz w:val="24"/>
          <w:szCs w:val="24"/>
        </w:rPr>
        <w:t xml:space="preserve"> </w:t>
      </w:r>
      <w:r w:rsidR="00BA5D0E" w:rsidRPr="00BA5D0E">
        <w:rPr>
          <w:rFonts w:ascii="Arial" w:hAnsi="Arial" w:cs="Arial"/>
          <w:color w:val="0D0D0D" w:themeColor="text1" w:themeTint="F2"/>
          <w:sz w:val="24"/>
          <w:szCs w:val="24"/>
        </w:rPr>
        <w:t>(Fan, Li and Yao, 2024).</w:t>
      </w:r>
    </w:p>
    <w:p w14:paraId="18DE7D9C" w14:textId="77777777" w:rsidR="00AD2A14" w:rsidRPr="009A209D" w:rsidRDefault="00AD2A14" w:rsidP="00754EB3">
      <w:pPr>
        <w:pStyle w:val="Heading2"/>
        <w:numPr>
          <w:ilvl w:val="1"/>
          <w:numId w:val="2"/>
        </w:numPr>
        <w:spacing w:line="360" w:lineRule="auto"/>
        <w:rPr>
          <w:rFonts w:ascii="Arial" w:hAnsi="Arial" w:cs="Arial"/>
          <w:color w:val="0D0D0D" w:themeColor="text1" w:themeTint="F2"/>
          <w:sz w:val="24"/>
          <w:szCs w:val="24"/>
        </w:rPr>
      </w:pPr>
      <w:bookmarkStart w:id="28" w:name="_Toc223106546"/>
      <w:r w:rsidRPr="009A209D">
        <w:rPr>
          <w:rFonts w:ascii="Arial" w:hAnsi="Arial" w:cs="Arial"/>
          <w:color w:val="0D0D0D" w:themeColor="text1" w:themeTint="F2"/>
          <w:sz w:val="24"/>
          <w:szCs w:val="24"/>
        </w:rPr>
        <w:t>Ford (follower): dual-track strategy profit pools now, capability-building for EV scale</w:t>
      </w:r>
      <w:bookmarkEnd w:id="28"/>
    </w:p>
    <w:p w14:paraId="2A8582D8" w14:textId="77777777" w:rsidR="00AD2A14" w:rsidRPr="009A209D" w:rsidRDefault="00AD2A14" w:rsidP="00754EB3">
      <w:pPr>
        <w:pStyle w:val="Heading3"/>
        <w:numPr>
          <w:ilvl w:val="2"/>
          <w:numId w:val="2"/>
        </w:numPr>
        <w:spacing w:line="360" w:lineRule="auto"/>
        <w:rPr>
          <w:rFonts w:ascii="Arial" w:hAnsi="Arial" w:cs="Arial"/>
          <w:color w:val="0D0D0D" w:themeColor="text1" w:themeTint="F2"/>
          <w:sz w:val="24"/>
          <w:szCs w:val="24"/>
        </w:rPr>
      </w:pPr>
      <w:bookmarkStart w:id="29" w:name="_Toc223106547"/>
      <w:r w:rsidRPr="009A209D">
        <w:rPr>
          <w:rFonts w:ascii="Arial" w:hAnsi="Arial" w:cs="Arial"/>
          <w:color w:val="0D0D0D" w:themeColor="text1" w:themeTint="F2"/>
          <w:sz w:val="24"/>
          <w:szCs w:val="24"/>
        </w:rPr>
        <w:t>Porter: Focused differentiation (commercial) + transitional strategy discipline</w:t>
      </w:r>
      <w:bookmarkEnd w:id="29"/>
    </w:p>
    <w:p w14:paraId="79E0F145" w14:textId="663F4C77" w:rsidR="00C76539" w:rsidRPr="00CA509B" w:rsidRDefault="00C76539" w:rsidP="00754EB3">
      <w:pPr>
        <w:spacing w:line="360" w:lineRule="auto"/>
        <w:jc w:val="both"/>
        <w:rPr>
          <w:rFonts w:ascii="Arial" w:hAnsi="Arial" w:cs="Arial"/>
          <w:color w:val="0D0D0D" w:themeColor="text1" w:themeTint="F2"/>
          <w:sz w:val="24"/>
          <w:szCs w:val="24"/>
        </w:rPr>
      </w:pPr>
      <w:r w:rsidRPr="00C76539">
        <w:rPr>
          <w:rFonts w:ascii="Arial" w:hAnsi="Arial" w:cs="Arial"/>
          <w:color w:val="0D0D0D" w:themeColor="text1" w:themeTint="F2"/>
          <w:sz w:val="24"/>
          <w:szCs w:val="24"/>
        </w:rPr>
        <w:t>The most justifiable generic strategy response that Ford can make is focused differentiation in commercial mobility (where their customers consider uptime, service, financing, and fleet productivity)</w:t>
      </w:r>
      <w:r w:rsidR="00E8053B">
        <w:rPr>
          <w:rFonts w:ascii="Arial" w:hAnsi="Arial" w:cs="Arial"/>
          <w:color w:val="0D0D0D" w:themeColor="text1" w:themeTint="F2"/>
          <w:sz w:val="24"/>
          <w:szCs w:val="24"/>
        </w:rPr>
        <w:t xml:space="preserve"> </w:t>
      </w:r>
      <w:r w:rsidR="00E8053B" w:rsidRPr="00E8053B">
        <w:rPr>
          <w:rFonts w:ascii="Arial" w:hAnsi="Arial" w:cs="Arial"/>
          <w:color w:val="0D0D0D" w:themeColor="text1" w:themeTint="F2"/>
          <w:sz w:val="24"/>
          <w:szCs w:val="24"/>
        </w:rPr>
        <w:t>(Faris, 2023).</w:t>
      </w:r>
      <w:r w:rsidRPr="00C76539">
        <w:rPr>
          <w:rFonts w:ascii="Arial" w:hAnsi="Arial" w:cs="Arial"/>
          <w:color w:val="0D0D0D" w:themeColor="text1" w:themeTint="F2"/>
          <w:sz w:val="24"/>
          <w:szCs w:val="24"/>
        </w:rPr>
        <w:t xml:space="preserve"> This agrees with Porter: focus strategies are successful when there are unique needs of a segment, and the firm </w:t>
      </w:r>
      <w:proofErr w:type="gramStart"/>
      <w:r w:rsidRPr="00C76539">
        <w:rPr>
          <w:rFonts w:ascii="Arial" w:hAnsi="Arial" w:cs="Arial"/>
          <w:color w:val="0D0D0D" w:themeColor="text1" w:themeTint="F2"/>
          <w:sz w:val="24"/>
          <w:szCs w:val="24"/>
        </w:rPr>
        <w:t>is able to</w:t>
      </w:r>
      <w:proofErr w:type="gramEnd"/>
      <w:r w:rsidRPr="00C76539">
        <w:rPr>
          <w:rFonts w:ascii="Arial" w:hAnsi="Arial" w:cs="Arial"/>
          <w:color w:val="0D0D0D" w:themeColor="text1" w:themeTint="F2"/>
          <w:sz w:val="24"/>
          <w:szCs w:val="24"/>
        </w:rPr>
        <w:t xml:space="preserve"> create a value chain that meets the segment needs more effectively (Porter, 1980). Ford operationalises this through Ford Pro: in 2025, Ford Pro made over $66.3bn and </w:t>
      </w:r>
      <w:r w:rsidRPr="00CA509B">
        <w:rPr>
          <w:rFonts w:ascii="Arial" w:hAnsi="Arial" w:cs="Arial"/>
          <w:color w:val="0D0D0D" w:themeColor="text1" w:themeTint="F2"/>
          <w:sz w:val="24"/>
          <w:szCs w:val="24"/>
        </w:rPr>
        <w:t>$</w:t>
      </w:r>
      <w:r w:rsidRPr="00C76539">
        <w:rPr>
          <w:rFonts w:ascii="Arial" w:hAnsi="Arial" w:cs="Arial"/>
          <w:color w:val="0D0D0D" w:themeColor="text1" w:themeTint="F2"/>
          <w:sz w:val="24"/>
          <w:szCs w:val="24"/>
        </w:rPr>
        <w:t>6.843bn revenue and EBIT, and software subscriptions paid by consumers increased 30% in 2025 (Ford, 2026). That fact signals a shift to services-based, recurrence-based value generation, which mattered as the macro environment enhances competition and margin squeezes consumer EVs</w:t>
      </w:r>
      <w:r w:rsidR="009B7155">
        <w:rPr>
          <w:rFonts w:ascii="Arial" w:hAnsi="Arial" w:cs="Arial"/>
          <w:color w:val="0D0D0D" w:themeColor="text1" w:themeTint="F2"/>
          <w:sz w:val="24"/>
          <w:szCs w:val="24"/>
        </w:rPr>
        <w:t xml:space="preserve"> </w:t>
      </w:r>
      <w:r w:rsidR="009B7155" w:rsidRPr="009B7155">
        <w:rPr>
          <w:rFonts w:ascii="Arial" w:hAnsi="Arial" w:cs="Arial"/>
          <w:color w:val="0D0D0D" w:themeColor="text1" w:themeTint="F2"/>
          <w:sz w:val="24"/>
          <w:szCs w:val="24"/>
        </w:rPr>
        <w:t>(</w:t>
      </w:r>
      <w:proofErr w:type="spellStart"/>
      <w:r w:rsidR="009B7155" w:rsidRPr="009B7155">
        <w:rPr>
          <w:rFonts w:ascii="Arial" w:hAnsi="Arial" w:cs="Arial"/>
          <w:color w:val="0D0D0D" w:themeColor="text1" w:themeTint="F2"/>
          <w:sz w:val="24"/>
          <w:szCs w:val="24"/>
        </w:rPr>
        <w:t>Leibenath</w:t>
      </w:r>
      <w:proofErr w:type="spellEnd"/>
      <w:r w:rsidR="009B7155" w:rsidRPr="009B7155">
        <w:rPr>
          <w:rFonts w:ascii="Arial" w:hAnsi="Arial" w:cs="Arial"/>
          <w:color w:val="0D0D0D" w:themeColor="text1" w:themeTint="F2"/>
          <w:sz w:val="24"/>
          <w:szCs w:val="24"/>
        </w:rPr>
        <w:t>, 2024).</w:t>
      </w:r>
    </w:p>
    <w:p w14:paraId="32B0A7F6" w14:textId="23E2F925" w:rsidR="00C100E8" w:rsidRPr="00CA509B" w:rsidRDefault="009B5BA5" w:rsidP="00754EB3">
      <w:pPr>
        <w:spacing w:line="360" w:lineRule="auto"/>
        <w:jc w:val="both"/>
        <w:rPr>
          <w:rFonts w:ascii="Arial" w:hAnsi="Arial" w:cs="Arial"/>
          <w:color w:val="0D0D0D" w:themeColor="text1" w:themeTint="F2"/>
          <w:sz w:val="24"/>
          <w:szCs w:val="24"/>
        </w:rPr>
      </w:pPr>
      <w:r w:rsidRPr="009B5BA5">
        <w:rPr>
          <w:rFonts w:ascii="Arial" w:hAnsi="Arial" w:cs="Arial"/>
          <w:color w:val="0D0D0D" w:themeColor="text1" w:themeTint="F2"/>
          <w:sz w:val="24"/>
          <w:szCs w:val="24"/>
        </w:rPr>
        <w:lastRenderedPageBreak/>
        <w:t>Meanwhile, the follower status of Ford dictates a transitional approach: safeguarding the profit base and investing in capability refreshing. The 2025 outcomes published by Ford formally organize the business into segments and underline connected services and always-on digital experiences as a growth logic (Ford, 2026). This is a capability answer to technological change (software-defined competition)</w:t>
      </w:r>
      <w:r w:rsidR="008445C8">
        <w:rPr>
          <w:rFonts w:ascii="Arial" w:hAnsi="Arial" w:cs="Arial"/>
          <w:color w:val="0D0D0D" w:themeColor="text1" w:themeTint="F2"/>
          <w:sz w:val="24"/>
          <w:szCs w:val="24"/>
        </w:rPr>
        <w:t xml:space="preserve"> </w:t>
      </w:r>
      <w:r w:rsidR="008445C8" w:rsidRPr="008445C8">
        <w:rPr>
          <w:rFonts w:ascii="Arial" w:hAnsi="Arial" w:cs="Arial"/>
          <w:color w:val="0D0D0D" w:themeColor="text1" w:themeTint="F2"/>
          <w:sz w:val="24"/>
          <w:szCs w:val="24"/>
        </w:rPr>
        <w:t>(Rosenberger et al., 2024).</w:t>
      </w:r>
    </w:p>
    <w:p w14:paraId="5D882CC0" w14:textId="77777777" w:rsidR="00AD2A14" w:rsidRPr="009A209D" w:rsidRDefault="00AD2A14" w:rsidP="00754EB3">
      <w:pPr>
        <w:pStyle w:val="Heading3"/>
        <w:numPr>
          <w:ilvl w:val="2"/>
          <w:numId w:val="2"/>
        </w:numPr>
        <w:spacing w:line="360" w:lineRule="auto"/>
        <w:rPr>
          <w:rFonts w:ascii="Arial" w:hAnsi="Arial" w:cs="Arial"/>
          <w:color w:val="0D0D0D" w:themeColor="text1" w:themeTint="F2"/>
          <w:sz w:val="24"/>
          <w:szCs w:val="24"/>
        </w:rPr>
      </w:pPr>
      <w:bookmarkStart w:id="30" w:name="_Toc223106548"/>
      <w:r w:rsidRPr="009A209D">
        <w:rPr>
          <w:rFonts w:ascii="Arial" w:hAnsi="Arial" w:cs="Arial"/>
          <w:color w:val="0D0D0D" w:themeColor="text1" w:themeTint="F2"/>
          <w:sz w:val="24"/>
          <w:szCs w:val="24"/>
        </w:rPr>
        <w:t>Ansoff: market development + product development enabled by ecosystem partnerships</w:t>
      </w:r>
      <w:bookmarkEnd w:id="30"/>
    </w:p>
    <w:p w14:paraId="4C29B4C4" w14:textId="56DBEF4B"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Market development (new markets/segments, existing or adapted products).</w:t>
      </w:r>
      <w:r w:rsidRPr="00CA509B">
        <w:rPr>
          <w:rFonts w:ascii="Arial" w:hAnsi="Arial" w:cs="Arial"/>
          <w:color w:val="0D0D0D" w:themeColor="text1" w:themeTint="F2"/>
          <w:sz w:val="24"/>
          <w:szCs w:val="24"/>
        </w:rPr>
        <w:t xml:space="preserve"> </w:t>
      </w:r>
      <w:r w:rsidR="00486E9E" w:rsidRPr="00486E9E">
        <w:rPr>
          <w:rFonts w:ascii="Arial" w:hAnsi="Arial" w:cs="Arial"/>
          <w:color w:val="0D0D0D" w:themeColor="text1" w:themeTint="F2"/>
          <w:sz w:val="24"/>
          <w:szCs w:val="24"/>
        </w:rPr>
        <w:t>Ford broadens EV adoption by eliminating charging friction via access and partnership. Ford has developed a strategy to address the challenge of range anxiety in all-in-one charging offerings to neutralise the effect of range anxiety as a conversion obstacle to late adopters and fleet adoption in Europe (Ford, 2026; Ford UK, 2025).</w:t>
      </w:r>
    </w:p>
    <w:p w14:paraId="77089612" w14:textId="1832213E"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Product development (existing markets, new products).</w:t>
      </w:r>
      <w:r w:rsidRPr="00CA509B">
        <w:rPr>
          <w:rFonts w:ascii="Arial" w:hAnsi="Arial" w:cs="Arial"/>
          <w:color w:val="0D0D0D" w:themeColor="text1" w:themeTint="F2"/>
          <w:sz w:val="24"/>
          <w:szCs w:val="24"/>
        </w:rPr>
        <w:t xml:space="preserve"> </w:t>
      </w:r>
      <w:r w:rsidR="00752B1B" w:rsidRPr="00752B1B">
        <w:rPr>
          <w:rFonts w:ascii="Arial" w:hAnsi="Arial" w:cs="Arial"/>
          <w:color w:val="0D0D0D" w:themeColor="text1" w:themeTint="F2"/>
          <w:sz w:val="24"/>
          <w:szCs w:val="24"/>
        </w:rPr>
        <w:t>The earnings story of Ford focuses on affordability of next-generation EVs and structural cost reduction, indicating a product-development trajectory that would not destroy permanent margins while responding to policy pressure (Ford, 2026). That is the major challenge: to compete in EVs, restore the cost base and software strength</w:t>
      </w:r>
      <w:r w:rsidR="00FD78CC">
        <w:rPr>
          <w:rFonts w:ascii="Arial" w:hAnsi="Arial" w:cs="Arial"/>
          <w:color w:val="0D0D0D" w:themeColor="text1" w:themeTint="F2"/>
          <w:sz w:val="24"/>
          <w:szCs w:val="24"/>
        </w:rPr>
        <w:t xml:space="preserve"> </w:t>
      </w:r>
      <w:r w:rsidR="00FD78CC" w:rsidRPr="00FD78CC">
        <w:rPr>
          <w:rFonts w:ascii="Arial" w:hAnsi="Arial" w:cs="Arial"/>
          <w:color w:val="0D0D0D" w:themeColor="text1" w:themeTint="F2"/>
          <w:sz w:val="24"/>
          <w:szCs w:val="24"/>
        </w:rPr>
        <w:t xml:space="preserve">(Friedman and </w:t>
      </w:r>
      <w:proofErr w:type="spellStart"/>
      <w:r w:rsidR="00FD78CC" w:rsidRPr="00FD78CC">
        <w:rPr>
          <w:rFonts w:ascii="Arial" w:hAnsi="Arial" w:cs="Arial"/>
          <w:color w:val="0D0D0D" w:themeColor="text1" w:themeTint="F2"/>
          <w:sz w:val="24"/>
          <w:szCs w:val="24"/>
        </w:rPr>
        <w:t>Meredeen</w:t>
      </w:r>
      <w:proofErr w:type="spellEnd"/>
      <w:r w:rsidR="00FD78CC" w:rsidRPr="00FD78CC">
        <w:rPr>
          <w:rFonts w:ascii="Arial" w:hAnsi="Arial" w:cs="Arial"/>
          <w:color w:val="0D0D0D" w:themeColor="text1" w:themeTint="F2"/>
          <w:sz w:val="24"/>
          <w:szCs w:val="24"/>
        </w:rPr>
        <w:t>, 2024).</w:t>
      </w:r>
    </w:p>
    <w:p w14:paraId="4DC3D8C4" w14:textId="6FE82C95" w:rsidR="00A44146"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Diversification (services/energy adjacencies).</w:t>
      </w:r>
      <w:r w:rsidRPr="00CA509B">
        <w:rPr>
          <w:rFonts w:ascii="Arial" w:hAnsi="Arial" w:cs="Arial"/>
          <w:color w:val="0D0D0D" w:themeColor="text1" w:themeTint="F2"/>
          <w:sz w:val="24"/>
          <w:szCs w:val="24"/>
        </w:rPr>
        <w:t xml:space="preserve"> </w:t>
      </w:r>
      <w:r w:rsidR="006121F0" w:rsidRPr="006121F0">
        <w:rPr>
          <w:rFonts w:ascii="Arial" w:hAnsi="Arial" w:cs="Arial"/>
          <w:color w:val="0D0D0D" w:themeColor="text1" w:themeTint="F2"/>
          <w:sz w:val="24"/>
          <w:szCs w:val="24"/>
        </w:rPr>
        <w:t>In 2026, capex is part of the outlook of Ford Energy (Ford, 2026). This is a strategic reflection of the industry trend where the energy + mobility ecosystem (charging, optimisation, fleet energy management) is going. It also assists Ford in reacting to technology as a platform phenomenon, rather than merely as a vehicle attribute</w:t>
      </w:r>
      <w:r w:rsidR="009226E7">
        <w:rPr>
          <w:rFonts w:ascii="Arial" w:hAnsi="Arial" w:cs="Arial"/>
          <w:color w:val="0D0D0D" w:themeColor="text1" w:themeTint="F2"/>
          <w:sz w:val="24"/>
          <w:szCs w:val="24"/>
        </w:rPr>
        <w:t xml:space="preserve"> </w:t>
      </w:r>
      <w:r w:rsidR="009226E7" w:rsidRPr="009226E7">
        <w:rPr>
          <w:rFonts w:ascii="Arial" w:hAnsi="Arial" w:cs="Arial"/>
          <w:color w:val="0D0D0D" w:themeColor="text1" w:themeTint="F2"/>
          <w:sz w:val="24"/>
          <w:szCs w:val="24"/>
        </w:rPr>
        <w:t>(Rosenberger et al., 2024).</w:t>
      </w:r>
    </w:p>
    <w:p w14:paraId="7A2981C0" w14:textId="77777777"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Evaluation (effectiveness vs macro forces).</w:t>
      </w:r>
    </w:p>
    <w:p w14:paraId="2563A1D5" w14:textId="29D47B7A" w:rsidR="00AD2A14" w:rsidRPr="00CA509B" w:rsidRDefault="00AD2A14" w:rsidP="00754EB3">
      <w:pPr>
        <w:numPr>
          <w:ilvl w:val="0"/>
          <w:numId w:val="14"/>
        </w:numPr>
        <w:spacing w:line="360" w:lineRule="auto"/>
        <w:jc w:val="both"/>
        <w:rPr>
          <w:rFonts w:ascii="Arial" w:hAnsi="Arial" w:cs="Arial"/>
          <w:color w:val="0D0D0D" w:themeColor="text1" w:themeTint="F2"/>
          <w:sz w:val="24"/>
          <w:szCs w:val="24"/>
        </w:rPr>
      </w:pPr>
      <w:r w:rsidRPr="00CA509B">
        <w:rPr>
          <w:rFonts w:ascii="Arial" w:hAnsi="Arial" w:cs="Arial"/>
          <w:color w:val="0D0D0D" w:themeColor="text1" w:themeTint="F2"/>
          <w:sz w:val="24"/>
          <w:szCs w:val="24"/>
        </w:rPr>
        <w:t xml:space="preserve">Against </w:t>
      </w:r>
      <w:r w:rsidRPr="00CA509B">
        <w:rPr>
          <w:rFonts w:ascii="Arial" w:hAnsi="Arial" w:cs="Arial"/>
          <w:b/>
          <w:bCs/>
          <w:color w:val="0D0D0D" w:themeColor="text1" w:themeTint="F2"/>
          <w:sz w:val="24"/>
          <w:szCs w:val="24"/>
        </w:rPr>
        <w:t>political/legal</w:t>
      </w:r>
      <w:r w:rsidRPr="00CA509B">
        <w:rPr>
          <w:rFonts w:ascii="Arial" w:hAnsi="Arial" w:cs="Arial"/>
          <w:color w:val="0D0D0D" w:themeColor="text1" w:themeTint="F2"/>
          <w:sz w:val="24"/>
          <w:szCs w:val="24"/>
        </w:rPr>
        <w:t xml:space="preserve"> forces, </w:t>
      </w:r>
      <w:proofErr w:type="gramStart"/>
      <w:r w:rsidR="00B66472" w:rsidRPr="00B66472">
        <w:rPr>
          <w:rFonts w:ascii="Arial" w:hAnsi="Arial" w:cs="Arial"/>
          <w:color w:val="0D0D0D" w:themeColor="text1" w:themeTint="F2"/>
          <w:sz w:val="24"/>
          <w:szCs w:val="24"/>
        </w:rPr>
        <w:t>The</w:t>
      </w:r>
      <w:proofErr w:type="gramEnd"/>
      <w:r w:rsidR="00B66472" w:rsidRPr="00B66472">
        <w:rPr>
          <w:rFonts w:ascii="Arial" w:hAnsi="Arial" w:cs="Arial"/>
          <w:color w:val="0D0D0D" w:themeColor="text1" w:themeTint="F2"/>
          <w:sz w:val="24"/>
          <w:szCs w:val="24"/>
        </w:rPr>
        <w:t xml:space="preserve"> most </w:t>
      </w:r>
      <w:proofErr w:type="spellStart"/>
      <w:r w:rsidR="00B66472" w:rsidRPr="00B66472">
        <w:rPr>
          <w:rFonts w:ascii="Arial" w:hAnsi="Arial" w:cs="Arial"/>
          <w:color w:val="0D0D0D" w:themeColor="text1" w:themeTint="F2"/>
          <w:sz w:val="24"/>
          <w:szCs w:val="24"/>
        </w:rPr>
        <w:t>favorable</w:t>
      </w:r>
      <w:proofErr w:type="spellEnd"/>
      <w:r w:rsidR="00B66472" w:rsidRPr="00B66472">
        <w:rPr>
          <w:rFonts w:ascii="Arial" w:hAnsi="Arial" w:cs="Arial"/>
          <w:color w:val="0D0D0D" w:themeColor="text1" w:themeTint="F2"/>
          <w:sz w:val="24"/>
          <w:szCs w:val="24"/>
        </w:rPr>
        <w:t xml:space="preserve"> reaction of Ford is to compete and win by parts that could absorb the complexity of the transition (commercial/fleet) and develop the cost structure of mass EV competitiveness. Ford Pro performance indicates that this is the most powerful pillar at present, growth + resilience</w:t>
      </w:r>
      <w:r w:rsidR="00BA2B4E">
        <w:rPr>
          <w:rFonts w:ascii="Arial" w:hAnsi="Arial" w:cs="Arial"/>
          <w:color w:val="0D0D0D" w:themeColor="text1" w:themeTint="F2"/>
          <w:sz w:val="24"/>
          <w:szCs w:val="24"/>
        </w:rPr>
        <w:t xml:space="preserve"> </w:t>
      </w:r>
      <w:r w:rsidR="00BA2B4E" w:rsidRPr="00BA2B4E">
        <w:rPr>
          <w:rFonts w:ascii="Arial" w:hAnsi="Arial" w:cs="Arial"/>
          <w:color w:val="0D0D0D" w:themeColor="text1" w:themeTint="F2"/>
          <w:sz w:val="24"/>
          <w:szCs w:val="24"/>
        </w:rPr>
        <w:t>(Rosenberger et al., 2024).</w:t>
      </w:r>
    </w:p>
    <w:p w14:paraId="7A441E40" w14:textId="06131015" w:rsidR="00AD2A14" w:rsidRPr="00CA509B" w:rsidRDefault="00AD2A14" w:rsidP="00754EB3">
      <w:pPr>
        <w:numPr>
          <w:ilvl w:val="0"/>
          <w:numId w:val="14"/>
        </w:numPr>
        <w:spacing w:line="360" w:lineRule="auto"/>
        <w:jc w:val="both"/>
        <w:rPr>
          <w:rFonts w:ascii="Arial" w:hAnsi="Arial" w:cs="Arial"/>
          <w:color w:val="0D0D0D" w:themeColor="text1" w:themeTint="F2"/>
          <w:sz w:val="24"/>
          <w:szCs w:val="24"/>
        </w:rPr>
      </w:pPr>
      <w:r w:rsidRPr="00CA509B">
        <w:rPr>
          <w:rFonts w:ascii="Arial" w:hAnsi="Arial" w:cs="Arial"/>
          <w:color w:val="0D0D0D" w:themeColor="text1" w:themeTint="F2"/>
          <w:sz w:val="24"/>
          <w:szCs w:val="24"/>
        </w:rPr>
        <w:lastRenderedPageBreak/>
        <w:t xml:space="preserve">Against </w:t>
      </w:r>
      <w:r w:rsidRPr="00CA509B">
        <w:rPr>
          <w:rFonts w:ascii="Arial" w:hAnsi="Arial" w:cs="Arial"/>
          <w:b/>
          <w:bCs/>
          <w:color w:val="0D0D0D" w:themeColor="text1" w:themeTint="F2"/>
          <w:sz w:val="24"/>
          <w:szCs w:val="24"/>
        </w:rPr>
        <w:t>technological</w:t>
      </w:r>
      <w:r w:rsidRPr="00CA509B">
        <w:rPr>
          <w:rFonts w:ascii="Arial" w:hAnsi="Arial" w:cs="Arial"/>
          <w:color w:val="0D0D0D" w:themeColor="text1" w:themeTint="F2"/>
          <w:sz w:val="24"/>
          <w:szCs w:val="24"/>
        </w:rPr>
        <w:t xml:space="preserve"> forces, </w:t>
      </w:r>
      <w:r w:rsidR="00B66472" w:rsidRPr="00B66472">
        <w:rPr>
          <w:rFonts w:ascii="Arial" w:hAnsi="Arial" w:cs="Arial"/>
          <w:color w:val="0D0D0D" w:themeColor="text1" w:themeTint="F2"/>
          <w:sz w:val="24"/>
          <w:szCs w:val="24"/>
        </w:rPr>
        <w:t xml:space="preserve">Risk at Ford is speed of iteration. Its mitigation strategy is to </w:t>
      </w:r>
      <w:proofErr w:type="spellStart"/>
      <w:r w:rsidR="00B66472" w:rsidRPr="00B66472">
        <w:rPr>
          <w:rFonts w:ascii="Arial" w:hAnsi="Arial" w:cs="Arial"/>
          <w:color w:val="0D0D0D" w:themeColor="text1" w:themeTint="F2"/>
          <w:sz w:val="24"/>
          <w:szCs w:val="24"/>
        </w:rPr>
        <w:t>servitise</w:t>
      </w:r>
      <w:proofErr w:type="spellEnd"/>
      <w:r w:rsidR="00B66472" w:rsidRPr="00B66472">
        <w:rPr>
          <w:rFonts w:ascii="Arial" w:hAnsi="Arial" w:cs="Arial"/>
          <w:color w:val="0D0D0D" w:themeColor="text1" w:themeTint="F2"/>
          <w:sz w:val="24"/>
          <w:szCs w:val="24"/>
        </w:rPr>
        <w:t xml:space="preserve"> the relationship (subscriptions, telematics, ADAS) and develop always-on digital experience capacity that transforms technology into a recurring-value engine and not a product feature (Ford, 2026).</w:t>
      </w:r>
    </w:p>
    <w:p w14:paraId="22496E18" w14:textId="77777777"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Comparative judgement: whose strategy better sustains competitive advantage?</w:t>
      </w:r>
    </w:p>
    <w:p w14:paraId="1B7B6BE4" w14:textId="6C02C63A" w:rsidR="00C40E44" w:rsidRPr="00CA509B" w:rsidRDefault="00B86D04" w:rsidP="00754EB3">
      <w:pPr>
        <w:spacing w:line="360" w:lineRule="auto"/>
        <w:jc w:val="both"/>
        <w:rPr>
          <w:rFonts w:ascii="Arial" w:hAnsi="Arial" w:cs="Arial"/>
          <w:color w:val="0D0D0D" w:themeColor="text1" w:themeTint="F2"/>
          <w:sz w:val="24"/>
          <w:szCs w:val="24"/>
          <w:lang w:val="en-US"/>
        </w:rPr>
      </w:pPr>
      <w:r w:rsidRPr="00B86D04">
        <w:rPr>
          <w:rFonts w:ascii="Arial" w:hAnsi="Arial" w:cs="Arial"/>
          <w:color w:val="0D0D0D" w:themeColor="text1" w:themeTint="F2"/>
          <w:sz w:val="24"/>
          <w:szCs w:val="24"/>
          <w:lang w:val="en-US"/>
        </w:rPr>
        <w:t>Tesla has a comparative advantage in a mandate market, where it is structurally aligned to zero-emission compliance and has the capability to scale a uniform global EV brand (Yeung, 2025). Convergence is its major weakness: as competitors narrow down distances, charging access and software, the only way to differentiate is through ecosystem lock-in, service quality and ongoing innovation (</w:t>
      </w:r>
      <w:proofErr w:type="spellStart"/>
      <w:r w:rsidRPr="00B86D04">
        <w:rPr>
          <w:rFonts w:ascii="Arial" w:hAnsi="Arial" w:cs="Arial"/>
          <w:color w:val="0D0D0D" w:themeColor="text1" w:themeTint="F2"/>
          <w:sz w:val="24"/>
          <w:szCs w:val="24"/>
          <w:lang w:val="en-US"/>
        </w:rPr>
        <w:t>Leibenath</w:t>
      </w:r>
      <w:proofErr w:type="spellEnd"/>
      <w:r w:rsidRPr="00B86D04">
        <w:rPr>
          <w:rFonts w:ascii="Arial" w:hAnsi="Arial" w:cs="Arial"/>
          <w:color w:val="0D0D0D" w:themeColor="text1" w:themeTint="F2"/>
          <w:sz w:val="24"/>
          <w:szCs w:val="24"/>
          <w:lang w:val="en-US"/>
        </w:rPr>
        <w:t>, 2024). Ford strategy that focuses on protection of cash flows and expansion of EVs based on commercial focus, partnering and building capabilities in software and services are the key strategies; this is the primary risk as capabilities need to be renewed at a high rate to prevent the sustained gap in the platform (Park and Yi, 2023).</w:t>
      </w:r>
    </w:p>
    <w:p w14:paraId="7AABE93A" w14:textId="77777777" w:rsidR="00AD2A14" w:rsidRPr="00CA509B" w:rsidRDefault="00AD2A14" w:rsidP="00754EB3">
      <w:pPr>
        <w:spacing w:line="360" w:lineRule="auto"/>
        <w:jc w:val="both"/>
        <w:rPr>
          <w:rFonts w:ascii="Arial" w:hAnsi="Arial" w:cs="Arial"/>
          <w:color w:val="0D0D0D" w:themeColor="text1" w:themeTint="F2"/>
          <w:sz w:val="24"/>
          <w:szCs w:val="24"/>
        </w:rPr>
      </w:pPr>
      <w:r w:rsidRPr="00CA509B">
        <w:rPr>
          <w:rFonts w:ascii="Arial" w:hAnsi="Arial" w:cs="Arial"/>
          <w:b/>
          <w:bCs/>
          <w:color w:val="0D0D0D" w:themeColor="text1" w:themeTint="F2"/>
          <w:sz w:val="24"/>
          <w:szCs w:val="24"/>
        </w:rPr>
        <w:t>Table: Task 2 comparison using Porter + Ansoff</w:t>
      </w:r>
    </w:p>
    <w:p w14:paraId="4D88915A" w14:textId="7247F6C9" w:rsidR="00AD2A14" w:rsidRPr="009A209D" w:rsidRDefault="00E30E97" w:rsidP="00626CC2">
      <w:pPr>
        <w:spacing w:line="360" w:lineRule="auto"/>
        <w:jc w:val="center"/>
        <w:rPr>
          <w:rFonts w:ascii="Arial" w:hAnsi="Arial" w:cs="Arial"/>
          <w:color w:val="0D0D0D" w:themeColor="text1" w:themeTint="F2"/>
          <w:sz w:val="24"/>
          <w:szCs w:val="24"/>
        </w:rPr>
      </w:pPr>
      <w:r>
        <w:rPr>
          <w:noProof/>
        </w:rPr>
        <w:drawing>
          <wp:inline distT="0" distB="0" distL="0" distR="0" wp14:anchorId="4DD38038" wp14:editId="6BEB24A0">
            <wp:extent cx="4211392" cy="3733111"/>
            <wp:effectExtent l="0" t="0" r="0" b="1270"/>
            <wp:docPr id="229540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40588" name=""/>
                    <pic:cNvPicPr/>
                  </pic:nvPicPr>
                  <pic:blipFill>
                    <a:blip r:embed="rId17"/>
                    <a:stretch>
                      <a:fillRect/>
                    </a:stretch>
                  </pic:blipFill>
                  <pic:spPr>
                    <a:xfrm>
                      <a:off x="0" y="0"/>
                      <a:ext cx="4215642" cy="3736879"/>
                    </a:xfrm>
                    <a:prstGeom prst="rect">
                      <a:avLst/>
                    </a:prstGeom>
                  </pic:spPr>
                </pic:pic>
              </a:graphicData>
            </a:graphic>
          </wp:inline>
        </w:drawing>
      </w:r>
    </w:p>
    <w:p w14:paraId="71A8430A" w14:textId="11F3B58D" w:rsidR="00AD2A14" w:rsidRPr="009A3A8E" w:rsidRDefault="00AD2A14" w:rsidP="0069544A">
      <w:pPr>
        <w:pStyle w:val="Heading1"/>
        <w:spacing w:line="360" w:lineRule="auto"/>
        <w:rPr>
          <w:rFonts w:ascii="Arial" w:hAnsi="Arial" w:cs="Arial"/>
          <w:sz w:val="24"/>
          <w:szCs w:val="24"/>
        </w:rPr>
      </w:pPr>
      <w:bookmarkStart w:id="31" w:name="_Toc223106549"/>
      <w:r w:rsidRPr="009A3A8E">
        <w:rPr>
          <w:rFonts w:ascii="Arial" w:hAnsi="Arial" w:cs="Arial"/>
          <w:sz w:val="24"/>
          <w:szCs w:val="24"/>
        </w:rPr>
        <w:lastRenderedPageBreak/>
        <w:t>References</w:t>
      </w:r>
      <w:bookmarkEnd w:id="31"/>
    </w:p>
    <w:p w14:paraId="39FA7AC2" w14:textId="3F4F1929" w:rsidR="002B5642" w:rsidRPr="009A3A8E" w:rsidRDefault="002B5642" w:rsidP="0069544A">
      <w:pPr>
        <w:spacing w:line="360" w:lineRule="auto"/>
        <w:jc w:val="both"/>
        <w:rPr>
          <w:rFonts w:ascii="Arial" w:hAnsi="Arial" w:cs="Arial"/>
          <w:sz w:val="24"/>
          <w:szCs w:val="24"/>
        </w:rPr>
      </w:pPr>
      <w:proofErr w:type="spellStart"/>
      <w:r w:rsidRPr="00191CDD">
        <w:rPr>
          <w:rFonts w:ascii="Arial" w:hAnsi="Arial" w:cs="Arial"/>
          <w:sz w:val="24"/>
          <w:szCs w:val="24"/>
        </w:rPr>
        <w:t>Bhadkamar</w:t>
      </w:r>
      <w:proofErr w:type="spellEnd"/>
      <w:r w:rsidRPr="00191CDD">
        <w:rPr>
          <w:rFonts w:ascii="Arial" w:hAnsi="Arial" w:cs="Arial"/>
          <w:sz w:val="24"/>
          <w:szCs w:val="24"/>
        </w:rPr>
        <w:t>, A. and Bhattacharya, S. (2022). Tesla Inc. Stock Prediction using Sentiment Analysis. </w:t>
      </w:r>
      <w:r w:rsidRPr="00191CDD">
        <w:rPr>
          <w:rFonts w:ascii="Arial" w:hAnsi="Arial" w:cs="Arial"/>
          <w:i/>
          <w:iCs/>
          <w:sz w:val="24"/>
          <w:szCs w:val="24"/>
        </w:rPr>
        <w:t>Australasian Business, Accounting and Finance Journal</w:t>
      </w:r>
      <w:r w:rsidRPr="00191CDD">
        <w:rPr>
          <w:rFonts w:ascii="Arial" w:hAnsi="Arial" w:cs="Arial"/>
          <w:sz w:val="24"/>
          <w:szCs w:val="24"/>
        </w:rPr>
        <w:t xml:space="preserve">, [online] 16(5), pp.52–66.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18" w:history="1">
        <w:r w:rsidRPr="009A3A8E">
          <w:rPr>
            <w:rStyle w:val="Hyperlink"/>
            <w:rFonts w:ascii="Arial" w:hAnsi="Arial" w:cs="Arial"/>
            <w:sz w:val="24"/>
            <w:szCs w:val="24"/>
          </w:rPr>
          <w:t>https://doi</w:t>
        </w:r>
        <w:r w:rsidRPr="00191CDD">
          <w:rPr>
            <w:rStyle w:val="Hyperlink"/>
            <w:rFonts w:ascii="Arial" w:hAnsi="Arial" w:cs="Arial"/>
            <w:sz w:val="24"/>
            <w:szCs w:val="24"/>
          </w:rPr>
          <w:t>.org/10.14453/aabfj.v16i5.05</w:t>
        </w:r>
      </w:hyperlink>
      <w:r w:rsidRPr="00191CDD">
        <w:rPr>
          <w:rFonts w:ascii="Arial" w:hAnsi="Arial" w:cs="Arial"/>
          <w:sz w:val="24"/>
          <w:szCs w:val="24"/>
        </w:rPr>
        <w:t>.</w:t>
      </w:r>
    </w:p>
    <w:p w14:paraId="610DA1C0" w14:textId="77777777" w:rsidR="002B5642" w:rsidRPr="00191CDD" w:rsidRDefault="002B5642" w:rsidP="0069544A">
      <w:pPr>
        <w:spacing w:line="360" w:lineRule="auto"/>
        <w:jc w:val="both"/>
        <w:rPr>
          <w:rFonts w:ascii="Arial" w:hAnsi="Arial" w:cs="Arial"/>
          <w:sz w:val="24"/>
          <w:szCs w:val="24"/>
        </w:rPr>
      </w:pPr>
    </w:p>
    <w:p w14:paraId="594444D5" w14:textId="77777777" w:rsidR="002B5642" w:rsidRPr="008120C5" w:rsidRDefault="002B5642" w:rsidP="0069544A">
      <w:pPr>
        <w:spacing w:line="360" w:lineRule="auto"/>
        <w:jc w:val="both"/>
        <w:rPr>
          <w:rFonts w:ascii="Arial" w:hAnsi="Arial" w:cs="Arial"/>
          <w:sz w:val="24"/>
          <w:szCs w:val="24"/>
        </w:rPr>
      </w:pPr>
      <w:r w:rsidRPr="008120C5">
        <w:rPr>
          <w:rFonts w:ascii="Arial" w:hAnsi="Arial" w:cs="Arial"/>
          <w:sz w:val="24"/>
          <w:szCs w:val="24"/>
        </w:rPr>
        <w:t>Department for Transport (2026). Electric vehicle charging infrastructure statistics: frequently asked questions. [online] GOV.UK. Available at: https://www.gov.uk/government/publications/electric-vehicle-charging-device-statistics-information/electric-vehicle-charging-infrastructure-statistics-frequently-asked-questions [Accessed 27 Feb. 2026].</w:t>
      </w:r>
    </w:p>
    <w:p w14:paraId="3F10EFE4" w14:textId="77777777" w:rsidR="002B5642" w:rsidRPr="009A3A8E" w:rsidRDefault="002B5642" w:rsidP="0069544A">
      <w:pPr>
        <w:spacing w:line="360" w:lineRule="auto"/>
        <w:jc w:val="both"/>
        <w:rPr>
          <w:rFonts w:ascii="Arial" w:hAnsi="Arial" w:cs="Arial"/>
          <w:sz w:val="24"/>
          <w:szCs w:val="24"/>
        </w:rPr>
      </w:pPr>
    </w:p>
    <w:p w14:paraId="2B118FD9" w14:textId="1D116308" w:rsidR="002B5642" w:rsidRPr="009A3A8E" w:rsidRDefault="002B5642" w:rsidP="0069544A">
      <w:pPr>
        <w:spacing w:line="360" w:lineRule="auto"/>
        <w:jc w:val="both"/>
        <w:rPr>
          <w:rFonts w:ascii="Arial" w:hAnsi="Arial" w:cs="Arial"/>
          <w:sz w:val="24"/>
          <w:szCs w:val="24"/>
        </w:rPr>
      </w:pPr>
      <w:r w:rsidRPr="009A3A8E">
        <w:rPr>
          <w:rFonts w:ascii="Arial" w:hAnsi="Arial" w:cs="Arial"/>
          <w:sz w:val="24"/>
          <w:szCs w:val="24"/>
        </w:rPr>
        <w:t xml:space="preserve">DiMaggio, P.J. and Powell, W.W. (1983) The Iron Cage Revisited Institutional Isomorphism and Collective Rationality in Organizational Fields. American Sociological Review, 48, 147-160. - References - Scientific Research Publishing. [online] Available at: </w:t>
      </w:r>
      <w:hyperlink r:id="rId19" w:history="1">
        <w:r w:rsidRPr="009A3A8E">
          <w:rPr>
            <w:rStyle w:val="Hyperlink"/>
            <w:rFonts w:ascii="Arial" w:hAnsi="Arial" w:cs="Arial"/>
            <w:sz w:val="24"/>
            <w:szCs w:val="24"/>
          </w:rPr>
          <w:t>https://www.scirp.org/reference/referencespapers?referenceid=2494584</w:t>
        </w:r>
      </w:hyperlink>
      <w:r w:rsidRPr="009A3A8E">
        <w:rPr>
          <w:rFonts w:ascii="Arial" w:hAnsi="Arial" w:cs="Arial"/>
          <w:sz w:val="24"/>
          <w:szCs w:val="24"/>
        </w:rPr>
        <w:t>.</w:t>
      </w:r>
    </w:p>
    <w:p w14:paraId="4991E3D0" w14:textId="77777777" w:rsidR="002B5642" w:rsidRPr="009A3A8E" w:rsidRDefault="002B5642" w:rsidP="0069544A">
      <w:pPr>
        <w:spacing w:line="360" w:lineRule="auto"/>
        <w:jc w:val="both"/>
        <w:rPr>
          <w:rFonts w:ascii="Arial" w:hAnsi="Arial" w:cs="Arial"/>
          <w:sz w:val="24"/>
          <w:szCs w:val="24"/>
        </w:rPr>
      </w:pPr>
    </w:p>
    <w:p w14:paraId="57D36EC5" w14:textId="75985E8E"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Dreiling, A. and Bican, P.M. (2022). Pioneer or Follower. </w:t>
      </w:r>
      <w:r w:rsidRPr="00191CDD">
        <w:rPr>
          <w:rFonts w:ascii="Arial" w:hAnsi="Arial" w:cs="Arial"/>
          <w:i/>
          <w:iCs/>
          <w:sz w:val="24"/>
          <w:szCs w:val="24"/>
        </w:rPr>
        <w:t>Routledge eBooks</w:t>
      </w:r>
      <w:r w:rsidRPr="00191CDD">
        <w:rPr>
          <w:rFonts w:ascii="Arial" w:hAnsi="Arial" w:cs="Arial"/>
          <w:sz w:val="24"/>
          <w:szCs w:val="24"/>
        </w:rPr>
        <w:t xml:space="preserve">, pp.100–115.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0" w:history="1">
        <w:r w:rsidRPr="009A3A8E">
          <w:rPr>
            <w:rStyle w:val="Hyperlink"/>
            <w:rFonts w:ascii="Arial" w:hAnsi="Arial" w:cs="Arial"/>
            <w:sz w:val="24"/>
            <w:szCs w:val="24"/>
          </w:rPr>
          <w:t>https://doi</w:t>
        </w:r>
        <w:r w:rsidRPr="00191CDD">
          <w:rPr>
            <w:rStyle w:val="Hyperlink"/>
            <w:rFonts w:ascii="Arial" w:hAnsi="Arial" w:cs="Arial"/>
            <w:sz w:val="24"/>
            <w:szCs w:val="24"/>
          </w:rPr>
          <w:t>.org/10.4324/9781003046899-10</w:t>
        </w:r>
      </w:hyperlink>
      <w:r w:rsidRPr="00191CDD">
        <w:rPr>
          <w:rFonts w:ascii="Arial" w:hAnsi="Arial" w:cs="Arial"/>
          <w:sz w:val="24"/>
          <w:szCs w:val="24"/>
        </w:rPr>
        <w:t>.</w:t>
      </w:r>
    </w:p>
    <w:p w14:paraId="01C62969" w14:textId="77777777" w:rsidR="002B5642" w:rsidRPr="009A3A8E" w:rsidRDefault="002B5642" w:rsidP="0069544A">
      <w:pPr>
        <w:spacing w:line="360" w:lineRule="auto"/>
        <w:jc w:val="both"/>
        <w:rPr>
          <w:rFonts w:ascii="Arial" w:hAnsi="Arial" w:cs="Arial"/>
          <w:sz w:val="24"/>
          <w:szCs w:val="24"/>
        </w:rPr>
      </w:pPr>
    </w:p>
    <w:p w14:paraId="54C057E7" w14:textId="1A4BE3B6"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EVA England (n.d.) </w:t>
      </w:r>
      <w:r w:rsidRPr="009A3A8E">
        <w:rPr>
          <w:rFonts w:ascii="Arial" w:hAnsi="Arial" w:cs="Arial"/>
          <w:sz w:val="24"/>
          <w:szCs w:val="24"/>
        </w:rPr>
        <w:t xml:space="preserve">ZEV Mandate Explained: What Fleets Need to Know. [online] U-drivepro.co.uk. Available at: </w:t>
      </w:r>
      <w:hyperlink r:id="rId21" w:history="1">
        <w:r w:rsidRPr="009A3A8E">
          <w:rPr>
            <w:rStyle w:val="Hyperlink"/>
            <w:rFonts w:ascii="Arial" w:hAnsi="Arial" w:cs="Arial"/>
            <w:sz w:val="24"/>
            <w:szCs w:val="24"/>
          </w:rPr>
          <w:t>https://www.u-drivepro.co.uk/about-us/news/zev-mandate-explained-what-fleets-need-know</w:t>
        </w:r>
      </w:hyperlink>
      <w:r w:rsidRPr="009A3A8E">
        <w:rPr>
          <w:rFonts w:ascii="Arial" w:hAnsi="Arial" w:cs="Arial"/>
          <w:sz w:val="24"/>
          <w:szCs w:val="24"/>
        </w:rPr>
        <w:t>.</w:t>
      </w:r>
    </w:p>
    <w:p w14:paraId="7454C026" w14:textId="77777777" w:rsidR="002B5642" w:rsidRPr="009A3A8E" w:rsidRDefault="002B5642" w:rsidP="0069544A">
      <w:pPr>
        <w:spacing w:line="360" w:lineRule="auto"/>
        <w:jc w:val="both"/>
        <w:rPr>
          <w:rFonts w:ascii="Arial" w:hAnsi="Arial" w:cs="Arial"/>
          <w:sz w:val="24"/>
          <w:szCs w:val="24"/>
        </w:rPr>
      </w:pPr>
    </w:p>
    <w:p w14:paraId="4166F6EE" w14:textId="3DD9EF29"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Fan, B., Li, B. and Yao, C. (2024). Analysis of the Development of China’s New Energy Vehicle Industry and Its Export Market Expansion to the UK. </w:t>
      </w:r>
      <w:r w:rsidRPr="00191CDD">
        <w:rPr>
          <w:rFonts w:ascii="Arial" w:hAnsi="Arial" w:cs="Arial"/>
          <w:i/>
          <w:iCs/>
          <w:sz w:val="24"/>
          <w:szCs w:val="24"/>
        </w:rPr>
        <w:t>Journal of Business and Marketing</w:t>
      </w:r>
      <w:r w:rsidRPr="00191CDD">
        <w:rPr>
          <w:rFonts w:ascii="Arial" w:hAnsi="Arial" w:cs="Arial"/>
          <w:sz w:val="24"/>
          <w:szCs w:val="24"/>
        </w:rPr>
        <w:t xml:space="preserve">, 1(6), pp.37–49.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2" w:history="1">
        <w:r w:rsidRPr="009A3A8E">
          <w:rPr>
            <w:rStyle w:val="Hyperlink"/>
            <w:rFonts w:ascii="Arial" w:hAnsi="Arial" w:cs="Arial"/>
            <w:sz w:val="24"/>
            <w:szCs w:val="24"/>
          </w:rPr>
          <w:t>https://doi</w:t>
        </w:r>
        <w:r w:rsidRPr="00191CDD">
          <w:rPr>
            <w:rStyle w:val="Hyperlink"/>
            <w:rFonts w:ascii="Arial" w:hAnsi="Arial" w:cs="Arial"/>
            <w:sz w:val="24"/>
            <w:szCs w:val="24"/>
          </w:rPr>
          <w:t>.org/10.62517/jbm.202409606</w:t>
        </w:r>
      </w:hyperlink>
      <w:r w:rsidRPr="00191CDD">
        <w:rPr>
          <w:rFonts w:ascii="Arial" w:hAnsi="Arial" w:cs="Arial"/>
          <w:sz w:val="24"/>
          <w:szCs w:val="24"/>
        </w:rPr>
        <w:t>.</w:t>
      </w:r>
    </w:p>
    <w:p w14:paraId="3D122942" w14:textId="0446D4E2"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Faris, M. (2023). </w:t>
      </w:r>
      <w:r w:rsidRPr="00191CDD">
        <w:rPr>
          <w:rFonts w:ascii="Arial" w:hAnsi="Arial" w:cs="Arial"/>
          <w:i/>
          <w:iCs/>
          <w:sz w:val="24"/>
          <w:szCs w:val="24"/>
        </w:rPr>
        <w:t>Analysis of Fundamental and Technical Financial Ford Motor Company with The Arrangements of Implication Black Volatility</w:t>
      </w:r>
      <w:r w:rsidRPr="00191CDD">
        <w:rPr>
          <w:rFonts w:ascii="Arial" w:hAnsi="Arial" w:cs="Arial"/>
          <w:sz w:val="24"/>
          <w:szCs w:val="24"/>
        </w:rPr>
        <w:t xml:space="preserve">. [online] Social Science Research Network.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3" w:history="1">
        <w:r w:rsidRPr="009A3A8E">
          <w:rPr>
            <w:rStyle w:val="Hyperlink"/>
            <w:rFonts w:ascii="Arial" w:hAnsi="Arial" w:cs="Arial"/>
            <w:sz w:val="24"/>
            <w:szCs w:val="24"/>
          </w:rPr>
          <w:t>https://doi</w:t>
        </w:r>
        <w:r w:rsidRPr="00191CDD">
          <w:rPr>
            <w:rStyle w:val="Hyperlink"/>
            <w:rFonts w:ascii="Arial" w:hAnsi="Arial" w:cs="Arial"/>
            <w:sz w:val="24"/>
            <w:szCs w:val="24"/>
          </w:rPr>
          <w:t>.org/10.2139/ssrn.4482880</w:t>
        </w:r>
      </w:hyperlink>
      <w:r w:rsidRPr="00191CDD">
        <w:rPr>
          <w:rFonts w:ascii="Arial" w:hAnsi="Arial" w:cs="Arial"/>
          <w:sz w:val="24"/>
          <w:szCs w:val="24"/>
        </w:rPr>
        <w:t>.</w:t>
      </w:r>
    </w:p>
    <w:p w14:paraId="373E1A3B" w14:textId="77777777" w:rsidR="002B5642" w:rsidRPr="009A3A8E" w:rsidRDefault="002B5642" w:rsidP="0069544A">
      <w:pPr>
        <w:spacing w:line="360" w:lineRule="auto"/>
        <w:jc w:val="both"/>
        <w:rPr>
          <w:rFonts w:ascii="Arial" w:hAnsi="Arial" w:cs="Arial"/>
          <w:sz w:val="24"/>
          <w:szCs w:val="24"/>
        </w:rPr>
      </w:pPr>
    </w:p>
    <w:p w14:paraId="17079F96" w14:textId="3D32A0C1"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 xml:space="preserve">Farrukh, C., Routley, M., Manthos Kotsiopoulos and </w:t>
      </w:r>
      <w:proofErr w:type="spellStart"/>
      <w:r w:rsidRPr="00191CDD">
        <w:rPr>
          <w:rFonts w:ascii="Arial" w:hAnsi="Arial" w:cs="Arial"/>
          <w:sz w:val="24"/>
          <w:szCs w:val="24"/>
        </w:rPr>
        <w:t>Athanassopoulou</w:t>
      </w:r>
      <w:proofErr w:type="spellEnd"/>
      <w:r w:rsidRPr="00191CDD">
        <w:rPr>
          <w:rFonts w:ascii="Arial" w:hAnsi="Arial" w:cs="Arial"/>
          <w:sz w:val="24"/>
          <w:szCs w:val="24"/>
        </w:rPr>
        <w:t>, N. (2025). Profiling innovation velocity in automotive and hydrogen production settings. </w:t>
      </w:r>
      <w:r w:rsidRPr="00191CDD">
        <w:rPr>
          <w:rFonts w:ascii="Arial" w:hAnsi="Arial" w:cs="Arial"/>
          <w:i/>
          <w:iCs/>
          <w:sz w:val="24"/>
          <w:szCs w:val="24"/>
        </w:rPr>
        <w:t>Cam.ac.uk</w:t>
      </w:r>
      <w:r w:rsidRPr="00191CDD">
        <w:rPr>
          <w:rFonts w:ascii="Arial" w:hAnsi="Arial" w:cs="Arial"/>
          <w:sz w:val="24"/>
          <w:szCs w:val="24"/>
        </w:rPr>
        <w:t xml:space="preserve">. [online]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4" w:history="1">
        <w:r w:rsidRPr="009A3A8E">
          <w:rPr>
            <w:rStyle w:val="Hyperlink"/>
            <w:rFonts w:ascii="Arial" w:hAnsi="Arial" w:cs="Arial"/>
            <w:sz w:val="24"/>
            <w:szCs w:val="24"/>
          </w:rPr>
          <w:t>https://doi</w:t>
        </w:r>
        <w:r w:rsidRPr="00191CDD">
          <w:rPr>
            <w:rStyle w:val="Hyperlink"/>
            <w:rFonts w:ascii="Arial" w:hAnsi="Arial" w:cs="Arial"/>
            <w:sz w:val="24"/>
            <w:szCs w:val="24"/>
          </w:rPr>
          <w:t>.org/10.17863/CAM.122174</w:t>
        </w:r>
      </w:hyperlink>
      <w:r w:rsidRPr="00191CDD">
        <w:rPr>
          <w:rFonts w:ascii="Arial" w:hAnsi="Arial" w:cs="Arial"/>
          <w:sz w:val="24"/>
          <w:szCs w:val="24"/>
        </w:rPr>
        <w:t>.</w:t>
      </w:r>
    </w:p>
    <w:p w14:paraId="78AC9C9F" w14:textId="77777777" w:rsidR="002B5642" w:rsidRPr="009A3A8E" w:rsidRDefault="002B5642" w:rsidP="0069544A">
      <w:pPr>
        <w:spacing w:line="360" w:lineRule="auto"/>
        <w:jc w:val="both"/>
        <w:rPr>
          <w:rFonts w:ascii="Arial" w:hAnsi="Arial" w:cs="Arial"/>
          <w:sz w:val="24"/>
          <w:szCs w:val="24"/>
        </w:rPr>
      </w:pPr>
    </w:p>
    <w:p w14:paraId="5F980D5C" w14:textId="5A4DE08E"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Financial Times (2026) </w:t>
      </w:r>
      <w:r w:rsidRPr="009A3A8E">
        <w:rPr>
          <w:rFonts w:ascii="Arial" w:hAnsi="Arial" w:cs="Arial"/>
          <w:sz w:val="24"/>
          <w:szCs w:val="24"/>
        </w:rPr>
        <w:t xml:space="preserve">UK needs far faster EV charger rollout to hit 2030 demand. [online] @FinancialTimes. Available at: </w:t>
      </w:r>
      <w:hyperlink r:id="rId25" w:history="1">
        <w:r w:rsidRPr="009A3A8E">
          <w:rPr>
            <w:rStyle w:val="Hyperlink"/>
            <w:rFonts w:ascii="Arial" w:hAnsi="Arial" w:cs="Arial"/>
            <w:sz w:val="24"/>
            <w:szCs w:val="24"/>
          </w:rPr>
          <w:t>https://www.ft.com/content/611599ea-9e61-4366-881b-d66126f9f185</w:t>
        </w:r>
      </w:hyperlink>
      <w:r w:rsidRPr="009A3A8E">
        <w:rPr>
          <w:rFonts w:ascii="Arial" w:hAnsi="Arial" w:cs="Arial"/>
          <w:sz w:val="24"/>
          <w:szCs w:val="24"/>
        </w:rPr>
        <w:t>.</w:t>
      </w:r>
    </w:p>
    <w:p w14:paraId="6AE43F15" w14:textId="77777777" w:rsidR="002B5642" w:rsidRPr="009A3A8E" w:rsidRDefault="002B5642" w:rsidP="0069544A">
      <w:pPr>
        <w:spacing w:line="360" w:lineRule="auto"/>
        <w:jc w:val="both"/>
        <w:rPr>
          <w:rFonts w:ascii="Arial" w:hAnsi="Arial" w:cs="Arial"/>
          <w:sz w:val="24"/>
          <w:szCs w:val="24"/>
        </w:rPr>
      </w:pPr>
    </w:p>
    <w:p w14:paraId="5CFB3DA1" w14:textId="77777777"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Ford (2023–2026) </w:t>
      </w:r>
      <w:r w:rsidRPr="009A3A8E">
        <w:rPr>
          <w:rFonts w:ascii="Arial" w:hAnsi="Arial" w:cs="Arial"/>
          <w:sz w:val="24"/>
          <w:szCs w:val="24"/>
        </w:rPr>
        <w:t>Future Proof Driving | Ford UK. [online] Available at: https://www.ford.co.uk/technology/software-updates [Accessed 27 Feb. 2026].</w:t>
      </w:r>
    </w:p>
    <w:p w14:paraId="751E1D1E" w14:textId="77777777" w:rsidR="002B5642" w:rsidRPr="009A3A8E" w:rsidRDefault="002B5642" w:rsidP="0069544A">
      <w:pPr>
        <w:spacing w:line="360" w:lineRule="auto"/>
        <w:jc w:val="both"/>
        <w:rPr>
          <w:rFonts w:ascii="Arial" w:hAnsi="Arial" w:cs="Arial"/>
          <w:sz w:val="24"/>
          <w:szCs w:val="24"/>
        </w:rPr>
      </w:pPr>
    </w:p>
    <w:p w14:paraId="6C5E5796" w14:textId="2D782487"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Ford Motor Company (2026) </w:t>
      </w:r>
      <w:r w:rsidRPr="009A3A8E">
        <w:rPr>
          <w:rFonts w:ascii="Arial" w:hAnsi="Arial" w:cs="Arial"/>
          <w:sz w:val="24"/>
          <w:szCs w:val="24"/>
        </w:rPr>
        <w:t xml:space="preserve">Ford Reports Fourth-Quarter, Full-Year 2025 Financial Results. [online] Available at: </w:t>
      </w:r>
      <w:hyperlink r:id="rId26" w:history="1">
        <w:r w:rsidRPr="009A3A8E">
          <w:rPr>
            <w:rStyle w:val="Hyperlink"/>
            <w:rFonts w:ascii="Arial" w:hAnsi="Arial" w:cs="Arial"/>
            <w:sz w:val="24"/>
            <w:szCs w:val="24"/>
          </w:rPr>
          <w:t>https://www.fromtheroad.ford.com/us/en/articles/2026/ford-reports-fourth-quarter-full-year-2025-financial-results</w:t>
        </w:r>
      </w:hyperlink>
      <w:r w:rsidRPr="009A3A8E">
        <w:rPr>
          <w:rFonts w:ascii="Arial" w:hAnsi="Arial" w:cs="Arial"/>
          <w:sz w:val="24"/>
          <w:szCs w:val="24"/>
        </w:rPr>
        <w:t>.</w:t>
      </w:r>
    </w:p>
    <w:p w14:paraId="58208F8F" w14:textId="77777777" w:rsidR="002B5642" w:rsidRPr="009A3A8E" w:rsidRDefault="002B5642" w:rsidP="0069544A">
      <w:pPr>
        <w:spacing w:line="360" w:lineRule="auto"/>
        <w:jc w:val="both"/>
        <w:rPr>
          <w:rFonts w:ascii="Arial" w:hAnsi="Arial" w:cs="Arial"/>
          <w:sz w:val="24"/>
          <w:szCs w:val="24"/>
        </w:rPr>
      </w:pPr>
    </w:p>
    <w:p w14:paraId="387F0E33" w14:textId="77777777"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Ford UK (</w:t>
      </w:r>
      <w:r w:rsidRPr="009A3A8E">
        <w:rPr>
          <w:rFonts w:ascii="Arial" w:hAnsi="Arial" w:cs="Arial"/>
          <w:sz w:val="24"/>
          <w:szCs w:val="24"/>
        </w:rPr>
        <w:t>2025</w:t>
      </w:r>
      <w:r w:rsidRPr="008120C5">
        <w:rPr>
          <w:rFonts w:ascii="Arial" w:hAnsi="Arial" w:cs="Arial"/>
          <w:sz w:val="24"/>
          <w:szCs w:val="24"/>
        </w:rPr>
        <w:t xml:space="preserve">) </w:t>
      </w:r>
      <w:r w:rsidRPr="009A3A8E">
        <w:rPr>
          <w:rFonts w:ascii="Arial" w:hAnsi="Arial" w:cs="Arial"/>
          <w:sz w:val="24"/>
          <w:szCs w:val="24"/>
        </w:rPr>
        <w:t xml:space="preserve">Ford and Octopus Enable Seamless Public Charging with New Partnership | Ford of Europe | Ford Media </w:t>
      </w:r>
      <w:proofErr w:type="spellStart"/>
      <w:r w:rsidRPr="009A3A8E">
        <w:rPr>
          <w:rFonts w:ascii="Arial" w:hAnsi="Arial" w:cs="Arial"/>
          <w:sz w:val="24"/>
          <w:szCs w:val="24"/>
        </w:rPr>
        <w:t>Center</w:t>
      </w:r>
      <w:proofErr w:type="spellEnd"/>
      <w:r w:rsidRPr="009A3A8E">
        <w:rPr>
          <w:rFonts w:ascii="Arial" w:hAnsi="Arial" w:cs="Arial"/>
          <w:sz w:val="24"/>
          <w:szCs w:val="24"/>
        </w:rPr>
        <w:t>. [online] Available at: https://media.ford.com/content/fordmedia/feu/en/news/2025/09/02/Ford-and-Octopus-Enable-Seamless-Public-Charging.html [Accessed 27 Feb. 2026].</w:t>
      </w:r>
    </w:p>
    <w:p w14:paraId="1519C5B0" w14:textId="77777777" w:rsidR="002B5642" w:rsidRPr="009A3A8E" w:rsidRDefault="002B5642" w:rsidP="0069544A">
      <w:pPr>
        <w:spacing w:line="360" w:lineRule="auto"/>
        <w:jc w:val="both"/>
        <w:rPr>
          <w:rFonts w:ascii="Arial" w:hAnsi="Arial" w:cs="Arial"/>
          <w:sz w:val="24"/>
          <w:szCs w:val="24"/>
        </w:rPr>
      </w:pPr>
    </w:p>
    <w:p w14:paraId="5CB12AA9" w14:textId="69475615"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 xml:space="preserve">Friedman, H. and </w:t>
      </w:r>
      <w:proofErr w:type="spellStart"/>
      <w:r w:rsidRPr="00191CDD">
        <w:rPr>
          <w:rFonts w:ascii="Arial" w:hAnsi="Arial" w:cs="Arial"/>
          <w:sz w:val="24"/>
          <w:szCs w:val="24"/>
        </w:rPr>
        <w:t>Meredeen</w:t>
      </w:r>
      <w:proofErr w:type="spellEnd"/>
      <w:r w:rsidRPr="00191CDD">
        <w:rPr>
          <w:rFonts w:ascii="Arial" w:hAnsi="Arial" w:cs="Arial"/>
          <w:sz w:val="24"/>
          <w:szCs w:val="24"/>
        </w:rPr>
        <w:t xml:space="preserve">, S. (2024). The Dynamics of Industrial Conflict.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7" w:history="1">
        <w:r w:rsidRPr="009A3A8E">
          <w:rPr>
            <w:rStyle w:val="Hyperlink"/>
            <w:rFonts w:ascii="Arial" w:hAnsi="Arial" w:cs="Arial"/>
            <w:sz w:val="24"/>
            <w:szCs w:val="24"/>
          </w:rPr>
          <w:t>https://doi</w:t>
        </w:r>
        <w:r w:rsidRPr="00191CDD">
          <w:rPr>
            <w:rStyle w:val="Hyperlink"/>
            <w:rFonts w:ascii="Arial" w:hAnsi="Arial" w:cs="Arial"/>
            <w:sz w:val="24"/>
            <w:szCs w:val="24"/>
          </w:rPr>
          <w:t>.org/10.4324/9781003515036</w:t>
        </w:r>
      </w:hyperlink>
      <w:r w:rsidRPr="00191CDD">
        <w:rPr>
          <w:rFonts w:ascii="Arial" w:hAnsi="Arial" w:cs="Arial"/>
          <w:sz w:val="24"/>
          <w:szCs w:val="24"/>
        </w:rPr>
        <w:t>.</w:t>
      </w:r>
    </w:p>
    <w:p w14:paraId="358137EA" w14:textId="752EB498"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Ghosh, S. (2025). Architecture and Pricing Strategies for Commercial EV Battery Swapping—Dual-Market Cournot Model and Degradation-Sensitive Regulated Framework. </w:t>
      </w:r>
      <w:r w:rsidRPr="00191CDD">
        <w:rPr>
          <w:rFonts w:ascii="Arial" w:hAnsi="Arial" w:cs="Arial"/>
          <w:i/>
          <w:iCs/>
          <w:sz w:val="24"/>
          <w:szCs w:val="24"/>
        </w:rPr>
        <w:t>World Electric Vehicle Journal</w:t>
      </w:r>
      <w:r w:rsidRPr="00191CDD">
        <w:rPr>
          <w:rFonts w:ascii="Arial" w:hAnsi="Arial" w:cs="Arial"/>
          <w:sz w:val="24"/>
          <w:szCs w:val="24"/>
        </w:rPr>
        <w:t xml:space="preserve">. [online]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28" w:history="1">
        <w:r w:rsidRPr="009A3A8E">
          <w:rPr>
            <w:rStyle w:val="Hyperlink"/>
            <w:rFonts w:ascii="Arial" w:hAnsi="Arial" w:cs="Arial"/>
            <w:sz w:val="24"/>
            <w:szCs w:val="24"/>
          </w:rPr>
          <w:t>https://doi</w:t>
        </w:r>
        <w:r w:rsidRPr="00191CDD">
          <w:rPr>
            <w:rStyle w:val="Hyperlink"/>
            <w:rFonts w:ascii="Arial" w:hAnsi="Arial" w:cs="Arial"/>
            <w:sz w:val="24"/>
            <w:szCs w:val="24"/>
          </w:rPr>
          <w:t>.org/10.3390/wevj16090518</w:t>
        </w:r>
      </w:hyperlink>
      <w:r w:rsidRPr="00191CDD">
        <w:rPr>
          <w:rFonts w:ascii="Arial" w:hAnsi="Arial" w:cs="Arial"/>
          <w:sz w:val="24"/>
          <w:szCs w:val="24"/>
        </w:rPr>
        <w:t>.</w:t>
      </w:r>
    </w:p>
    <w:p w14:paraId="0B55ECAD" w14:textId="77777777" w:rsidR="002B5642" w:rsidRPr="009A3A8E" w:rsidRDefault="002B5642" w:rsidP="0069544A">
      <w:pPr>
        <w:spacing w:line="360" w:lineRule="auto"/>
        <w:jc w:val="both"/>
        <w:rPr>
          <w:rFonts w:ascii="Arial" w:hAnsi="Arial" w:cs="Arial"/>
          <w:sz w:val="24"/>
          <w:szCs w:val="24"/>
        </w:rPr>
      </w:pPr>
    </w:p>
    <w:p w14:paraId="2B8CCD7C" w14:textId="787CF455"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GOV.UK (2023). </w:t>
      </w:r>
      <w:r w:rsidRPr="00191CDD">
        <w:rPr>
          <w:rFonts w:ascii="Arial" w:hAnsi="Arial" w:cs="Arial"/>
          <w:i/>
          <w:iCs/>
          <w:sz w:val="24"/>
          <w:szCs w:val="24"/>
        </w:rPr>
        <w:t>Government Sets out Path to Zero Emission Vehicles by 2035</w:t>
      </w:r>
      <w:r w:rsidRPr="00191CDD">
        <w:rPr>
          <w:rFonts w:ascii="Arial" w:hAnsi="Arial" w:cs="Arial"/>
          <w:sz w:val="24"/>
          <w:szCs w:val="24"/>
        </w:rPr>
        <w:t xml:space="preserve">. [online] GOV.UK. Available at: </w:t>
      </w:r>
      <w:hyperlink r:id="rId29" w:history="1">
        <w:r w:rsidRPr="00191CDD">
          <w:rPr>
            <w:rStyle w:val="Hyperlink"/>
            <w:rFonts w:ascii="Arial" w:hAnsi="Arial" w:cs="Arial"/>
            <w:sz w:val="24"/>
            <w:szCs w:val="24"/>
          </w:rPr>
          <w:t>https://www.gov.uk/government/news/government-sets-out-path-to-zero-emission-vehicles-by-2035</w:t>
        </w:r>
      </w:hyperlink>
      <w:r w:rsidRPr="00191CDD">
        <w:rPr>
          <w:rFonts w:ascii="Arial" w:hAnsi="Arial" w:cs="Arial"/>
          <w:sz w:val="24"/>
          <w:szCs w:val="24"/>
        </w:rPr>
        <w:t>.</w:t>
      </w:r>
    </w:p>
    <w:p w14:paraId="2AC89F09" w14:textId="77777777" w:rsidR="002B5642" w:rsidRPr="009A3A8E" w:rsidRDefault="002B5642" w:rsidP="0069544A">
      <w:pPr>
        <w:spacing w:line="360" w:lineRule="auto"/>
        <w:jc w:val="both"/>
        <w:rPr>
          <w:rFonts w:ascii="Arial" w:hAnsi="Arial" w:cs="Arial"/>
          <w:sz w:val="24"/>
          <w:szCs w:val="24"/>
        </w:rPr>
      </w:pPr>
    </w:p>
    <w:p w14:paraId="1479EC94" w14:textId="4BCFF927"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Huang, X. and Zhang, X. (2025). </w:t>
      </w:r>
      <w:r w:rsidRPr="00191CDD">
        <w:rPr>
          <w:rFonts w:ascii="Arial" w:hAnsi="Arial" w:cs="Arial"/>
          <w:b/>
          <w:bCs/>
          <w:i/>
          <w:iCs/>
          <w:sz w:val="24"/>
          <w:szCs w:val="24"/>
        </w:rPr>
        <w:t>Analysis of the Operating Capacity of Chinese New Energy Electric Vehicles Industry: Taking NIO as an Example</w:t>
      </w:r>
      <w:r w:rsidRPr="00191CDD">
        <w:rPr>
          <w:rFonts w:ascii="Arial" w:hAnsi="Arial" w:cs="Arial"/>
          <w:sz w:val="24"/>
          <w:szCs w:val="24"/>
        </w:rPr>
        <w:t>. </w:t>
      </w:r>
      <w:r w:rsidRPr="00191CDD">
        <w:rPr>
          <w:rFonts w:ascii="Arial" w:hAnsi="Arial" w:cs="Arial"/>
          <w:i/>
          <w:iCs/>
          <w:sz w:val="24"/>
          <w:szCs w:val="24"/>
        </w:rPr>
        <w:t>Journal of Frontier in Economic and Management Research</w:t>
      </w:r>
      <w:r w:rsidRPr="00191CDD">
        <w:rPr>
          <w:rFonts w:ascii="Arial" w:hAnsi="Arial" w:cs="Arial"/>
          <w:sz w:val="24"/>
          <w:szCs w:val="24"/>
        </w:rPr>
        <w:t xml:space="preserve">, [online] 1(1), pp.487–511.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0" w:history="1">
        <w:r w:rsidRPr="009A3A8E">
          <w:rPr>
            <w:rStyle w:val="Hyperlink"/>
            <w:rFonts w:ascii="Arial" w:hAnsi="Arial" w:cs="Arial"/>
            <w:sz w:val="24"/>
            <w:szCs w:val="24"/>
          </w:rPr>
          <w:t>https://doi</w:t>
        </w:r>
        <w:r w:rsidRPr="00191CDD">
          <w:rPr>
            <w:rStyle w:val="Hyperlink"/>
            <w:rFonts w:ascii="Arial" w:hAnsi="Arial" w:cs="Arial"/>
            <w:sz w:val="24"/>
            <w:szCs w:val="24"/>
          </w:rPr>
          <w:t>.org/10.63944/m8wz.jfemr</w:t>
        </w:r>
      </w:hyperlink>
      <w:r w:rsidRPr="00191CDD">
        <w:rPr>
          <w:rFonts w:ascii="Arial" w:hAnsi="Arial" w:cs="Arial"/>
          <w:sz w:val="24"/>
          <w:szCs w:val="24"/>
        </w:rPr>
        <w:t>.</w:t>
      </w:r>
    </w:p>
    <w:p w14:paraId="0DB13CEE" w14:textId="77777777" w:rsidR="002B5642" w:rsidRPr="009A3A8E" w:rsidRDefault="002B5642" w:rsidP="0069544A">
      <w:pPr>
        <w:spacing w:line="360" w:lineRule="auto"/>
        <w:jc w:val="both"/>
        <w:rPr>
          <w:rFonts w:ascii="Arial" w:hAnsi="Arial" w:cs="Arial"/>
          <w:sz w:val="24"/>
          <w:szCs w:val="24"/>
        </w:rPr>
      </w:pPr>
    </w:p>
    <w:p w14:paraId="51BD942B" w14:textId="5214F644"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Kotler, P. and Armstrong, G. (20</w:t>
      </w:r>
      <w:r w:rsidRPr="009A3A8E">
        <w:rPr>
          <w:rFonts w:ascii="Arial" w:hAnsi="Arial" w:cs="Arial"/>
          <w:sz w:val="24"/>
          <w:szCs w:val="24"/>
        </w:rPr>
        <w:t>20</w:t>
      </w:r>
      <w:r w:rsidRPr="008120C5">
        <w:rPr>
          <w:rFonts w:ascii="Arial" w:hAnsi="Arial" w:cs="Arial"/>
          <w:sz w:val="24"/>
          <w:szCs w:val="24"/>
        </w:rPr>
        <w:t xml:space="preserve">). Principles of Marketing. [online] Available at: </w:t>
      </w:r>
      <w:hyperlink r:id="rId31" w:history="1">
        <w:r w:rsidRPr="008120C5">
          <w:rPr>
            <w:rStyle w:val="Hyperlink"/>
            <w:rFonts w:ascii="Arial" w:hAnsi="Arial" w:cs="Arial"/>
            <w:sz w:val="24"/>
            <w:szCs w:val="24"/>
          </w:rPr>
          <w:t>https://commecsinstitute.edu.pk/wp-content/uploads/2024/08/Kotler-and-Armstrong-Principles-of-Marketing.pdf</w:t>
        </w:r>
      </w:hyperlink>
      <w:r w:rsidRPr="008120C5">
        <w:rPr>
          <w:rFonts w:ascii="Arial" w:hAnsi="Arial" w:cs="Arial"/>
          <w:sz w:val="24"/>
          <w:szCs w:val="24"/>
        </w:rPr>
        <w:t>.</w:t>
      </w:r>
    </w:p>
    <w:p w14:paraId="53CD5124" w14:textId="77777777" w:rsidR="002B5642" w:rsidRPr="009A3A8E" w:rsidRDefault="002B5642" w:rsidP="0069544A">
      <w:pPr>
        <w:spacing w:line="360" w:lineRule="auto"/>
        <w:jc w:val="both"/>
        <w:rPr>
          <w:rFonts w:ascii="Arial" w:hAnsi="Arial" w:cs="Arial"/>
          <w:sz w:val="24"/>
          <w:szCs w:val="24"/>
        </w:rPr>
      </w:pPr>
    </w:p>
    <w:p w14:paraId="5FD605AD" w14:textId="312AC0B0"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Large, P. (2026). UK new car market breaches two million as almost one in four buyers go electric - SMMT. [online] SMMT. Available at: </w:t>
      </w:r>
      <w:hyperlink r:id="rId32" w:history="1">
        <w:r w:rsidRPr="008120C5">
          <w:rPr>
            <w:rStyle w:val="Hyperlink"/>
            <w:rFonts w:ascii="Arial" w:hAnsi="Arial" w:cs="Arial"/>
            <w:sz w:val="24"/>
            <w:szCs w:val="24"/>
          </w:rPr>
          <w:t>https://www.smmt.co.uk/uk-new-car-market-breaches-two-million-as-almost-one-in-four-buyers-go-electric/</w:t>
        </w:r>
      </w:hyperlink>
      <w:r w:rsidRPr="008120C5">
        <w:rPr>
          <w:rFonts w:ascii="Arial" w:hAnsi="Arial" w:cs="Arial"/>
          <w:sz w:val="24"/>
          <w:szCs w:val="24"/>
        </w:rPr>
        <w:t>.</w:t>
      </w:r>
    </w:p>
    <w:p w14:paraId="741A4D81" w14:textId="77777777" w:rsidR="002B5642" w:rsidRPr="009A3A8E" w:rsidRDefault="002B5642" w:rsidP="0069544A">
      <w:pPr>
        <w:spacing w:line="360" w:lineRule="auto"/>
        <w:jc w:val="both"/>
        <w:rPr>
          <w:rFonts w:ascii="Arial" w:hAnsi="Arial" w:cs="Arial"/>
          <w:sz w:val="24"/>
          <w:szCs w:val="24"/>
        </w:rPr>
      </w:pPr>
    </w:p>
    <w:p w14:paraId="28FFA341" w14:textId="677CB620" w:rsidR="002B5642" w:rsidRPr="009A3A8E" w:rsidRDefault="002B5642" w:rsidP="0069544A">
      <w:pPr>
        <w:spacing w:line="360" w:lineRule="auto"/>
        <w:jc w:val="both"/>
        <w:rPr>
          <w:rFonts w:ascii="Arial" w:hAnsi="Arial" w:cs="Arial"/>
          <w:sz w:val="24"/>
          <w:szCs w:val="24"/>
        </w:rPr>
      </w:pPr>
      <w:proofErr w:type="spellStart"/>
      <w:r w:rsidRPr="00191CDD">
        <w:rPr>
          <w:rFonts w:ascii="Arial" w:hAnsi="Arial" w:cs="Arial"/>
          <w:sz w:val="24"/>
          <w:szCs w:val="24"/>
        </w:rPr>
        <w:t>Leibenath</w:t>
      </w:r>
      <w:proofErr w:type="spellEnd"/>
      <w:r w:rsidRPr="00191CDD">
        <w:rPr>
          <w:rFonts w:ascii="Arial" w:hAnsi="Arial" w:cs="Arial"/>
          <w:sz w:val="24"/>
          <w:szCs w:val="24"/>
        </w:rPr>
        <w:t>, M. (2024). Tesla vs. Trees: An Agonistic Look at the Conflict Over e-mobility, Forest Clearance and Planning Law Related to a Suburban Landscape Near Berlin, Germany. </w:t>
      </w:r>
      <w:proofErr w:type="spellStart"/>
      <w:r w:rsidRPr="00191CDD">
        <w:rPr>
          <w:rFonts w:ascii="Arial" w:hAnsi="Arial" w:cs="Arial"/>
          <w:i/>
          <w:iCs/>
          <w:sz w:val="24"/>
          <w:szCs w:val="24"/>
        </w:rPr>
        <w:t>RaumFragen</w:t>
      </w:r>
      <w:proofErr w:type="spellEnd"/>
      <w:r w:rsidRPr="00191CDD">
        <w:rPr>
          <w:rFonts w:ascii="Arial" w:hAnsi="Arial" w:cs="Arial"/>
          <w:i/>
          <w:iCs/>
          <w:sz w:val="24"/>
          <w:szCs w:val="24"/>
        </w:rPr>
        <w:t xml:space="preserve">: Stadt - Region - </w:t>
      </w:r>
      <w:proofErr w:type="spellStart"/>
      <w:r w:rsidRPr="00191CDD">
        <w:rPr>
          <w:rFonts w:ascii="Arial" w:hAnsi="Arial" w:cs="Arial"/>
          <w:i/>
          <w:iCs/>
          <w:sz w:val="24"/>
          <w:szCs w:val="24"/>
        </w:rPr>
        <w:t>Landschaft</w:t>
      </w:r>
      <w:proofErr w:type="spellEnd"/>
      <w:r w:rsidRPr="00191CDD">
        <w:rPr>
          <w:rFonts w:ascii="Arial" w:hAnsi="Arial" w:cs="Arial"/>
          <w:sz w:val="24"/>
          <w:szCs w:val="24"/>
        </w:rPr>
        <w:t xml:space="preserve">, pp.351–365.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3" w:history="1">
        <w:r w:rsidRPr="009A3A8E">
          <w:rPr>
            <w:rStyle w:val="Hyperlink"/>
            <w:rFonts w:ascii="Arial" w:hAnsi="Arial" w:cs="Arial"/>
            <w:sz w:val="24"/>
            <w:szCs w:val="24"/>
          </w:rPr>
          <w:t>https://doi</w:t>
        </w:r>
        <w:r w:rsidRPr="00191CDD">
          <w:rPr>
            <w:rStyle w:val="Hyperlink"/>
            <w:rFonts w:ascii="Arial" w:hAnsi="Arial" w:cs="Arial"/>
            <w:sz w:val="24"/>
            <w:szCs w:val="24"/>
          </w:rPr>
          <w:t>.org/10.1007/978-3-658-43352-9_19</w:t>
        </w:r>
      </w:hyperlink>
      <w:r w:rsidRPr="00191CDD">
        <w:rPr>
          <w:rFonts w:ascii="Arial" w:hAnsi="Arial" w:cs="Arial"/>
          <w:sz w:val="24"/>
          <w:szCs w:val="24"/>
        </w:rPr>
        <w:t>.</w:t>
      </w:r>
    </w:p>
    <w:p w14:paraId="45DAF74E" w14:textId="77777777" w:rsidR="002B5642" w:rsidRPr="00191CDD" w:rsidRDefault="002B5642" w:rsidP="0069544A">
      <w:pPr>
        <w:spacing w:line="360" w:lineRule="auto"/>
        <w:jc w:val="both"/>
        <w:rPr>
          <w:rFonts w:ascii="Arial" w:hAnsi="Arial" w:cs="Arial"/>
          <w:sz w:val="24"/>
          <w:szCs w:val="24"/>
        </w:rPr>
      </w:pPr>
    </w:p>
    <w:p w14:paraId="7226B653" w14:textId="423AA9EF"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Li, W., Wang, M., Liu, X. and Tan, S. (2025). Configurations Driving High Performance in Hydrogen Fuel Cell Vehicle Enterprises. </w:t>
      </w:r>
      <w:r w:rsidRPr="00191CDD">
        <w:rPr>
          <w:rFonts w:ascii="Arial" w:hAnsi="Arial" w:cs="Arial"/>
          <w:i/>
          <w:iCs/>
          <w:sz w:val="24"/>
          <w:szCs w:val="24"/>
        </w:rPr>
        <w:t>Systems</w:t>
      </w:r>
      <w:r w:rsidRPr="00191CDD">
        <w:rPr>
          <w:rFonts w:ascii="Arial" w:hAnsi="Arial" w:cs="Arial"/>
          <w:sz w:val="24"/>
          <w:szCs w:val="24"/>
        </w:rPr>
        <w:t xml:space="preserve">, 13(9), p.779.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4" w:history="1">
        <w:r w:rsidRPr="009A3A8E">
          <w:rPr>
            <w:rStyle w:val="Hyperlink"/>
            <w:rFonts w:ascii="Arial" w:hAnsi="Arial" w:cs="Arial"/>
            <w:sz w:val="24"/>
            <w:szCs w:val="24"/>
          </w:rPr>
          <w:t>https://doi</w:t>
        </w:r>
        <w:r w:rsidRPr="00191CDD">
          <w:rPr>
            <w:rStyle w:val="Hyperlink"/>
            <w:rFonts w:ascii="Arial" w:hAnsi="Arial" w:cs="Arial"/>
            <w:sz w:val="24"/>
            <w:szCs w:val="24"/>
          </w:rPr>
          <w:t>.org/10.3390/systems13090779</w:t>
        </w:r>
      </w:hyperlink>
      <w:r w:rsidRPr="00191CDD">
        <w:rPr>
          <w:rFonts w:ascii="Arial" w:hAnsi="Arial" w:cs="Arial"/>
          <w:sz w:val="24"/>
          <w:szCs w:val="24"/>
        </w:rPr>
        <w:t>.</w:t>
      </w:r>
    </w:p>
    <w:p w14:paraId="4CB54356" w14:textId="77777777" w:rsidR="002B5642" w:rsidRPr="00191CDD" w:rsidRDefault="002B5642" w:rsidP="0069544A">
      <w:pPr>
        <w:spacing w:line="360" w:lineRule="auto"/>
        <w:jc w:val="both"/>
        <w:rPr>
          <w:rFonts w:ascii="Arial" w:hAnsi="Arial" w:cs="Arial"/>
          <w:sz w:val="24"/>
          <w:szCs w:val="24"/>
        </w:rPr>
      </w:pPr>
    </w:p>
    <w:p w14:paraId="2F43F9C6" w14:textId="614AC721"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Liu, C.C., Boothman, S.G. and Graham, J.D. (2025). The Rise and Recent Decline of Tesla’s Share of the U.S. Electric Vehicle Market. </w:t>
      </w:r>
      <w:r w:rsidRPr="00191CDD">
        <w:rPr>
          <w:rFonts w:ascii="Arial" w:hAnsi="Arial" w:cs="Arial"/>
          <w:i/>
          <w:iCs/>
          <w:sz w:val="24"/>
          <w:szCs w:val="24"/>
        </w:rPr>
        <w:t>World Electric Vehicle Journal</w:t>
      </w:r>
      <w:r w:rsidRPr="00191CDD">
        <w:rPr>
          <w:rFonts w:ascii="Arial" w:hAnsi="Arial" w:cs="Arial"/>
          <w:sz w:val="24"/>
          <w:szCs w:val="24"/>
        </w:rPr>
        <w:t xml:space="preserve">, [online] 16(2), pp.90–90.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5" w:history="1">
        <w:r w:rsidRPr="009A3A8E">
          <w:rPr>
            <w:rStyle w:val="Hyperlink"/>
            <w:rFonts w:ascii="Arial" w:hAnsi="Arial" w:cs="Arial"/>
            <w:sz w:val="24"/>
            <w:szCs w:val="24"/>
          </w:rPr>
          <w:t>https://doi</w:t>
        </w:r>
        <w:r w:rsidRPr="00191CDD">
          <w:rPr>
            <w:rStyle w:val="Hyperlink"/>
            <w:rFonts w:ascii="Arial" w:hAnsi="Arial" w:cs="Arial"/>
            <w:sz w:val="24"/>
            <w:szCs w:val="24"/>
          </w:rPr>
          <w:t>.org/10.3390/wevj16020090</w:t>
        </w:r>
      </w:hyperlink>
      <w:r w:rsidRPr="00191CDD">
        <w:rPr>
          <w:rFonts w:ascii="Arial" w:hAnsi="Arial" w:cs="Arial"/>
          <w:sz w:val="24"/>
          <w:szCs w:val="24"/>
        </w:rPr>
        <w:t>.</w:t>
      </w:r>
    </w:p>
    <w:p w14:paraId="2AA803AD" w14:textId="77777777" w:rsidR="002B5642" w:rsidRPr="009A3A8E" w:rsidRDefault="002B5642" w:rsidP="0069544A">
      <w:pPr>
        <w:spacing w:line="360" w:lineRule="auto"/>
        <w:jc w:val="both"/>
        <w:rPr>
          <w:rFonts w:ascii="Arial" w:hAnsi="Arial" w:cs="Arial"/>
          <w:sz w:val="24"/>
          <w:szCs w:val="24"/>
        </w:rPr>
      </w:pPr>
    </w:p>
    <w:p w14:paraId="73963D5F" w14:textId="56A88EDC"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Liu, Y., Shen, Y., Zhang, L. and Zhang, Y. (2022). </w:t>
      </w:r>
      <w:r w:rsidRPr="00191CDD">
        <w:rPr>
          <w:rFonts w:ascii="Arial" w:hAnsi="Arial" w:cs="Arial"/>
          <w:i/>
          <w:iCs/>
          <w:sz w:val="24"/>
          <w:szCs w:val="24"/>
        </w:rPr>
        <w:t>A Comprehensive Analysis of Tesla</w:t>
      </w:r>
      <w:r w:rsidRPr="00191CDD">
        <w:rPr>
          <w:rFonts w:ascii="Arial" w:hAnsi="Arial" w:cs="Arial"/>
          <w:sz w:val="24"/>
          <w:szCs w:val="24"/>
        </w:rPr>
        <w:t xml:space="preserve">. [online] www.atlantis-press.com.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6" w:history="1">
        <w:r w:rsidRPr="009A3A8E">
          <w:rPr>
            <w:rStyle w:val="Hyperlink"/>
            <w:rFonts w:ascii="Arial" w:hAnsi="Arial" w:cs="Arial"/>
            <w:sz w:val="24"/>
            <w:szCs w:val="24"/>
          </w:rPr>
          <w:t>https://doi</w:t>
        </w:r>
        <w:r w:rsidRPr="00191CDD">
          <w:rPr>
            <w:rStyle w:val="Hyperlink"/>
            <w:rFonts w:ascii="Arial" w:hAnsi="Arial" w:cs="Arial"/>
            <w:sz w:val="24"/>
            <w:szCs w:val="24"/>
          </w:rPr>
          <w:t>.org/10.2991/978-94-6463-054-1_39</w:t>
        </w:r>
      </w:hyperlink>
      <w:r w:rsidRPr="00191CDD">
        <w:rPr>
          <w:rFonts w:ascii="Arial" w:hAnsi="Arial" w:cs="Arial"/>
          <w:sz w:val="24"/>
          <w:szCs w:val="24"/>
        </w:rPr>
        <w:t>.</w:t>
      </w:r>
    </w:p>
    <w:p w14:paraId="388ECCA5" w14:textId="77777777" w:rsidR="002B5642" w:rsidRPr="009A3A8E" w:rsidRDefault="002B5642" w:rsidP="0069544A">
      <w:pPr>
        <w:spacing w:line="360" w:lineRule="auto"/>
        <w:jc w:val="both"/>
        <w:rPr>
          <w:rFonts w:ascii="Arial" w:hAnsi="Arial" w:cs="Arial"/>
          <w:sz w:val="24"/>
          <w:szCs w:val="24"/>
        </w:rPr>
      </w:pPr>
    </w:p>
    <w:p w14:paraId="75B6DCF6" w14:textId="0BB764AD"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Ndubuisi Shammah, Favour, C., Precious, N. and Nwankwo Emeka (2025). Towards a Low-Carbon Energy Industry: Financial and Reputational Resilience Strategies of Integrated Energy Companies. </w:t>
      </w:r>
      <w:r w:rsidRPr="00191CDD">
        <w:rPr>
          <w:rFonts w:ascii="Arial" w:hAnsi="Arial" w:cs="Arial"/>
          <w:i/>
          <w:iCs/>
          <w:sz w:val="24"/>
          <w:szCs w:val="24"/>
        </w:rPr>
        <w:t>SPE Nigeria Annual International Conference and Exhibition</w:t>
      </w:r>
      <w:r w:rsidRPr="00191CDD">
        <w:rPr>
          <w:rFonts w:ascii="Arial" w:hAnsi="Arial" w:cs="Arial"/>
          <w:sz w:val="24"/>
          <w:szCs w:val="24"/>
        </w:rPr>
        <w:t xml:space="preserve">. [online]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7" w:history="1">
        <w:r w:rsidRPr="009A3A8E">
          <w:rPr>
            <w:rStyle w:val="Hyperlink"/>
            <w:rFonts w:ascii="Arial" w:hAnsi="Arial" w:cs="Arial"/>
            <w:sz w:val="24"/>
            <w:szCs w:val="24"/>
          </w:rPr>
          <w:t>https://doi</w:t>
        </w:r>
        <w:r w:rsidRPr="00191CDD">
          <w:rPr>
            <w:rStyle w:val="Hyperlink"/>
            <w:rFonts w:ascii="Arial" w:hAnsi="Arial" w:cs="Arial"/>
            <w:sz w:val="24"/>
            <w:szCs w:val="24"/>
          </w:rPr>
          <w:t>.org/10.2118/228677-ms</w:t>
        </w:r>
      </w:hyperlink>
      <w:r w:rsidRPr="00191CDD">
        <w:rPr>
          <w:rFonts w:ascii="Arial" w:hAnsi="Arial" w:cs="Arial"/>
          <w:sz w:val="24"/>
          <w:szCs w:val="24"/>
        </w:rPr>
        <w:t>.</w:t>
      </w:r>
    </w:p>
    <w:p w14:paraId="6AC3A284" w14:textId="77777777" w:rsidR="002B5642" w:rsidRPr="009A3A8E" w:rsidRDefault="002B5642" w:rsidP="0069544A">
      <w:pPr>
        <w:spacing w:line="360" w:lineRule="auto"/>
        <w:jc w:val="both"/>
        <w:rPr>
          <w:rFonts w:ascii="Arial" w:hAnsi="Arial" w:cs="Arial"/>
          <w:sz w:val="24"/>
          <w:szCs w:val="24"/>
        </w:rPr>
      </w:pPr>
    </w:p>
    <w:p w14:paraId="0413637F" w14:textId="00094229"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Park, G. and Yi, S. (2023). Why do leaders help followers follow? </w:t>
      </w:r>
      <w:r w:rsidRPr="00191CDD">
        <w:rPr>
          <w:rFonts w:ascii="Arial" w:hAnsi="Arial" w:cs="Arial"/>
          <w:i/>
          <w:iCs/>
          <w:sz w:val="24"/>
          <w:szCs w:val="24"/>
        </w:rPr>
        <w:t>Technology Analysis &amp; Strategic Management</w:t>
      </w:r>
      <w:r w:rsidRPr="00191CDD">
        <w:rPr>
          <w:rFonts w:ascii="Arial" w:hAnsi="Arial" w:cs="Arial"/>
          <w:sz w:val="24"/>
          <w:szCs w:val="24"/>
        </w:rPr>
        <w:t xml:space="preserve">, pp.1–14.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38" w:history="1">
        <w:r w:rsidRPr="009A3A8E">
          <w:rPr>
            <w:rStyle w:val="Hyperlink"/>
            <w:rFonts w:ascii="Arial" w:hAnsi="Arial" w:cs="Arial"/>
            <w:sz w:val="24"/>
            <w:szCs w:val="24"/>
          </w:rPr>
          <w:t>https://doi</w:t>
        </w:r>
        <w:r w:rsidRPr="00191CDD">
          <w:rPr>
            <w:rStyle w:val="Hyperlink"/>
            <w:rFonts w:ascii="Arial" w:hAnsi="Arial" w:cs="Arial"/>
            <w:sz w:val="24"/>
            <w:szCs w:val="24"/>
          </w:rPr>
          <w:t>.org/10.1080/09537325.2023.2242505</w:t>
        </w:r>
      </w:hyperlink>
      <w:r w:rsidRPr="00191CDD">
        <w:rPr>
          <w:rFonts w:ascii="Arial" w:hAnsi="Arial" w:cs="Arial"/>
          <w:sz w:val="24"/>
          <w:szCs w:val="24"/>
        </w:rPr>
        <w:t>.</w:t>
      </w:r>
    </w:p>
    <w:p w14:paraId="585E540C" w14:textId="77777777" w:rsidR="002B5642" w:rsidRPr="009A3A8E" w:rsidRDefault="002B5642" w:rsidP="0069544A">
      <w:pPr>
        <w:spacing w:line="360" w:lineRule="auto"/>
        <w:jc w:val="both"/>
        <w:rPr>
          <w:rFonts w:ascii="Arial" w:hAnsi="Arial" w:cs="Arial"/>
          <w:sz w:val="24"/>
          <w:szCs w:val="24"/>
        </w:rPr>
      </w:pPr>
    </w:p>
    <w:p w14:paraId="729C3E3B" w14:textId="0CC5CDAA"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Porter, M. (1980). Competitive strategy: Techniques for </w:t>
      </w:r>
      <w:proofErr w:type="spellStart"/>
      <w:r w:rsidRPr="008120C5">
        <w:rPr>
          <w:rFonts w:ascii="Arial" w:hAnsi="Arial" w:cs="Arial"/>
          <w:sz w:val="24"/>
          <w:szCs w:val="24"/>
        </w:rPr>
        <w:t>Analyzing</w:t>
      </w:r>
      <w:proofErr w:type="spellEnd"/>
      <w:r w:rsidRPr="008120C5">
        <w:rPr>
          <w:rFonts w:ascii="Arial" w:hAnsi="Arial" w:cs="Arial"/>
          <w:sz w:val="24"/>
          <w:szCs w:val="24"/>
        </w:rPr>
        <w:t xml:space="preserve"> Industries and Competitors. [online] Harvard Business School. Available at: </w:t>
      </w:r>
      <w:hyperlink r:id="rId39" w:history="1">
        <w:r w:rsidRPr="008120C5">
          <w:rPr>
            <w:rStyle w:val="Hyperlink"/>
            <w:rFonts w:ascii="Arial" w:hAnsi="Arial" w:cs="Arial"/>
            <w:sz w:val="24"/>
            <w:szCs w:val="24"/>
          </w:rPr>
          <w:t>https://www.hbs.edu/faculty/Pages/item.aspx?num=195</w:t>
        </w:r>
      </w:hyperlink>
      <w:r w:rsidRPr="008120C5">
        <w:rPr>
          <w:rFonts w:ascii="Arial" w:hAnsi="Arial" w:cs="Arial"/>
          <w:sz w:val="24"/>
          <w:szCs w:val="24"/>
        </w:rPr>
        <w:t>.</w:t>
      </w:r>
    </w:p>
    <w:p w14:paraId="27BBC147" w14:textId="77777777" w:rsidR="002B5642" w:rsidRPr="009A3A8E" w:rsidRDefault="002B5642" w:rsidP="0069544A">
      <w:pPr>
        <w:spacing w:line="360" w:lineRule="auto"/>
        <w:jc w:val="both"/>
        <w:rPr>
          <w:rFonts w:ascii="Arial" w:hAnsi="Arial" w:cs="Arial"/>
          <w:sz w:val="24"/>
          <w:szCs w:val="24"/>
        </w:rPr>
      </w:pPr>
    </w:p>
    <w:p w14:paraId="3B85BFD7" w14:textId="44F1142F" w:rsidR="002B5642"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RAC (2026) </w:t>
      </w:r>
      <w:r w:rsidRPr="009A3A8E">
        <w:rPr>
          <w:rFonts w:ascii="Arial" w:hAnsi="Arial" w:cs="Arial"/>
          <w:sz w:val="24"/>
          <w:szCs w:val="24"/>
        </w:rPr>
        <w:t xml:space="preserve">Tesla statistics, data and sales numbers - all the latest figures. [online] Rac.co.uk. Available at: </w:t>
      </w:r>
      <w:hyperlink r:id="rId40" w:history="1">
        <w:r w:rsidRPr="009A3A8E">
          <w:rPr>
            <w:rStyle w:val="Hyperlink"/>
            <w:rFonts w:ascii="Arial" w:hAnsi="Arial" w:cs="Arial"/>
            <w:sz w:val="24"/>
            <w:szCs w:val="24"/>
          </w:rPr>
          <w:t>https://www.rac.co.uk/drive/electric-cars/choosing/tesla-data-statistics-and-projections/</w:t>
        </w:r>
      </w:hyperlink>
      <w:r w:rsidRPr="009A3A8E">
        <w:rPr>
          <w:rFonts w:ascii="Arial" w:hAnsi="Arial" w:cs="Arial"/>
          <w:sz w:val="24"/>
          <w:szCs w:val="24"/>
        </w:rPr>
        <w:t xml:space="preserve">. </w:t>
      </w:r>
    </w:p>
    <w:p w14:paraId="70F5138A" w14:textId="4A75CBFD" w:rsidR="00D857C9"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Ribo, M., Sami Al Kasab, Sheth, S., Ortega</w:t>
      </w:r>
      <w:r w:rsidRPr="00191CDD">
        <w:rPr>
          <w:rFonts w:ascii="Cambria Math" w:hAnsi="Cambria Math" w:cs="Cambria Math"/>
          <w:sz w:val="24"/>
          <w:szCs w:val="24"/>
        </w:rPr>
        <w:t>‐</w:t>
      </w:r>
      <w:r w:rsidRPr="00191CDD">
        <w:rPr>
          <w:rFonts w:ascii="Arial" w:hAnsi="Arial" w:cs="Arial"/>
          <w:sz w:val="24"/>
          <w:szCs w:val="24"/>
        </w:rPr>
        <w:t xml:space="preserve">Gutierrez, S., Rai, A.T., Given, C.A., Ramesh Grandhi, Maxim Mokin, Katz, J.M., Maud, A., Gupta, R., Smith, W.S., Diederik W.J. Dippel, Gress, D., Nguyen, T.N., Brown, S., Jadhav, A.P., </w:t>
      </w:r>
      <w:proofErr w:type="spellStart"/>
      <w:r w:rsidRPr="00191CDD">
        <w:rPr>
          <w:rFonts w:ascii="Arial" w:hAnsi="Arial" w:cs="Arial"/>
          <w:sz w:val="24"/>
          <w:szCs w:val="24"/>
        </w:rPr>
        <w:t>Eljovich</w:t>
      </w:r>
      <w:proofErr w:type="spellEnd"/>
      <w:r w:rsidRPr="00191CDD">
        <w:rPr>
          <w:rFonts w:ascii="Arial" w:hAnsi="Arial" w:cs="Arial"/>
          <w:sz w:val="24"/>
          <w:szCs w:val="24"/>
        </w:rPr>
        <w:t xml:space="preserve">, L., Charles B.L.M. Majoie and Patterson, M.S. (2023). TESLA Trial: Rationale, Protocol, and Design.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41" w:history="1">
        <w:r w:rsidR="00D857C9" w:rsidRPr="009A3A8E">
          <w:rPr>
            <w:rStyle w:val="Hyperlink"/>
            <w:rFonts w:ascii="Arial" w:hAnsi="Arial" w:cs="Arial"/>
            <w:sz w:val="24"/>
            <w:szCs w:val="24"/>
          </w:rPr>
          <w:t>https://doi</w:t>
        </w:r>
        <w:r w:rsidR="00D857C9" w:rsidRPr="00191CDD">
          <w:rPr>
            <w:rStyle w:val="Hyperlink"/>
            <w:rFonts w:ascii="Arial" w:hAnsi="Arial" w:cs="Arial"/>
            <w:sz w:val="24"/>
            <w:szCs w:val="24"/>
          </w:rPr>
          <w:t>.org/10.1161/svin.122.000787</w:t>
        </w:r>
      </w:hyperlink>
      <w:r w:rsidRPr="00191CDD">
        <w:rPr>
          <w:rFonts w:ascii="Arial" w:hAnsi="Arial" w:cs="Arial"/>
          <w:sz w:val="24"/>
          <w:szCs w:val="24"/>
        </w:rPr>
        <w:t>.</w:t>
      </w:r>
    </w:p>
    <w:p w14:paraId="6ABF10B3" w14:textId="77777777" w:rsidR="00D857C9" w:rsidRPr="009A3A8E" w:rsidRDefault="00D857C9" w:rsidP="0069544A">
      <w:pPr>
        <w:spacing w:line="360" w:lineRule="auto"/>
        <w:jc w:val="both"/>
        <w:rPr>
          <w:rFonts w:ascii="Arial" w:hAnsi="Arial" w:cs="Arial"/>
          <w:sz w:val="24"/>
          <w:szCs w:val="24"/>
        </w:rPr>
      </w:pPr>
    </w:p>
    <w:p w14:paraId="25D73CB1" w14:textId="241F95B5" w:rsidR="002B5642" w:rsidRPr="009A3A8E" w:rsidRDefault="002B5642" w:rsidP="0069544A">
      <w:pPr>
        <w:spacing w:line="360" w:lineRule="auto"/>
        <w:jc w:val="both"/>
        <w:rPr>
          <w:rFonts w:ascii="Arial" w:hAnsi="Arial" w:cs="Arial"/>
          <w:sz w:val="24"/>
          <w:szCs w:val="24"/>
        </w:rPr>
      </w:pPr>
      <w:r w:rsidRPr="009A3A8E">
        <w:rPr>
          <w:rFonts w:ascii="Arial" w:hAnsi="Arial" w:cs="Arial"/>
          <w:sz w:val="24"/>
          <w:szCs w:val="24"/>
        </w:rPr>
        <w:t xml:space="preserve">Rogers, E. M. (2003). Diffusion of Innovations (5th ed.). Free Press. - References - Scientific Research Publishing. [online] Available at: </w:t>
      </w:r>
      <w:hyperlink r:id="rId42" w:history="1">
        <w:r w:rsidRPr="009A3A8E">
          <w:rPr>
            <w:rStyle w:val="Hyperlink"/>
            <w:rFonts w:ascii="Arial" w:hAnsi="Arial" w:cs="Arial"/>
            <w:sz w:val="24"/>
            <w:szCs w:val="24"/>
          </w:rPr>
          <w:t>https://www.scirp.org/reference/referencespapers?referenceid=3275637</w:t>
        </w:r>
      </w:hyperlink>
      <w:r w:rsidRPr="009A3A8E">
        <w:rPr>
          <w:rFonts w:ascii="Arial" w:hAnsi="Arial" w:cs="Arial"/>
          <w:sz w:val="24"/>
          <w:szCs w:val="24"/>
        </w:rPr>
        <w:t>.</w:t>
      </w:r>
    </w:p>
    <w:p w14:paraId="32FC77D8" w14:textId="77777777" w:rsidR="00D857C9" w:rsidRPr="009A3A8E" w:rsidRDefault="00D857C9" w:rsidP="0069544A">
      <w:pPr>
        <w:spacing w:line="360" w:lineRule="auto"/>
        <w:jc w:val="both"/>
        <w:rPr>
          <w:rFonts w:ascii="Arial" w:hAnsi="Arial" w:cs="Arial"/>
          <w:sz w:val="24"/>
          <w:szCs w:val="24"/>
        </w:rPr>
      </w:pPr>
    </w:p>
    <w:p w14:paraId="275584E5" w14:textId="6FB5545E" w:rsidR="00D857C9"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 xml:space="preserve">Rosenberger, N., Rosner, P., Bilfinger, P., Schöberl, J., Teichert, O., Schneider, J., Kareem Abo </w:t>
      </w:r>
      <w:proofErr w:type="spellStart"/>
      <w:r w:rsidRPr="00191CDD">
        <w:rPr>
          <w:rFonts w:ascii="Arial" w:hAnsi="Arial" w:cs="Arial"/>
          <w:sz w:val="24"/>
          <w:szCs w:val="24"/>
        </w:rPr>
        <w:t>Gamra</w:t>
      </w:r>
      <w:proofErr w:type="spellEnd"/>
      <w:r w:rsidRPr="00191CDD">
        <w:rPr>
          <w:rFonts w:ascii="Arial" w:hAnsi="Arial" w:cs="Arial"/>
          <w:sz w:val="24"/>
          <w:szCs w:val="24"/>
        </w:rPr>
        <w:t xml:space="preserve">, </w:t>
      </w:r>
      <w:proofErr w:type="spellStart"/>
      <w:r w:rsidRPr="00191CDD">
        <w:rPr>
          <w:rFonts w:ascii="Arial" w:hAnsi="Arial" w:cs="Arial"/>
          <w:sz w:val="24"/>
          <w:szCs w:val="24"/>
        </w:rPr>
        <w:t>Allgäuer</w:t>
      </w:r>
      <w:proofErr w:type="spellEnd"/>
      <w:r w:rsidRPr="00191CDD">
        <w:rPr>
          <w:rFonts w:ascii="Arial" w:hAnsi="Arial" w:cs="Arial"/>
          <w:sz w:val="24"/>
          <w:szCs w:val="24"/>
        </w:rPr>
        <w:t xml:space="preserve">, C., Dietermann, B., Schreiber, M., Ank, M., Kröger, T., Köhler, A. and </w:t>
      </w:r>
      <w:proofErr w:type="spellStart"/>
      <w:r w:rsidRPr="00191CDD">
        <w:rPr>
          <w:rFonts w:ascii="Arial" w:hAnsi="Arial" w:cs="Arial"/>
          <w:sz w:val="24"/>
          <w:szCs w:val="24"/>
        </w:rPr>
        <w:t>Lienkamp</w:t>
      </w:r>
      <w:proofErr w:type="spellEnd"/>
      <w:r w:rsidRPr="00191CDD">
        <w:rPr>
          <w:rFonts w:ascii="Arial" w:hAnsi="Arial" w:cs="Arial"/>
          <w:sz w:val="24"/>
          <w:szCs w:val="24"/>
        </w:rPr>
        <w:t>, M. (2024). Quantifying the State of the Art of Electric Powertrains in Battery Electric Vehicles: Comprehensive Analysis of the Tesla Model 3 on the Vehicle Level. </w:t>
      </w:r>
      <w:r w:rsidRPr="00191CDD">
        <w:rPr>
          <w:rFonts w:ascii="Arial" w:hAnsi="Arial" w:cs="Arial"/>
          <w:i/>
          <w:iCs/>
          <w:sz w:val="24"/>
          <w:szCs w:val="24"/>
        </w:rPr>
        <w:t>World electric vehicle journal</w:t>
      </w:r>
      <w:r w:rsidRPr="00191CDD">
        <w:rPr>
          <w:rFonts w:ascii="Arial" w:hAnsi="Arial" w:cs="Arial"/>
          <w:sz w:val="24"/>
          <w:szCs w:val="24"/>
        </w:rPr>
        <w:t xml:space="preserve">, 15(6), pp.268–268.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43" w:history="1">
        <w:r w:rsidR="00D857C9" w:rsidRPr="009A3A8E">
          <w:rPr>
            <w:rStyle w:val="Hyperlink"/>
            <w:rFonts w:ascii="Arial" w:hAnsi="Arial" w:cs="Arial"/>
            <w:sz w:val="24"/>
            <w:szCs w:val="24"/>
          </w:rPr>
          <w:t>https://doi</w:t>
        </w:r>
        <w:r w:rsidR="00D857C9" w:rsidRPr="00191CDD">
          <w:rPr>
            <w:rStyle w:val="Hyperlink"/>
            <w:rFonts w:ascii="Arial" w:hAnsi="Arial" w:cs="Arial"/>
            <w:sz w:val="24"/>
            <w:szCs w:val="24"/>
          </w:rPr>
          <w:t>.org/10.3390/wevj15060268</w:t>
        </w:r>
      </w:hyperlink>
      <w:r w:rsidRPr="00191CDD">
        <w:rPr>
          <w:rFonts w:ascii="Arial" w:hAnsi="Arial" w:cs="Arial"/>
          <w:sz w:val="24"/>
          <w:szCs w:val="24"/>
        </w:rPr>
        <w:t>.</w:t>
      </w:r>
    </w:p>
    <w:p w14:paraId="34F235FC" w14:textId="77777777" w:rsidR="00D857C9" w:rsidRPr="009A3A8E" w:rsidRDefault="00D857C9" w:rsidP="0069544A">
      <w:pPr>
        <w:spacing w:line="360" w:lineRule="auto"/>
        <w:jc w:val="both"/>
        <w:rPr>
          <w:rFonts w:ascii="Arial" w:hAnsi="Arial" w:cs="Arial"/>
          <w:sz w:val="24"/>
          <w:szCs w:val="24"/>
        </w:rPr>
      </w:pPr>
    </w:p>
    <w:p w14:paraId="5167D34B" w14:textId="77777777" w:rsidR="00D857C9"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S&amp;P Global (2025) </w:t>
      </w:r>
      <w:r w:rsidRPr="009A3A8E">
        <w:rPr>
          <w:rFonts w:ascii="Arial" w:hAnsi="Arial" w:cs="Arial"/>
          <w:sz w:val="24"/>
          <w:szCs w:val="24"/>
        </w:rPr>
        <w:t>Daily Global Market Summary - 2 December 2020. [online] S&amp;P Global. Available at: https://www.spglobal.com/marketintelligence/en/mi/research-analysis/daily-global-market-summary-2-december-2020.html [Accessed 27 Feb. 2026].</w:t>
      </w:r>
    </w:p>
    <w:p w14:paraId="05EA93A2" w14:textId="77777777" w:rsidR="00D857C9" w:rsidRPr="009A3A8E" w:rsidRDefault="00D857C9" w:rsidP="0069544A">
      <w:pPr>
        <w:spacing w:line="360" w:lineRule="auto"/>
        <w:jc w:val="both"/>
        <w:rPr>
          <w:rFonts w:ascii="Arial" w:hAnsi="Arial" w:cs="Arial"/>
          <w:sz w:val="24"/>
          <w:szCs w:val="24"/>
        </w:rPr>
      </w:pPr>
    </w:p>
    <w:p w14:paraId="5F99F569" w14:textId="129C619A"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Sanci, E., Daskin, M.S., Hong, Y.-C., Roesch, S. and Zhang, D. (2021). Mitigation strategies against supply disruption risk: a case study at the Ford Motor Company. </w:t>
      </w:r>
      <w:r w:rsidRPr="00191CDD">
        <w:rPr>
          <w:rFonts w:ascii="Arial" w:hAnsi="Arial" w:cs="Arial"/>
          <w:i/>
          <w:iCs/>
          <w:sz w:val="24"/>
          <w:szCs w:val="24"/>
        </w:rPr>
        <w:t>International Journal of Production Research</w:t>
      </w:r>
      <w:r w:rsidRPr="00191CDD">
        <w:rPr>
          <w:rFonts w:ascii="Arial" w:hAnsi="Arial" w:cs="Arial"/>
          <w:sz w:val="24"/>
          <w:szCs w:val="24"/>
        </w:rPr>
        <w:t xml:space="preserve">, 60(19), pp.1–21.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44" w:history="1">
        <w:r w:rsidR="00D857C9" w:rsidRPr="009A3A8E">
          <w:rPr>
            <w:rStyle w:val="Hyperlink"/>
            <w:rFonts w:ascii="Arial" w:hAnsi="Arial" w:cs="Arial"/>
            <w:sz w:val="24"/>
            <w:szCs w:val="24"/>
          </w:rPr>
          <w:t>https://doi</w:t>
        </w:r>
        <w:r w:rsidR="00D857C9" w:rsidRPr="00191CDD">
          <w:rPr>
            <w:rStyle w:val="Hyperlink"/>
            <w:rFonts w:ascii="Arial" w:hAnsi="Arial" w:cs="Arial"/>
            <w:sz w:val="24"/>
            <w:szCs w:val="24"/>
          </w:rPr>
          <w:t>.org/10.1080/00207543.2021.1975058</w:t>
        </w:r>
      </w:hyperlink>
      <w:r w:rsidRPr="00191CDD">
        <w:rPr>
          <w:rFonts w:ascii="Arial" w:hAnsi="Arial" w:cs="Arial"/>
          <w:sz w:val="24"/>
          <w:szCs w:val="24"/>
        </w:rPr>
        <w:t>.</w:t>
      </w:r>
    </w:p>
    <w:p w14:paraId="736FFB2C" w14:textId="77777777" w:rsidR="00D857C9" w:rsidRPr="00191CDD" w:rsidRDefault="00D857C9" w:rsidP="0069544A">
      <w:pPr>
        <w:spacing w:line="360" w:lineRule="auto"/>
        <w:jc w:val="both"/>
        <w:rPr>
          <w:rFonts w:ascii="Arial" w:hAnsi="Arial" w:cs="Arial"/>
          <w:sz w:val="24"/>
          <w:szCs w:val="24"/>
        </w:rPr>
      </w:pPr>
    </w:p>
    <w:p w14:paraId="3068AB4A" w14:textId="08E171FC" w:rsidR="002B5642"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Singh, A., Bajpai, A. and Singh, S. (2025). Electric Vehicle Evolution in the United Kingdom and India: A Comparative Case Analysis for Stakeholders. </w:t>
      </w:r>
      <w:proofErr w:type="spellStart"/>
      <w:r w:rsidRPr="00191CDD">
        <w:rPr>
          <w:rFonts w:ascii="Arial" w:hAnsi="Arial" w:cs="Arial"/>
          <w:i/>
          <w:iCs/>
          <w:sz w:val="24"/>
          <w:szCs w:val="24"/>
        </w:rPr>
        <w:t>Cureus</w:t>
      </w:r>
      <w:proofErr w:type="spellEnd"/>
      <w:r w:rsidRPr="00191CDD">
        <w:rPr>
          <w:rFonts w:ascii="Arial" w:hAnsi="Arial" w:cs="Arial"/>
          <w:i/>
          <w:iCs/>
          <w:sz w:val="24"/>
          <w:szCs w:val="24"/>
        </w:rPr>
        <w:t xml:space="preserve"> Journal of Business and Economics</w:t>
      </w:r>
      <w:r w:rsidRPr="00191CDD">
        <w:rPr>
          <w:rFonts w:ascii="Arial" w:hAnsi="Arial" w:cs="Arial"/>
          <w:sz w:val="24"/>
          <w:szCs w:val="24"/>
        </w:rPr>
        <w:t xml:space="preserve">. [online]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45" w:history="1">
        <w:r w:rsidR="00D100F4" w:rsidRPr="009A3A8E">
          <w:rPr>
            <w:rStyle w:val="Hyperlink"/>
            <w:rFonts w:ascii="Arial" w:hAnsi="Arial" w:cs="Arial"/>
            <w:sz w:val="24"/>
            <w:szCs w:val="24"/>
          </w:rPr>
          <w:t>https://doi</w:t>
        </w:r>
        <w:r w:rsidR="00D100F4" w:rsidRPr="00191CDD">
          <w:rPr>
            <w:rStyle w:val="Hyperlink"/>
            <w:rFonts w:ascii="Arial" w:hAnsi="Arial" w:cs="Arial"/>
            <w:sz w:val="24"/>
            <w:szCs w:val="24"/>
          </w:rPr>
          <w:t>.org/10.7759/s44404-025-06730-5</w:t>
        </w:r>
      </w:hyperlink>
      <w:r w:rsidRPr="00191CDD">
        <w:rPr>
          <w:rFonts w:ascii="Arial" w:hAnsi="Arial" w:cs="Arial"/>
          <w:sz w:val="24"/>
          <w:szCs w:val="24"/>
        </w:rPr>
        <w:t>.</w:t>
      </w:r>
    </w:p>
    <w:p w14:paraId="1C1A026F" w14:textId="77777777" w:rsidR="00D100F4" w:rsidRPr="00191CDD" w:rsidRDefault="00D100F4" w:rsidP="0069544A">
      <w:pPr>
        <w:spacing w:line="360" w:lineRule="auto"/>
        <w:jc w:val="both"/>
        <w:rPr>
          <w:rFonts w:ascii="Arial" w:hAnsi="Arial" w:cs="Arial"/>
          <w:sz w:val="24"/>
          <w:szCs w:val="24"/>
        </w:rPr>
      </w:pPr>
    </w:p>
    <w:p w14:paraId="4E01B556" w14:textId="07F92969" w:rsidR="00D100F4"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Teece, D.J. (2007). Explicating dynamic capabilities: The nature and </w:t>
      </w:r>
      <w:proofErr w:type="spellStart"/>
      <w:r w:rsidRPr="008120C5">
        <w:rPr>
          <w:rFonts w:ascii="Arial" w:hAnsi="Arial" w:cs="Arial"/>
          <w:sz w:val="24"/>
          <w:szCs w:val="24"/>
        </w:rPr>
        <w:t>microfoundations</w:t>
      </w:r>
      <w:proofErr w:type="spellEnd"/>
      <w:r w:rsidRPr="008120C5">
        <w:rPr>
          <w:rFonts w:ascii="Arial" w:hAnsi="Arial" w:cs="Arial"/>
          <w:sz w:val="24"/>
          <w:szCs w:val="24"/>
        </w:rPr>
        <w:t xml:space="preserve"> of (Sustainable) enterprise performance. Strategic Management Journal, [online] 28(13), pp.1319–1350. Available at: </w:t>
      </w:r>
      <w:hyperlink r:id="rId46" w:history="1">
        <w:r w:rsidR="00D100F4" w:rsidRPr="008120C5">
          <w:rPr>
            <w:rStyle w:val="Hyperlink"/>
            <w:rFonts w:ascii="Arial" w:hAnsi="Arial" w:cs="Arial"/>
            <w:sz w:val="24"/>
            <w:szCs w:val="24"/>
          </w:rPr>
          <w:t>https://www.jstor.org/stable/20141992</w:t>
        </w:r>
      </w:hyperlink>
      <w:r w:rsidRPr="008120C5">
        <w:rPr>
          <w:rFonts w:ascii="Arial" w:hAnsi="Arial" w:cs="Arial"/>
          <w:sz w:val="24"/>
          <w:szCs w:val="24"/>
        </w:rPr>
        <w:t>.</w:t>
      </w:r>
    </w:p>
    <w:p w14:paraId="782CDCB3" w14:textId="77777777" w:rsidR="00D100F4" w:rsidRPr="009A3A8E" w:rsidRDefault="00D100F4" w:rsidP="0069544A">
      <w:pPr>
        <w:spacing w:line="360" w:lineRule="auto"/>
        <w:jc w:val="both"/>
        <w:rPr>
          <w:rFonts w:ascii="Arial" w:hAnsi="Arial" w:cs="Arial"/>
          <w:sz w:val="24"/>
          <w:szCs w:val="24"/>
        </w:rPr>
      </w:pPr>
    </w:p>
    <w:p w14:paraId="733D73CE" w14:textId="3C76CACA" w:rsidR="00D100F4"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Tesla (2026) Fourth Quarter 2025 Production, Deliveries &amp; Deployments (Investor Relations press release). Austin, TX: Tesla, Inc.</w:t>
      </w:r>
      <w:r w:rsidRPr="009A3A8E">
        <w:rPr>
          <w:rFonts w:ascii="Arial" w:eastAsia="Times New Roman" w:hAnsi="Arial" w:cs="Arial"/>
          <w:color w:val="000000"/>
          <w:sz w:val="24"/>
          <w:szCs w:val="24"/>
        </w:rPr>
        <w:t xml:space="preserve"> </w:t>
      </w:r>
      <w:r w:rsidRPr="009A3A8E">
        <w:rPr>
          <w:rFonts w:ascii="Arial" w:hAnsi="Arial" w:cs="Arial"/>
          <w:sz w:val="24"/>
          <w:szCs w:val="24"/>
        </w:rPr>
        <w:t xml:space="preserve">Available at: </w:t>
      </w:r>
      <w:hyperlink r:id="rId47" w:history="1">
        <w:r w:rsidR="00D100F4" w:rsidRPr="009A3A8E">
          <w:rPr>
            <w:rStyle w:val="Hyperlink"/>
            <w:rFonts w:ascii="Arial" w:hAnsi="Arial" w:cs="Arial"/>
            <w:sz w:val="24"/>
            <w:szCs w:val="24"/>
          </w:rPr>
          <w:t>https://ir.tesla.com/press-release/tesla-fourth-quarter-2025-production-deliveries-deployments</w:t>
        </w:r>
      </w:hyperlink>
      <w:r w:rsidRPr="009A3A8E">
        <w:rPr>
          <w:rFonts w:ascii="Arial" w:hAnsi="Arial" w:cs="Arial"/>
          <w:sz w:val="24"/>
          <w:szCs w:val="24"/>
        </w:rPr>
        <w:t>.</w:t>
      </w:r>
    </w:p>
    <w:p w14:paraId="410B4D09" w14:textId="77777777" w:rsidR="00D100F4" w:rsidRPr="009A3A8E" w:rsidRDefault="00D100F4" w:rsidP="0069544A">
      <w:pPr>
        <w:spacing w:line="360" w:lineRule="auto"/>
        <w:jc w:val="both"/>
        <w:rPr>
          <w:rFonts w:ascii="Arial" w:hAnsi="Arial" w:cs="Arial"/>
          <w:sz w:val="24"/>
          <w:szCs w:val="24"/>
        </w:rPr>
      </w:pPr>
    </w:p>
    <w:p w14:paraId="7F3EDAF9" w14:textId="53C5F558" w:rsidR="00D100F4"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Tesla (2026) Q4 2025 Update (shareholder/update report). Tesla, Inc.</w:t>
      </w:r>
      <w:r w:rsidRPr="009A3A8E">
        <w:rPr>
          <w:rFonts w:ascii="Arial" w:hAnsi="Arial" w:cs="Arial"/>
          <w:sz w:val="24"/>
          <w:szCs w:val="24"/>
        </w:rPr>
        <w:t xml:space="preserve"> Available at: </w:t>
      </w:r>
      <w:hyperlink r:id="rId48" w:history="1">
        <w:r w:rsidR="00D100F4" w:rsidRPr="009A3A8E">
          <w:rPr>
            <w:rStyle w:val="Hyperlink"/>
            <w:rFonts w:ascii="Arial" w:hAnsi="Arial" w:cs="Arial"/>
            <w:sz w:val="24"/>
            <w:szCs w:val="24"/>
          </w:rPr>
          <w:t>https://ir.tesla.com/press-release/tesla-fourth-quarter-2025-production-deliveries-deployments</w:t>
        </w:r>
      </w:hyperlink>
      <w:r w:rsidRPr="009A3A8E">
        <w:rPr>
          <w:rFonts w:ascii="Arial" w:hAnsi="Arial" w:cs="Arial"/>
          <w:sz w:val="24"/>
          <w:szCs w:val="24"/>
        </w:rPr>
        <w:t>.</w:t>
      </w:r>
    </w:p>
    <w:p w14:paraId="06EC8865" w14:textId="77777777" w:rsidR="00D100F4" w:rsidRPr="009A3A8E" w:rsidRDefault="00D100F4" w:rsidP="0069544A">
      <w:pPr>
        <w:spacing w:line="360" w:lineRule="auto"/>
        <w:jc w:val="both"/>
        <w:rPr>
          <w:rFonts w:ascii="Arial" w:hAnsi="Arial" w:cs="Arial"/>
          <w:sz w:val="24"/>
          <w:szCs w:val="24"/>
        </w:rPr>
      </w:pPr>
    </w:p>
    <w:p w14:paraId="55A09C96" w14:textId="2066E07F" w:rsidR="00D100F4" w:rsidRPr="009A3A8E" w:rsidRDefault="002B5642" w:rsidP="0069544A">
      <w:pPr>
        <w:spacing w:line="360" w:lineRule="auto"/>
        <w:jc w:val="both"/>
        <w:rPr>
          <w:rFonts w:ascii="Arial" w:hAnsi="Arial" w:cs="Arial"/>
          <w:sz w:val="24"/>
          <w:szCs w:val="24"/>
        </w:rPr>
      </w:pPr>
      <w:r w:rsidRPr="008120C5">
        <w:rPr>
          <w:rFonts w:ascii="Arial" w:hAnsi="Arial" w:cs="Arial"/>
          <w:sz w:val="24"/>
          <w:szCs w:val="24"/>
        </w:rPr>
        <w:t xml:space="preserve">UK Government (2024) </w:t>
      </w:r>
      <w:r w:rsidRPr="009A3A8E">
        <w:rPr>
          <w:rFonts w:ascii="Arial" w:hAnsi="Arial" w:cs="Arial"/>
          <w:sz w:val="24"/>
          <w:szCs w:val="24"/>
        </w:rPr>
        <w:t xml:space="preserve">Pathway for zero emission vehicle transition by 2035 becomes law. [online] GOV.UK. Available at: </w:t>
      </w:r>
      <w:hyperlink r:id="rId49" w:history="1">
        <w:r w:rsidR="00D100F4" w:rsidRPr="009A3A8E">
          <w:rPr>
            <w:rStyle w:val="Hyperlink"/>
            <w:rFonts w:ascii="Arial" w:hAnsi="Arial" w:cs="Arial"/>
            <w:sz w:val="24"/>
            <w:szCs w:val="24"/>
          </w:rPr>
          <w:t>https://www.gov.uk/government/news/pathway-for-zero-emission-vehicle-transition-by-2035-becomes-law</w:t>
        </w:r>
      </w:hyperlink>
      <w:r w:rsidRPr="009A3A8E">
        <w:rPr>
          <w:rFonts w:ascii="Arial" w:hAnsi="Arial" w:cs="Arial"/>
          <w:sz w:val="24"/>
          <w:szCs w:val="24"/>
        </w:rPr>
        <w:t>.</w:t>
      </w:r>
    </w:p>
    <w:p w14:paraId="32FFE044" w14:textId="77777777" w:rsidR="00D100F4" w:rsidRPr="009A3A8E" w:rsidRDefault="00D100F4" w:rsidP="0069544A">
      <w:pPr>
        <w:spacing w:line="360" w:lineRule="auto"/>
        <w:jc w:val="both"/>
        <w:rPr>
          <w:rFonts w:ascii="Arial" w:hAnsi="Arial" w:cs="Arial"/>
          <w:sz w:val="24"/>
          <w:szCs w:val="24"/>
        </w:rPr>
      </w:pPr>
    </w:p>
    <w:p w14:paraId="355702EA" w14:textId="40A7AEE8" w:rsidR="00D100F4"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t xml:space="preserve">Ural </w:t>
      </w:r>
      <w:proofErr w:type="spellStart"/>
      <w:r w:rsidRPr="00191CDD">
        <w:rPr>
          <w:rFonts w:ascii="Arial" w:hAnsi="Arial" w:cs="Arial"/>
          <w:sz w:val="24"/>
          <w:szCs w:val="24"/>
        </w:rPr>
        <w:t>Arslangulov</w:t>
      </w:r>
      <w:proofErr w:type="spellEnd"/>
      <w:r w:rsidRPr="00191CDD">
        <w:rPr>
          <w:rFonts w:ascii="Arial" w:hAnsi="Arial" w:cs="Arial"/>
          <w:sz w:val="24"/>
          <w:szCs w:val="24"/>
        </w:rPr>
        <w:t xml:space="preserve"> and Ackrill, R. (2024). Advancing the concept of windows of opportunity to explore the dynamics of the sustainability transition: The development of the EV market in the UK. </w:t>
      </w:r>
      <w:r w:rsidRPr="00191CDD">
        <w:rPr>
          <w:rFonts w:ascii="Arial" w:hAnsi="Arial" w:cs="Arial"/>
          <w:i/>
          <w:iCs/>
          <w:sz w:val="24"/>
          <w:szCs w:val="24"/>
        </w:rPr>
        <w:t>European policy analysis</w:t>
      </w:r>
      <w:r w:rsidRPr="00191CDD">
        <w:rPr>
          <w:rFonts w:ascii="Arial" w:hAnsi="Arial" w:cs="Arial"/>
          <w:sz w:val="24"/>
          <w:szCs w:val="24"/>
        </w:rPr>
        <w:t xml:space="preserve">.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50" w:history="1">
        <w:r w:rsidR="00D100F4" w:rsidRPr="009A3A8E">
          <w:rPr>
            <w:rStyle w:val="Hyperlink"/>
            <w:rFonts w:ascii="Arial" w:hAnsi="Arial" w:cs="Arial"/>
            <w:sz w:val="24"/>
            <w:szCs w:val="24"/>
          </w:rPr>
          <w:t>https://doi</w:t>
        </w:r>
        <w:r w:rsidR="00D100F4" w:rsidRPr="00191CDD">
          <w:rPr>
            <w:rStyle w:val="Hyperlink"/>
            <w:rFonts w:ascii="Arial" w:hAnsi="Arial" w:cs="Arial"/>
            <w:sz w:val="24"/>
            <w:szCs w:val="24"/>
          </w:rPr>
          <w:t>.org/10.1002/epa2.1216</w:t>
        </w:r>
      </w:hyperlink>
      <w:r w:rsidRPr="00191CDD">
        <w:rPr>
          <w:rFonts w:ascii="Arial" w:hAnsi="Arial" w:cs="Arial"/>
          <w:sz w:val="24"/>
          <w:szCs w:val="24"/>
        </w:rPr>
        <w:t>.</w:t>
      </w:r>
    </w:p>
    <w:p w14:paraId="704B1FC6" w14:textId="77777777" w:rsidR="00D100F4" w:rsidRPr="009A3A8E" w:rsidRDefault="00D100F4" w:rsidP="0069544A">
      <w:pPr>
        <w:spacing w:line="360" w:lineRule="auto"/>
        <w:jc w:val="both"/>
        <w:rPr>
          <w:rFonts w:ascii="Arial" w:hAnsi="Arial" w:cs="Arial"/>
          <w:sz w:val="24"/>
          <w:szCs w:val="24"/>
        </w:rPr>
      </w:pPr>
    </w:p>
    <w:p w14:paraId="0A2F9425" w14:textId="0B07ACB2" w:rsidR="00D100F4" w:rsidRPr="009A3A8E" w:rsidRDefault="002B5642" w:rsidP="0069544A">
      <w:pPr>
        <w:spacing w:line="360" w:lineRule="auto"/>
        <w:jc w:val="both"/>
        <w:rPr>
          <w:rFonts w:ascii="Arial" w:hAnsi="Arial" w:cs="Arial"/>
          <w:sz w:val="24"/>
          <w:szCs w:val="24"/>
        </w:rPr>
      </w:pPr>
      <w:r w:rsidRPr="00191CDD">
        <w:rPr>
          <w:rFonts w:ascii="Arial" w:hAnsi="Arial" w:cs="Arial"/>
          <w:sz w:val="24"/>
          <w:szCs w:val="24"/>
        </w:rPr>
        <w:lastRenderedPageBreak/>
        <w:t xml:space="preserve">YEUNG, K. (2025). Understanding Value Creation </w:t>
      </w:r>
      <w:proofErr w:type="gramStart"/>
      <w:r w:rsidRPr="00191CDD">
        <w:rPr>
          <w:rFonts w:ascii="Arial" w:hAnsi="Arial" w:cs="Arial"/>
          <w:sz w:val="24"/>
          <w:szCs w:val="24"/>
        </w:rPr>
        <w:t>And</w:t>
      </w:r>
      <w:proofErr w:type="gramEnd"/>
      <w:r w:rsidRPr="00191CDD">
        <w:rPr>
          <w:rFonts w:ascii="Arial" w:hAnsi="Arial" w:cs="Arial"/>
          <w:sz w:val="24"/>
          <w:szCs w:val="24"/>
        </w:rPr>
        <w:t xml:space="preserve"> Appropriation </w:t>
      </w:r>
      <w:proofErr w:type="gramStart"/>
      <w:r w:rsidRPr="00191CDD">
        <w:rPr>
          <w:rFonts w:ascii="Arial" w:hAnsi="Arial" w:cs="Arial"/>
          <w:sz w:val="24"/>
          <w:szCs w:val="24"/>
        </w:rPr>
        <w:t>In</w:t>
      </w:r>
      <w:proofErr w:type="gramEnd"/>
      <w:r w:rsidRPr="00191CDD">
        <w:rPr>
          <w:rFonts w:ascii="Arial" w:hAnsi="Arial" w:cs="Arial"/>
          <w:sz w:val="24"/>
          <w:szCs w:val="24"/>
        </w:rPr>
        <w:t xml:space="preserve"> </w:t>
      </w:r>
      <w:proofErr w:type="gramStart"/>
      <w:r w:rsidRPr="00191CDD">
        <w:rPr>
          <w:rFonts w:ascii="Arial" w:hAnsi="Arial" w:cs="Arial"/>
          <w:sz w:val="24"/>
          <w:szCs w:val="24"/>
        </w:rPr>
        <w:t>A</w:t>
      </w:r>
      <w:proofErr w:type="gramEnd"/>
      <w:r w:rsidRPr="00191CDD">
        <w:rPr>
          <w:rFonts w:ascii="Arial" w:hAnsi="Arial" w:cs="Arial"/>
          <w:sz w:val="24"/>
          <w:szCs w:val="24"/>
        </w:rPr>
        <w:t xml:space="preserve"> Disruptive Narrative: The Uk Ev Sector. </w:t>
      </w:r>
      <w:r w:rsidRPr="00191CDD">
        <w:rPr>
          <w:rFonts w:ascii="Arial" w:hAnsi="Arial" w:cs="Arial"/>
          <w:i/>
          <w:iCs/>
          <w:sz w:val="24"/>
          <w:szCs w:val="24"/>
        </w:rPr>
        <w:t>International Journal of Business &amp; Management Studies</w:t>
      </w:r>
      <w:r w:rsidRPr="00191CDD">
        <w:rPr>
          <w:rFonts w:ascii="Arial" w:hAnsi="Arial" w:cs="Arial"/>
          <w:sz w:val="24"/>
          <w:szCs w:val="24"/>
        </w:rPr>
        <w:t xml:space="preserve">, [online] 06(01), pp.23–42. </w:t>
      </w:r>
      <w:proofErr w:type="spellStart"/>
      <w:r w:rsidRPr="009A3A8E">
        <w:rPr>
          <w:rFonts w:ascii="Arial" w:hAnsi="Arial" w:cs="Arial"/>
          <w:sz w:val="24"/>
          <w:szCs w:val="24"/>
        </w:rPr>
        <w:t>doi</w:t>
      </w:r>
      <w:proofErr w:type="spellEnd"/>
      <w:r w:rsidRPr="009A3A8E">
        <w:rPr>
          <w:rFonts w:ascii="Arial" w:hAnsi="Arial" w:cs="Arial"/>
          <w:sz w:val="24"/>
          <w:szCs w:val="24"/>
        </w:rPr>
        <w:t xml:space="preserve">: </w:t>
      </w:r>
      <w:hyperlink r:id="rId51" w:history="1">
        <w:r w:rsidR="00D100F4" w:rsidRPr="009A3A8E">
          <w:rPr>
            <w:rStyle w:val="Hyperlink"/>
            <w:rFonts w:ascii="Arial" w:hAnsi="Arial" w:cs="Arial"/>
            <w:sz w:val="24"/>
            <w:szCs w:val="24"/>
          </w:rPr>
          <w:t>https://doi</w:t>
        </w:r>
        <w:r w:rsidR="00D100F4" w:rsidRPr="00191CDD">
          <w:rPr>
            <w:rStyle w:val="Hyperlink"/>
            <w:rFonts w:ascii="Arial" w:hAnsi="Arial" w:cs="Arial"/>
            <w:sz w:val="24"/>
            <w:szCs w:val="24"/>
          </w:rPr>
          <w:t>.org/10.56734/ijbms.v6n1a3</w:t>
        </w:r>
      </w:hyperlink>
      <w:r w:rsidRPr="00191CDD">
        <w:rPr>
          <w:rFonts w:ascii="Arial" w:hAnsi="Arial" w:cs="Arial"/>
          <w:sz w:val="24"/>
          <w:szCs w:val="24"/>
        </w:rPr>
        <w:t>.</w:t>
      </w:r>
    </w:p>
    <w:p w14:paraId="75FE75A1" w14:textId="77777777" w:rsidR="00D100F4" w:rsidRPr="009A3A8E" w:rsidRDefault="00D100F4" w:rsidP="0069544A">
      <w:pPr>
        <w:spacing w:line="360" w:lineRule="auto"/>
        <w:jc w:val="both"/>
        <w:rPr>
          <w:rFonts w:ascii="Arial" w:hAnsi="Arial" w:cs="Arial"/>
          <w:sz w:val="24"/>
          <w:szCs w:val="24"/>
        </w:rPr>
      </w:pPr>
    </w:p>
    <w:p w14:paraId="6E729A6D" w14:textId="0BBFF22C" w:rsidR="00B90DCB" w:rsidRPr="009A3A8E" w:rsidRDefault="002B5642" w:rsidP="0069544A">
      <w:pPr>
        <w:spacing w:line="360" w:lineRule="auto"/>
        <w:jc w:val="both"/>
        <w:rPr>
          <w:rFonts w:ascii="Arial" w:hAnsi="Arial" w:cs="Arial"/>
          <w:sz w:val="24"/>
          <w:szCs w:val="24"/>
        </w:rPr>
      </w:pPr>
      <w:proofErr w:type="spellStart"/>
      <w:r w:rsidRPr="008120C5">
        <w:rPr>
          <w:rFonts w:ascii="Arial" w:hAnsi="Arial" w:cs="Arial"/>
          <w:sz w:val="24"/>
          <w:szCs w:val="24"/>
        </w:rPr>
        <w:t>Zapmap</w:t>
      </w:r>
      <w:proofErr w:type="spellEnd"/>
      <w:r w:rsidRPr="008120C5">
        <w:rPr>
          <w:rFonts w:ascii="Arial" w:hAnsi="Arial" w:cs="Arial"/>
          <w:sz w:val="24"/>
          <w:szCs w:val="24"/>
        </w:rPr>
        <w:t xml:space="preserve">. (2025). EV charging statistics 2025 - </w:t>
      </w:r>
      <w:proofErr w:type="spellStart"/>
      <w:r w:rsidRPr="008120C5">
        <w:rPr>
          <w:rFonts w:ascii="Arial" w:hAnsi="Arial" w:cs="Arial"/>
          <w:sz w:val="24"/>
          <w:szCs w:val="24"/>
        </w:rPr>
        <w:t>Zapmap</w:t>
      </w:r>
      <w:proofErr w:type="spellEnd"/>
      <w:r w:rsidRPr="008120C5">
        <w:rPr>
          <w:rFonts w:ascii="Arial" w:hAnsi="Arial" w:cs="Arial"/>
          <w:sz w:val="24"/>
          <w:szCs w:val="24"/>
        </w:rPr>
        <w:t xml:space="preserve">. [online] Available at: </w:t>
      </w:r>
      <w:hyperlink r:id="rId52" w:history="1">
        <w:r w:rsidR="00D100F4" w:rsidRPr="008120C5">
          <w:rPr>
            <w:rStyle w:val="Hyperlink"/>
            <w:rFonts w:ascii="Arial" w:hAnsi="Arial" w:cs="Arial"/>
            <w:sz w:val="24"/>
            <w:szCs w:val="24"/>
          </w:rPr>
          <w:t>https://www.zapmap.com/ev-stats/how-many-charging-points</w:t>
        </w:r>
      </w:hyperlink>
      <w:r w:rsidRPr="008120C5">
        <w:rPr>
          <w:rFonts w:ascii="Arial" w:hAnsi="Arial" w:cs="Arial"/>
          <w:sz w:val="24"/>
          <w:szCs w:val="24"/>
        </w:rPr>
        <w:t>.</w:t>
      </w:r>
      <w:r w:rsidR="00D100F4" w:rsidRPr="009A3A8E">
        <w:rPr>
          <w:rFonts w:ascii="Arial" w:hAnsi="Arial" w:cs="Arial"/>
          <w:sz w:val="24"/>
          <w:szCs w:val="24"/>
        </w:rPr>
        <w:t xml:space="preserve"> </w:t>
      </w:r>
    </w:p>
    <w:p w14:paraId="2954FE62" w14:textId="77777777" w:rsidR="00AD2A14" w:rsidRPr="009A3A8E" w:rsidRDefault="00AD2A14" w:rsidP="0069544A">
      <w:pPr>
        <w:spacing w:line="360" w:lineRule="auto"/>
        <w:jc w:val="both"/>
        <w:rPr>
          <w:rFonts w:ascii="Arial" w:hAnsi="Arial" w:cs="Arial"/>
          <w:sz w:val="24"/>
          <w:szCs w:val="24"/>
        </w:rPr>
      </w:pPr>
    </w:p>
    <w:p w14:paraId="0E97BBE8" w14:textId="77777777" w:rsidR="0032493D" w:rsidRPr="009A3A8E" w:rsidRDefault="0032493D" w:rsidP="0069544A">
      <w:pPr>
        <w:spacing w:line="360" w:lineRule="auto"/>
        <w:jc w:val="both"/>
        <w:rPr>
          <w:rFonts w:ascii="Arial" w:hAnsi="Arial" w:cs="Arial"/>
          <w:sz w:val="24"/>
          <w:szCs w:val="24"/>
        </w:rPr>
      </w:pPr>
    </w:p>
    <w:p w14:paraId="4C22836F" w14:textId="77777777" w:rsidR="00C4292F" w:rsidRPr="00BD4C9D" w:rsidRDefault="00C4292F" w:rsidP="00C4292F">
      <w:pPr>
        <w:rPr>
          <w:rFonts w:ascii="Arial" w:hAnsi="Arial" w:cs="Arial"/>
          <w:sz w:val="24"/>
          <w:szCs w:val="24"/>
        </w:rPr>
      </w:pPr>
    </w:p>
    <w:sectPr w:rsidR="00C4292F" w:rsidRPr="00BD4C9D" w:rsidSect="00BF64E3">
      <w:footerReference w:type="default" r:id="rId5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79FC2" w14:textId="77777777" w:rsidR="00923967" w:rsidRPr="00AD2A14" w:rsidRDefault="00923967" w:rsidP="00BF64E3">
      <w:pPr>
        <w:spacing w:after="0" w:line="240" w:lineRule="auto"/>
      </w:pPr>
      <w:r w:rsidRPr="00AD2A14">
        <w:separator/>
      </w:r>
    </w:p>
  </w:endnote>
  <w:endnote w:type="continuationSeparator" w:id="0">
    <w:p w14:paraId="13E6BBC6" w14:textId="77777777" w:rsidR="00923967" w:rsidRPr="00AD2A14" w:rsidRDefault="00923967" w:rsidP="00BF64E3">
      <w:pPr>
        <w:spacing w:after="0" w:line="240" w:lineRule="auto"/>
      </w:pPr>
      <w:r w:rsidRPr="00AD2A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32"/>
        <w:szCs w:val="32"/>
      </w:rPr>
      <w:id w:val="-952552850"/>
      <w:docPartObj>
        <w:docPartGallery w:val="Page Numbers (Bottom of Page)"/>
        <w:docPartUnique/>
      </w:docPartObj>
    </w:sdtPr>
    <w:sdtContent>
      <w:sdt>
        <w:sdtPr>
          <w:rPr>
            <w:b/>
            <w:bCs/>
            <w:sz w:val="32"/>
            <w:szCs w:val="32"/>
          </w:rPr>
          <w:id w:val="1728636285"/>
          <w:docPartObj>
            <w:docPartGallery w:val="Page Numbers (Top of Page)"/>
            <w:docPartUnique/>
          </w:docPartObj>
        </w:sdtPr>
        <w:sdtContent>
          <w:p w14:paraId="72F40DA4" w14:textId="2968199E" w:rsidR="00BF64E3" w:rsidRPr="00AD2A14" w:rsidRDefault="00BF64E3">
            <w:pPr>
              <w:pStyle w:val="Footer"/>
              <w:jc w:val="center"/>
              <w:rPr>
                <w:b/>
                <w:bCs/>
                <w:sz w:val="32"/>
                <w:szCs w:val="32"/>
              </w:rPr>
            </w:pPr>
            <w:r w:rsidRPr="00AD2A14">
              <w:rPr>
                <w:b/>
                <w:bCs/>
                <w:sz w:val="32"/>
                <w:szCs w:val="32"/>
              </w:rPr>
              <w:t xml:space="preserve">Page </w:t>
            </w:r>
            <w:r w:rsidRPr="00AD2A14">
              <w:rPr>
                <w:b/>
                <w:bCs/>
                <w:sz w:val="32"/>
                <w:szCs w:val="32"/>
              </w:rPr>
              <w:fldChar w:fldCharType="begin"/>
            </w:r>
            <w:r w:rsidRPr="00AD2A14">
              <w:rPr>
                <w:b/>
                <w:bCs/>
                <w:sz w:val="32"/>
                <w:szCs w:val="32"/>
              </w:rPr>
              <w:instrText xml:space="preserve"> PAGE </w:instrText>
            </w:r>
            <w:r w:rsidRPr="00AD2A14">
              <w:rPr>
                <w:b/>
                <w:bCs/>
                <w:sz w:val="32"/>
                <w:szCs w:val="32"/>
              </w:rPr>
              <w:fldChar w:fldCharType="separate"/>
            </w:r>
            <w:r w:rsidRPr="00AD2A14">
              <w:rPr>
                <w:b/>
                <w:bCs/>
                <w:sz w:val="32"/>
                <w:szCs w:val="32"/>
              </w:rPr>
              <w:t>2</w:t>
            </w:r>
            <w:r w:rsidRPr="00AD2A14">
              <w:rPr>
                <w:b/>
                <w:bCs/>
                <w:sz w:val="32"/>
                <w:szCs w:val="32"/>
              </w:rPr>
              <w:fldChar w:fldCharType="end"/>
            </w:r>
            <w:r w:rsidRPr="00AD2A14">
              <w:rPr>
                <w:b/>
                <w:bCs/>
                <w:sz w:val="32"/>
                <w:szCs w:val="32"/>
              </w:rPr>
              <w:t xml:space="preserve"> of </w:t>
            </w:r>
            <w:r w:rsidRPr="00AD2A14">
              <w:rPr>
                <w:b/>
                <w:bCs/>
                <w:sz w:val="32"/>
                <w:szCs w:val="32"/>
              </w:rPr>
              <w:fldChar w:fldCharType="begin"/>
            </w:r>
            <w:r w:rsidRPr="00AD2A14">
              <w:rPr>
                <w:b/>
                <w:bCs/>
                <w:sz w:val="32"/>
                <w:szCs w:val="32"/>
              </w:rPr>
              <w:instrText xml:space="preserve"> NUMPAGES  </w:instrText>
            </w:r>
            <w:r w:rsidRPr="00AD2A14">
              <w:rPr>
                <w:b/>
                <w:bCs/>
                <w:sz w:val="32"/>
                <w:szCs w:val="32"/>
              </w:rPr>
              <w:fldChar w:fldCharType="separate"/>
            </w:r>
            <w:r w:rsidRPr="00AD2A14">
              <w:rPr>
                <w:b/>
                <w:bCs/>
                <w:sz w:val="32"/>
                <w:szCs w:val="32"/>
              </w:rPr>
              <w:t>2</w:t>
            </w:r>
            <w:r w:rsidRPr="00AD2A14">
              <w:rPr>
                <w:b/>
                <w:bCs/>
                <w:sz w:val="32"/>
                <w:szCs w:val="32"/>
              </w:rPr>
              <w:fldChar w:fldCharType="end"/>
            </w:r>
          </w:p>
        </w:sdtContent>
      </w:sdt>
    </w:sdtContent>
  </w:sdt>
  <w:p w14:paraId="570CB0D8" w14:textId="77777777" w:rsidR="00BF64E3" w:rsidRPr="00AD2A14" w:rsidRDefault="00BF64E3">
    <w:pPr>
      <w:pStyle w:val="Footer"/>
      <w:rPr>
        <w:b/>
        <w:bCs/>
        <w:sz w:val="32"/>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B449B" w14:textId="77777777" w:rsidR="00923967" w:rsidRPr="00AD2A14" w:rsidRDefault="00923967" w:rsidP="00BF64E3">
      <w:pPr>
        <w:spacing w:after="0" w:line="240" w:lineRule="auto"/>
      </w:pPr>
      <w:r w:rsidRPr="00AD2A14">
        <w:separator/>
      </w:r>
    </w:p>
  </w:footnote>
  <w:footnote w:type="continuationSeparator" w:id="0">
    <w:p w14:paraId="179C6596" w14:textId="77777777" w:rsidR="00923967" w:rsidRPr="00AD2A14" w:rsidRDefault="00923967" w:rsidP="00BF64E3">
      <w:pPr>
        <w:spacing w:after="0" w:line="240" w:lineRule="auto"/>
      </w:pPr>
      <w:r w:rsidRPr="00AD2A1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BD22B85"/>
    <w:multiLevelType w:val="multilevel"/>
    <w:tmpl w:val="8A58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C66BBF"/>
    <w:multiLevelType w:val="multilevel"/>
    <w:tmpl w:val="B8DE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BD737C"/>
    <w:multiLevelType w:val="hybridMultilevel"/>
    <w:tmpl w:val="77928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D36C46"/>
    <w:multiLevelType w:val="multilevel"/>
    <w:tmpl w:val="119E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606749">
    <w:abstractNumId w:val="2"/>
  </w:num>
  <w:num w:numId="2" w16cid:durableId="1400079">
    <w:abstractNumId w:val="0"/>
  </w:num>
  <w:num w:numId="3" w16cid:durableId="1593783549">
    <w:abstractNumId w:val="0"/>
  </w:num>
  <w:num w:numId="4" w16cid:durableId="686909581">
    <w:abstractNumId w:val="0"/>
  </w:num>
  <w:num w:numId="5" w16cid:durableId="114491671">
    <w:abstractNumId w:val="0"/>
  </w:num>
  <w:num w:numId="6" w16cid:durableId="732319059">
    <w:abstractNumId w:val="0"/>
  </w:num>
  <w:num w:numId="7" w16cid:durableId="264118679">
    <w:abstractNumId w:val="0"/>
  </w:num>
  <w:num w:numId="8" w16cid:durableId="1648197038">
    <w:abstractNumId w:val="0"/>
  </w:num>
  <w:num w:numId="9" w16cid:durableId="55855854">
    <w:abstractNumId w:val="0"/>
  </w:num>
  <w:num w:numId="10" w16cid:durableId="1314605907">
    <w:abstractNumId w:val="0"/>
  </w:num>
  <w:num w:numId="11" w16cid:durableId="2126075855">
    <w:abstractNumId w:val="0"/>
  </w:num>
  <w:num w:numId="12" w16cid:durableId="2037584602">
    <w:abstractNumId w:val="3"/>
  </w:num>
  <w:num w:numId="13" w16cid:durableId="1693995625">
    <w:abstractNumId w:val="4"/>
  </w:num>
  <w:num w:numId="14" w16cid:durableId="194727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4E3"/>
    <w:rsid w:val="00000563"/>
    <w:rsid w:val="00005263"/>
    <w:rsid w:val="0000558C"/>
    <w:rsid w:val="0000672B"/>
    <w:rsid w:val="00010FDE"/>
    <w:rsid w:val="000122DB"/>
    <w:rsid w:val="000168C2"/>
    <w:rsid w:val="00024029"/>
    <w:rsid w:val="00024CB8"/>
    <w:rsid w:val="00036690"/>
    <w:rsid w:val="00041FB2"/>
    <w:rsid w:val="00052AC4"/>
    <w:rsid w:val="000542D0"/>
    <w:rsid w:val="0005678F"/>
    <w:rsid w:val="00080014"/>
    <w:rsid w:val="000C7840"/>
    <w:rsid w:val="00104FD0"/>
    <w:rsid w:val="0011370F"/>
    <w:rsid w:val="00135B9B"/>
    <w:rsid w:val="00142036"/>
    <w:rsid w:val="001549E9"/>
    <w:rsid w:val="00154C69"/>
    <w:rsid w:val="001616D1"/>
    <w:rsid w:val="001675FD"/>
    <w:rsid w:val="00174122"/>
    <w:rsid w:val="001840D0"/>
    <w:rsid w:val="0019719F"/>
    <w:rsid w:val="001A3B50"/>
    <w:rsid w:val="001A773C"/>
    <w:rsid w:val="001B2CCB"/>
    <w:rsid w:val="001C74B0"/>
    <w:rsid w:val="001D366E"/>
    <w:rsid w:val="001E79BB"/>
    <w:rsid w:val="00211183"/>
    <w:rsid w:val="0023716A"/>
    <w:rsid w:val="00254FED"/>
    <w:rsid w:val="00276C18"/>
    <w:rsid w:val="00286571"/>
    <w:rsid w:val="00291B25"/>
    <w:rsid w:val="00293399"/>
    <w:rsid w:val="002B5642"/>
    <w:rsid w:val="002C6785"/>
    <w:rsid w:val="002D2018"/>
    <w:rsid w:val="002E6A56"/>
    <w:rsid w:val="002F02AD"/>
    <w:rsid w:val="00310099"/>
    <w:rsid w:val="00322B80"/>
    <w:rsid w:val="0032493D"/>
    <w:rsid w:val="003279B9"/>
    <w:rsid w:val="00334710"/>
    <w:rsid w:val="00352079"/>
    <w:rsid w:val="00366250"/>
    <w:rsid w:val="0038458E"/>
    <w:rsid w:val="00390B11"/>
    <w:rsid w:val="00392DAF"/>
    <w:rsid w:val="00397AF5"/>
    <w:rsid w:val="003B472D"/>
    <w:rsid w:val="003B4A19"/>
    <w:rsid w:val="003D4D7C"/>
    <w:rsid w:val="003E1F9A"/>
    <w:rsid w:val="003F149B"/>
    <w:rsid w:val="00406668"/>
    <w:rsid w:val="00412349"/>
    <w:rsid w:val="00417BB9"/>
    <w:rsid w:val="00422DF0"/>
    <w:rsid w:val="004236E7"/>
    <w:rsid w:val="004332C3"/>
    <w:rsid w:val="00446464"/>
    <w:rsid w:val="004520FD"/>
    <w:rsid w:val="00456C6E"/>
    <w:rsid w:val="00460A3B"/>
    <w:rsid w:val="004703B0"/>
    <w:rsid w:val="00486E9E"/>
    <w:rsid w:val="004904DE"/>
    <w:rsid w:val="00494A5F"/>
    <w:rsid w:val="004A349B"/>
    <w:rsid w:val="004A56F7"/>
    <w:rsid w:val="004D3AC8"/>
    <w:rsid w:val="004E33E3"/>
    <w:rsid w:val="004E64B8"/>
    <w:rsid w:val="005017D8"/>
    <w:rsid w:val="005465CD"/>
    <w:rsid w:val="005539CF"/>
    <w:rsid w:val="005820CA"/>
    <w:rsid w:val="00593A30"/>
    <w:rsid w:val="005A3091"/>
    <w:rsid w:val="005C5E7B"/>
    <w:rsid w:val="005E4332"/>
    <w:rsid w:val="005E54FD"/>
    <w:rsid w:val="005F2FEB"/>
    <w:rsid w:val="005F5B83"/>
    <w:rsid w:val="00600B6B"/>
    <w:rsid w:val="00603FCF"/>
    <w:rsid w:val="006101D9"/>
    <w:rsid w:val="006121F0"/>
    <w:rsid w:val="00626BC9"/>
    <w:rsid w:val="00626CC2"/>
    <w:rsid w:val="0063148D"/>
    <w:rsid w:val="00634941"/>
    <w:rsid w:val="006421B8"/>
    <w:rsid w:val="00646E82"/>
    <w:rsid w:val="00655EF0"/>
    <w:rsid w:val="00687F26"/>
    <w:rsid w:val="0069544A"/>
    <w:rsid w:val="006959F8"/>
    <w:rsid w:val="006A647B"/>
    <w:rsid w:val="006D4E35"/>
    <w:rsid w:val="006E6109"/>
    <w:rsid w:val="006F67B5"/>
    <w:rsid w:val="0070183F"/>
    <w:rsid w:val="0070331F"/>
    <w:rsid w:val="007069FA"/>
    <w:rsid w:val="00714338"/>
    <w:rsid w:val="00722AD9"/>
    <w:rsid w:val="00730E0D"/>
    <w:rsid w:val="0074553A"/>
    <w:rsid w:val="00752B1B"/>
    <w:rsid w:val="00754C2D"/>
    <w:rsid w:val="00754EB3"/>
    <w:rsid w:val="00754EB5"/>
    <w:rsid w:val="00767D64"/>
    <w:rsid w:val="00772DEA"/>
    <w:rsid w:val="00794771"/>
    <w:rsid w:val="007C0608"/>
    <w:rsid w:val="007E275A"/>
    <w:rsid w:val="007E7F3F"/>
    <w:rsid w:val="0081107A"/>
    <w:rsid w:val="0082291E"/>
    <w:rsid w:val="00824B2C"/>
    <w:rsid w:val="00831416"/>
    <w:rsid w:val="00832ED0"/>
    <w:rsid w:val="008445C8"/>
    <w:rsid w:val="008526F0"/>
    <w:rsid w:val="00860DEE"/>
    <w:rsid w:val="00866743"/>
    <w:rsid w:val="00882950"/>
    <w:rsid w:val="00895831"/>
    <w:rsid w:val="008C6B44"/>
    <w:rsid w:val="008E7F9A"/>
    <w:rsid w:val="00901899"/>
    <w:rsid w:val="00902C14"/>
    <w:rsid w:val="00913FD9"/>
    <w:rsid w:val="00915EC3"/>
    <w:rsid w:val="009226E7"/>
    <w:rsid w:val="00923967"/>
    <w:rsid w:val="00935FFD"/>
    <w:rsid w:val="00936921"/>
    <w:rsid w:val="00937C00"/>
    <w:rsid w:val="0094041E"/>
    <w:rsid w:val="00942A2C"/>
    <w:rsid w:val="00945249"/>
    <w:rsid w:val="00951297"/>
    <w:rsid w:val="00956DAB"/>
    <w:rsid w:val="00956EEB"/>
    <w:rsid w:val="00963742"/>
    <w:rsid w:val="009861EE"/>
    <w:rsid w:val="009A209D"/>
    <w:rsid w:val="009A3A8E"/>
    <w:rsid w:val="009B5BA5"/>
    <w:rsid w:val="009B7155"/>
    <w:rsid w:val="00A15243"/>
    <w:rsid w:val="00A17AAF"/>
    <w:rsid w:val="00A21B50"/>
    <w:rsid w:val="00A31637"/>
    <w:rsid w:val="00A44146"/>
    <w:rsid w:val="00A45656"/>
    <w:rsid w:val="00A5113B"/>
    <w:rsid w:val="00A606A7"/>
    <w:rsid w:val="00A778B4"/>
    <w:rsid w:val="00A85221"/>
    <w:rsid w:val="00AA189C"/>
    <w:rsid w:val="00AA5A14"/>
    <w:rsid w:val="00AB7767"/>
    <w:rsid w:val="00AD2A14"/>
    <w:rsid w:val="00AD3DCA"/>
    <w:rsid w:val="00AD42F7"/>
    <w:rsid w:val="00AD4BC4"/>
    <w:rsid w:val="00AE44BA"/>
    <w:rsid w:val="00AF290B"/>
    <w:rsid w:val="00AF2B59"/>
    <w:rsid w:val="00B00A3F"/>
    <w:rsid w:val="00B0765F"/>
    <w:rsid w:val="00B1676B"/>
    <w:rsid w:val="00B46083"/>
    <w:rsid w:val="00B50232"/>
    <w:rsid w:val="00B66472"/>
    <w:rsid w:val="00B77158"/>
    <w:rsid w:val="00B86D04"/>
    <w:rsid w:val="00B90DCB"/>
    <w:rsid w:val="00B96833"/>
    <w:rsid w:val="00BA2B4E"/>
    <w:rsid w:val="00BA30EC"/>
    <w:rsid w:val="00BA5D0E"/>
    <w:rsid w:val="00BB4961"/>
    <w:rsid w:val="00BC7447"/>
    <w:rsid w:val="00BD0DAE"/>
    <w:rsid w:val="00BD4C9D"/>
    <w:rsid w:val="00BE34F7"/>
    <w:rsid w:val="00BF5ABF"/>
    <w:rsid w:val="00BF64E3"/>
    <w:rsid w:val="00C0507C"/>
    <w:rsid w:val="00C054A6"/>
    <w:rsid w:val="00C075BB"/>
    <w:rsid w:val="00C100E8"/>
    <w:rsid w:val="00C40E44"/>
    <w:rsid w:val="00C4292F"/>
    <w:rsid w:val="00C53D6E"/>
    <w:rsid w:val="00C6256F"/>
    <w:rsid w:val="00C71BB7"/>
    <w:rsid w:val="00C76539"/>
    <w:rsid w:val="00C86A82"/>
    <w:rsid w:val="00CC4C9E"/>
    <w:rsid w:val="00D05C71"/>
    <w:rsid w:val="00D100F4"/>
    <w:rsid w:val="00D43AF6"/>
    <w:rsid w:val="00D4463F"/>
    <w:rsid w:val="00D639D8"/>
    <w:rsid w:val="00D75FA7"/>
    <w:rsid w:val="00D768F9"/>
    <w:rsid w:val="00D857C9"/>
    <w:rsid w:val="00D87970"/>
    <w:rsid w:val="00D90266"/>
    <w:rsid w:val="00D91422"/>
    <w:rsid w:val="00D93977"/>
    <w:rsid w:val="00DD2901"/>
    <w:rsid w:val="00DD5798"/>
    <w:rsid w:val="00E06081"/>
    <w:rsid w:val="00E30E97"/>
    <w:rsid w:val="00E35567"/>
    <w:rsid w:val="00E40AD3"/>
    <w:rsid w:val="00E7270B"/>
    <w:rsid w:val="00E73DC0"/>
    <w:rsid w:val="00E8053B"/>
    <w:rsid w:val="00E84B88"/>
    <w:rsid w:val="00E97FE1"/>
    <w:rsid w:val="00EB043A"/>
    <w:rsid w:val="00EC1668"/>
    <w:rsid w:val="00ED099C"/>
    <w:rsid w:val="00ED5ABB"/>
    <w:rsid w:val="00ED6732"/>
    <w:rsid w:val="00EE263E"/>
    <w:rsid w:val="00EE5BE6"/>
    <w:rsid w:val="00EF6D6E"/>
    <w:rsid w:val="00F03691"/>
    <w:rsid w:val="00F057A3"/>
    <w:rsid w:val="00F0685C"/>
    <w:rsid w:val="00F14466"/>
    <w:rsid w:val="00F2491F"/>
    <w:rsid w:val="00F26CAD"/>
    <w:rsid w:val="00F33110"/>
    <w:rsid w:val="00F51ABE"/>
    <w:rsid w:val="00F5354C"/>
    <w:rsid w:val="00F7080E"/>
    <w:rsid w:val="00F95178"/>
    <w:rsid w:val="00F9598B"/>
    <w:rsid w:val="00FA3557"/>
    <w:rsid w:val="00FA64F4"/>
    <w:rsid w:val="00FB02A9"/>
    <w:rsid w:val="00FB4AC9"/>
    <w:rsid w:val="00FB50A7"/>
    <w:rsid w:val="00FD78CC"/>
    <w:rsid w:val="00FE4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64BA6"/>
  <w15:chartTrackingRefBased/>
  <w15:docId w15:val="{9F73DBCD-F310-41A6-BE13-01F91793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ABB"/>
    <w:rPr>
      <w:lang w:val="en-GB"/>
    </w:rPr>
  </w:style>
  <w:style w:type="paragraph" w:styleId="Heading1">
    <w:name w:val="heading 1"/>
    <w:basedOn w:val="Normal"/>
    <w:next w:val="Normal"/>
    <w:link w:val="Heading1Char"/>
    <w:uiPriority w:val="9"/>
    <w:qFormat/>
    <w:rsid w:val="00ED5ABB"/>
    <w:pPr>
      <w:keepNext/>
      <w:keepLines/>
      <w:numPr>
        <w:numId w:val="1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D5ABB"/>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D5ABB"/>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D5ABB"/>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D5ABB"/>
    <w:pPr>
      <w:keepNext/>
      <w:keepLines/>
      <w:numPr>
        <w:ilvl w:val="4"/>
        <w:numId w:val="11"/>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ED5ABB"/>
    <w:pPr>
      <w:keepNext/>
      <w:keepLines/>
      <w:numPr>
        <w:ilvl w:val="5"/>
        <w:numId w:val="11"/>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ED5ABB"/>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D5ABB"/>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D5ABB"/>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ABB"/>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D5AB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ED5ABB"/>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D5ABB"/>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D5ABB"/>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ED5ABB"/>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ED5A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D5A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D5AB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D5AB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D5AB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D5AB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D5ABB"/>
    <w:rPr>
      <w:color w:val="5A5A5A" w:themeColor="text1" w:themeTint="A5"/>
      <w:spacing w:val="10"/>
    </w:rPr>
  </w:style>
  <w:style w:type="paragraph" w:styleId="Quote">
    <w:name w:val="Quote"/>
    <w:basedOn w:val="Normal"/>
    <w:next w:val="Normal"/>
    <w:link w:val="QuoteChar"/>
    <w:uiPriority w:val="29"/>
    <w:qFormat/>
    <w:rsid w:val="00ED5ABB"/>
    <w:pPr>
      <w:spacing w:before="160"/>
      <w:ind w:left="720" w:right="720"/>
    </w:pPr>
    <w:rPr>
      <w:i/>
      <w:iCs/>
      <w:color w:val="000000" w:themeColor="text1"/>
    </w:rPr>
  </w:style>
  <w:style w:type="character" w:customStyle="1" w:styleId="QuoteChar">
    <w:name w:val="Quote Char"/>
    <w:basedOn w:val="DefaultParagraphFont"/>
    <w:link w:val="Quote"/>
    <w:uiPriority w:val="29"/>
    <w:rsid w:val="00ED5ABB"/>
    <w:rPr>
      <w:i/>
      <w:iCs/>
      <w:color w:val="000000" w:themeColor="text1"/>
    </w:rPr>
  </w:style>
  <w:style w:type="paragraph" w:styleId="ListParagraph">
    <w:name w:val="List Paragraph"/>
    <w:basedOn w:val="Normal"/>
    <w:uiPriority w:val="34"/>
    <w:qFormat/>
    <w:rsid w:val="00BF64E3"/>
    <w:pPr>
      <w:ind w:left="720"/>
      <w:contextualSpacing/>
    </w:pPr>
  </w:style>
  <w:style w:type="character" w:styleId="IntenseEmphasis">
    <w:name w:val="Intense Emphasis"/>
    <w:basedOn w:val="DefaultParagraphFont"/>
    <w:uiPriority w:val="21"/>
    <w:qFormat/>
    <w:rsid w:val="00ED5ABB"/>
    <w:rPr>
      <w:b/>
      <w:bCs/>
      <w:i/>
      <w:iCs/>
      <w:caps/>
    </w:rPr>
  </w:style>
  <w:style w:type="paragraph" w:styleId="IntenseQuote">
    <w:name w:val="Intense Quote"/>
    <w:basedOn w:val="Normal"/>
    <w:next w:val="Normal"/>
    <w:link w:val="IntenseQuoteChar"/>
    <w:uiPriority w:val="30"/>
    <w:qFormat/>
    <w:rsid w:val="00ED5AB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D5ABB"/>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ED5ABB"/>
    <w:rPr>
      <w:b/>
      <w:bCs/>
      <w:smallCaps/>
      <w:u w:val="single"/>
    </w:rPr>
  </w:style>
  <w:style w:type="paragraph" w:styleId="Header">
    <w:name w:val="header"/>
    <w:basedOn w:val="Normal"/>
    <w:link w:val="HeaderChar"/>
    <w:uiPriority w:val="99"/>
    <w:unhideWhenUsed/>
    <w:rsid w:val="00BF6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64E3"/>
    <w:rPr>
      <w:lang w:val="en-GB"/>
    </w:rPr>
  </w:style>
  <w:style w:type="paragraph" w:styleId="Footer">
    <w:name w:val="footer"/>
    <w:basedOn w:val="Normal"/>
    <w:link w:val="FooterChar"/>
    <w:uiPriority w:val="99"/>
    <w:unhideWhenUsed/>
    <w:rsid w:val="00BF6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4E3"/>
    <w:rPr>
      <w:lang w:val="en-GB"/>
    </w:rPr>
  </w:style>
  <w:style w:type="character" w:styleId="Strong">
    <w:name w:val="Strong"/>
    <w:basedOn w:val="DefaultParagraphFont"/>
    <w:uiPriority w:val="22"/>
    <w:qFormat/>
    <w:rsid w:val="00ED5ABB"/>
    <w:rPr>
      <w:b/>
      <w:bCs/>
      <w:color w:val="000000" w:themeColor="text1"/>
    </w:rPr>
  </w:style>
  <w:style w:type="table" w:styleId="GridTable4-Accent4">
    <w:name w:val="Grid Table 4 Accent 4"/>
    <w:basedOn w:val="TableNormal"/>
    <w:uiPriority w:val="49"/>
    <w:rsid w:val="00ED5ABB"/>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Caption">
    <w:name w:val="caption"/>
    <w:basedOn w:val="Normal"/>
    <w:next w:val="Normal"/>
    <w:uiPriority w:val="35"/>
    <w:unhideWhenUsed/>
    <w:qFormat/>
    <w:rsid w:val="00ED5ABB"/>
    <w:pPr>
      <w:spacing w:after="200" w:line="240" w:lineRule="auto"/>
    </w:pPr>
    <w:rPr>
      <w:i/>
      <w:iCs/>
      <w:color w:val="1F497D" w:themeColor="text2"/>
      <w:sz w:val="18"/>
      <w:szCs w:val="18"/>
    </w:rPr>
  </w:style>
  <w:style w:type="character" w:styleId="Emphasis">
    <w:name w:val="Emphasis"/>
    <w:basedOn w:val="DefaultParagraphFont"/>
    <w:uiPriority w:val="20"/>
    <w:qFormat/>
    <w:rsid w:val="00ED5ABB"/>
    <w:rPr>
      <w:i/>
      <w:iCs/>
      <w:color w:val="auto"/>
    </w:rPr>
  </w:style>
  <w:style w:type="paragraph" w:styleId="NoSpacing">
    <w:name w:val="No Spacing"/>
    <w:uiPriority w:val="1"/>
    <w:qFormat/>
    <w:rsid w:val="00ED5ABB"/>
    <w:pPr>
      <w:spacing w:after="0" w:line="240" w:lineRule="auto"/>
    </w:pPr>
  </w:style>
  <w:style w:type="character" w:styleId="SubtleEmphasis">
    <w:name w:val="Subtle Emphasis"/>
    <w:basedOn w:val="DefaultParagraphFont"/>
    <w:uiPriority w:val="19"/>
    <w:qFormat/>
    <w:rsid w:val="00ED5ABB"/>
    <w:rPr>
      <w:i/>
      <w:iCs/>
      <w:color w:val="404040" w:themeColor="text1" w:themeTint="BF"/>
    </w:rPr>
  </w:style>
  <w:style w:type="character" w:styleId="SubtleReference">
    <w:name w:val="Subtle Reference"/>
    <w:basedOn w:val="DefaultParagraphFont"/>
    <w:uiPriority w:val="31"/>
    <w:qFormat/>
    <w:rsid w:val="00ED5ABB"/>
    <w:rPr>
      <w:smallCaps/>
      <w:color w:val="404040" w:themeColor="text1" w:themeTint="BF"/>
      <w:u w:val="single" w:color="7F7F7F" w:themeColor="text1" w:themeTint="80"/>
    </w:rPr>
  </w:style>
  <w:style w:type="character" w:styleId="BookTitle">
    <w:name w:val="Book Title"/>
    <w:basedOn w:val="DefaultParagraphFont"/>
    <w:uiPriority w:val="33"/>
    <w:qFormat/>
    <w:rsid w:val="00ED5ABB"/>
    <w:rPr>
      <w:b w:val="0"/>
      <w:bCs w:val="0"/>
      <w:smallCaps/>
      <w:spacing w:val="5"/>
    </w:rPr>
  </w:style>
  <w:style w:type="paragraph" w:styleId="TOCHeading">
    <w:name w:val="TOC Heading"/>
    <w:basedOn w:val="Heading1"/>
    <w:next w:val="Normal"/>
    <w:uiPriority w:val="39"/>
    <w:unhideWhenUsed/>
    <w:qFormat/>
    <w:rsid w:val="00ED5ABB"/>
    <w:pPr>
      <w:outlineLvl w:val="9"/>
    </w:pPr>
  </w:style>
  <w:style w:type="paragraph" w:styleId="NormalWeb">
    <w:name w:val="Normal (Web)"/>
    <w:basedOn w:val="Normal"/>
    <w:uiPriority w:val="99"/>
    <w:semiHidden/>
    <w:unhideWhenUsed/>
    <w:rsid w:val="00ED5ABB"/>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2493D"/>
    <w:pPr>
      <w:spacing w:after="100"/>
    </w:pPr>
  </w:style>
  <w:style w:type="paragraph" w:styleId="TOC2">
    <w:name w:val="toc 2"/>
    <w:basedOn w:val="Normal"/>
    <w:next w:val="Normal"/>
    <w:autoRedefine/>
    <w:uiPriority w:val="39"/>
    <w:unhideWhenUsed/>
    <w:rsid w:val="0032493D"/>
    <w:pPr>
      <w:spacing w:after="100"/>
      <w:ind w:left="220"/>
    </w:pPr>
  </w:style>
  <w:style w:type="paragraph" w:styleId="TOC3">
    <w:name w:val="toc 3"/>
    <w:basedOn w:val="Normal"/>
    <w:next w:val="Normal"/>
    <w:autoRedefine/>
    <w:uiPriority w:val="39"/>
    <w:unhideWhenUsed/>
    <w:rsid w:val="0032493D"/>
    <w:pPr>
      <w:spacing w:after="100"/>
      <w:ind w:left="440"/>
    </w:pPr>
  </w:style>
  <w:style w:type="character" w:styleId="Hyperlink">
    <w:name w:val="Hyperlink"/>
    <w:basedOn w:val="DefaultParagraphFont"/>
    <w:uiPriority w:val="99"/>
    <w:unhideWhenUsed/>
    <w:rsid w:val="0032493D"/>
    <w:rPr>
      <w:color w:val="0000FF" w:themeColor="hyperlink"/>
      <w:u w:val="single"/>
    </w:rPr>
  </w:style>
  <w:style w:type="table" w:styleId="TableGrid">
    <w:name w:val="Table Grid"/>
    <w:basedOn w:val="TableNormal"/>
    <w:uiPriority w:val="39"/>
    <w:rsid w:val="00AD2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90DC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ableofFigures">
    <w:name w:val="table of figures"/>
    <w:basedOn w:val="Normal"/>
    <w:next w:val="Normal"/>
    <w:uiPriority w:val="99"/>
    <w:unhideWhenUsed/>
    <w:rsid w:val="00000563"/>
    <w:pPr>
      <w:spacing w:after="0"/>
    </w:pPr>
  </w:style>
  <w:style w:type="character" w:styleId="UnresolvedMention">
    <w:name w:val="Unresolved Mention"/>
    <w:basedOn w:val="DefaultParagraphFont"/>
    <w:uiPriority w:val="99"/>
    <w:semiHidden/>
    <w:unhideWhenUsed/>
    <w:rsid w:val="002B5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4453/aabfj.v16i5.05" TargetMode="External"/><Relationship Id="rId26" Type="http://schemas.openxmlformats.org/officeDocument/2006/relationships/hyperlink" Target="https://www.fromtheroad.ford.com/us/en/articles/2026/ford-reports-fourth-quarter-full-year-2025-financial-results" TargetMode="External"/><Relationship Id="rId39" Type="http://schemas.openxmlformats.org/officeDocument/2006/relationships/hyperlink" Target="https://www.hbs.edu/faculty/Pages/item.aspx?num=195" TargetMode="External"/><Relationship Id="rId21" Type="http://schemas.openxmlformats.org/officeDocument/2006/relationships/hyperlink" Target="https://www.u-drivepro.co.uk/about-us/news/zev-mandate-explained-what-fleets-need-know" TargetMode="External"/><Relationship Id="rId34" Type="http://schemas.openxmlformats.org/officeDocument/2006/relationships/hyperlink" Target="https://doi.org/10.3390/systems13090779" TargetMode="External"/><Relationship Id="rId42" Type="http://schemas.openxmlformats.org/officeDocument/2006/relationships/hyperlink" Target="https://www.scirp.org/reference/referencespapers?referenceid=3275637" TargetMode="External"/><Relationship Id="rId47" Type="http://schemas.openxmlformats.org/officeDocument/2006/relationships/hyperlink" Target="https://ir.tesla.com/press-release/tesla-fourth-quarter-2025-production-deliveries-deployments" TargetMode="External"/><Relationship Id="rId50" Type="http://schemas.openxmlformats.org/officeDocument/2006/relationships/hyperlink" Target="https://doi.org/10.1002/epa2.1216"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ov.uk/government/news/government-sets-out-path-to-zero-emission-vehicles-by-2035" TargetMode="External"/><Relationship Id="rId11" Type="http://schemas.openxmlformats.org/officeDocument/2006/relationships/image" Target="media/image4.png"/><Relationship Id="rId24" Type="http://schemas.openxmlformats.org/officeDocument/2006/relationships/hyperlink" Target="https://doi.org/10.17863/CAM.122174" TargetMode="External"/><Relationship Id="rId32" Type="http://schemas.openxmlformats.org/officeDocument/2006/relationships/hyperlink" Target="https://www.smmt.co.uk/uk-new-car-market-breaches-two-million-as-almost-one-in-four-buyers-go-electric/" TargetMode="External"/><Relationship Id="rId37" Type="http://schemas.openxmlformats.org/officeDocument/2006/relationships/hyperlink" Target="https://doi.org/10.2118/228677-ms" TargetMode="External"/><Relationship Id="rId40" Type="http://schemas.openxmlformats.org/officeDocument/2006/relationships/hyperlink" Target="https://www.rac.co.uk/drive/electric-cars/choosing/tesla-data-statistics-and-projections/" TargetMode="External"/><Relationship Id="rId45" Type="http://schemas.openxmlformats.org/officeDocument/2006/relationships/hyperlink" Target="https://doi.org/10.7759/s44404-025-06730-5"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scirp.org/reference/referencespapers?referenceid=2494584" TargetMode="External"/><Relationship Id="rId31" Type="http://schemas.openxmlformats.org/officeDocument/2006/relationships/hyperlink" Target="https://commecsinstitute.edu.pk/wp-content/uploads/2024/08/Kotler-and-Armstrong-Principles-of-Marketing.pdf" TargetMode="External"/><Relationship Id="rId44" Type="http://schemas.openxmlformats.org/officeDocument/2006/relationships/hyperlink" Target="https://doi.org/10.1080/00207543.2021.1975058" TargetMode="External"/><Relationship Id="rId52" Type="http://schemas.openxmlformats.org/officeDocument/2006/relationships/hyperlink" Target="https://www.zapmap.com/ev-stats/how-many-charging-poi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62517/jbm.202409606" TargetMode="External"/><Relationship Id="rId27" Type="http://schemas.openxmlformats.org/officeDocument/2006/relationships/hyperlink" Target="https://doi.org/10.4324/9781003515036" TargetMode="External"/><Relationship Id="rId30" Type="http://schemas.openxmlformats.org/officeDocument/2006/relationships/hyperlink" Target="https://doi.org/10.63944/m8wz.jfemr" TargetMode="External"/><Relationship Id="rId35" Type="http://schemas.openxmlformats.org/officeDocument/2006/relationships/hyperlink" Target="https://doi.org/10.3390/wevj16020090" TargetMode="External"/><Relationship Id="rId43" Type="http://schemas.openxmlformats.org/officeDocument/2006/relationships/hyperlink" Target="https://doi.org/10.3390/wevj15060268" TargetMode="External"/><Relationship Id="rId48" Type="http://schemas.openxmlformats.org/officeDocument/2006/relationships/hyperlink" Target="https://ir.tesla.com/press-release/tesla-fourth-quarter-2025-production-deliveries-deployments" TargetMode="External"/><Relationship Id="rId8" Type="http://schemas.openxmlformats.org/officeDocument/2006/relationships/image" Target="media/image1.png"/><Relationship Id="rId51" Type="http://schemas.openxmlformats.org/officeDocument/2006/relationships/hyperlink" Target="https://doi.org/10.56734/ijbms.v6n1a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t.com/content/611599ea-9e61-4366-881b-d66126f9f185" TargetMode="External"/><Relationship Id="rId33" Type="http://schemas.openxmlformats.org/officeDocument/2006/relationships/hyperlink" Target="https://doi.org/10.1007/978-3-658-43352-9_19" TargetMode="External"/><Relationship Id="rId38" Type="http://schemas.openxmlformats.org/officeDocument/2006/relationships/hyperlink" Target="https://doi.org/10.1080/09537325.2023.2242505" TargetMode="External"/><Relationship Id="rId46" Type="http://schemas.openxmlformats.org/officeDocument/2006/relationships/hyperlink" Target="https://www.jstor.org/stable/20141992" TargetMode="External"/><Relationship Id="rId20" Type="http://schemas.openxmlformats.org/officeDocument/2006/relationships/hyperlink" Target="https://doi.org/10.4324/9781003046899-10" TargetMode="External"/><Relationship Id="rId41" Type="http://schemas.openxmlformats.org/officeDocument/2006/relationships/hyperlink" Target="https://doi.org/10.1161/svin.122.00078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2139/ssrn.4482880" TargetMode="External"/><Relationship Id="rId28" Type="http://schemas.openxmlformats.org/officeDocument/2006/relationships/hyperlink" Target="https://doi.org/10.3390/wevj16090518" TargetMode="External"/><Relationship Id="rId36" Type="http://schemas.openxmlformats.org/officeDocument/2006/relationships/hyperlink" Target="https://doi.org/10.2991/978-94-6463-054-1_39" TargetMode="External"/><Relationship Id="rId49" Type="http://schemas.openxmlformats.org/officeDocument/2006/relationships/hyperlink" Target="https://www.gov.uk/government/news/pathway-for-zero-emission-vehicle-transition-by-2035-becomes-law"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368E2-7D51-4DD7-8A92-805F0A99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5198</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Hassan Amjad (28683052)</cp:lastModifiedBy>
  <cp:revision>2</cp:revision>
  <dcterms:created xsi:type="dcterms:W3CDTF">2026-02-27T12:43:00Z</dcterms:created>
  <dcterms:modified xsi:type="dcterms:W3CDTF">2026-02-27T12:43:00Z</dcterms:modified>
</cp:coreProperties>
</file>