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B8AA9" w14:textId="77777777" w:rsidR="00D04C65" w:rsidRDefault="00D04C65" w:rsidP="00D04C65">
      <w:pPr>
        <w:rPr>
          <w:b/>
          <w:bCs/>
          <w:sz w:val="32"/>
          <w:szCs w:val="32"/>
        </w:rPr>
      </w:pPr>
      <w:r>
        <w:rPr>
          <w:b/>
          <w:bCs/>
          <w:noProof/>
          <w:sz w:val="32"/>
          <w:szCs w:val="32"/>
        </w:rPr>
        <w:drawing>
          <wp:anchor distT="0" distB="0" distL="114300" distR="114300" simplePos="0" relativeHeight="251659264" behindDoc="1" locked="0" layoutInCell="1" allowOverlap="1" wp14:anchorId="1DD06EF7" wp14:editId="3182279D">
            <wp:simplePos x="0" y="0"/>
            <wp:positionH relativeFrom="column">
              <wp:posOffset>-438150</wp:posOffset>
            </wp:positionH>
            <wp:positionV relativeFrom="page">
              <wp:posOffset>600075</wp:posOffset>
            </wp:positionV>
            <wp:extent cx="3092450" cy="8978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92450" cy="897890"/>
                    </a:xfrm>
                    <a:prstGeom prst="rect">
                      <a:avLst/>
                    </a:prstGeom>
                    <a:noFill/>
                  </pic:spPr>
                </pic:pic>
              </a:graphicData>
            </a:graphic>
            <wp14:sizeRelH relativeFrom="margin">
              <wp14:pctWidth>0</wp14:pctWidth>
            </wp14:sizeRelH>
            <wp14:sizeRelV relativeFrom="margin">
              <wp14:pctHeight>0</wp14:pctHeight>
            </wp14:sizeRelV>
          </wp:anchor>
        </w:drawing>
      </w:r>
    </w:p>
    <w:p w14:paraId="00BB5528" w14:textId="77777777" w:rsidR="000D52D4" w:rsidRPr="000D52D4" w:rsidRDefault="00AA56AC" w:rsidP="000D52D4">
      <w:pPr>
        <w:spacing w:line="240" w:lineRule="auto"/>
        <w:rPr>
          <w:b/>
          <w:bCs/>
          <w:sz w:val="32"/>
          <w:szCs w:val="32"/>
        </w:rPr>
      </w:pPr>
      <w:r w:rsidRPr="000D52D4">
        <w:rPr>
          <w:b/>
          <w:bCs/>
          <w:sz w:val="32"/>
          <w:szCs w:val="32"/>
        </w:rPr>
        <w:t xml:space="preserve"> </w:t>
      </w:r>
      <w:r w:rsidR="00C46021" w:rsidRPr="000D52D4">
        <w:rPr>
          <w:b/>
          <w:bCs/>
          <w:sz w:val="32"/>
          <w:szCs w:val="32"/>
        </w:rPr>
        <w:t>BA</w:t>
      </w:r>
      <w:r w:rsidR="00D04C65" w:rsidRPr="000D52D4">
        <w:rPr>
          <w:b/>
          <w:bCs/>
          <w:sz w:val="32"/>
          <w:szCs w:val="32"/>
        </w:rPr>
        <w:t xml:space="preserve"> </w:t>
      </w:r>
      <w:r w:rsidR="00C46021" w:rsidRPr="000D52D4">
        <w:rPr>
          <w:b/>
          <w:bCs/>
          <w:sz w:val="32"/>
          <w:szCs w:val="32"/>
        </w:rPr>
        <w:t>Leadership and Management</w:t>
      </w:r>
      <w:r w:rsidRPr="000D52D4">
        <w:rPr>
          <w:b/>
          <w:bCs/>
          <w:sz w:val="32"/>
          <w:szCs w:val="32"/>
        </w:rPr>
        <w:t>-</w:t>
      </w:r>
      <w:r w:rsidR="00C46021" w:rsidRPr="000D52D4">
        <w:rPr>
          <w:b/>
          <w:bCs/>
          <w:sz w:val="32"/>
          <w:szCs w:val="32"/>
        </w:rPr>
        <w:t>LEVEL</w:t>
      </w:r>
      <w:r w:rsidR="00D04C65" w:rsidRPr="000D52D4">
        <w:rPr>
          <w:b/>
          <w:bCs/>
          <w:sz w:val="32"/>
          <w:szCs w:val="32"/>
        </w:rPr>
        <w:t>5</w:t>
      </w:r>
    </w:p>
    <w:p w14:paraId="433BC6E9" w14:textId="7688FFE9" w:rsidR="001B5BC0" w:rsidRPr="000D52D4" w:rsidRDefault="005473B5" w:rsidP="000D52D4">
      <w:pPr>
        <w:spacing w:line="240" w:lineRule="auto"/>
        <w:jc w:val="left"/>
        <w:rPr>
          <w:b/>
          <w:bCs/>
          <w:sz w:val="32"/>
          <w:szCs w:val="32"/>
        </w:rPr>
      </w:pPr>
      <w:r w:rsidRPr="000D52D4">
        <w:rPr>
          <w:b/>
          <w:bCs/>
          <w:sz w:val="32"/>
          <w:szCs w:val="32"/>
        </w:rPr>
        <w:t xml:space="preserve"> </w:t>
      </w:r>
      <w:r w:rsidR="00C46021" w:rsidRPr="000D52D4">
        <w:rPr>
          <w:b/>
          <w:bCs/>
          <w:sz w:val="32"/>
          <w:szCs w:val="32"/>
        </w:rPr>
        <w:t>Managing Projects in Organise</w:t>
      </w:r>
      <w:r w:rsidRPr="000D52D4">
        <w:rPr>
          <w:b/>
          <w:bCs/>
          <w:sz w:val="32"/>
          <w:szCs w:val="32"/>
        </w:rPr>
        <w:t>-</w:t>
      </w:r>
      <w:r w:rsidR="00C46021" w:rsidRPr="000D52D4">
        <w:rPr>
          <w:b/>
          <w:bCs/>
          <w:sz w:val="32"/>
          <w:szCs w:val="32"/>
        </w:rPr>
        <w:t>BMSW5009</w:t>
      </w:r>
    </w:p>
    <w:p w14:paraId="2B734CC0" w14:textId="38736577" w:rsidR="00920A73" w:rsidRPr="000D52D4" w:rsidRDefault="000D52D4" w:rsidP="00982E12">
      <w:pPr>
        <w:rPr>
          <w:b/>
          <w:bCs/>
          <w:sz w:val="28"/>
          <w:szCs w:val="28"/>
        </w:rPr>
      </w:pPr>
      <w:r w:rsidRPr="000D52D4">
        <w:rPr>
          <w:b/>
          <w:bCs/>
          <w:noProof/>
          <w:sz w:val="28"/>
          <w:szCs w:val="28"/>
        </w:rPr>
        <w:drawing>
          <wp:anchor distT="0" distB="0" distL="114300" distR="114300" simplePos="0" relativeHeight="251658240" behindDoc="0" locked="0" layoutInCell="1" allowOverlap="1" wp14:anchorId="70A65905" wp14:editId="646D815B">
            <wp:simplePos x="0" y="0"/>
            <wp:positionH relativeFrom="column">
              <wp:posOffset>-585470</wp:posOffset>
            </wp:positionH>
            <wp:positionV relativeFrom="paragraph">
              <wp:posOffset>786765</wp:posOffset>
            </wp:positionV>
            <wp:extent cx="6920294" cy="46132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6920294" cy="4613275"/>
                    </a:xfrm>
                    <a:prstGeom prst="rect">
                      <a:avLst/>
                    </a:prstGeom>
                  </pic:spPr>
                </pic:pic>
              </a:graphicData>
            </a:graphic>
          </wp:anchor>
        </w:drawing>
      </w:r>
      <w:r w:rsidR="00920A73" w:rsidRPr="000D52D4">
        <w:rPr>
          <w:b/>
          <w:bCs/>
          <w:sz w:val="28"/>
          <w:szCs w:val="28"/>
        </w:rPr>
        <w:t>Title</w:t>
      </w:r>
      <w:bookmarkStart w:id="0" w:name="OLE_LINK2"/>
      <w:r w:rsidR="00920A73" w:rsidRPr="000D52D4">
        <w:rPr>
          <w:b/>
          <w:bCs/>
          <w:sz w:val="28"/>
          <w:szCs w:val="28"/>
        </w:rPr>
        <w:t>:</w:t>
      </w:r>
      <w:r w:rsidR="00DC29D3" w:rsidRPr="000D52D4">
        <w:t xml:space="preserve"> </w:t>
      </w:r>
      <w:r w:rsidR="00DC29D3" w:rsidRPr="000D52D4">
        <w:rPr>
          <w:b/>
          <w:bCs/>
        </w:rPr>
        <w:t>Conversion of a Horse Trailer into a Mobile Kitchen for Cardiff Council Community Events</w:t>
      </w:r>
      <w:bookmarkEnd w:id="0"/>
      <w:r w:rsidR="006464BC">
        <w:rPr>
          <w:b/>
          <w:bCs/>
        </w:rPr>
        <w:t>.</w:t>
      </w:r>
    </w:p>
    <w:p w14:paraId="78ED0C86" w14:textId="71A010A4" w:rsidR="000C3415" w:rsidRDefault="00920A73" w:rsidP="00982E12">
      <w:pPr>
        <w:rPr>
          <w:b/>
          <w:bCs/>
          <w:sz w:val="32"/>
          <w:szCs w:val="32"/>
        </w:rPr>
      </w:pPr>
      <w:r>
        <w:rPr>
          <w:b/>
          <w:bCs/>
          <w:sz w:val="32"/>
          <w:szCs w:val="32"/>
        </w:rPr>
        <w:t xml:space="preserve">                        </w:t>
      </w:r>
      <w:r w:rsidR="000D52D4">
        <w:rPr>
          <w:b/>
          <w:bCs/>
          <w:sz w:val="32"/>
          <w:szCs w:val="32"/>
        </w:rPr>
        <w:t xml:space="preserve">  </w:t>
      </w:r>
      <w:r>
        <w:rPr>
          <w:b/>
          <w:bCs/>
          <w:sz w:val="32"/>
          <w:szCs w:val="32"/>
        </w:rPr>
        <w:t xml:space="preserve">  </w:t>
      </w:r>
      <w:r w:rsidR="00982E12" w:rsidRPr="00982E12">
        <w:rPr>
          <w:b/>
          <w:bCs/>
          <w:sz w:val="32"/>
          <w:szCs w:val="32"/>
        </w:rPr>
        <w:t>Module Lead: Maggie Zhan</w:t>
      </w:r>
      <w:r w:rsidR="00F46BD7">
        <w:rPr>
          <w:b/>
          <w:bCs/>
          <w:sz w:val="32"/>
          <w:szCs w:val="32"/>
        </w:rPr>
        <w:t>g</w:t>
      </w:r>
    </w:p>
    <w:p w14:paraId="42D939F1" w14:textId="77777777" w:rsidR="00456BFB" w:rsidRDefault="00920A73" w:rsidP="000D52D4">
      <w:pPr>
        <w:rPr>
          <w:b/>
          <w:bCs/>
          <w:sz w:val="22"/>
          <w:szCs w:val="22"/>
        </w:rPr>
      </w:pPr>
      <w:r>
        <w:rPr>
          <w:b/>
          <w:bCs/>
          <w:sz w:val="32"/>
          <w:szCs w:val="32"/>
        </w:rPr>
        <w:t xml:space="preserve">                         </w:t>
      </w:r>
      <w:r w:rsidR="000D52D4">
        <w:rPr>
          <w:b/>
          <w:bCs/>
          <w:sz w:val="32"/>
          <w:szCs w:val="32"/>
        </w:rPr>
        <w:t xml:space="preserve">  </w:t>
      </w:r>
      <w:r>
        <w:rPr>
          <w:b/>
          <w:bCs/>
          <w:sz w:val="32"/>
          <w:szCs w:val="32"/>
        </w:rPr>
        <w:t xml:space="preserve"> </w:t>
      </w:r>
      <w:r w:rsidR="00982E12" w:rsidRPr="00982E12">
        <w:rPr>
          <w:b/>
          <w:bCs/>
          <w:sz w:val="32"/>
          <w:szCs w:val="32"/>
        </w:rPr>
        <w:t>Email:</w:t>
      </w:r>
      <w:r w:rsidR="000C3415">
        <w:rPr>
          <w:b/>
          <w:bCs/>
          <w:sz w:val="32"/>
          <w:szCs w:val="32"/>
        </w:rPr>
        <w:t xml:space="preserve"> </w:t>
      </w:r>
      <w:hyperlink r:id="rId7" w:history="1">
        <w:r w:rsidRPr="00DE06EA">
          <w:rPr>
            <w:rStyle w:val="Hyperlink"/>
            <w:b/>
            <w:bCs/>
            <w:sz w:val="32"/>
            <w:szCs w:val="32"/>
          </w:rPr>
          <w:t>l.zhang@uwtsd.ac.uk</w:t>
        </w:r>
      </w:hyperlink>
      <w:r w:rsidR="000D52D4">
        <w:rPr>
          <w:b/>
          <w:bCs/>
          <w:sz w:val="22"/>
          <w:szCs w:val="22"/>
        </w:rPr>
        <w:t xml:space="preserve">  </w:t>
      </w:r>
    </w:p>
    <w:p w14:paraId="10BCF90F" w14:textId="0AB900C2" w:rsidR="000D52D4" w:rsidRPr="00456BFB" w:rsidRDefault="000D52D4" w:rsidP="000D52D4">
      <w:pPr>
        <w:rPr>
          <w:b/>
          <w:bCs/>
          <w:sz w:val="22"/>
          <w:szCs w:val="22"/>
        </w:rPr>
      </w:pPr>
      <w:r>
        <w:rPr>
          <w:b/>
          <w:bCs/>
          <w:sz w:val="22"/>
          <w:szCs w:val="22"/>
        </w:rPr>
        <w:t xml:space="preserve"> </w:t>
      </w:r>
      <w:r w:rsidRPr="000D52D4">
        <w:rPr>
          <w:b/>
          <w:bCs/>
          <w:sz w:val="22"/>
          <w:szCs w:val="22"/>
        </w:rPr>
        <w:t>Name: Hany Tehran</w:t>
      </w:r>
      <w:r w:rsidR="00456BFB">
        <w:rPr>
          <w:b/>
          <w:bCs/>
          <w:sz w:val="22"/>
          <w:szCs w:val="22"/>
        </w:rPr>
        <w:t>i</w:t>
      </w:r>
      <w:r w:rsidRPr="000D52D4">
        <w:rPr>
          <w:b/>
          <w:bCs/>
          <w:sz w:val="22"/>
          <w:szCs w:val="22"/>
        </w:rPr>
        <w:t xml:space="preserve"> </w:t>
      </w:r>
      <w:r w:rsidR="000B4CFA">
        <w:rPr>
          <w:b/>
          <w:bCs/>
          <w:sz w:val="22"/>
          <w:szCs w:val="22"/>
        </w:rPr>
        <w:t xml:space="preserve"> </w:t>
      </w:r>
      <w:r>
        <w:rPr>
          <w:b/>
          <w:bCs/>
          <w:sz w:val="22"/>
          <w:szCs w:val="22"/>
        </w:rPr>
        <w:t xml:space="preserve">     Student ID:2324527</w:t>
      </w:r>
    </w:p>
    <w:p w14:paraId="4A155538" w14:textId="0A5D81C2" w:rsidR="004137BE" w:rsidRPr="009D256F" w:rsidRDefault="00920A73" w:rsidP="009D256F">
      <w:pPr>
        <w:pStyle w:val="Heading1"/>
        <w:rPr>
          <w:b/>
          <w:bCs/>
        </w:rPr>
      </w:pPr>
      <w:r w:rsidRPr="009D256F">
        <w:rPr>
          <w:b/>
          <w:bCs/>
        </w:rPr>
        <w:lastRenderedPageBreak/>
        <w:t xml:space="preserve">  </w:t>
      </w:r>
      <w:bookmarkStart w:id="1" w:name="_Toc234371721"/>
      <w:r w:rsidR="001A772E" w:rsidRPr="009D256F">
        <w:rPr>
          <w:b/>
          <w:bCs/>
        </w:rPr>
        <w:t>Executive Summary</w:t>
      </w:r>
      <w:bookmarkEnd w:id="1"/>
    </w:p>
    <w:p w14:paraId="745F20BC" w14:textId="50B97F59" w:rsidR="009D256F" w:rsidRPr="009D256F" w:rsidRDefault="009D256F" w:rsidP="009D256F">
      <w:r w:rsidRPr="009D256F">
        <w:t xml:space="preserve">The structure and organisation of this report </w:t>
      </w:r>
      <w:r w:rsidR="00DA330C" w:rsidRPr="00DA330C">
        <w:t xml:space="preserve">demonstrate </w:t>
      </w:r>
      <w:r w:rsidR="00DA330C" w:rsidRPr="009D256F">
        <w:t>the</w:t>
      </w:r>
      <w:r w:rsidRPr="009D256F">
        <w:t xml:space="preserve"> process involved in planning and managing the refurbishment of a second-hand horse trailer into a fully functioning mobile kitchen and catering unit for Cardiff Council Community Events. The aim of the project was to deliver to Cardiff Council a safe, practical</w:t>
      </w:r>
      <w:r w:rsidR="00DA330C">
        <w:t>,</w:t>
      </w:r>
      <w:r w:rsidRPr="009D256F">
        <w:t xml:space="preserve"> and versatile catering trailer that could be used to provide catering facilities at local festivals, community events and engagement days. The project must be completed within 12 weeks, following which the refurbished trailer is delivered to the client</w:t>
      </w:r>
      <w:r w:rsidR="007651B2">
        <w:t xml:space="preserve"> (Project Management </w:t>
      </w:r>
      <w:r w:rsidR="00BF5FFE">
        <w:t>Institute (</w:t>
      </w:r>
      <w:r w:rsidR="007651B2">
        <w:t>PMI), 2021)</w:t>
      </w:r>
      <w:r w:rsidRPr="009D256F">
        <w:t>.</w:t>
      </w:r>
    </w:p>
    <w:p w14:paraId="0077BF8A" w14:textId="1D011115" w:rsidR="009D256F" w:rsidRPr="009D256F" w:rsidRDefault="009D256F" w:rsidP="009D256F">
      <w:r w:rsidRPr="009D256F">
        <w:t>This report explains how the use of recognised project management tools and techniques helped to plan and deliver the project. Application of scope management, stakeholder analysis</w:t>
      </w:r>
      <w:r w:rsidR="00DA330C">
        <w:t>,</w:t>
      </w:r>
      <w:r w:rsidRPr="009D256F">
        <w:t xml:space="preserve"> and communication planning as well as tools such as the Work Breakdown Structure (WBS), Gantt Chart and risk management helped to plan the project schedule and allocate resources to ensure efficient and effective project monitoring</w:t>
      </w:r>
      <w:r w:rsidR="00DE3352">
        <w:t xml:space="preserve"> (Kerzner,2022: Maylor 2024</w:t>
      </w:r>
      <w:r w:rsidR="007D7100">
        <w:t>).</w:t>
      </w:r>
      <w:r w:rsidR="007D7100" w:rsidRPr="009D256F">
        <w:t xml:space="preserve"> Each</w:t>
      </w:r>
      <w:r w:rsidRPr="009D256F">
        <w:t xml:space="preserve"> tool assisted the project team to effectively communicate, manage risk</w:t>
      </w:r>
      <w:r w:rsidR="00D92E06">
        <w:t>,</w:t>
      </w:r>
      <w:r w:rsidRPr="009D256F">
        <w:t xml:space="preserve"> and ensure project activities did not exceed the constraints of the agreed iron triangle.</w:t>
      </w:r>
    </w:p>
    <w:p w14:paraId="0CFBD2B3" w14:textId="1F1EF95B" w:rsidR="009D256F" w:rsidRPr="009D256F" w:rsidRDefault="009D256F" w:rsidP="009D256F">
      <w:r w:rsidRPr="009D256F">
        <w:t>Project planning tools were then reflected upon based on how they were used throughout the project. Although some techniques were found to be particularly useful in planning and organising the project; others had to be constantly adjusted as the project timeline progressed. Finally, the report explores lessons learned and provides recommendations that can be considered for future refurbishment projects.</w:t>
      </w:r>
    </w:p>
    <w:p w14:paraId="1D02F433" w14:textId="33CECE08" w:rsidR="001A772E" w:rsidRDefault="009D256F" w:rsidP="009D256F">
      <w:r w:rsidRPr="009D256F">
        <w:t>The project highlights how careful planning and the application of project management principles can contribute towards the delivery of a functional solution that will meet both Cardiff Council and local community needs.</w:t>
      </w:r>
    </w:p>
    <w:p w14:paraId="774A0BCB" w14:textId="77777777" w:rsidR="001A772E" w:rsidRDefault="001A772E" w:rsidP="00F5441B">
      <w:pPr>
        <w:rPr>
          <w:b/>
          <w:bCs/>
          <w:sz w:val="32"/>
          <w:szCs w:val="32"/>
        </w:rPr>
      </w:pPr>
    </w:p>
    <w:p w14:paraId="70D92387" w14:textId="77777777" w:rsidR="001A772E" w:rsidRDefault="001A772E" w:rsidP="00F5441B">
      <w:pPr>
        <w:rPr>
          <w:b/>
          <w:bCs/>
          <w:sz w:val="32"/>
          <w:szCs w:val="32"/>
        </w:rPr>
      </w:pPr>
    </w:p>
    <w:sdt>
      <w:sdtPr>
        <w:rPr>
          <w:rFonts w:asciiTheme="minorHAnsi" w:eastAsiaTheme="minorHAnsi" w:hAnsiTheme="minorHAnsi" w:cstheme="minorBidi"/>
          <w:color w:val="auto"/>
          <w:kern w:val="2"/>
          <w:sz w:val="24"/>
          <w:szCs w:val="24"/>
          <w:lang w:val="en-GB"/>
          <w14:ligatures w14:val="standardContextual"/>
        </w:rPr>
        <w:id w:val="1996449910"/>
        <w:docPartObj>
          <w:docPartGallery w:val="Table of Contents"/>
          <w:docPartUnique/>
        </w:docPartObj>
      </w:sdtPr>
      <w:sdtEndPr>
        <w:rPr>
          <w:b/>
          <w:bCs/>
          <w:noProof/>
        </w:rPr>
      </w:sdtEndPr>
      <w:sdtContent>
        <w:p w14:paraId="41518E4C" w14:textId="4330A03C" w:rsidR="00742EF9" w:rsidRPr="00742EF9" w:rsidRDefault="00742EF9">
          <w:pPr>
            <w:pStyle w:val="TOCHeading"/>
            <w:rPr>
              <w:b/>
              <w:bCs/>
            </w:rPr>
          </w:pPr>
          <w:r w:rsidRPr="00742EF9">
            <w:rPr>
              <w:b/>
              <w:bCs/>
            </w:rPr>
            <w:t>Table of Contents</w:t>
          </w:r>
        </w:p>
        <w:p w14:paraId="48FAA8DA" w14:textId="0C797591" w:rsidR="00C63DE7" w:rsidRPr="003D6BFE" w:rsidRDefault="00742EF9">
          <w:pPr>
            <w:pStyle w:val="TOC1"/>
            <w:rPr>
              <w:rFonts w:eastAsiaTheme="minorEastAsia"/>
              <w:kern w:val="0"/>
              <w:sz w:val="22"/>
              <w:szCs w:val="22"/>
              <w:lang w:eastAsia="en-GB"/>
              <w14:ligatures w14:val="none"/>
            </w:rPr>
          </w:pPr>
          <w:r w:rsidRPr="00C63DE7">
            <w:rPr>
              <w:b/>
              <w:bCs/>
              <w:noProof w:val="0"/>
            </w:rPr>
            <w:fldChar w:fldCharType="begin"/>
          </w:r>
          <w:r w:rsidRPr="00C63DE7">
            <w:rPr>
              <w:b/>
              <w:bCs/>
            </w:rPr>
            <w:instrText xml:space="preserve"> TOC \o "1-3" \h \z \u </w:instrText>
          </w:r>
          <w:r w:rsidRPr="00C63DE7">
            <w:rPr>
              <w:b/>
              <w:bCs/>
              <w:noProof w:val="0"/>
            </w:rPr>
            <w:fldChar w:fldCharType="separate"/>
          </w:r>
          <w:hyperlink w:anchor="_Toc234371721" w:history="1">
            <w:r w:rsidR="00C63DE7" w:rsidRPr="003D6BFE">
              <w:rPr>
                <w:rStyle w:val="Hyperlink"/>
              </w:rPr>
              <w:t>Executive Summary</w:t>
            </w:r>
            <w:r w:rsidR="00C63DE7" w:rsidRPr="003D6BFE">
              <w:rPr>
                <w:webHidden/>
              </w:rPr>
              <w:tab/>
            </w:r>
            <w:r w:rsidR="00C63DE7" w:rsidRPr="003D6BFE">
              <w:rPr>
                <w:webHidden/>
              </w:rPr>
              <w:fldChar w:fldCharType="begin"/>
            </w:r>
            <w:r w:rsidR="00C63DE7" w:rsidRPr="003D6BFE">
              <w:rPr>
                <w:webHidden/>
              </w:rPr>
              <w:instrText xml:space="preserve"> PAGEREF _Toc234371721 \h </w:instrText>
            </w:r>
            <w:r w:rsidR="00C63DE7" w:rsidRPr="003D6BFE">
              <w:rPr>
                <w:webHidden/>
              </w:rPr>
            </w:r>
            <w:r w:rsidR="00C63DE7" w:rsidRPr="003D6BFE">
              <w:rPr>
                <w:webHidden/>
              </w:rPr>
              <w:fldChar w:fldCharType="separate"/>
            </w:r>
            <w:r w:rsidR="00C63DE7" w:rsidRPr="003D6BFE">
              <w:rPr>
                <w:webHidden/>
              </w:rPr>
              <w:t>2</w:t>
            </w:r>
            <w:r w:rsidR="00C63DE7" w:rsidRPr="003D6BFE">
              <w:rPr>
                <w:webHidden/>
              </w:rPr>
              <w:fldChar w:fldCharType="end"/>
            </w:r>
          </w:hyperlink>
        </w:p>
        <w:p w14:paraId="532C7C79" w14:textId="63B198C3" w:rsidR="00C63DE7" w:rsidRPr="003D6BFE" w:rsidRDefault="00D92E06">
          <w:pPr>
            <w:pStyle w:val="TOC1"/>
            <w:rPr>
              <w:rFonts w:eastAsiaTheme="minorEastAsia"/>
              <w:kern w:val="0"/>
              <w:sz w:val="22"/>
              <w:szCs w:val="22"/>
              <w:lang w:eastAsia="en-GB"/>
              <w14:ligatures w14:val="none"/>
            </w:rPr>
          </w:pPr>
          <w:hyperlink w:anchor="_Toc234371722" w:history="1">
            <w:r w:rsidR="00C63DE7" w:rsidRPr="003D6BFE">
              <w:rPr>
                <w:rStyle w:val="Hyperlink"/>
              </w:rPr>
              <w:t>Introduction</w:t>
            </w:r>
            <w:r w:rsidR="00C63DE7" w:rsidRPr="003D6BFE">
              <w:rPr>
                <w:webHidden/>
              </w:rPr>
              <w:tab/>
            </w:r>
            <w:r w:rsidR="00C63DE7" w:rsidRPr="003D6BFE">
              <w:rPr>
                <w:webHidden/>
              </w:rPr>
              <w:fldChar w:fldCharType="begin"/>
            </w:r>
            <w:r w:rsidR="00C63DE7" w:rsidRPr="003D6BFE">
              <w:rPr>
                <w:webHidden/>
              </w:rPr>
              <w:instrText xml:space="preserve"> PAGEREF _Toc234371722 \h </w:instrText>
            </w:r>
            <w:r w:rsidR="00C63DE7" w:rsidRPr="003D6BFE">
              <w:rPr>
                <w:webHidden/>
              </w:rPr>
            </w:r>
            <w:r w:rsidR="00C63DE7" w:rsidRPr="003D6BFE">
              <w:rPr>
                <w:webHidden/>
              </w:rPr>
              <w:fldChar w:fldCharType="separate"/>
            </w:r>
            <w:r w:rsidR="00C63DE7" w:rsidRPr="003D6BFE">
              <w:rPr>
                <w:webHidden/>
              </w:rPr>
              <w:t>4</w:t>
            </w:r>
            <w:r w:rsidR="00C63DE7" w:rsidRPr="003D6BFE">
              <w:rPr>
                <w:webHidden/>
              </w:rPr>
              <w:fldChar w:fldCharType="end"/>
            </w:r>
          </w:hyperlink>
        </w:p>
        <w:p w14:paraId="6CB02085" w14:textId="79279781" w:rsidR="00C63DE7" w:rsidRPr="003D6BFE" w:rsidRDefault="00D92E06">
          <w:pPr>
            <w:pStyle w:val="TOC1"/>
            <w:rPr>
              <w:rFonts w:eastAsiaTheme="minorEastAsia"/>
              <w:kern w:val="0"/>
              <w:sz w:val="22"/>
              <w:szCs w:val="22"/>
              <w:lang w:eastAsia="en-GB"/>
              <w14:ligatures w14:val="none"/>
            </w:rPr>
          </w:pPr>
          <w:hyperlink w:anchor="_Toc234371723" w:history="1">
            <w:r w:rsidR="00C63DE7" w:rsidRPr="003D6BFE">
              <w:rPr>
                <w:rStyle w:val="Hyperlink"/>
              </w:rPr>
              <w:t>2.Finding</w:t>
            </w:r>
            <w:r w:rsidR="00C63DE7" w:rsidRPr="003D6BFE">
              <w:rPr>
                <w:webHidden/>
              </w:rPr>
              <w:tab/>
            </w:r>
            <w:r w:rsidR="00C63DE7" w:rsidRPr="003D6BFE">
              <w:rPr>
                <w:webHidden/>
              </w:rPr>
              <w:fldChar w:fldCharType="begin"/>
            </w:r>
            <w:r w:rsidR="00C63DE7" w:rsidRPr="003D6BFE">
              <w:rPr>
                <w:webHidden/>
              </w:rPr>
              <w:instrText xml:space="preserve"> PAGEREF _Toc234371723 \h </w:instrText>
            </w:r>
            <w:r w:rsidR="00C63DE7" w:rsidRPr="003D6BFE">
              <w:rPr>
                <w:webHidden/>
              </w:rPr>
            </w:r>
            <w:r w:rsidR="00C63DE7" w:rsidRPr="003D6BFE">
              <w:rPr>
                <w:webHidden/>
              </w:rPr>
              <w:fldChar w:fldCharType="separate"/>
            </w:r>
            <w:r w:rsidR="00C63DE7" w:rsidRPr="003D6BFE">
              <w:rPr>
                <w:webHidden/>
              </w:rPr>
              <w:t>5</w:t>
            </w:r>
            <w:r w:rsidR="00C63DE7" w:rsidRPr="003D6BFE">
              <w:rPr>
                <w:webHidden/>
              </w:rPr>
              <w:fldChar w:fldCharType="end"/>
            </w:r>
          </w:hyperlink>
        </w:p>
        <w:p w14:paraId="3BDC841B" w14:textId="77915584" w:rsidR="00C63DE7" w:rsidRPr="003D6BFE" w:rsidRDefault="00D92E06">
          <w:pPr>
            <w:pStyle w:val="TOC1"/>
            <w:rPr>
              <w:rFonts w:eastAsiaTheme="minorEastAsia"/>
              <w:kern w:val="0"/>
              <w:sz w:val="22"/>
              <w:szCs w:val="22"/>
              <w:lang w:eastAsia="en-GB"/>
              <w14:ligatures w14:val="none"/>
            </w:rPr>
          </w:pPr>
          <w:hyperlink w:anchor="_Toc234371724" w:history="1">
            <w:r w:rsidR="00C63DE7" w:rsidRPr="003D6BFE">
              <w:rPr>
                <w:rStyle w:val="Hyperlink"/>
              </w:rPr>
              <w:t>2.1 Project Management Tools and Techniques</w:t>
            </w:r>
            <w:r w:rsidR="00C63DE7" w:rsidRPr="003D6BFE">
              <w:rPr>
                <w:webHidden/>
              </w:rPr>
              <w:tab/>
            </w:r>
            <w:r w:rsidR="00C63DE7" w:rsidRPr="003D6BFE">
              <w:rPr>
                <w:webHidden/>
              </w:rPr>
              <w:fldChar w:fldCharType="begin"/>
            </w:r>
            <w:r w:rsidR="00C63DE7" w:rsidRPr="003D6BFE">
              <w:rPr>
                <w:webHidden/>
              </w:rPr>
              <w:instrText xml:space="preserve"> PAGEREF _Toc234371724 \h </w:instrText>
            </w:r>
            <w:r w:rsidR="00C63DE7" w:rsidRPr="003D6BFE">
              <w:rPr>
                <w:webHidden/>
              </w:rPr>
            </w:r>
            <w:r w:rsidR="00C63DE7" w:rsidRPr="003D6BFE">
              <w:rPr>
                <w:webHidden/>
              </w:rPr>
              <w:fldChar w:fldCharType="separate"/>
            </w:r>
            <w:r w:rsidR="00C63DE7" w:rsidRPr="003D6BFE">
              <w:rPr>
                <w:webHidden/>
              </w:rPr>
              <w:t>5</w:t>
            </w:r>
            <w:r w:rsidR="00C63DE7" w:rsidRPr="003D6BFE">
              <w:rPr>
                <w:webHidden/>
              </w:rPr>
              <w:fldChar w:fldCharType="end"/>
            </w:r>
          </w:hyperlink>
        </w:p>
        <w:p w14:paraId="15C4C7F8" w14:textId="7219A1A4" w:rsidR="00C63DE7" w:rsidRPr="003D6BFE" w:rsidRDefault="00D92E06">
          <w:pPr>
            <w:pStyle w:val="TOC1"/>
            <w:rPr>
              <w:rFonts w:eastAsiaTheme="minorEastAsia"/>
              <w:kern w:val="0"/>
              <w:sz w:val="22"/>
              <w:szCs w:val="22"/>
              <w:lang w:eastAsia="en-GB"/>
              <w14:ligatures w14:val="none"/>
            </w:rPr>
          </w:pPr>
          <w:hyperlink w:anchor="_Toc234371725" w:history="1">
            <w:r w:rsidR="00C63DE7" w:rsidRPr="003D6BFE">
              <w:rPr>
                <w:rStyle w:val="Hyperlink"/>
              </w:rPr>
              <w:t>2.1.1. Scope Management</w:t>
            </w:r>
            <w:r w:rsidR="00C63DE7" w:rsidRPr="003D6BFE">
              <w:rPr>
                <w:webHidden/>
              </w:rPr>
              <w:tab/>
            </w:r>
            <w:r w:rsidR="00C63DE7" w:rsidRPr="003D6BFE">
              <w:rPr>
                <w:webHidden/>
              </w:rPr>
              <w:fldChar w:fldCharType="begin"/>
            </w:r>
            <w:r w:rsidR="00C63DE7" w:rsidRPr="003D6BFE">
              <w:rPr>
                <w:webHidden/>
              </w:rPr>
              <w:instrText xml:space="preserve"> PAGEREF _Toc234371725 \h </w:instrText>
            </w:r>
            <w:r w:rsidR="00C63DE7" w:rsidRPr="003D6BFE">
              <w:rPr>
                <w:webHidden/>
              </w:rPr>
            </w:r>
            <w:r w:rsidR="00C63DE7" w:rsidRPr="003D6BFE">
              <w:rPr>
                <w:webHidden/>
              </w:rPr>
              <w:fldChar w:fldCharType="separate"/>
            </w:r>
            <w:r w:rsidR="00C63DE7" w:rsidRPr="003D6BFE">
              <w:rPr>
                <w:webHidden/>
              </w:rPr>
              <w:t>5</w:t>
            </w:r>
            <w:r w:rsidR="00C63DE7" w:rsidRPr="003D6BFE">
              <w:rPr>
                <w:webHidden/>
              </w:rPr>
              <w:fldChar w:fldCharType="end"/>
            </w:r>
          </w:hyperlink>
        </w:p>
        <w:p w14:paraId="39382580" w14:textId="236FC1B6" w:rsidR="00C63DE7" w:rsidRPr="003D6BFE" w:rsidRDefault="00D92E06">
          <w:pPr>
            <w:pStyle w:val="TOC1"/>
            <w:rPr>
              <w:rFonts w:eastAsiaTheme="minorEastAsia"/>
              <w:kern w:val="0"/>
              <w:sz w:val="22"/>
              <w:szCs w:val="22"/>
              <w:lang w:eastAsia="en-GB"/>
              <w14:ligatures w14:val="none"/>
            </w:rPr>
          </w:pPr>
          <w:hyperlink w:anchor="_Toc234371726" w:history="1">
            <w:r w:rsidR="00C63DE7" w:rsidRPr="003D6BFE">
              <w:rPr>
                <w:rStyle w:val="Hyperlink"/>
              </w:rPr>
              <w:t>2.1.2. Stakeholder Analysis</w:t>
            </w:r>
            <w:r w:rsidR="00C63DE7" w:rsidRPr="003D6BFE">
              <w:rPr>
                <w:webHidden/>
              </w:rPr>
              <w:tab/>
            </w:r>
            <w:r w:rsidR="00C63DE7" w:rsidRPr="003D6BFE">
              <w:rPr>
                <w:webHidden/>
              </w:rPr>
              <w:fldChar w:fldCharType="begin"/>
            </w:r>
            <w:r w:rsidR="00C63DE7" w:rsidRPr="003D6BFE">
              <w:rPr>
                <w:webHidden/>
              </w:rPr>
              <w:instrText xml:space="preserve"> PAGEREF _Toc234371726 \h </w:instrText>
            </w:r>
            <w:r w:rsidR="00C63DE7" w:rsidRPr="003D6BFE">
              <w:rPr>
                <w:webHidden/>
              </w:rPr>
            </w:r>
            <w:r w:rsidR="00C63DE7" w:rsidRPr="003D6BFE">
              <w:rPr>
                <w:webHidden/>
              </w:rPr>
              <w:fldChar w:fldCharType="separate"/>
            </w:r>
            <w:r w:rsidR="00C63DE7" w:rsidRPr="003D6BFE">
              <w:rPr>
                <w:webHidden/>
              </w:rPr>
              <w:t>5</w:t>
            </w:r>
            <w:r w:rsidR="00C63DE7" w:rsidRPr="003D6BFE">
              <w:rPr>
                <w:webHidden/>
              </w:rPr>
              <w:fldChar w:fldCharType="end"/>
            </w:r>
          </w:hyperlink>
        </w:p>
        <w:p w14:paraId="3A036004" w14:textId="73F2E24A" w:rsidR="00C63DE7" w:rsidRPr="003D6BFE" w:rsidRDefault="00D92E06">
          <w:pPr>
            <w:pStyle w:val="TOC1"/>
            <w:rPr>
              <w:rFonts w:eastAsiaTheme="minorEastAsia"/>
              <w:kern w:val="0"/>
              <w:sz w:val="22"/>
              <w:szCs w:val="22"/>
              <w:lang w:eastAsia="en-GB"/>
              <w14:ligatures w14:val="none"/>
            </w:rPr>
          </w:pPr>
          <w:hyperlink w:anchor="_Toc234371727" w:history="1">
            <w:r w:rsidR="00C63DE7" w:rsidRPr="003D6BFE">
              <w:rPr>
                <w:rStyle w:val="Hyperlink"/>
              </w:rPr>
              <w:t>2.1.3. Communication planning</w:t>
            </w:r>
            <w:r w:rsidR="00C63DE7" w:rsidRPr="003D6BFE">
              <w:rPr>
                <w:webHidden/>
              </w:rPr>
              <w:tab/>
            </w:r>
            <w:r w:rsidR="00C63DE7" w:rsidRPr="003D6BFE">
              <w:rPr>
                <w:webHidden/>
              </w:rPr>
              <w:fldChar w:fldCharType="begin"/>
            </w:r>
            <w:r w:rsidR="00C63DE7" w:rsidRPr="003D6BFE">
              <w:rPr>
                <w:webHidden/>
              </w:rPr>
              <w:instrText xml:space="preserve"> PAGEREF _Toc234371727 \h </w:instrText>
            </w:r>
            <w:r w:rsidR="00C63DE7" w:rsidRPr="003D6BFE">
              <w:rPr>
                <w:webHidden/>
              </w:rPr>
            </w:r>
            <w:r w:rsidR="00C63DE7" w:rsidRPr="003D6BFE">
              <w:rPr>
                <w:webHidden/>
              </w:rPr>
              <w:fldChar w:fldCharType="separate"/>
            </w:r>
            <w:r w:rsidR="00C63DE7" w:rsidRPr="003D6BFE">
              <w:rPr>
                <w:webHidden/>
              </w:rPr>
              <w:t>5</w:t>
            </w:r>
            <w:r w:rsidR="00C63DE7" w:rsidRPr="003D6BFE">
              <w:rPr>
                <w:webHidden/>
              </w:rPr>
              <w:fldChar w:fldCharType="end"/>
            </w:r>
          </w:hyperlink>
        </w:p>
        <w:p w14:paraId="2E873BFE" w14:textId="713142CF" w:rsidR="00C63DE7" w:rsidRPr="003D6BFE" w:rsidRDefault="00D92E06">
          <w:pPr>
            <w:pStyle w:val="TOC1"/>
            <w:rPr>
              <w:rFonts w:eastAsiaTheme="minorEastAsia"/>
              <w:kern w:val="0"/>
              <w:sz w:val="22"/>
              <w:szCs w:val="22"/>
              <w:lang w:eastAsia="en-GB"/>
              <w14:ligatures w14:val="none"/>
            </w:rPr>
          </w:pPr>
          <w:hyperlink w:anchor="_Toc234371728" w:history="1">
            <w:r w:rsidR="00C63DE7" w:rsidRPr="003D6BFE">
              <w:rPr>
                <w:rStyle w:val="Hyperlink"/>
              </w:rPr>
              <w:t>2.1.5. Gantt Chart</w:t>
            </w:r>
            <w:r w:rsidR="00C63DE7" w:rsidRPr="003D6BFE">
              <w:rPr>
                <w:webHidden/>
              </w:rPr>
              <w:tab/>
            </w:r>
            <w:r w:rsidR="00C63DE7" w:rsidRPr="003D6BFE">
              <w:rPr>
                <w:webHidden/>
              </w:rPr>
              <w:fldChar w:fldCharType="begin"/>
            </w:r>
            <w:r w:rsidR="00C63DE7" w:rsidRPr="003D6BFE">
              <w:rPr>
                <w:webHidden/>
              </w:rPr>
              <w:instrText xml:space="preserve"> PAGEREF _Toc234371728 \h </w:instrText>
            </w:r>
            <w:r w:rsidR="00C63DE7" w:rsidRPr="003D6BFE">
              <w:rPr>
                <w:webHidden/>
              </w:rPr>
            </w:r>
            <w:r w:rsidR="00C63DE7" w:rsidRPr="003D6BFE">
              <w:rPr>
                <w:webHidden/>
              </w:rPr>
              <w:fldChar w:fldCharType="separate"/>
            </w:r>
            <w:r w:rsidR="00C63DE7" w:rsidRPr="003D6BFE">
              <w:rPr>
                <w:webHidden/>
              </w:rPr>
              <w:t>6</w:t>
            </w:r>
            <w:r w:rsidR="00C63DE7" w:rsidRPr="003D6BFE">
              <w:rPr>
                <w:webHidden/>
              </w:rPr>
              <w:fldChar w:fldCharType="end"/>
            </w:r>
          </w:hyperlink>
        </w:p>
        <w:p w14:paraId="15153E24" w14:textId="4DCC3D7E" w:rsidR="00C63DE7" w:rsidRPr="003D6BFE" w:rsidRDefault="00D92E06">
          <w:pPr>
            <w:pStyle w:val="TOC1"/>
            <w:rPr>
              <w:rFonts w:eastAsiaTheme="minorEastAsia"/>
              <w:kern w:val="0"/>
              <w:sz w:val="22"/>
              <w:szCs w:val="22"/>
              <w:lang w:eastAsia="en-GB"/>
              <w14:ligatures w14:val="none"/>
            </w:rPr>
          </w:pPr>
          <w:hyperlink w:anchor="_Toc234371729" w:history="1">
            <w:r w:rsidR="00C63DE7" w:rsidRPr="003D6BFE">
              <w:rPr>
                <w:rStyle w:val="Hyperlink"/>
              </w:rPr>
              <w:t>2.1.6. Risk Management</w:t>
            </w:r>
            <w:r w:rsidR="00C63DE7" w:rsidRPr="003D6BFE">
              <w:rPr>
                <w:webHidden/>
              </w:rPr>
              <w:tab/>
            </w:r>
            <w:r w:rsidR="00C63DE7" w:rsidRPr="003D6BFE">
              <w:rPr>
                <w:webHidden/>
              </w:rPr>
              <w:fldChar w:fldCharType="begin"/>
            </w:r>
            <w:r w:rsidR="00C63DE7" w:rsidRPr="003D6BFE">
              <w:rPr>
                <w:webHidden/>
              </w:rPr>
              <w:instrText xml:space="preserve"> PAGEREF _Toc234371729 \h </w:instrText>
            </w:r>
            <w:r w:rsidR="00C63DE7" w:rsidRPr="003D6BFE">
              <w:rPr>
                <w:webHidden/>
              </w:rPr>
            </w:r>
            <w:r w:rsidR="00C63DE7" w:rsidRPr="003D6BFE">
              <w:rPr>
                <w:webHidden/>
              </w:rPr>
              <w:fldChar w:fldCharType="separate"/>
            </w:r>
            <w:r w:rsidR="00C63DE7" w:rsidRPr="003D6BFE">
              <w:rPr>
                <w:webHidden/>
              </w:rPr>
              <w:t>6</w:t>
            </w:r>
            <w:r w:rsidR="00C63DE7" w:rsidRPr="003D6BFE">
              <w:rPr>
                <w:webHidden/>
              </w:rPr>
              <w:fldChar w:fldCharType="end"/>
            </w:r>
          </w:hyperlink>
        </w:p>
        <w:p w14:paraId="6AFDADC3" w14:textId="62A68BCC" w:rsidR="00C63DE7" w:rsidRPr="003D6BFE" w:rsidRDefault="00D92E06">
          <w:pPr>
            <w:pStyle w:val="TOC1"/>
            <w:rPr>
              <w:rFonts w:eastAsiaTheme="minorEastAsia"/>
              <w:kern w:val="0"/>
              <w:sz w:val="22"/>
              <w:szCs w:val="22"/>
              <w:lang w:eastAsia="en-GB"/>
              <w14:ligatures w14:val="none"/>
            </w:rPr>
          </w:pPr>
          <w:hyperlink w:anchor="_Toc234371730" w:history="1">
            <w:r w:rsidR="00C63DE7" w:rsidRPr="003D6BFE">
              <w:rPr>
                <w:rStyle w:val="Hyperlink"/>
              </w:rPr>
              <w:t>2.1.7. Iron Triangle</w:t>
            </w:r>
            <w:r w:rsidR="00C63DE7" w:rsidRPr="003D6BFE">
              <w:rPr>
                <w:webHidden/>
              </w:rPr>
              <w:tab/>
            </w:r>
            <w:r w:rsidR="00C63DE7" w:rsidRPr="003D6BFE">
              <w:rPr>
                <w:webHidden/>
              </w:rPr>
              <w:fldChar w:fldCharType="begin"/>
            </w:r>
            <w:r w:rsidR="00C63DE7" w:rsidRPr="003D6BFE">
              <w:rPr>
                <w:webHidden/>
              </w:rPr>
              <w:instrText xml:space="preserve"> PAGEREF _Toc234371730 \h </w:instrText>
            </w:r>
            <w:r w:rsidR="00C63DE7" w:rsidRPr="003D6BFE">
              <w:rPr>
                <w:webHidden/>
              </w:rPr>
            </w:r>
            <w:r w:rsidR="00C63DE7" w:rsidRPr="003D6BFE">
              <w:rPr>
                <w:webHidden/>
              </w:rPr>
              <w:fldChar w:fldCharType="separate"/>
            </w:r>
            <w:r w:rsidR="00C63DE7" w:rsidRPr="003D6BFE">
              <w:rPr>
                <w:webHidden/>
              </w:rPr>
              <w:t>7</w:t>
            </w:r>
            <w:r w:rsidR="00C63DE7" w:rsidRPr="003D6BFE">
              <w:rPr>
                <w:webHidden/>
              </w:rPr>
              <w:fldChar w:fldCharType="end"/>
            </w:r>
          </w:hyperlink>
        </w:p>
        <w:p w14:paraId="085D8D18" w14:textId="77777777" w:rsidR="00C63DE7" w:rsidRPr="003D6BFE" w:rsidRDefault="00C63DE7" w:rsidP="00C63DE7">
          <w:pPr>
            <w:pStyle w:val="TOC1"/>
            <w:rPr>
              <w:rFonts w:eastAsiaTheme="minorEastAsia"/>
              <w:kern w:val="0"/>
              <w:sz w:val="22"/>
              <w:szCs w:val="22"/>
              <w:lang w:eastAsia="en-GB"/>
              <w14:ligatures w14:val="none"/>
            </w:rPr>
          </w:pPr>
          <w:r w:rsidRPr="003D6BFE">
            <w:rPr>
              <w:rStyle w:val="Hyperlink"/>
            </w:rPr>
            <w:fldChar w:fldCharType="begin"/>
          </w:r>
          <w:r w:rsidRPr="003D6BFE">
            <w:rPr>
              <w:rStyle w:val="Hyperlink"/>
            </w:rPr>
            <w:instrText xml:space="preserve"> </w:instrText>
          </w:r>
          <w:r w:rsidRPr="003D6BFE">
            <w:instrText>HYPERLINK \l "_Toc234371731"</w:instrText>
          </w:r>
          <w:r w:rsidRPr="003D6BFE">
            <w:rPr>
              <w:rStyle w:val="Hyperlink"/>
            </w:rPr>
            <w:instrText xml:space="preserve"> </w:instrText>
          </w:r>
          <w:r w:rsidRPr="003D6BFE">
            <w:rPr>
              <w:rStyle w:val="Hyperlink"/>
            </w:rPr>
            <w:fldChar w:fldCharType="separate"/>
          </w:r>
          <w:r w:rsidRPr="003D6BFE">
            <w:rPr>
              <w:rStyle w:val="Hyperlink"/>
            </w:rPr>
            <w:t>2.2 Applicati</w:t>
          </w:r>
          <w:hyperlink w:anchor="_Toc234371739" w:history="1">
            <w:r w:rsidRPr="003D6BFE">
              <w:rPr>
                <w:rStyle w:val="Hyperlink"/>
              </w:rPr>
              <w:t>References</w:t>
            </w:r>
            <w:r w:rsidRPr="003D6BFE">
              <w:rPr>
                <w:webHidden/>
              </w:rPr>
              <w:tab/>
            </w:r>
            <w:r w:rsidRPr="003D6BFE">
              <w:rPr>
                <w:webHidden/>
              </w:rPr>
              <w:fldChar w:fldCharType="begin"/>
            </w:r>
            <w:r w:rsidRPr="003D6BFE">
              <w:rPr>
                <w:webHidden/>
              </w:rPr>
              <w:instrText xml:space="preserve"> PAGEREF _Toc234371739 \h </w:instrText>
            </w:r>
            <w:r w:rsidRPr="003D6BFE">
              <w:rPr>
                <w:webHidden/>
              </w:rPr>
            </w:r>
            <w:r w:rsidRPr="003D6BFE">
              <w:rPr>
                <w:webHidden/>
              </w:rPr>
              <w:fldChar w:fldCharType="separate"/>
            </w:r>
            <w:r w:rsidRPr="003D6BFE">
              <w:rPr>
                <w:webHidden/>
              </w:rPr>
              <w:t>16</w:t>
            </w:r>
            <w:r w:rsidRPr="003D6BFE">
              <w:rPr>
                <w:webHidden/>
              </w:rPr>
              <w:fldChar w:fldCharType="end"/>
            </w:r>
          </w:hyperlink>
        </w:p>
        <w:p w14:paraId="21000502" w14:textId="07FA789C" w:rsidR="00C63DE7" w:rsidRPr="003D6BFE" w:rsidRDefault="00C63DE7">
          <w:pPr>
            <w:pStyle w:val="TOC1"/>
            <w:rPr>
              <w:rFonts w:eastAsiaTheme="minorEastAsia"/>
              <w:kern w:val="0"/>
              <w:sz w:val="22"/>
              <w:szCs w:val="22"/>
              <w:lang w:eastAsia="en-GB"/>
              <w14:ligatures w14:val="none"/>
            </w:rPr>
          </w:pPr>
          <w:r w:rsidRPr="003D6BFE">
            <w:rPr>
              <w:rStyle w:val="Hyperlink"/>
            </w:rPr>
            <w:t>on of Project Management Tools</w:t>
          </w:r>
          <w:r w:rsidRPr="003D6BFE">
            <w:rPr>
              <w:webHidden/>
            </w:rPr>
            <w:tab/>
          </w:r>
          <w:r w:rsidRPr="003D6BFE">
            <w:rPr>
              <w:webHidden/>
            </w:rPr>
            <w:fldChar w:fldCharType="begin"/>
          </w:r>
          <w:r w:rsidRPr="003D6BFE">
            <w:rPr>
              <w:webHidden/>
            </w:rPr>
            <w:instrText xml:space="preserve"> PAGEREF _Toc234371731 \h </w:instrText>
          </w:r>
          <w:r w:rsidRPr="003D6BFE">
            <w:rPr>
              <w:webHidden/>
            </w:rPr>
          </w:r>
          <w:r w:rsidRPr="003D6BFE">
            <w:rPr>
              <w:webHidden/>
            </w:rPr>
            <w:fldChar w:fldCharType="separate"/>
          </w:r>
          <w:r w:rsidRPr="003D6BFE">
            <w:rPr>
              <w:webHidden/>
            </w:rPr>
            <w:t>8</w:t>
          </w:r>
          <w:r w:rsidRPr="003D6BFE">
            <w:rPr>
              <w:webHidden/>
            </w:rPr>
            <w:fldChar w:fldCharType="end"/>
          </w:r>
          <w:r w:rsidRPr="003D6BFE">
            <w:rPr>
              <w:rStyle w:val="Hyperlink"/>
            </w:rPr>
            <w:fldChar w:fldCharType="end"/>
          </w:r>
        </w:p>
        <w:p w14:paraId="18CCD840" w14:textId="0965EBD7" w:rsidR="00C63DE7" w:rsidRPr="003D6BFE" w:rsidRDefault="00D92E06">
          <w:pPr>
            <w:pStyle w:val="TOC1"/>
            <w:rPr>
              <w:rFonts w:eastAsiaTheme="minorEastAsia"/>
              <w:kern w:val="0"/>
              <w:sz w:val="22"/>
              <w:szCs w:val="22"/>
              <w:lang w:eastAsia="en-GB"/>
              <w14:ligatures w14:val="none"/>
            </w:rPr>
          </w:pPr>
          <w:hyperlink w:anchor="_Toc234371732" w:history="1">
            <w:r w:rsidR="00C63DE7" w:rsidRPr="003D6BFE">
              <w:rPr>
                <w:rStyle w:val="Hyperlink"/>
              </w:rPr>
              <w:t>2.2.1 Application of the Tools</w:t>
            </w:r>
            <w:r w:rsidR="00C63DE7" w:rsidRPr="003D6BFE">
              <w:rPr>
                <w:webHidden/>
              </w:rPr>
              <w:tab/>
            </w:r>
            <w:r w:rsidR="00C63DE7" w:rsidRPr="003D6BFE">
              <w:rPr>
                <w:webHidden/>
              </w:rPr>
              <w:fldChar w:fldCharType="begin"/>
            </w:r>
            <w:r w:rsidR="00C63DE7" w:rsidRPr="003D6BFE">
              <w:rPr>
                <w:webHidden/>
              </w:rPr>
              <w:instrText xml:space="preserve"> PAGEREF _Toc234371732 \h </w:instrText>
            </w:r>
            <w:r w:rsidR="00C63DE7" w:rsidRPr="003D6BFE">
              <w:rPr>
                <w:webHidden/>
              </w:rPr>
            </w:r>
            <w:r w:rsidR="00C63DE7" w:rsidRPr="003D6BFE">
              <w:rPr>
                <w:webHidden/>
              </w:rPr>
              <w:fldChar w:fldCharType="separate"/>
            </w:r>
            <w:r w:rsidR="00C63DE7" w:rsidRPr="003D6BFE">
              <w:rPr>
                <w:webHidden/>
              </w:rPr>
              <w:t>8</w:t>
            </w:r>
            <w:r w:rsidR="00C63DE7" w:rsidRPr="003D6BFE">
              <w:rPr>
                <w:webHidden/>
              </w:rPr>
              <w:fldChar w:fldCharType="end"/>
            </w:r>
          </w:hyperlink>
        </w:p>
        <w:p w14:paraId="0590BD69" w14:textId="697A9B7E" w:rsidR="00C63DE7" w:rsidRPr="003D6BFE" w:rsidRDefault="00D92E06">
          <w:pPr>
            <w:pStyle w:val="TOC1"/>
            <w:rPr>
              <w:rFonts w:eastAsiaTheme="minorEastAsia"/>
              <w:kern w:val="0"/>
              <w:sz w:val="22"/>
              <w:szCs w:val="22"/>
              <w:lang w:eastAsia="en-GB"/>
              <w14:ligatures w14:val="none"/>
            </w:rPr>
          </w:pPr>
          <w:hyperlink w:anchor="_Toc234371733" w:history="1">
            <w:r w:rsidR="00C63DE7" w:rsidRPr="003D6BFE">
              <w:rPr>
                <w:rStyle w:val="Hyperlink"/>
              </w:rPr>
              <w:t>2.2.2 Implementation and Benefits</w:t>
            </w:r>
            <w:r w:rsidR="00C63DE7" w:rsidRPr="003D6BFE">
              <w:rPr>
                <w:webHidden/>
              </w:rPr>
              <w:tab/>
            </w:r>
            <w:r w:rsidR="00C63DE7" w:rsidRPr="003D6BFE">
              <w:rPr>
                <w:webHidden/>
              </w:rPr>
              <w:fldChar w:fldCharType="begin"/>
            </w:r>
            <w:r w:rsidR="00C63DE7" w:rsidRPr="003D6BFE">
              <w:rPr>
                <w:webHidden/>
              </w:rPr>
              <w:instrText xml:space="preserve"> PAGEREF _Toc234371733 \h </w:instrText>
            </w:r>
            <w:r w:rsidR="00C63DE7" w:rsidRPr="003D6BFE">
              <w:rPr>
                <w:webHidden/>
              </w:rPr>
            </w:r>
            <w:r w:rsidR="00C63DE7" w:rsidRPr="003D6BFE">
              <w:rPr>
                <w:webHidden/>
              </w:rPr>
              <w:fldChar w:fldCharType="separate"/>
            </w:r>
            <w:r w:rsidR="00C63DE7" w:rsidRPr="003D6BFE">
              <w:rPr>
                <w:webHidden/>
              </w:rPr>
              <w:t>10</w:t>
            </w:r>
            <w:r w:rsidR="00C63DE7" w:rsidRPr="003D6BFE">
              <w:rPr>
                <w:webHidden/>
              </w:rPr>
              <w:fldChar w:fldCharType="end"/>
            </w:r>
          </w:hyperlink>
        </w:p>
        <w:p w14:paraId="1CBF146D" w14:textId="4CC750FD" w:rsidR="00C63DE7" w:rsidRPr="003D6BFE" w:rsidRDefault="00D92E06">
          <w:pPr>
            <w:pStyle w:val="TOC1"/>
            <w:rPr>
              <w:rFonts w:eastAsiaTheme="minorEastAsia"/>
              <w:kern w:val="0"/>
              <w:sz w:val="22"/>
              <w:szCs w:val="22"/>
              <w:lang w:eastAsia="en-GB"/>
              <w14:ligatures w14:val="none"/>
            </w:rPr>
          </w:pPr>
          <w:hyperlink w:anchor="_Toc234371734" w:history="1">
            <w:r w:rsidR="00C63DE7" w:rsidRPr="003D6BFE">
              <w:rPr>
                <w:rStyle w:val="Hyperlink"/>
              </w:rPr>
              <w:t>2.2.3 Challenges and Limitation</w:t>
            </w:r>
            <w:r w:rsidR="00C63DE7" w:rsidRPr="003D6BFE">
              <w:rPr>
                <w:webHidden/>
              </w:rPr>
              <w:tab/>
            </w:r>
            <w:r w:rsidR="00C63DE7" w:rsidRPr="003D6BFE">
              <w:rPr>
                <w:webHidden/>
              </w:rPr>
              <w:fldChar w:fldCharType="begin"/>
            </w:r>
            <w:r w:rsidR="00C63DE7" w:rsidRPr="003D6BFE">
              <w:rPr>
                <w:webHidden/>
              </w:rPr>
              <w:instrText xml:space="preserve"> PAGEREF _Toc234371734 \h </w:instrText>
            </w:r>
            <w:r w:rsidR="00C63DE7" w:rsidRPr="003D6BFE">
              <w:rPr>
                <w:webHidden/>
              </w:rPr>
            </w:r>
            <w:r w:rsidR="00C63DE7" w:rsidRPr="003D6BFE">
              <w:rPr>
                <w:webHidden/>
              </w:rPr>
              <w:fldChar w:fldCharType="separate"/>
            </w:r>
            <w:r w:rsidR="00C63DE7" w:rsidRPr="003D6BFE">
              <w:rPr>
                <w:webHidden/>
              </w:rPr>
              <w:t>11</w:t>
            </w:r>
            <w:r w:rsidR="00C63DE7" w:rsidRPr="003D6BFE">
              <w:rPr>
                <w:webHidden/>
              </w:rPr>
              <w:fldChar w:fldCharType="end"/>
            </w:r>
          </w:hyperlink>
        </w:p>
        <w:p w14:paraId="697F64AC" w14:textId="03EE65BC" w:rsidR="00C63DE7" w:rsidRPr="003D6BFE" w:rsidRDefault="00D92E06">
          <w:pPr>
            <w:pStyle w:val="TOC1"/>
            <w:rPr>
              <w:rFonts w:eastAsiaTheme="minorEastAsia"/>
              <w:kern w:val="0"/>
              <w:sz w:val="22"/>
              <w:szCs w:val="22"/>
              <w:lang w:eastAsia="en-GB"/>
              <w14:ligatures w14:val="none"/>
            </w:rPr>
          </w:pPr>
          <w:hyperlink w:anchor="_Toc234371735" w:history="1">
            <w:r w:rsidR="00C63DE7" w:rsidRPr="003D6BFE">
              <w:rPr>
                <w:rStyle w:val="Hyperlink"/>
              </w:rPr>
              <w:t>2.2.4 Evaluation of Tool Effectiveness</w:t>
            </w:r>
            <w:r w:rsidR="00C63DE7" w:rsidRPr="003D6BFE">
              <w:rPr>
                <w:webHidden/>
              </w:rPr>
              <w:tab/>
            </w:r>
            <w:r w:rsidR="00C63DE7" w:rsidRPr="003D6BFE">
              <w:rPr>
                <w:webHidden/>
              </w:rPr>
              <w:fldChar w:fldCharType="begin"/>
            </w:r>
            <w:r w:rsidR="00C63DE7" w:rsidRPr="003D6BFE">
              <w:rPr>
                <w:webHidden/>
              </w:rPr>
              <w:instrText xml:space="preserve"> PAGEREF _Toc234371735 \h </w:instrText>
            </w:r>
            <w:r w:rsidR="00C63DE7" w:rsidRPr="003D6BFE">
              <w:rPr>
                <w:webHidden/>
              </w:rPr>
            </w:r>
            <w:r w:rsidR="00C63DE7" w:rsidRPr="003D6BFE">
              <w:rPr>
                <w:webHidden/>
              </w:rPr>
              <w:fldChar w:fldCharType="separate"/>
            </w:r>
            <w:r w:rsidR="00C63DE7" w:rsidRPr="003D6BFE">
              <w:rPr>
                <w:webHidden/>
              </w:rPr>
              <w:t>12</w:t>
            </w:r>
            <w:r w:rsidR="00C63DE7" w:rsidRPr="003D6BFE">
              <w:rPr>
                <w:webHidden/>
              </w:rPr>
              <w:fldChar w:fldCharType="end"/>
            </w:r>
          </w:hyperlink>
        </w:p>
        <w:p w14:paraId="57461AD6" w14:textId="77FBD14A" w:rsidR="00C63DE7" w:rsidRPr="003D6BFE" w:rsidRDefault="00D92E06">
          <w:pPr>
            <w:pStyle w:val="TOC1"/>
            <w:rPr>
              <w:rFonts w:eastAsiaTheme="minorEastAsia"/>
              <w:kern w:val="0"/>
              <w:sz w:val="22"/>
              <w:szCs w:val="22"/>
              <w:lang w:eastAsia="en-GB"/>
              <w14:ligatures w14:val="none"/>
            </w:rPr>
          </w:pPr>
          <w:hyperlink w:anchor="_Toc234371736" w:history="1">
            <w:r w:rsidR="00C63DE7" w:rsidRPr="003D6BFE">
              <w:rPr>
                <w:rStyle w:val="Hyperlink"/>
              </w:rPr>
              <w:t>2.3 Communication and Stakeholder Management</w:t>
            </w:r>
            <w:r w:rsidR="00C63DE7" w:rsidRPr="003D6BFE">
              <w:rPr>
                <w:webHidden/>
              </w:rPr>
              <w:tab/>
            </w:r>
            <w:r w:rsidR="00C63DE7" w:rsidRPr="003D6BFE">
              <w:rPr>
                <w:webHidden/>
              </w:rPr>
              <w:fldChar w:fldCharType="begin"/>
            </w:r>
            <w:r w:rsidR="00C63DE7" w:rsidRPr="003D6BFE">
              <w:rPr>
                <w:webHidden/>
              </w:rPr>
              <w:instrText xml:space="preserve"> PAGEREF _Toc234371736 \h </w:instrText>
            </w:r>
            <w:r w:rsidR="00C63DE7" w:rsidRPr="003D6BFE">
              <w:rPr>
                <w:webHidden/>
              </w:rPr>
            </w:r>
            <w:r w:rsidR="00C63DE7" w:rsidRPr="003D6BFE">
              <w:rPr>
                <w:webHidden/>
              </w:rPr>
              <w:fldChar w:fldCharType="separate"/>
            </w:r>
            <w:r w:rsidR="00C63DE7" w:rsidRPr="003D6BFE">
              <w:rPr>
                <w:webHidden/>
              </w:rPr>
              <w:t>12</w:t>
            </w:r>
            <w:r w:rsidR="00C63DE7" w:rsidRPr="003D6BFE">
              <w:rPr>
                <w:webHidden/>
              </w:rPr>
              <w:fldChar w:fldCharType="end"/>
            </w:r>
          </w:hyperlink>
        </w:p>
        <w:p w14:paraId="3780635A" w14:textId="33C490CE" w:rsidR="00C63DE7" w:rsidRPr="003D6BFE" w:rsidRDefault="00D92E06">
          <w:pPr>
            <w:pStyle w:val="TOC1"/>
            <w:rPr>
              <w:rFonts w:eastAsiaTheme="minorEastAsia"/>
              <w:kern w:val="0"/>
              <w:sz w:val="22"/>
              <w:szCs w:val="22"/>
              <w:lang w:eastAsia="en-GB"/>
              <w14:ligatures w14:val="none"/>
            </w:rPr>
          </w:pPr>
          <w:hyperlink w:anchor="_Toc234371737" w:history="1">
            <w:r w:rsidR="00C63DE7" w:rsidRPr="003D6BFE">
              <w:rPr>
                <w:rStyle w:val="Hyperlink"/>
              </w:rPr>
              <w:t>3. Conclusion</w:t>
            </w:r>
            <w:r w:rsidR="00C63DE7" w:rsidRPr="003D6BFE">
              <w:rPr>
                <w:webHidden/>
              </w:rPr>
              <w:tab/>
            </w:r>
            <w:r w:rsidR="00C63DE7" w:rsidRPr="003D6BFE">
              <w:rPr>
                <w:webHidden/>
              </w:rPr>
              <w:fldChar w:fldCharType="begin"/>
            </w:r>
            <w:r w:rsidR="00C63DE7" w:rsidRPr="003D6BFE">
              <w:rPr>
                <w:webHidden/>
              </w:rPr>
              <w:instrText xml:space="preserve"> PAGEREF _Toc234371737 \h </w:instrText>
            </w:r>
            <w:r w:rsidR="00C63DE7" w:rsidRPr="003D6BFE">
              <w:rPr>
                <w:webHidden/>
              </w:rPr>
            </w:r>
            <w:r w:rsidR="00C63DE7" w:rsidRPr="003D6BFE">
              <w:rPr>
                <w:webHidden/>
              </w:rPr>
              <w:fldChar w:fldCharType="separate"/>
            </w:r>
            <w:r w:rsidR="00C63DE7" w:rsidRPr="003D6BFE">
              <w:rPr>
                <w:webHidden/>
              </w:rPr>
              <w:t>14</w:t>
            </w:r>
            <w:r w:rsidR="00C63DE7" w:rsidRPr="003D6BFE">
              <w:rPr>
                <w:webHidden/>
              </w:rPr>
              <w:fldChar w:fldCharType="end"/>
            </w:r>
          </w:hyperlink>
        </w:p>
        <w:p w14:paraId="537044D7" w14:textId="6633B9E3" w:rsidR="00C63DE7" w:rsidRPr="003D6BFE" w:rsidRDefault="00D92E06">
          <w:pPr>
            <w:pStyle w:val="TOC1"/>
            <w:rPr>
              <w:rFonts w:eastAsiaTheme="minorEastAsia"/>
              <w:kern w:val="0"/>
              <w:sz w:val="22"/>
              <w:szCs w:val="22"/>
              <w:lang w:eastAsia="en-GB"/>
              <w14:ligatures w14:val="none"/>
            </w:rPr>
          </w:pPr>
          <w:hyperlink w:anchor="_Toc234371738" w:history="1">
            <w:r w:rsidR="00C63DE7" w:rsidRPr="003D6BFE">
              <w:rPr>
                <w:rStyle w:val="Hyperlink"/>
              </w:rPr>
              <w:t>4. Future Improvements</w:t>
            </w:r>
            <w:r w:rsidR="00C63DE7" w:rsidRPr="003D6BFE">
              <w:rPr>
                <w:webHidden/>
              </w:rPr>
              <w:tab/>
            </w:r>
            <w:r w:rsidR="00C63DE7" w:rsidRPr="003D6BFE">
              <w:rPr>
                <w:webHidden/>
              </w:rPr>
              <w:fldChar w:fldCharType="begin"/>
            </w:r>
            <w:r w:rsidR="00C63DE7" w:rsidRPr="003D6BFE">
              <w:rPr>
                <w:webHidden/>
              </w:rPr>
              <w:instrText xml:space="preserve"> PAGEREF _Toc234371738 \h </w:instrText>
            </w:r>
            <w:r w:rsidR="00C63DE7" w:rsidRPr="003D6BFE">
              <w:rPr>
                <w:webHidden/>
              </w:rPr>
            </w:r>
            <w:r w:rsidR="00C63DE7" w:rsidRPr="003D6BFE">
              <w:rPr>
                <w:webHidden/>
              </w:rPr>
              <w:fldChar w:fldCharType="separate"/>
            </w:r>
            <w:r w:rsidR="00C63DE7" w:rsidRPr="003D6BFE">
              <w:rPr>
                <w:webHidden/>
              </w:rPr>
              <w:t>15</w:t>
            </w:r>
            <w:r w:rsidR="00C63DE7" w:rsidRPr="003D6BFE">
              <w:rPr>
                <w:webHidden/>
              </w:rPr>
              <w:fldChar w:fldCharType="end"/>
            </w:r>
          </w:hyperlink>
        </w:p>
        <w:p w14:paraId="78D8929A" w14:textId="508E971F" w:rsidR="00CF740E" w:rsidRDefault="00742EF9" w:rsidP="00BE6FEB">
          <w:pPr>
            <w:rPr>
              <w:b/>
              <w:bCs/>
              <w:noProof/>
            </w:rPr>
          </w:pPr>
          <w:r w:rsidRPr="00C63DE7">
            <w:rPr>
              <w:b/>
              <w:bCs/>
              <w:noProof/>
            </w:rPr>
            <w:fldChar w:fldCharType="end"/>
          </w:r>
        </w:p>
      </w:sdtContent>
    </w:sdt>
    <w:p w14:paraId="1A7C18A6" w14:textId="77FB2573" w:rsidR="000F5C95" w:rsidRPr="00CF740E" w:rsidRDefault="007D7100" w:rsidP="00CF740E">
      <w:pPr>
        <w:pStyle w:val="Heading1"/>
        <w:rPr>
          <w:b/>
          <w:bCs/>
          <w:noProof/>
        </w:rPr>
      </w:pPr>
      <w:bookmarkStart w:id="2" w:name="_Toc234371722"/>
      <w:r w:rsidRPr="00CF740E">
        <w:rPr>
          <w:b/>
          <w:bCs/>
        </w:rPr>
        <w:t>Introduction</w:t>
      </w:r>
      <w:bookmarkEnd w:id="2"/>
    </w:p>
    <w:p w14:paraId="14595352" w14:textId="5FCAB996" w:rsidR="00BE6FEB" w:rsidRDefault="00BE6FEB" w:rsidP="00BE6FEB">
      <w:r w:rsidRPr="009B5002">
        <w:rPr>
          <w:b/>
          <w:bCs/>
          <w:sz w:val="28"/>
          <w:szCs w:val="28"/>
        </w:rPr>
        <w:t>The</w:t>
      </w:r>
      <w:r w:rsidRPr="00BE6FEB">
        <w:rPr>
          <w:b/>
          <w:bCs/>
          <w:sz w:val="32"/>
          <w:szCs w:val="32"/>
        </w:rPr>
        <w:t xml:space="preserve"> </w:t>
      </w:r>
      <w:r>
        <w:t>project entails converting a second-hand horse trailer into a mobile kitchen catering trailer for Cardiff Council Community Events. Instead of buying a new catering trailer, refurbishing an old trailer is cheaper and more sustainable than buying brand new. The completed unit will be used to provide food and beverage services at Cardiff Council events and local community gatherings.</w:t>
      </w:r>
    </w:p>
    <w:p w14:paraId="42D2B0DF" w14:textId="6852248B" w:rsidR="00BE6FEB" w:rsidRDefault="00BE6FEB" w:rsidP="00BE6FEB">
      <w:r>
        <w:t>Cardiff Council is a public sector organisation, which means there are various considerations to ensure processes are completed safely, correctly</w:t>
      </w:r>
      <w:r w:rsidR="00FC0FE2">
        <w:t>,</w:t>
      </w:r>
      <w:r>
        <w:t xml:space="preserve"> and responsibly. The refurbished trailer will need to comply with UK food hygiene, health and safety, and vehicle guidelines and regulations while being completed on time and not exceeding budget. Efficient planning, communication, coordination</w:t>
      </w:r>
      <w:r w:rsidR="00FC0FE2">
        <w:t>,</w:t>
      </w:r>
      <w:r>
        <w:t xml:space="preserve"> and control will ensure project success (Project Management Institute (PMI), 2021).</w:t>
      </w:r>
    </w:p>
    <w:p w14:paraId="0D0887B7" w14:textId="15CD8F78" w:rsidR="00BE6FEB" w:rsidRDefault="00BE6FEB" w:rsidP="00BE6FEB">
      <w:r>
        <w:t>The objectives of this project are to refurbish a second-hand horse trailer into a safe, usable mobile kitchen for Cardiff Council in a 12-week timescale.</w:t>
      </w:r>
    </w:p>
    <w:p w14:paraId="4741D79F" w14:textId="77777777" w:rsidR="00CF740E" w:rsidRDefault="00BE6FEB" w:rsidP="00BE6FEB">
      <w:r>
        <w:t xml:space="preserve">The following project objectives will need to be met in order to reach the overall project </w:t>
      </w:r>
      <w:r w:rsidRPr="00BE6FEB">
        <w:rPr>
          <w:b/>
          <w:bCs/>
        </w:rPr>
        <w:t>aim</w:t>
      </w:r>
      <w:r w:rsidR="00CF740E">
        <w:rPr>
          <w:b/>
          <w:bCs/>
        </w:rPr>
        <w:t>:</w:t>
      </w:r>
    </w:p>
    <w:p w14:paraId="2D17F20C" w14:textId="078CFFE6" w:rsidR="00BE6FEB" w:rsidRDefault="00BE6FEB" w:rsidP="00CF740E">
      <w:pPr>
        <w:spacing w:line="240" w:lineRule="auto"/>
      </w:pPr>
      <w:r>
        <w:t>Purchase or source a second-hand horse trailer</w:t>
      </w:r>
    </w:p>
    <w:p w14:paraId="0AAD9479" w14:textId="77777777" w:rsidR="00BE6FEB" w:rsidRDefault="00BE6FEB" w:rsidP="00BE6FEB">
      <w:r>
        <w:t>Reach the required refurbishment standard by the deadline</w:t>
      </w:r>
    </w:p>
    <w:p w14:paraId="40259ED4" w14:textId="77777777" w:rsidR="00BE6FEB" w:rsidRDefault="00BE6FEB" w:rsidP="00BE6FEB">
      <w:r>
        <w:t xml:space="preserve">Install food-safe electrical wiring and plumbing </w:t>
      </w:r>
    </w:p>
    <w:p w14:paraId="7E4AFFAE" w14:textId="77777777" w:rsidR="00BE6FEB" w:rsidRDefault="00BE6FEB" w:rsidP="00BE6FEB">
      <w:r>
        <w:t>Fit the required catering equipment to the trailer</w:t>
      </w:r>
    </w:p>
    <w:p w14:paraId="1E3FC028" w14:textId="77777777" w:rsidR="00BE6FEB" w:rsidRDefault="00BE6FEB" w:rsidP="00BE6FEB">
      <w:r>
        <w:t>Gain certifications to prove the kitchen meets food hygiene guidelines and passes health and safety standards</w:t>
      </w:r>
    </w:p>
    <w:p w14:paraId="0EBB8172" w14:textId="77777777" w:rsidR="00BE6FEB" w:rsidRDefault="00BE6FEB" w:rsidP="00BE6FEB">
      <w:r>
        <w:t>Deliver the refurbished vehicle on time and within budget.</w:t>
      </w:r>
    </w:p>
    <w:p w14:paraId="3E7C5ADA" w14:textId="4A61ADC2" w:rsidR="00BE6FEB" w:rsidRPr="00BE6FEB" w:rsidRDefault="00BE6FEB" w:rsidP="00BE6FEB">
      <w:r>
        <w:t>All of the above will require detailed project planning and control (Kerzner, 2022).</w:t>
      </w:r>
    </w:p>
    <w:p w14:paraId="7B1C67BC" w14:textId="62B273BE" w:rsidR="004326B7" w:rsidRDefault="00C07CA7" w:rsidP="004326B7">
      <w:pPr>
        <w:pStyle w:val="Heading1"/>
        <w:spacing w:before="100" w:after="100"/>
        <w:rPr>
          <w:b/>
          <w:bCs/>
        </w:rPr>
      </w:pPr>
      <w:bookmarkStart w:id="3" w:name="_Toc234371723"/>
      <w:r>
        <w:rPr>
          <w:b/>
          <w:bCs/>
        </w:rPr>
        <w:t>2.Finding</w:t>
      </w:r>
      <w:bookmarkEnd w:id="3"/>
      <w:r w:rsidR="00C86798">
        <w:rPr>
          <w:b/>
          <w:bCs/>
        </w:rPr>
        <w:t xml:space="preserve"> </w:t>
      </w:r>
    </w:p>
    <w:p w14:paraId="55A56F0A" w14:textId="2BA446E9" w:rsidR="00183AD3" w:rsidRPr="00E1331D" w:rsidRDefault="0013457F" w:rsidP="004F5D7B">
      <w:pPr>
        <w:pStyle w:val="Heading1"/>
        <w:rPr>
          <w:b/>
          <w:bCs/>
        </w:rPr>
      </w:pPr>
      <w:bookmarkStart w:id="4" w:name="_Toc234371724"/>
      <w:r w:rsidRPr="0013457F">
        <w:rPr>
          <w:b/>
          <w:bCs/>
        </w:rPr>
        <w:t>2.1 Project Management Tools and Techniques</w:t>
      </w:r>
      <w:bookmarkEnd w:id="4"/>
    </w:p>
    <w:p w14:paraId="6AB13750" w14:textId="06ED38B7" w:rsidR="005366CC" w:rsidRPr="004F5D7B" w:rsidRDefault="004F5D7B" w:rsidP="004F5D7B">
      <w:pPr>
        <w:pStyle w:val="Heading1"/>
        <w:rPr>
          <w:b/>
          <w:bCs/>
          <w:sz w:val="28"/>
          <w:szCs w:val="28"/>
        </w:rPr>
      </w:pPr>
      <w:bookmarkStart w:id="5" w:name="_Toc234371725"/>
      <w:r w:rsidRPr="004F5D7B">
        <w:rPr>
          <w:b/>
          <w:bCs/>
          <w:sz w:val="28"/>
          <w:szCs w:val="28"/>
        </w:rPr>
        <w:t xml:space="preserve">2.1.1. </w:t>
      </w:r>
      <w:r w:rsidR="005366CC" w:rsidRPr="004F5D7B">
        <w:rPr>
          <w:b/>
          <w:bCs/>
          <w:sz w:val="28"/>
          <w:szCs w:val="28"/>
        </w:rPr>
        <w:t>Scope Management</w:t>
      </w:r>
      <w:bookmarkEnd w:id="5"/>
      <w:r w:rsidR="005366CC" w:rsidRPr="004F5D7B">
        <w:rPr>
          <w:b/>
          <w:bCs/>
          <w:sz w:val="28"/>
          <w:szCs w:val="28"/>
        </w:rPr>
        <w:t xml:space="preserve"> </w:t>
      </w:r>
    </w:p>
    <w:p w14:paraId="3EFCE515" w14:textId="55C38269" w:rsidR="00183AD3" w:rsidRPr="00E1331D" w:rsidRDefault="005366CC" w:rsidP="00E1331D">
      <w:r w:rsidRPr="009B5002">
        <w:rPr>
          <w:b/>
          <w:bCs/>
          <w:sz w:val="28"/>
          <w:szCs w:val="28"/>
        </w:rPr>
        <w:t>In</w:t>
      </w:r>
      <w:r w:rsidR="009B5002">
        <w:rPr>
          <w:b/>
          <w:bCs/>
          <w:sz w:val="28"/>
          <w:szCs w:val="28"/>
        </w:rPr>
        <w:t xml:space="preserve"> </w:t>
      </w:r>
      <w:r>
        <w:t>project management, scope refers to the amount of work that needs to be accomplished to complete a project successfully. Managing scope involves making sure that everything required to complete the project is included in the project plan and nothing that is not needed is allowed to interfere with schedule or budget. Well managed scope can clearly define project boundaries and ensure that all stakeholders have the same understanding of what a project will and w</w:t>
      </w:r>
      <w:r w:rsidR="00DA330C">
        <w:t xml:space="preserve">ill not </w:t>
      </w:r>
      <w:r>
        <w:t>deliver. It also minimises the risk of scope creep increasing costs by ensuring expectations are defined at the start of the project and progress can be easily tracked (PMI, 2021).</w:t>
      </w:r>
    </w:p>
    <w:p w14:paraId="4A92503B" w14:textId="085B1755" w:rsidR="005366CC" w:rsidRDefault="004F5D7B" w:rsidP="004F5D7B">
      <w:pPr>
        <w:pStyle w:val="Heading1"/>
        <w:rPr>
          <w:b/>
          <w:bCs/>
          <w:sz w:val="28"/>
          <w:szCs w:val="28"/>
        </w:rPr>
      </w:pPr>
      <w:bookmarkStart w:id="6" w:name="_Toc234371726"/>
      <w:bookmarkStart w:id="7" w:name="_Hlk234363112"/>
      <w:r w:rsidRPr="004F5D7B">
        <w:rPr>
          <w:b/>
          <w:bCs/>
          <w:sz w:val="28"/>
          <w:szCs w:val="28"/>
        </w:rPr>
        <w:t xml:space="preserve">2.1.2. </w:t>
      </w:r>
      <w:r w:rsidR="005366CC" w:rsidRPr="004F5D7B">
        <w:rPr>
          <w:b/>
          <w:bCs/>
          <w:sz w:val="28"/>
          <w:szCs w:val="28"/>
        </w:rPr>
        <w:t>Stakeholder Analysis</w:t>
      </w:r>
      <w:bookmarkEnd w:id="6"/>
      <w:r w:rsidR="005366CC" w:rsidRPr="004F5D7B">
        <w:rPr>
          <w:b/>
          <w:bCs/>
          <w:sz w:val="28"/>
          <w:szCs w:val="28"/>
        </w:rPr>
        <w:t xml:space="preserve"> </w:t>
      </w:r>
    </w:p>
    <w:p w14:paraId="299AD7F2" w14:textId="7D8D83D9" w:rsidR="007C4858" w:rsidRPr="007C4858" w:rsidRDefault="007C4858" w:rsidP="007C4858">
      <w:r w:rsidRPr="007C4858">
        <w:t>Stakeholder analysis aims to determine "those people, groups, or organisations that may affect, or may be affected by" the project. Stakeholders may include the project team members (internal) or suppliers, customers, or government bodies (external). They can then be prioritised by degree of power and interest they have over the project using a framework such as the Power</w:t>
      </w:r>
      <w:r w:rsidRPr="007C4858">
        <w:rPr>
          <w:rFonts w:hint="cs"/>
        </w:rPr>
        <w:t>–</w:t>
      </w:r>
      <w:r w:rsidRPr="007C4858">
        <w:t>Interest Grid. Knowing stakeholders' expectations allows the project manager to better influence communications and decision-making, decrease latencies, and ultimately increase chances for project success (Bourne, 2016; Olander, 2007).</w:t>
      </w:r>
    </w:p>
    <w:p w14:paraId="64672CDA" w14:textId="665413E7" w:rsidR="005366CC" w:rsidRPr="00C07CA7" w:rsidRDefault="004F5D7B" w:rsidP="00C07CA7">
      <w:pPr>
        <w:pStyle w:val="Heading1"/>
        <w:rPr>
          <w:b/>
          <w:bCs/>
          <w:sz w:val="28"/>
          <w:szCs w:val="28"/>
        </w:rPr>
      </w:pPr>
      <w:bookmarkStart w:id="8" w:name="_Toc234371727"/>
      <w:bookmarkEnd w:id="7"/>
      <w:r w:rsidRPr="00C07CA7">
        <w:rPr>
          <w:b/>
          <w:bCs/>
          <w:sz w:val="28"/>
          <w:szCs w:val="28"/>
        </w:rPr>
        <w:t>2.1.3</w:t>
      </w:r>
      <w:r w:rsidR="00C07CA7" w:rsidRPr="00C07CA7">
        <w:rPr>
          <w:b/>
          <w:bCs/>
          <w:sz w:val="28"/>
          <w:szCs w:val="28"/>
        </w:rPr>
        <w:t xml:space="preserve">. </w:t>
      </w:r>
      <w:r w:rsidR="005366CC" w:rsidRPr="00C07CA7">
        <w:rPr>
          <w:b/>
          <w:bCs/>
          <w:sz w:val="28"/>
          <w:szCs w:val="28"/>
        </w:rPr>
        <w:t>Communication planning</w:t>
      </w:r>
      <w:bookmarkEnd w:id="8"/>
      <w:r w:rsidR="005366CC" w:rsidRPr="00C07CA7">
        <w:rPr>
          <w:b/>
          <w:bCs/>
          <w:sz w:val="28"/>
          <w:szCs w:val="28"/>
        </w:rPr>
        <w:t xml:space="preserve"> </w:t>
      </w:r>
    </w:p>
    <w:p w14:paraId="1C3A49EF" w14:textId="5D92923F" w:rsidR="004326B7" w:rsidRPr="00E1331D" w:rsidRDefault="005366CC" w:rsidP="00183AD3">
      <w:r w:rsidRPr="009B5002">
        <w:rPr>
          <w:b/>
          <w:bCs/>
          <w:sz w:val="28"/>
          <w:szCs w:val="28"/>
        </w:rPr>
        <w:t>Communication</w:t>
      </w:r>
      <w:r>
        <w:t xml:space="preserve"> planning determines who needs to receive project information, what they need to know, how you will communicate with them, and when. A good communications plan allows project managers to provide stakeholders with the right information at the right time. Effective communication also prevents people from working in silos and ensures that anyone likely to be affected by a change is notified in a timely manner. Regular communication is essential for successful project delivery. It allows project managers to identify and address issues quickly, keep track of progress, and maintain positive stakeholder relationships (Lock, 2020).</w:t>
      </w:r>
    </w:p>
    <w:p w14:paraId="5D3432C2" w14:textId="6AB6DD5A" w:rsidR="005366CC" w:rsidRPr="00DA330C" w:rsidRDefault="00C07CA7" w:rsidP="00183AD3">
      <w:pPr>
        <w:rPr>
          <w:b/>
          <w:bCs/>
          <w:color w:val="0F4761" w:themeColor="accent1" w:themeShade="BF"/>
          <w:sz w:val="28"/>
          <w:szCs w:val="28"/>
        </w:rPr>
      </w:pPr>
      <w:bookmarkStart w:id="9" w:name="_Hlk234364174"/>
      <w:r w:rsidRPr="00DA330C">
        <w:rPr>
          <w:b/>
          <w:bCs/>
          <w:color w:val="0F4761" w:themeColor="accent1" w:themeShade="BF"/>
          <w:sz w:val="28"/>
          <w:szCs w:val="28"/>
        </w:rPr>
        <w:t xml:space="preserve">2.1.4. </w:t>
      </w:r>
      <w:r w:rsidR="005366CC" w:rsidRPr="00DA330C">
        <w:rPr>
          <w:b/>
          <w:bCs/>
          <w:color w:val="0F4761" w:themeColor="accent1" w:themeShade="BF"/>
          <w:sz w:val="28"/>
          <w:szCs w:val="28"/>
        </w:rPr>
        <w:t xml:space="preserve">Work Breakdown Structure (WBS) </w:t>
      </w:r>
    </w:p>
    <w:p w14:paraId="0456B2B8" w14:textId="25AA7A3C" w:rsidR="00312C4E" w:rsidRPr="00183AD3" w:rsidRDefault="00312C4E" w:rsidP="00183AD3">
      <w:r w:rsidRPr="00312C4E">
        <w:rPr>
          <w:b/>
          <w:bCs/>
          <w:sz w:val="28"/>
          <w:szCs w:val="28"/>
        </w:rPr>
        <w:t>A</w:t>
      </w:r>
      <w:r>
        <w:t xml:space="preserve"> </w:t>
      </w:r>
      <w:r w:rsidRPr="00312C4E">
        <w:t>Work Breakdown Structure (WBS) allows one to break down their project into work packages that are organised in a tree structure. A WBS assists the project manager in allocating responsibilities, tracking progress, costing, and understanding project dependencies. Tasks that are needed to complete the project are defined before work begins on the project, allowing for planning that will enable the project to be completed on time and within budget (Burke, 2023).</w:t>
      </w:r>
    </w:p>
    <w:p w14:paraId="1BD36E81" w14:textId="7D98553B" w:rsidR="005366CC" w:rsidRPr="00C07CA7" w:rsidRDefault="00C07CA7" w:rsidP="00C07CA7">
      <w:pPr>
        <w:pStyle w:val="Heading1"/>
        <w:rPr>
          <w:b/>
          <w:bCs/>
          <w:sz w:val="28"/>
          <w:szCs w:val="28"/>
        </w:rPr>
      </w:pPr>
      <w:bookmarkStart w:id="10" w:name="_Toc234371728"/>
      <w:bookmarkEnd w:id="9"/>
      <w:r w:rsidRPr="00C07CA7">
        <w:rPr>
          <w:b/>
          <w:bCs/>
          <w:sz w:val="28"/>
          <w:szCs w:val="28"/>
        </w:rPr>
        <w:t xml:space="preserve">2.1.5. </w:t>
      </w:r>
      <w:r w:rsidR="005366CC" w:rsidRPr="00C07CA7">
        <w:rPr>
          <w:b/>
          <w:bCs/>
          <w:sz w:val="28"/>
          <w:szCs w:val="28"/>
        </w:rPr>
        <w:t>Gantt Chart</w:t>
      </w:r>
      <w:bookmarkEnd w:id="10"/>
      <w:r w:rsidR="005366CC" w:rsidRPr="00C07CA7">
        <w:rPr>
          <w:b/>
          <w:bCs/>
          <w:sz w:val="28"/>
          <w:szCs w:val="28"/>
        </w:rPr>
        <w:t xml:space="preserve"> </w:t>
      </w:r>
    </w:p>
    <w:p w14:paraId="202B9E3A" w14:textId="5CD12C7C" w:rsidR="004326B7" w:rsidRPr="004326B7" w:rsidRDefault="005366CC" w:rsidP="004326B7">
      <w:r w:rsidRPr="009B5002">
        <w:rPr>
          <w:b/>
          <w:bCs/>
          <w:sz w:val="28"/>
          <w:szCs w:val="28"/>
        </w:rPr>
        <w:t xml:space="preserve">Project </w:t>
      </w:r>
      <w:r>
        <w:t xml:space="preserve">managers use Gantt Charts to track project schedule. The chart provides a visual overview of the project schedule and allows project managers to identify which tasks need to be completed by when. Task dependencies are also shown on the Gantt Chart, which can be used to estimate how long projects will take. Updated </w:t>
      </w:r>
      <w:r w:rsidR="00D92E06">
        <w:t>Gantt</w:t>
      </w:r>
      <w:r>
        <w:t xml:space="preserve"> charts allow project managers to quickly assess project progress at a glance and adjust the project schedule where needed. Sharing </w:t>
      </w:r>
      <w:r w:rsidR="00D92E06">
        <w:t>Gantt</w:t>
      </w:r>
      <w:r>
        <w:t xml:space="preserve"> charts with stakeholders ensures everyone understands the project plan and can greatly improve coordination (Maylor, 2024). </w:t>
      </w:r>
    </w:p>
    <w:p w14:paraId="689302DB" w14:textId="673EFD61" w:rsidR="005366CC" w:rsidRPr="00E328E1" w:rsidRDefault="00C07CA7" w:rsidP="00E328E1">
      <w:pPr>
        <w:pStyle w:val="Heading1"/>
        <w:rPr>
          <w:b/>
          <w:bCs/>
        </w:rPr>
      </w:pPr>
      <w:bookmarkStart w:id="11" w:name="_Toc234371729"/>
      <w:bookmarkStart w:id="12" w:name="_Hlk234363826"/>
      <w:r w:rsidRPr="00E328E1">
        <w:rPr>
          <w:b/>
          <w:bCs/>
        </w:rPr>
        <w:t xml:space="preserve">2.1.6. </w:t>
      </w:r>
      <w:r w:rsidR="005366CC" w:rsidRPr="00E328E1">
        <w:rPr>
          <w:b/>
          <w:bCs/>
        </w:rPr>
        <w:t>Risk Management</w:t>
      </w:r>
      <w:bookmarkEnd w:id="11"/>
      <w:r w:rsidR="005366CC" w:rsidRPr="00E328E1">
        <w:rPr>
          <w:b/>
          <w:bCs/>
        </w:rPr>
        <w:t xml:space="preserve"> </w:t>
      </w:r>
    </w:p>
    <w:p w14:paraId="768B60E8" w14:textId="0B26E3FD" w:rsidR="007C4858" w:rsidRPr="007C4858" w:rsidRDefault="007C4858" w:rsidP="007C4858">
      <w:r w:rsidRPr="007C4858">
        <w:rPr>
          <w:b/>
          <w:bCs/>
          <w:sz w:val="28"/>
          <w:szCs w:val="28"/>
        </w:rPr>
        <w:t>Project</w:t>
      </w:r>
      <w:r w:rsidRPr="007C4858">
        <w:t xml:space="preserve"> risks can include any unexpected event that can have either a positive or negative impact on your project. The best project managers will identify risks to your project and implement solutions to those risks before they occur. Managing risk includes determining both the probability of a risk occurring and how much it will affect your project. Then you can prioritise these risks based on their impact. Solutions can range from purchasing insurance, building in extra time for your schedule, or flat out not doing high-risk activities (Hillson, 2002).</w:t>
      </w:r>
    </w:p>
    <w:p w14:paraId="0A32F87A" w14:textId="37B42D8D" w:rsidR="005366CC" w:rsidRPr="00C07CA7" w:rsidRDefault="00C07CA7" w:rsidP="00C07CA7">
      <w:pPr>
        <w:pStyle w:val="Heading1"/>
        <w:rPr>
          <w:b/>
          <w:bCs/>
          <w:sz w:val="28"/>
          <w:szCs w:val="28"/>
        </w:rPr>
      </w:pPr>
      <w:bookmarkStart w:id="13" w:name="_Toc234371730"/>
      <w:bookmarkEnd w:id="12"/>
      <w:r w:rsidRPr="00C07CA7">
        <w:rPr>
          <w:b/>
          <w:bCs/>
          <w:sz w:val="28"/>
          <w:szCs w:val="28"/>
        </w:rPr>
        <w:t xml:space="preserve">2.1.7. </w:t>
      </w:r>
      <w:r w:rsidR="005366CC" w:rsidRPr="00C07CA7">
        <w:rPr>
          <w:b/>
          <w:bCs/>
          <w:sz w:val="28"/>
          <w:szCs w:val="28"/>
        </w:rPr>
        <w:t>Iron Triangle</w:t>
      </w:r>
      <w:bookmarkEnd w:id="13"/>
      <w:r w:rsidR="005366CC" w:rsidRPr="00C07CA7">
        <w:rPr>
          <w:b/>
          <w:bCs/>
          <w:sz w:val="28"/>
          <w:szCs w:val="28"/>
        </w:rPr>
        <w:t xml:space="preserve"> </w:t>
      </w:r>
    </w:p>
    <w:p w14:paraId="3CFCDED6" w14:textId="50C74F15" w:rsidR="007A3308" w:rsidRPr="00A353DA" w:rsidRDefault="009B5002" w:rsidP="00A353DA">
      <w:r w:rsidRPr="009B5002">
        <w:rPr>
          <w:b/>
          <w:bCs/>
          <w:sz w:val="28"/>
          <w:szCs w:val="28"/>
        </w:rPr>
        <w:t xml:space="preserve">SO </w:t>
      </w:r>
      <w:r w:rsidR="005366CC">
        <w:t>called as changes to one constraint will likely impact the other two, the iron triangle shows how project time, cost, and scope are related. Project managers can complete projects within these constraints while maintaining the desired level of quality. If any of these factors change, you</w:t>
      </w:r>
      <w:r w:rsidR="00DA330C">
        <w:t xml:space="preserve"> wi</w:t>
      </w:r>
      <w:r w:rsidR="005366CC">
        <w:t>ll have to make an adjustment to at least one of the other two. For instance, if you want to shorten the schedule, you</w:t>
      </w:r>
      <w:r w:rsidR="00DA330C">
        <w:t xml:space="preserve"> wi</w:t>
      </w:r>
      <w:r w:rsidR="005366CC">
        <w:t xml:space="preserve">ll probably need to pay additional staff to work faster or spend more money on </w:t>
      </w:r>
      <w:r w:rsidR="000B27F6">
        <w:t>resources. (</w:t>
      </w:r>
      <w:r w:rsidR="005366CC">
        <w:t>Project Management Guide).</w:t>
      </w:r>
    </w:p>
    <w:p w14:paraId="06844986" w14:textId="114136E7" w:rsidR="007A3308" w:rsidRPr="00552D80" w:rsidRDefault="00552D80" w:rsidP="009D35C6">
      <w:pPr>
        <w:spacing w:line="240" w:lineRule="atLeast"/>
        <w:rPr>
          <w:b/>
          <w:bCs/>
          <w:color w:val="0F4761" w:themeColor="accent1" w:themeShade="BF"/>
          <w:sz w:val="18"/>
          <w:szCs w:val="18"/>
        </w:rPr>
      </w:pPr>
      <w:r w:rsidRPr="00552D80">
        <w:rPr>
          <w:b/>
          <w:bCs/>
          <w:color w:val="0F4761" w:themeColor="accent1" w:themeShade="BF"/>
          <w:sz w:val="18"/>
          <w:szCs w:val="18"/>
        </w:rPr>
        <w:t>Figure 1. Project Management Iron Triangle for the Horse Trailer Refurbishment Project</w:t>
      </w:r>
      <w:r w:rsidR="00E51B14" w:rsidRPr="00552D80">
        <w:rPr>
          <w:b/>
          <w:bCs/>
          <w:noProof/>
          <w:color w:val="0F4761" w:themeColor="accent1" w:themeShade="BF"/>
          <w:sz w:val="18"/>
          <w:szCs w:val="18"/>
        </w:rPr>
        <w:drawing>
          <wp:anchor distT="0" distB="0" distL="114300" distR="114300" simplePos="0" relativeHeight="251664384" behindDoc="0" locked="0" layoutInCell="1" allowOverlap="1" wp14:anchorId="7FEF0B3E" wp14:editId="1A5AA0FB">
            <wp:simplePos x="0" y="0"/>
            <wp:positionH relativeFrom="margin">
              <wp:posOffset>52705</wp:posOffset>
            </wp:positionH>
            <wp:positionV relativeFrom="paragraph">
              <wp:posOffset>453390</wp:posOffset>
            </wp:positionV>
            <wp:extent cx="5638800" cy="3347720"/>
            <wp:effectExtent l="0" t="38100" r="19050" b="81280"/>
            <wp:wrapTopAndBottom/>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6696AA18" w14:textId="19B7405D" w:rsidR="00E51B14" w:rsidRPr="00552D80" w:rsidRDefault="00552D80" w:rsidP="00E51B14">
      <w:pPr>
        <w:spacing w:line="240" w:lineRule="auto"/>
        <w:rPr>
          <w:b/>
          <w:bCs/>
        </w:rPr>
      </w:pPr>
      <w:r w:rsidRPr="00552D80">
        <w:rPr>
          <w:b/>
          <w:bCs/>
          <w:noProof/>
        </w:rPr>
        <mc:AlternateContent>
          <mc:Choice Requires="wps">
            <w:drawing>
              <wp:anchor distT="0" distB="0" distL="114300" distR="114300" simplePos="0" relativeHeight="251665408" behindDoc="0" locked="0" layoutInCell="1" allowOverlap="1" wp14:anchorId="05D050C7" wp14:editId="66273F5D">
                <wp:simplePos x="0" y="0"/>
                <wp:positionH relativeFrom="margin">
                  <wp:align>right</wp:align>
                </wp:positionH>
                <wp:positionV relativeFrom="paragraph">
                  <wp:posOffset>3716434</wp:posOffset>
                </wp:positionV>
                <wp:extent cx="5607326" cy="1788767"/>
                <wp:effectExtent l="38100" t="19050" r="50800" b="21590"/>
                <wp:wrapNone/>
                <wp:docPr id="13" name="Isosceles Triangle 13"/>
                <wp:cNvGraphicFramePr/>
                <a:graphic xmlns:a="http://schemas.openxmlformats.org/drawingml/2006/main">
                  <a:graphicData uri="http://schemas.microsoft.com/office/word/2010/wordprocessingShape">
                    <wps:wsp>
                      <wps:cNvSpPr/>
                      <wps:spPr>
                        <a:xfrm>
                          <a:off x="0" y="0"/>
                          <a:ext cx="5607326" cy="1788767"/>
                        </a:xfrm>
                        <a:prstGeom prst="triangle">
                          <a:avLst>
                            <a:gd name="adj" fmla="val 4668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3EF17C" w14:textId="41954F34" w:rsidR="0017172D" w:rsidRPr="00552D80" w:rsidRDefault="0017172D" w:rsidP="00552D80">
                            <w:pPr>
                              <w:rPr>
                                <w:color w:val="FFFF00"/>
                              </w:rPr>
                            </w:pPr>
                            <w:r w:rsidRPr="00552D80">
                              <w:rPr>
                                <w:color w:val="FFFF00"/>
                              </w:rPr>
                              <w:t>Safe mobile kitchen</w:t>
                            </w:r>
                            <w:r w:rsidR="00552D80" w:rsidRPr="00552D80">
                              <w:rPr>
                                <w:color w:val="FFFF00"/>
                              </w:rPr>
                              <w:t xml:space="preserve">      </w:t>
                            </w:r>
                            <w:r w:rsidRPr="00552D80">
                              <w:rPr>
                                <w:color w:val="FFFF00"/>
                              </w:rPr>
                              <w:t>Client satisfaction</w:t>
                            </w:r>
                          </w:p>
                          <w:p w14:paraId="7ACCB029" w14:textId="704BF21F" w:rsidR="0017172D" w:rsidRPr="00552D80" w:rsidRDefault="0017172D" w:rsidP="0017172D">
                            <w:pPr>
                              <w:jc w:val="center"/>
                              <w:rPr>
                                <w:color w:val="FFFF00"/>
                              </w:rPr>
                            </w:pPr>
                            <w:r w:rsidRPr="00552D80">
                              <w:rPr>
                                <w:color w:val="FFFF00"/>
                              </w:rPr>
                              <w:t>Regulatory complianc</w:t>
                            </w:r>
                            <w:r w:rsidR="00552D80">
                              <w:rPr>
                                <w:color w:val="FFFF00"/>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D050C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left:0;text-align:left;margin-left:390.3pt;margin-top:292.65pt;width:441.5pt;height:140.8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" adj="10084" fillcolor="#156082 [3204]" strokecolor="#0a2f40 [1604]" strokeweight="1.5pt">
                <v:textbox>
                  <w:txbxContent>
                    <w:p w14:paraId="643EF17C" w14:textId="41954F34" w:rsidR="0017172D" w:rsidRPr="00552D80" w:rsidRDefault="0017172D" w:rsidP="00552D80">
                      <w:pPr>
                        <w:rPr>
                          <w:color w:val="FFFF00"/>
                        </w:rPr>
                      </w:pPr>
                      <w:r w:rsidRPr="00552D80">
                        <w:rPr>
                          <w:color w:val="FFFF00"/>
                        </w:rPr>
                        <w:t>Safe mobile kitchen</w:t>
                      </w:r>
                      <w:r w:rsidR="00552D80" w:rsidRPr="00552D80">
                        <w:rPr>
                          <w:color w:val="FFFF00"/>
                        </w:rPr>
                        <w:t xml:space="preserve">      </w:t>
                      </w:r>
                      <w:r w:rsidRPr="00552D80">
                        <w:rPr>
                          <w:color w:val="FFFF00"/>
                        </w:rPr>
                        <w:t>Client satisfaction</w:t>
                      </w:r>
                    </w:p>
                    <w:p w14:paraId="7ACCB029" w14:textId="704BF21F" w:rsidR="0017172D" w:rsidRPr="00552D80" w:rsidRDefault="0017172D" w:rsidP="0017172D">
                      <w:pPr>
                        <w:jc w:val="center"/>
                        <w:rPr>
                          <w:color w:val="FFFF00"/>
                        </w:rPr>
                      </w:pPr>
                      <w:r w:rsidRPr="00552D80">
                        <w:rPr>
                          <w:color w:val="FFFF00"/>
                        </w:rPr>
                        <w:t>Regulatory complianc</w:t>
                      </w:r>
                      <w:r w:rsidR="00552D80">
                        <w:rPr>
                          <w:color w:val="FFFF00"/>
                        </w:rPr>
                        <w:t>e</w:t>
                      </w:r>
                    </w:p>
                  </w:txbxContent>
                </v:textbox>
                <w10:wrap anchorx="margin"/>
              </v:shape>
            </w:pict>
          </mc:Fallback>
        </mc:AlternateContent>
      </w:r>
      <w:r w:rsidR="009D35C6" w:rsidRPr="00552D80">
        <w:rPr>
          <w:b/>
          <w:bCs/>
        </w:rPr>
        <w:t xml:space="preserve">    </w:t>
      </w:r>
      <w:r w:rsidR="00412B7C" w:rsidRPr="00552D80">
        <w:rPr>
          <w:b/>
          <w:bCs/>
        </w:rPr>
        <w:t xml:space="preserve">                                                         </w:t>
      </w:r>
      <w:r w:rsidR="0017172D" w:rsidRPr="00552D80">
        <w:rPr>
          <w:b/>
          <w:bCs/>
        </w:rPr>
        <w:t>TIME (12 -Weeks)</w:t>
      </w:r>
    </w:p>
    <w:p w14:paraId="4A7086DC" w14:textId="5C35DEF5" w:rsidR="00DF0DEF" w:rsidRPr="00E51B14" w:rsidRDefault="00E51B14" w:rsidP="00E51B14">
      <w:pPr>
        <w:spacing w:line="240" w:lineRule="auto"/>
      </w:pPr>
      <w:r>
        <w:rPr>
          <w:b/>
          <w:bCs/>
        </w:rPr>
        <w:t xml:space="preserve">                                   </w:t>
      </w:r>
      <w:r w:rsidR="00412B7C">
        <w:rPr>
          <w:b/>
          <w:bCs/>
        </w:rPr>
        <w:t xml:space="preserve">                                      </w:t>
      </w:r>
    </w:p>
    <w:p w14:paraId="0E85FB64" w14:textId="56717CD9" w:rsidR="00412B7C" w:rsidRDefault="00412B7C" w:rsidP="0086050F"/>
    <w:p w14:paraId="27AF82EC" w14:textId="77777777" w:rsidR="00412B7C" w:rsidRDefault="00412B7C" w:rsidP="0086050F"/>
    <w:p w14:paraId="1E502872" w14:textId="77777777" w:rsidR="0017172D" w:rsidRDefault="0017172D" w:rsidP="0086050F"/>
    <w:p w14:paraId="570E056E" w14:textId="5B396F6D" w:rsidR="00412B7C" w:rsidRPr="00552D80" w:rsidRDefault="00412B7C" w:rsidP="0086050F">
      <w:pPr>
        <w:rPr>
          <w:b/>
          <w:bCs/>
        </w:rPr>
      </w:pPr>
      <w:r w:rsidRPr="00552D80">
        <w:rPr>
          <w:b/>
          <w:bCs/>
        </w:rPr>
        <w:t xml:space="preserve">SCOPE (Mobile kitchen </w:t>
      </w:r>
      <w:r w:rsidR="0017172D" w:rsidRPr="00552D80">
        <w:rPr>
          <w:b/>
          <w:bCs/>
        </w:rPr>
        <w:t>refurbishment)</w:t>
      </w:r>
      <w:r w:rsidRPr="00552D80">
        <w:rPr>
          <w:b/>
          <w:bCs/>
        </w:rPr>
        <w:t xml:space="preserve">                                                                         COST</w:t>
      </w:r>
      <w:r w:rsidR="0017172D" w:rsidRPr="00552D80">
        <w:rPr>
          <w:b/>
          <w:bCs/>
        </w:rPr>
        <w:t>(Budget)</w:t>
      </w:r>
    </w:p>
    <w:p w14:paraId="577EADFB" w14:textId="29234DE8" w:rsidR="000B27F6" w:rsidRDefault="000B27F6" w:rsidP="000B27F6">
      <w:pPr>
        <w:pStyle w:val="Heading1"/>
        <w:rPr>
          <w:b/>
          <w:bCs/>
        </w:rPr>
      </w:pPr>
      <w:bookmarkStart w:id="14" w:name="_Toc234371731"/>
      <w:r w:rsidRPr="000B27F6">
        <w:rPr>
          <w:b/>
          <w:bCs/>
        </w:rPr>
        <w:t>2.2 Application of Project Management Tools</w:t>
      </w:r>
      <w:bookmarkEnd w:id="14"/>
    </w:p>
    <w:p w14:paraId="30B27DD8" w14:textId="298EE5EA" w:rsidR="00AE035F" w:rsidRPr="00AE035F" w:rsidRDefault="00AE035F" w:rsidP="00AE035F">
      <w:pPr>
        <w:pStyle w:val="Heading1"/>
        <w:rPr>
          <w:b/>
          <w:bCs/>
          <w:sz w:val="28"/>
          <w:szCs w:val="28"/>
        </w:rPr>
      </w:pPr>
      <w:bookmarkStart w:id="15" w:name="_Toc234371732"/>
      <w:bookmarkStart w:id="16" w:name="_Hlk234357442"/>
      <w:r w:rsidRPr="00AE035F">
        <w:rPr>
          <w:b/>
          <w:bCs/>
          <w:sz w:val="28"/>
          <w:szCs w:val="28"/>
        </w:rPr>
        <w:t>2.2.1 Application of the Tools</w:t>
      </w:r>
      <w:bookmarkEnd w:id="15"/>
    </w:p>
    <w:bookmarkEnd w:id="16"/>
    <w:p w14:paraId="6E466C5E" w14:textId="63E42D5E" w:rsidR="00A67DB4" w:rsidRDefault="00A67DB4" w:rsidP="00A67DB4">
      <w:r w:rsidRPr="009B5002">
        <w:rPr>
          <w:b/>
          <w:bCs/>
          <w:sz w:val="28"/>
          <w:szCs w:val="28"/>
        </w:rPr>
        <w:t>Different</w:t>
      </w:r>
      <w:r w:rsidRPr="009B5002">
        <w:rPr>
          <w:sz w:val="28"/>
          <w:szCs w:val="28"/>
        </w:rPr>
        <w:t xml:space="preserve"> </w:t>
      </w:r>
      <w:r>
        <w:t>project management tools supported the refurbishment project in various ways and addressed particular issues that occurred throughout the conversion of the horse trailer into a mobile kitchen. Collectively, they enhanced planning and coordination but were only as effective as those responsible for implementing them</w:t>
      </w:r>
    </w:p>
    <w:p w14:paraId="0B80E488" w14:textId="0973DF26" w:rsidR="00A67DB4" w:rsidRDefault="00A67DB4" w:rsidP="00A67DB4">
      <w:r>
        <w:t>Scope management was utilised to determine the project at the start and helped the team focus on delivering a complete mobile kitchen capable of functioning correctly in the agreed timeframe of 12 weeks. The tool became more beneficial when further repairs were noticed during the inspection phase. Scope ensured work was completed regarding safe operation, legal requirements</w:t>
      </w:r>
      <w:r w:rsidR="00FC0FE2">
        <w:t>,</w:t>
      </w:r>
      <w:r>
        <w:t xml:space="preserve"> and client requirements. This process also highlighted that refurbishment projects can benefit from flexible scope management, as not all problems can be found during the planning phase (Project Management Institute (PMI), 2021).</w:t>
      </w:r>
    </w:p>
    <w:p w14:paraId="5E8A5A55" w14:textId="6ACBF8EA" w:rsidR="00A67DB4" w:rsidRDefault="00A67DB4" w:rsidP="00A67DB4">
      <w:r>
        <w:t>Stakeholder analysis aided decision-making throughout the project by ensuring Cardiff Council received all of the required updates while suppliers and contractors were informed to prevent any delays that could be avoided. Better communication allowed for collaboration and more rapid responses to any arising issues. However, as the project progressed, stakeholders changed their expectations. The communication plan should have been updated to reflect these changes, which illustrates that stakeholder management is an iterative process, not a one-time task (Bourne, 2016; Olander, 2007).</w:t>
      </w:r>
    </w:p>
    <w:p w14:paraId="1D8C29A8" w14:textId="77777777" w:rsidR="00A67DB4" w:rsidRDefault="00A67DB4" w:rsidP="0007684F"/>
    <w:p w14:paraId="3BEACA93" w14:textId="3CA33ECB" w:rsidR="00285322" w:rsidRPr="00285322" w:rsidRDefault="00285322" w:rsidP="0007684F">
      <w:pPr>
        <w:rPr>
          <w:color w:val="215E99" w:themeColor="text2" w:themeTint="BF"/>
          <w:sz w:val="18"/>
          <w:szCs w:val="18"/>
        </w:rPr>
      </w:pPr>
      <w:r>
        <w:rPr>
          <w:noProof/>
        </w:rPr>
        <w:drawing>
          <wp:anchor distT="0" distB="0" distL="114300" distR="114300" simplePos="0" relativeHeight="251661312" behindDoc="0" locked="0" layoutInCell="1" allowOverlap="1" wp14:anchorId="4044EFE4" wp14:editId="387FDE02">
            <wp:simplePos x="0" y="0"/>
            <wp:positionH relativeFrom="margin">
              <wp:align>center</wp:align>
            </wp:positionH>
            <wp:positionV relativeFrom="paragraph">
              <wp:posOffset>425450</wp:posOffset>
            </wp:positionV>
            <wp:extent cx="6089650" cy="7543800"/>
            <wp:effectExtent l="0" t="0" r="635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9650" cy="7543800"/>
                    </a:xfrm>
                    <a:prstGeom prst="rect">
                      <a:avLst/>
                    </a:prstGeom>
                    <a:noFill/>
                  </pic:spPr>
                </pic:pic>
              </a:graphicData>
            </a:graphic>
          </wp:anchor>
        </w:drawing>
      </w:r>
    </w:p>
    <w:p w14:paraId="7D71A68E" w14:textId="16B8621B" w:rsidR="00B9470D" w:rsidRPr="00552D80" w:rsidRDefault="00285322" w:rsidP="0007684F">
      <w:pPr>
        <w:rPr>
          <w:b/>
          <w:bCs/>
          <w:color w:val="0F4761" w:themeColor="accent1" w:themeShade="BF"/>
          <w:sz w:val="18"/>
          <w:szCs w:val="18"/>
        </w:rPr>
      </w:pPr>
      <w:r w:rsidRPr="00552D80">
        <w:rPr>
          <w:b/>
          <w:bCs/>
          <w:color w:val="0F4761" w:themeColor="accent1" w:themeShade="BF"/>
          <w:sz w:val="18"/>
          <w:szCs w:val="18"/>
        </w:rPr>
        <w:t xml:space="preserve">Figure </w:t>
      </w:r>
      <w:r w:rsidR="00552D80">
        <w:rPr>
          <w:b/>
          <w:bCs/>
          <w:color w:val="0F4761" w:themeColor="accent1" w:themeShade="BF"/>
          <w:sz w:val="18"/>
          <w:szCs w:val="18"/>
        </w:rPr>
        <w:t>2</w:t>
      </w:r>
      <w:r w:rsidR="00B9470D" w:rsidRPr="00552D80">
        <w:rPr>
          <w:b/>
          <w:bCs/>
          <w:color w:val="0F4761" w:themeColor="accent1" w:themeShade="BF"/>
          <w:sz w:val="18"/>
          <w:szCs w:val="18"/>
        </w:rPr>
        <w:t>. illustrates the Work Breakdown Structure used to divide the refurbishment project into manageable work packages.</w:t>
      </w:r>
    </w:p>
    <w:p w14:paraId="787E4F76" w14:textId="77777777" w:rsidR="007B175C" w:rsidRPr="007B175C" w:rsidRDefault="007B175C" w:rsidP="007B175C"/>
    <w:p w14:paraId="2E605B84" w14:textId="44A35610" w:rsidR="00AE035F" w:rsidRDefault="00AE035F" w:rsidP="00AE035F">
      <w:pPr>
        <w:pStyle w:val="Heading1"/>
        <w:rPr>
          <w:b/>
          <w:bCs/>
          <w:sz w:val="28"/>
          <w:szCs w:val="28"/>
        </w:rPr>
      </w:pPr>
      <w:bookmarkStart w:id="17" w:name="_Toc234371733"/>
      <w:bookmarkStart w:id="18" w:name="_Hlk234365494"/>
      <w:r w:rsidRPr="00AE035F">
        <w:rPr>
          <w:b/>
          <w:bCs/>
          <w:sz w:val="28"/>
          <w:szCs w:val="28"/>
        </w:rPr>
        <w:t>2.2.2 Implementation and Benefits</w:t>
      </w:r>
      <w:bookmarkEnd w:id="17"/>
    </w:p>
    <w:p w14:paraId="78211C1F" w14:textId="1AA2DFF2" w:rsidR="009671FF" w:rsidRDefault="009671FF" w:rsidP="009671FF">
      <w:r w:rsidRPr="009671FF">
        <w:rPr>
          <w:b/>
          <w:bCs/>
          <w:sz w:val="28"/>
          <w:szCs w:val="28"/>
        </w:rPr>
        <w:t>The</w:t>
      </w:r>
      <w:r>
        <w:t xml:space="preserve"> use of both the WBS and Gantt Chart complemented each other when completing the refurbishment project. WBS broke down the project into manageable work packages, whereas Gantt Chart was used to monitor against the timeline of 12-weeks and identify any delays. Moving other activities while waiting for catering equipment helped limit downtime as much as possible. From this project it can be seen that schedules are only effective when they are monitored and updated with the progress that is actually being made (Burke, 2023; Maylor, 2024).</w:t>
      </w:r>
    </w:p>
    <w:p w14:paraId="49297376" w14:textId="2940B6F1" w:rsidR="009671FF" w:rsidRPr="009671FF" w:rsidRDefault="009671FF" w:rsidP="009671FF">
      <w:r>
        <w:t>While all tools used for project management helped complete the refurbishment, not all were as useful throughout the project. The importance of each tool became clearer when unexpected events occurred that caused plans and decisions to be altered.</w:t>
      </w:r>
    </w:p>
    <w:p w14:paraId="18B78EFD" w14:textId="54F53808" w:rsidR="00C037B6" w:rsidRPr="00B9470D" w:rsidRDefault="00C037B6" w:rsidP="00C037B6">
      <w:pPr>
        <w:rPr>
          <w:b/>
          <w:bCs/>
          <w:color w:val="215E99" w:themeColor="text2" w:themeTint="BF"/>
          <w:sz w:val="20"/>
          <w:szCs w:val="20"/>
        </w:rPr>
      </w:pPr>
      <w:r w:rsidRPr="00B9470D">
        <w:rPr>
          <w:b/>
          <w:bCs/>
          <w:color w:val="215E99" w:themeColor="text2" w:themeTint="BF"/>
          <w:sz w:val="20"/>
          <w:szCs w:val="20"/>
        </w:rPr>
        <w:t>Gantt Chart in Use:</w:t>
      </w:r>
    </w:p>
    <w:p w14:paraId="0F354422" w14:textId="4E9FE2A0" w:rsidR="00C037B6" w:rsidRPr="00E968E4" w:rsidRDefault="00C037B6" w:rsidP="00E20EE2">
      <w:pPr>
        <w:rPr>
          <w:sz w:val="18"/>
          <w:szCs w:val="18"/>
        </w:rPr>
      </w:pPr>
      <w:r>
        <w:rPr>
          <w:noProof/>
        </w:rPr>
        <w:drawing>
          <wp:inline distT="0" distB="0" distL="0" distR="0" wp14:anchorId="1408C19F" wp14:editId="278A9FD8">
            <wp:extent cx="5359400" cy="382270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0718" cy="3823640"/>
                    </a:xfrm>
                    <a:prstGeom prst="rect">
                      <a:avLst/>
                    </a:prstGeom>
                    <a:noFill/>
                  </pic:spPr>
                </pic:pic>
              </a:graphicData>
            </a:graphic>
          </wp:inline>
        </w:drawing>
      </w:r>
      <w:r w:rsidRPr="00C037B6">
        <w:rPr>
          <w:sz w:val="18"/>
          <w:szCs w:val="18"/>
        </w:rPr>
        <w:t xml:space="preserve"> </w:t>
      </w:r>
      <w:r w:rsidR="00285322">
        <w:rPr>
          <w:sz w:val="18"/>
          <w:szCs w:val="18"/>
        </w:rPr>
        <w:t xml:space="preserve">  </w:t>
      </w:r>
      <w:r w:rsidR="00285322" w:rsidRPr="00285322">
        <w:rPr>
          <w:b/>
          <w:bCs/>
          <w:color w:val="215E99" w:themeColor="text2" w:themeTint="BF"/>
          <w:sz w:val="18"/>
          <w:szCs w:val="18"/>
        </w:rPr>
        <w:t xml:space="preserve">Figure </w:t>
      </w:r>
      <w:r w:rsidR="00552D80">
        <w:rPr>
          <w:b/>
          <w:bCs/>
          <w:color w:val="215E99" w:themeColor="text2" w:themeTint="BF"/>
          <w:sz w:val="18"/>
          <w:szCs w:val="18"/>
        </w:rPr>
        <w:t>3</w:t>
      </w:r>
      <w:r w:rsidR="00285322" w:rsidRPr="00285322">
        <w:rPr>
          <w:b/>
          <w:bCs/>
          <w:color w:val="215E99" w:themeColor="text2" w:themeTint="BF"/>
          <w:sz w:val="18"/>
          <w:szCs w:val="18"/>
        </w:rPr>
        <w:t>.</w:t>
      </w:r>
      <w:r w:rsidR="00B9470D" w:rsidRPr="00B9470D">
        <w:rPr>
          <w:b/>
          <w:bCs/>
          <w:color w:val="215E99" w:themeColor="text2" w:themeTint="BF"/>
          <w:sz w:val="18"/>
          <w:szCs w:val="18"/>
        </w:rPr>
        <w:t xml:space="preserve"> shows the project schedule and the planned sequence of activities over the 12-week refurbishment period.</w:t>
      </w:r>
      <w:r w:rsidR="00285322" w:rsidRPr="00285322">
        <w:rPr>
          <w:b/>
          <w:bCs/>
          <w:color w:val="215E99" w:themeColor="text2" w:themeTint="BF"/>
          <w:sz w:val="18"/>
          <w:szCs w:val="18"/>
        </w:rPr>
        <w:t xml:space="preserve"> </w:t>
      </w:r>
    </w:p>
    <w:p w14:paraId="43B2531D" w14:textId="77777777" w:rsidR="00E328E1" w:rsidRDefault="00AE035F" w:rsidP="00E328E1">
      <w:pPr>
        <w:pStyle w:val="Heading1"/>
        <w:rPr>
          <w:b/>
          <w:bCs/>
          <w:sz w:val="28"/>
          <w:szCs w:val="28"/>
        </w:rPr>
      </w:pPr>
      <w:bookmarkStart w:id="19" w:name="_Toc234371734"/>
      <w:bookmarkStart w:id="20" w:name="_Hlk234358440"/>
      <w:bookmarkEnd w:id="18"/>
      <w:r w:rsidRPr="00AE035F">
        <w:rPr>
          <w:b/>
          <w:bCs/>
          <w:sz w:val="28"/>
          <w:szCs w:val="28"/>
        </w:rPr>
        <w:t>2.2.3 Challenges and Limitation</w:t>
      </w:r>
      <w:bookmarkEnd w:id="19"/>
    </w:p>
    <w:p w14:paraId="47ABC350" w14:textId="77777777" w:rsidR="00E328E1" w:rsidRDefault="00E328E1" w:rsidP="00E328E1">
      <w:r>
        <w:rPr>
          <w:noProof/>
        </w:rPr>
        <w:drawing>
          <wp:anchor distT="0" distB="0" distL="114300" distR="114300" simplePos="0" relativeHeight="251663360" behindDoc="0" locked="0" layoutInCell="1" allowOverlap="1" wp14:anchorId="5EA22282" wp14:editId="401EF232">
            <wp:simplePos x="0" y="0"/>
            <wp:positionH relativeFrom="margin">
              <wp:posOffset>114300</wp:posOffset>
            </wp:positionH>
            <wp:positionV relativeFrom="paragraph">
              <wp:posOffset>4812030</wp:posOffset>
            </wp:positionV>
            <wp:extent cx="5372100" cy="336105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2100" cy="3361055"/>
                    </a:xfrm>
                    <a:prstGeom prst="rect">
                      <a:avLst/>
                    </a:prstGeom>
                    <a:noFill/>
                  </pic:spPr>
                </pic:pic>
              </a:graphicData>
            </a:graphic>
            <wp14:sizeRelH relativeFrom="margin">
              <wp14:pctWidth>0</wp14:pctWidth>
            </wp14:sizeRelH>
            <wp14:sizeRelV relativeFrom="margin">
              <wp14:pctHeight>0</wp14:pctHeight>
            </wp14:sizeRelV>
          </wp:anchor>
        </w:drawing>
      </w:r>
      <w:r w:rsidR="00944ED7" w:rsidRPr="00B9470D">
        <w:rPr>
          <w:b/>
          <w:bCs/>
          <w:sz w:val="28"/>
          <w:szCs w:val="28"/>
        </w:rPr>
        <w:t>The</w:t>
      </w:r>
      <w:r w:rsidR="00944ED7" w:rsidRPr="00944ED7">
        <w:t xml:space="preserve"> quality of the second-hand horse trailer presented one of the largest challenges of the project. Although it had been checked prior to refurbishment work starting, further rust was found throughout the project, impacting both timings and resource allocations. Activities were shuffled around to reduce delays as much as possible and meet the agreed date of handover. From this, it can be determined that project schedules should not be static and should instead be adjusted to align with actual progress (Maylor, 20 24). Effective communications also aided implementation. Continuous engagement with Cardiff Council helped keep refurbishment work aligned with the client</w:t>
      </w:r>
      <w:r w:rsidR="00944ED7" w:rsidRPr="00944ED7">
        <w:rPr>
          <w:rFonts w:hint="cs"/>
        </w:rPr>
        <w:t>’</w:t>
      </w:r>
      <w:r w:rsidR="00944ED7" w:rsidRPr="00944ED7">
        <w:t>s needs, while maintaining contact with suppliers allowed the project team to shuffle activities when there were delays in catering equipment. Although including contingency time minimized delays, communication was not able to prevent all external obstacles, demonstrating that there are limits to stakeholder management (Bourne, 2016; Olander, 2007</w:t>
      </w:r>
      <w:r w:rsidR="008451A7" w:rsidRPr="00944ED7">
        <w:t>). Finally</w:t>
      </w:r>
      <w:r w:rsidR="00944ED7" w:rsidRPr="00944ED7">
        <w:t>, risk planning proved useful during project delivery. Identified risks such as structural damage, cost overruns, and food hygiene legislation were monitored throughout the project timeline. Contingency plans allowed for rapid response if issues occurred. However, hidden defects proved that risk management should be continuous, not just during the planning phase (Hillson, 2002).</w:t>
      </w:r>
      <w:r w:rsidRPr="00E328E1">
        <w:t xml:space="preserve"> </w:t>
      </w:r>
    </w:p>
    <w:p w14:paraId="3DAB9BC9" w14:textId="31B01D97" w:rsidR="00E328E1" w:rsidRPr="00552D80" w:rsidRDefault="00E328E1" w:rsidP="00E328E1">
      <w:pPr>
        <w:rPr>
          <w:b/>
          <w:bCs/>
          <w:color w:val="215E99" w:themeColor="text2" w:themeTint="BF"/>
          <w:sz w:val="18"/>
          <w:szCs w:val="18"/>
        </w:rPr>
      </w:pPr>
      <w:r w:rsidRPr="00552D80">
        <w:rPr>
          <w:b/>
          <w:bCs/>
          <w:color w:val="215E99" w:themeColor="text2" w:themeTint="BF"/>
          <w:sz w:val="18"/>
          <w:szCs w:val="18"/>
        </w:rPr>
        <w:t>Table 1. Project Risk Register</w:t>
      </w:r>
    </w:p>
    <w:p w14:paraId="03977268" w14:textId="6E88DB68" w:rsidR="00AE035F" w:rsidRDefault="00AE035F" w:rsidP="00AE035F">
      <w:pPr>
        <w:pStyle w:val="Heading1"/>
        <w:rPr>
          <w:b/>
          <w:bCs/>
          <w:sz w:val="28"/>
          <w:szCs w:val="28"/>
        </w:rPr>
      </w:pPr>
      <w:bookmarkStart w:id="21" w:name="_Toc234371735"/>
      <w:bookmarkStart w:id="22" w:name="_Hlk234364962"/>
      <w:bookmarkEnd w:id="20"/>
      <w:r w:rsidRPr="00AE035F">
        <w:rPr>
          <w:b/>
          <w:bCs/>
          <w:sz w:val="28"/>
          <w:szCs w:val="28"/>
        </w:rPr>
        <w:t>2.2.4 Evaluation of Tool Effectiveness</w:t>
      </w:r>
      <w:bookmarkEnd w:id="21"/>
    </w:p>
    <w:p w14:paraId="22330681" w14:textId="75C0B734" w:rsidR="008D4515" w:rsidRDefault="008D4515" w:rsidP="008D4515">
      <w:r w:rsidRPr="008D4515">
        <w:rPr>
          <w:b/>
          <w:bCs/>
          <w:sz w:val="28"/>
          <w:szCs w:val="28"/>
        </w:rPr>
        <w:t>To</w:t>
      </w:r>
      <w:r w:rsidRPr="008D4515">
        <w:t xml:space="preserve"> conclude, all tools aided the mobile kitchen refurbishment project. However, some had more impact than others did. The Work Breakdown Structure and Gantt Chart were found to be most supportive because they allowed activities to be organised and schedules to be altered when needed. Stakeholder analysis allowed better decision-making by constantly keeping Cardiff Council involved, and risk management allowed the team to better react when something could go wrong by preparing in advance. In combination, using multiple tools allowed for greater flexibility throughout the project, allowing for success despite changes (Kerzner, 2022; Project Management Institute (PMI), 2021).</w:t>
      </w:r>
    </w:p>
    <w:p w14:paraId="7D414EDB" w14:textId="189C5D7C" w:rsidR="00E328E1" w:rsidRPr="008D4515" w:rsidRDefault="00E328E1" w:rsidP="008D4515">
      <w:r>
        <w:rPr>
          <w:noProof/>
        </w:rPr>
        <w:drawing>
          <wp:inline distT="0" distB="0" distL="0" distR="0" wp14:anchorId="41BB0A08" wp14:editId="56CD5887">
            <wp:extent cx="4902200" cy="290895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4911701" cy="2914588"/>
                    </a:xfrm>
                    <a:prstGeom prst="rect">
                      <a:avLst/>
                    </a:prstGeom>
                  </pic:spPr>
                </pic:pic>
              </a:graphicData>
            </a:graphic>
          </wp:inline>
        </w:drawing>
      </w:r>
    </w:p>
    <w:bookmarkEnd w:id="22"/>
    <w:p w14:paraId="45CC44C6" w14:textId="53B6DDD9" w:rsidR="008451A7" w:rsidRPr="00552D80" w:rsidRDefault="008451A7" w:rsidP="00241778">
      <w:pPr>
        <w:rPr>
          <w:b/>
          <w:bCs/>
        </w:rPr>
      </w:pPr>
      <w:r w:rsidRPr="00552D80">
        <w:rPr>
          <w:b/>
          <w:bCs/>
          <w:color w:val="215E99" w:themeColor="text2" w:themeTint="BF"/>
          <w:sz w:val="18"/>
          <w:szCs w:val="18"/>
        </w:rPr>
        <w:t xml:space="preserve">Figure </w:t>
      </w:r>
      <w:r w:rsidR="00552D80" w:rsidRPr="00552D80">
        <w:rPr>
          <w:b/>
          <w:bCs/>
          <w:color w:val="215E99" w:themeColor="text2" w:themeTint="BF"/>
          <w:sz w:val="18"/>
          <w:szCs w:val="18"/>
        </w:rPr>
        <w:t>4</w:t>
      </w:r>
      <w:r w:rsidRPr="00552D80">
        <w:rPr>
          <w:b/>
          <w:bCs/>
          <w:color w:val="215E99" w:themeColor="text2" w:themeTint="BF"/>
          <w:sz w:val="18"/>
          <w:szCs w:val="18"/>
        </w:rPr>
        <w:t>. Relationship Between the WBS and Gantt Chart</w:t>
      </w:r>
    </w:p>
    <w:p w14:paraId="2D1A8AFC" w14:textId="6B100CF9" w:rsidR="00B21BA0" w:rsidRDefault="00B21BA0" w:rsidP="00B21BA0">
      <w:pPr>
        <w:pStyle w:val="Heading1"/>
        <w:rPr>
          <w:b/>
          <w:bCs/>
        </w:rPr>
      </w:pPr>
      <w:bookmarkStart w:id="23" w:name="_Toc234371736"/>
      <w:r w:rsidRPr="00B21BA0">
        <w:rPr>
          <w:b/>
          <w:bCs/>
        </w:rPr>
        <w:t>2.3 Communication and Stakeholder Management</w:t>
      </w:r>
      <w:bookmarkEnd w:id="23"/>
    </w:p>
    <w:p w14:paraId="277A81E2" w14:textId="1790CB93" w:rsidR="00A1434C" w:rsidRDefault="00A1434C" w:rsidP="00A1434C">
      <w:r w:rsidRPr="00552D80">
        <w:rPr>
          <w:b/>
          <w:bCs/>
          <w:sz w:val="28"/>
          <w:szCs w:val="28"/>
        </w:rPr>
        <w:t>Stakeholders</w:t>
      </w:r>
      <w:r>
        <w:t xml:space="preserve"> who needed to be managed throughout the refurbishment included those who could impact project progress and outcome. The stakeholder with the most authority was Cardiff Council because they would be approving the finished trailer. Updates regarding progress allowed the team to lock in design decisions which avoided rework and assisted with decision-making (Bourne, 2016).</w:t>
      </w:r>
    </w:p>
    <w:p w14:paraId="35BA3A4E" w14:textId="20F2B9DC" w:rsidR="00A1434C" w:rsidRDefault="00A1434C" w:rsidP="00A1434C">
      <w:r>
        <w:t>Suppliers and specialist contractors required coordination, as late deliveries had the potential to impact the timescale of 12 weeks for completion. Although there were late deliveries of some of the catering equipment, communicating with the team allowed us to rearrange certain activities to minimise delay as much as possible (Lock, 2020).</w:t>
      </w:r>
    </w:p>
    <w:p w14:paraId="445B8B04" w14:textId="77777777" w:rsidR="00A1434C" w:rsidRDefault="00A1434C" w:rsidP="00A1434C">
      <w:r>
        <w:t>Regular meetings were held throughout the project, which allowed for tasks to be rearranged between team members when unforeseen structural corrosion was discovered. Having the ability to adapt our work but still hit project goals and finish on time demonstrates how communication plans should be adaptable (Project Management Institute (PMI), 2021).</w:t>
      </w:r>
    </w:p>
    <w:p w14:paraId="61CEAB9C" w14:textId="1FCDB20C" w:rsidR="00A1434C" w:rsidRPr="00A1434C" w:rsidRDefault="00A1434C" w:rsidP="00A1434C">
      <w:r>
        <w:t>In general, communication allowed for stronger stakeholder relationships and successful project delivery. Providing more frequent updates to Cardiff Council and receiving updates from suppliers earlier could have avoided queries about design decisions and allowed for more accurate scheduling. These experiences have taught me to adapt communication methods throughout a project instead of having a set communication plan. (PMI, 2021).</w:t>
      </w:r>
    </w:p>
    <w:p w14:paraId="16998A31" w14:textId="501058DF" w:rsidR="007F4B5D" w:rsidRPr="00212F73" w:rsidRDefault="004C2DF1" w:rsidP="004C2DF1">
      <w:pPr>
        <w:rPr>
          <w:b/>
          <w:bCs/>
          <w:sz w:val="28"/>
          <w:szCs w:val="28"/>
        </w:rPr>
      </w:pPr>
      <w:r w:rsidRPr="00212F73">
        <w:rPr>
          <w:b/>
          <w:bCs/>
          <w:sz w:val="28"/>
          <w:szCs w:val="28"/>
        </w:rPr>
        <w:t>Power</w:t>
      </w:r>
      <w:r w:rsidRPr="00212F73">
        <w:rPr>
          <w:rFonts w:hint="cs"/>
          <w:b/>
          <w:bCs/>
          <w:sz w:val="28"/>
          <w:szCs w:val="28"/>
        </w:rPr>
        <w:t>–</w:t>
      </w:r>
      <w:r w:rsidRPr="00212F73">
        <w:rPr>
          <w:b/>
          <w:bCs/>
          <w:sz w:val="28"/>
          <w:szCs w:val="28"/>
        </w:rPr>
        <w:t>Interest Grid</w:t>
      </w:r>
    </w:p>
    <w:p w14:paraId="16236A38" w14:textId="055E1AB3" w:rsidR="0086050F" w:rsidRPr="00E328E1" w:rsidRDefault="002C40BD" w:rsidP="0086050F">
      <w:r>
        <w:rPr>
          <w:noProof/>
        </w:rPr>
        <w:drawing>
          <wp:inline distT="0" distB="0" distL="0" distR="0" wp14:anchorId="6DB0FB37" wp14:editId="4BA52738">
            <wp:extent cx="4359910" cy="3427343"/>
            <wp:effectExtent l="0" t="38100" r="0" b="78105"/>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E328E1">
        <w:rPr>
          <w:b/>
          <w:bCs/>
          <w:color w:val="215E99" w:themeColor="text2" w:themeTint="BF"/>
          <w:sz w:val="18"/>
          <w:szCs w:val="18"/>
        </w:rPr>
        <w:t xml:space="preserve">                                                       </w:t>
      </w:r>
      <w:r w:rsidR="008451A7" w:rsidRPr="008451A7">
        <w:rPr>
          <w:b/>
          <w:bCs/>
          <w:color w:val="215E99" w:themeColor="text2" w:themeTint="BF"/>
          <w:sz w:val="18"/>
          <w:szCs w:val="18"/>
        </w:rPr>
        <w:t xml:space="preserve">Figure </w:t>
      </w:r>
      <w:r w:rsidR="00552D80">
        <w:rPr>
          <w:b/>
          <w:bCs/>
          <w:color w:val="215E99" w:themeColor="text2" w:themeTint="BF"/>
          <w:sz w:val="18"/>
          <w:szCs w:val="18"/>
        </w:rPr>
        <w:t>5</w:t>
      </w:r>
      <w:r w:rsidR="008451A7" w:rsidRPr="008451A7">
        <w:rPr>
          <w:b/>
          <w:bCs/>
          <w:color w:val="215E99" w:themeColor="text2" w:themeTint="BF"/>
          <w:sz w:val="18"/>
          <w:szCs w:val="18"/>
        </w:rPr>
        <w:t>.</w:t>
      </w:r>
      <w:r w:rsidR="007F4B5D" w:rsidRPr="008451A7">
        <w:rPr>
          <w:b/>
          <w:bCs/>
          <w:color w:val="215E99" w:themeColor="text2" w:themeTint="BF"/>
          <w:sz w:val="18"/>
          <w:szCs w:val="18"/>
        </w:rPr>
        <w:t xml:space="preserve"> </w:t>
      </w:r>
      <w:r w:rsidR="00B9470D" w:rsidRPr="00B9470D">
        <w:rPr>
          <w:b/>
          <w:bCs/>
          <w:color w:val="215E99" w:themeColor="text2" w:themeTint="BF"/>
          <w:sz w:val="18"/>
          <w:szCs w:val="18"/>
        </w:rPr>
        <w:t>identifies the project</w:t>
      </w:r>
      <w:r w:rsidR="00B9470D" w:rsidRPr="00B9470D">
        <w:rPr>
          <w:rFonts w:hint="cs"/>
          <w:b/>
          <w:bCs/>
          <w:color w:val="215E99" w:themeColor="text2" w:themeTint="BF"/>
          <w:sz w:val="18"/>
          <w:szCs w:val="18"/>
        </w:rPr>
        <w:t>’</w:t>
      </w:r>
      <w:r w:rsidR="00B9470D" w:rsidRPr="00B9470D">
        <w:rPr>
          <w:b/>
          <w:bCs/>
          <w:color w:val="215E99" w:themeColor="text2" w:themeTint="BF"/>
          <w:sz w:val="18"/>
          <w:szCs w:val="18"/>
        </w:rPr>
        <w:t>s key stakeholders based on their level of power and interest.</w:t>
      </w:r>
      <w:r w:rsidR="007F4B5D" w:rsidRPr="008451A7">
        <w:rPr>
          <w:b/>
          <w:bCs/>
          <w:color w:val="215E99" w:themeColor="text2" w:themeTint="BF"/>
          <w:sz w:val="18"/>
          <w:szCs w:val="18"/>
        </w:rPr>
        <w:t xml:space="preserve">                                 </w:t>
      </w:r>
      <w:bookmarkStart w:id="24" w:name="_Hlk234366548"/>
    </w:p>
    <w:p w14:paraId="0F8D5AFC" w14:textId="18FA00CB" w:rsidR="002D28C5" w:rsidRDefault="002D28C5" w:rsidP="00DA6444">
      <w:pPr>
        <w:pStyle w:val="Heading1"/>
        <w:spacing w:before="100" w:after="100"/>
        <w:rPr>
          <w:b/>
          <w:bCs/>
        </w:rPr>
      </w:pPr>
      <w:bookmarkStart w:id="25" w:name="_Toc234371737"/>
      <w:r w:rsidRPr="002D28C5">
        <w:rPr>
          <w:b/>
          <w:bCs/>
        </w:rPr>
        <w:t>3. Conclusion</w:t>
      </w:r>
      <w:bookmarkEnd w:id="25"/>
    </w:p>
    <w:p w14:paraId="262E3757" w14:textId="46C1BDBD" w:rsidR="0086050F" w:rsidRPr="0086050F" w:rsidRDefault="00E328E1" w:rsidP="0086050F">
      <w:r w:rsidRPr="00552D80">
        <w:rPr>
          <w:b/>
          <w:bCs/>
          <w:noProof/>
          <w:sz w:val="28"/>
          <w:szCs w:val="28"/>
        </w:rPr>
        <w:drawing>
          <wp:anchor distT="0" distB="0" distL="114300" distR="114300" simplePos="0" relativeHeight="251660288" behindDoc="0" locked="0" layoutInCell="1" allowOverlap="1" wp14:anchorId="2DEB146A" wp14:editId="26076305">
            <wp:simplePos x="0" y="0"/>
            <wp:positionH relativeFrom="margin">
              <wp:posOffset>-179070</wp:posOffset>
            </wp:positionH>
            <wp:positionV relativeFrom="paragraph">
              <wp:posOffset>2592070</wp:posOffset>
            </wp:positionV>
            <wp:extent cx="6042660" cy="485648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42660" cy="4856480"/>
                    </a:xfrm>
                    <a:prstGeom prst="rect">
                      <a:avLst/>
                    </a:prstGeom>
                    <a:noFill/>
                  </pic:spPr>
                </pic:pic>
              </a:graphicData>
            </a:graphic>
            <wp14:sizeRelH relativeFrom="margin">
              <wp14:pctWidth>0</wp14:pctWidth>
            </wp14:sizeRelH>
            <wp14:sizeRelV relativeFrom="margin">
              <wp14:pctHeight>0</wp14:pctHeight>
            </wp14:sizeRelV>
          </wp:anchor>
        </w:drawing>
      </w:r>
      <w:r w:rsidR="0086050F" w:rsidRPr="00552D80">
        <w:rPr>
          <w:b/>
          <w:bCs/>
          <w:sz w:val="28"/>
          <w:szCs w:val="28"/>
        </w:rPr>
        <w:t>Completing</w:t>
      </w:r>
      <w:r w:rsidR="0086050F" w:rsidRPr="0086050F">
        <w:t xml:space="preserve"> this refurbishment project has highlighted how good planning and decision-making practices can help reach a project goal. The programme experienced some unforeseen problems, but ongoing monitoring allowed the team to adjust speedily while keeping focused on goals. Employing multiple project management tools enhanced team coordination, aided stakeholder management, and facilitated issue resolution throughout project development. Although no single tool allowed full control over the project, using them collectively proved an effective way to manage the programme. Successful completion of the project allowed us to deliver a working mobile kitchen that fit Cardiff Council's operational needs.</w:t>
      </w:r>
    </w:p>
    <w:p w14:paraId="35ED9E74" w14:textId="008699AA" w:rsidR="00DA6444" w:rsidRPr="00212F73" w:rsidRDefault="00DA6444" w:rsidP="00212F73"/>
    <w:p w14:paraId="3E52B199" w14:textId="77777777" w:rsidR="00E328E1" w:rsidRPr="00E328E1" w:rsidRDefault="00E328E1" w:rsidP="00E328E1">
      <w:bookmarkStart w:id="26" w:name="_Hlk234365940"/>
      <w:bookmarkEnd w:id="24"/>
    </w:p>
    <w:p w14:paraId="53635EA4" w14:textId="5D37C7E0" w:rsidR="00157A96" w:rsidRDefault="00157A96" w:rsidP="00157A96">
      <w:pPr>
        <w:pStyle w:val="Heading1"/>
        <w:rPr>
          <w:b/>
          <w:bCs/>
        </w:rPr>
      </w:pPr>
      <w:bookmarkStart w:id="27" w:name="_Toc234371738"/>
      <w:r w:rsidRPr="00157A96">
        <w:rPr>
          <w:b/>
          <w:bCs/>
        </w:rPr>
        <w:t>4. Future Improvements</w:t>
      </w:r>
      <w:bookmarkEnd w:id="27"/>
    </w:p>
    <w:p w14:paraId="7CFCF236" w14:textId="3D4464C2" w:rsidR="009D3CD9" w:rsidRPr="009D3CD9" w:rsidRDefault="009D3CD9" w:rsidP="009D3CD9">
      <w:r w:rsidRPr="009D3CD9">
        <w:rPr>
          <w:b/>
          <w:bCs/>
          <w:sz w:val="28"/>
          <w:szCs w:val="28"/>
        </w:rPr>
        <w:t>Lessons</w:t>
      </w:r>
      <w:r w:rsidRPr="009D3CD9">
        <w:t xml:space="preserve"> learnt that could be implemented on other refurbishment projects include conducting more thorough structural surveys prior to refurbishment work commencing. This would allow better project planning, as repairs could be identified earlier and more accurate costs and timings could have been planned. Communication plans should be revisited throughout the project as stakeholder requirements can change. Finally, allowing more time for deliveries of equipment and unforeseen technical problems as well as more regular communication with Cardiff Council would aid quicker decision-making and reduce the amount of rework required. Utilising these lessons learnt would allow better project planning, allow for more contingency during project implementation and help to ensure projects are delivered to the required quality, time</w:t>
      </w:r>
      <w:r w:rsidR="00FC0FE2">
        <w:t>,</w:t>
      </w:r>
      <w:r w:rsidRPr="009D3CD9">
        <w:t xml:space="preserve"> and budget (Project Management Institute (PMI), 2021; Kerzner, 2022).</w:t>
      </w:r>
    </w:p>
    <w:bookmarkEnd w:id="26"/>
    <w:p w14:paraId="4DB548F9" w14:textId="50BF139E" w:rsidR="00A43A7A" w:rsidRPr="00183AD3" w:rsidRDefault="00A43A7A" w:rsidP="00D320CC">
      <w:pPr>
        <w:rPr>
          <w:sz w:val="28"/>
          <w:szCs w:val="28"/>
        </w:rPr>
      </w:pPr>
      <w:r w:rsidRPr="00183AD3">
        <w:rPr>
          <w:b/>
          <w:bCs/>
          <w:sz w:val="28"/>
          <w:szCs w:val="28"/>
        </w:rPr>
        <w:t>Strengths and Weaknesses</w:t>
      </w:r>
    </w:p>
    <w:p w14:paraId="57D60785" w14:textId="31ACFE32" w:rsidR="00A43A7A" w:rsidRDefault="00A43A7A" w:rsidP="00D320CC">
      <w:r>
        <w:rPr>
          <w:noProof/>
        </w:rPr>
        <w:drawing>
          <wp:inline distT="0" distB="0" distL="0" distR="0" wp14:anchorId="0A045AD0" wp14:editId="63AA7ECA">
            <wp:extent cx="4619374" cy="325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39520" cy="3271757"/>
                    </a:xfrm>
                    <a:prstGeom prst="rect">
                      <a:avLst/>
                    </a:prstGeom>
                    <a:noFill/>
                  </pic:spPr>
                </pic:pic>
              </a:graphicData>
            </a:graphic>
          </wp:inline>
        </w:drawing>
      </w:r>
    </w:p>
    <w:p w14:paraId="4BB379DD" w14:textId="209772F8" w:rsidR="007F15D5" w:rsidRPr="008451A7" w:rsidRDefault="008451A7" w:rsidP="00D320CC">
      <w:pPr>
        <w:rPr>
          <w:b/>
          <w:bCs/>
          <w:color w:val="215E99" w:themeColor="text2" w:themeTint="BF"/>
          <w:sz w:val="18"/>
          <w:szCs w:val="18"/>
        </w:rPr>
      </w:pPr>
      <w:r w:rsidRPr="008451A7">
        <w:rPr>
          <w:b/>
          <w:bCs/>
          <w:color w:val="215E99" w:themeColor="text2" w:themeTint="BF"/>
          <w:sz w:val="18"/>
          <w:szCs w:val="18"/>
        </w:rPr>
        <w:t xml:space="preserve">Figure </w:t>
      </w:r>
      <w:r w:rsidR="00552D80">
        <w:rPr>
          <w:b/>
          <w:bCs/>
          <w:color w:val="215E99" w:themeColor="text2" w:themeTint="BF"/>
          <w:sz w:val="18"/>
          <w:szCs w:val="18"/>
        </w:rPr>
        <w:t>6</w:t>
      </w:r>
      <w:r w:rsidRPr="008451A7">
        <w:rPr>
          <w:b/>
          <w:bCs/>
          <w:color w:val="215E99" w:themeColor="text2" w:themeTint="BF"/>
          <w:sz w:val="18"/>
          <w:szCs w:val="18"/>
        </w:rPr>
        <w:t>. Project Team Strengths and Weaknesses</w:t>
      </w:r>
    </w:p>
    <w:p w14:paraId="14CCFF50" w14:textId="613C6F73" w:rsidR="00E328E1" w:rsidRDefault="00E328E1" w:rsidP="00797D60">
      <w:pPr>
        <w:pStyle w:val="Heading1"/>
        <w:rPr>
          <w:b/>
          <w:bCs/>
        </w:rPr>
      </w:pPr>
    </w:p>
    <w:p w14:paraId="685AB9B4" w14:textId="77777777" w:rsidR="00E328E1" w:rsidRPr="00E328E1" w:rsidRDefault="00E328E1" w:rsidP="00E328E1"/>
    <w:p w14:paraId="644E185C" w14:textId="5733DBA3" w:rsidR="00DE3352" w:rsidRPr="00797D60" w:rsidRDefault="00797D60" w:rsidP="00797D60">
      <w:pPr>
        <w:pStyle w:val="Heading1"/>
        <w:rPr>
          <w:b/>
          <w:bCs/>
        </w:rPr>
      </w:pPr>
      <w:bookmarkStart w:id="28" w:name="_Toc234371739"/>
      <w:r w:rsidRPr="00797D60">
        <w:rPr>
          <w:b/>
          <w:bCs/>
        </w:rPr>
        <w:t>References</w:t>
      </w:r>
      <w:bookmarkEnd w:id="28"/>
    </w:p>
    <w:p w14:paraId="7746EA78" w14:textId="43E48477" w:rsidR="00797D60" w:rsidRPr="00797D60" w:rsidRDefault="00797D60" w:rsidP="00A854EE">
      <w:pPr>
        <w:jc w:val="left"/>
        <w:rPr>
          <w:i/>
          <w:iCs/>
        </w:rPr>
      </w:pPr>
      <w:r w:rsidRPr="00797D60">
        <w:rPr>
          <w:i/>
          <w:iCs/>
        </w:rPr>
        <w:t xml:space="preserve">Atkinson, R. (1999) </w:t>
      </w:r>
      <w:r w:rsidRPr="00797D60">
        <w:rPr>
          <w:rFonts w:hint="cs"/>
          <w:i/>
          <w:iCs/>
        </w:rPr>
        <w:t>‘</w:t>
      </w:r>
      <w:r w:rsidRPr="00797D60">
        <w:rPr>
          <w:i/>
          <w:iCs/>
        </w:rPr>
        <w:t>Project management: Cost, time and quality, two best guesses and a phenomenon, it is time to accept other success criteria</w:t>
      </w:r>
      <w:r w:rsidRPr="00797D60">
        <w:rPr>
          <w:rFonts w:hint="cs"/>
          <w:i/>
          <w:iCs/>
        </w:rPr>
        <w:t>’</w:t>
      </w:r>
      <w:r w:rsidRPr="00797D60">
        <w:rPr>
          <w:i/>
          <w:iCs/>
        </w:rPr>
        <w:t>, International Journal of Project Management, 17(6), pp.337</w:t>
      </w:r>
      <w:r w:rsidRPr="00797D60">
        <w:rPr>
          <w:rFonts w:hint="cs"/>
          <w:i/>
          <w:iCs/>
        </w:rPr>
        <w:t>–</w:t>
      </w:r>
      <w:r w:rsidRPr="00797D60">
        <w:rPr>
          <w:i/>
          <w:iCs/>
        </w:rPr>
        <w:t>342</w:t>
      </w:r>
      <w:r w:rsidR="00A854EE">
        <w:rPr>
          <w:i/>
          <w:iCs/>
        </w:rPr>
        <w:t xml:space="preserve"> </w:t>
      </w:r>
      <w:r w:rsidRPr="00797D60">
        <w:rPr>
          <w:i/>
          <w:iCs/>
        </w:rPr>
        <w:t>.</w:t>
      </w:r>
      <w:r w:rsidR="00C66CA0">
        <w:rPr>
          <w:i/>
          <w:iCs/>
        </w:rPr>
        <w:t xml:space="preserve"> </w:t>
      </w:r>
      <w:r w:rsidRPr="00797D60">
        <w:rPr>
          <w:i/>
          <w:iCs/>
        </w:rPr>
        <w:t>Available</w:t>
      </w:r>
      <w:r w:rsidR="00A854EE">
        <w:rPr>
          <w:i/>
          <w:iCs/>
        </w:rPr>
        <w:t xml:space="preserve"> </w:t>
      </w:r>
      <w:r w:rsidRPr="00797D60">
        <w:rPr>
          <w:i/>
          <w:iCs/>
        </w:rPr>
        <w:t>at:</w:t>
      </w:r>
      <w:r w:rsidR="00A854EE">
        <w:rPr>
          <w:i/>
          <w:iCs/>
        </w:rPr>
        <w:t xml:space="preserve"> </w:t>
      </w:r>
      <w:hyperlink r:id="rId24" w:history="1">
        <w:r w:rsidR="00A854EE" w:rsidRPr="00175D8E">
          <w:rPr>
            <w:rStyle w:val="Hyperlink"/>
            <w:i/>
            <w:iCs/>
          </w:rPr>
          <w:t>https://doi.org/10.1016/S0263-7863(98)00069-6/</w:t>
        </w:r>
      </w:hyperlink>
      <w:r w:rsidR="00A854EE">
        <w:rPr>
          <w:i/>
          <w:iCs/>
        </w:rPr>
        <w:t xml:space="preserve"> </w:t>
      </w:r>
      <w:r w:rsidRPr="00797D60">
        <w:rPr>
          <w:i/>
          <w:iCs/>
        </w:rPr>
        <w:t xml:space="preserve"> (Accessed: 6 July 2026).</w:t>
      </w:r>
    </w:p>
    <w:p w14:paraId="27ADDAF5" w14:textId="683F79FF" w:rsidR="00797D60" w:rsidRPr="00797D60" w:rsidRDefault="00797D60" w:rsidP="00797D60">
      <w:pPr>
        <w:rPr>
          <w:i/>
          <w:iCs/>
        </w:rPr>
      </w:pPr>
      <w:r w:rsidRPr="00797D60">
        <w:rPr>
          <w:i/>
          <w:iCs/>
        </w:rPr>
        <w:t>Bourne, L. (2016) Stakeholder Relationship Management: A Maturity Model for Organisational Implementation. London: Routledge.</w:t>
      </w:r>
    </w:p>
    <w:p w14:paraId="7BADD06B" w14:textId="520DAAF1" w:rsidR="00797D60" w:rsidRPr="00797D60" w:rsidRDefault="00797D60" w:rsidP="00797D60">
      <w:pPr>
        <w:rPr>
          <w:i/>
          <w:iCs/>
        </w:rPr>
      </w:pPr>
      <w:r w:rsidRPr="00797D60">
        <w:rPr>
          <w:i/>
          <w:iCs/>
        </w:rPr>
        <w:t xml:space="preserve">Burke, R. (2023) Project Management: Planning and Control Techniques. 7th </w:t>
      </w:r>
      <w:proofErr w:type="spellStart"/>
      <w:r w:rsidRPr="00797D60">
        <w:rPr>
          <w:i/>
          <w:iCs/>
        </w:rPr>
        <w:t>edn</w:t>
      </w:r>
      <w:proofErr w:type="spellEnd"/>
      <w:r w:rsidRPr="00797D60">
        <w:rPr>
          <w:i/>
          <w:iCs/>
        </w:rPr>
        <w:t>. Chichester: Wiley.</w:t>
      </w:r>
    </w:p>
    <w:p w14:paraId="60BE0DE0" w14:textId="05A1E418" w:rsidR="00797D60" w:rsidRPr="00797D60" w:rsidRDefault="00797D60" w:rsidP="00797D60">
      <w:pPr>
        <w:rPr>
          <w:i/>
          <w:iCs/>
        </w:rPr>
      </w:pPr>
      <w:r w:rsidRPr="00797D60">
        <w:rPr>
          <w:i/>
          <w:iCs/>
        </w:rPr>
        <w:t xml:space="preserve">Hillson, D. (2002) </w:t>
      </w:r>
      <w:r w:rsidRPr="00797D60">
        <w:rPr>
          <w:rFonts w:hint="cs"/>
          <w:i/>
          <w:iCs/>
        </w:rPr>
        <w:t>‘</w:t>
      </w:r>
      <w:r w:rsidRPr="00797D60">
        <w:rPr>
          <w:i/>
          <w:iCs/>
        </w:rPr>
        <w:t>Extending the risk process to manage opportunities</w:t>
      </w:r>
      <w:r w:rsidRPr="00797D60">
        <w:rPr>
          <w:rFonts w:hint="cs"/>
          <w:i/>
          <w:iCs/>
        </w:rPr>
        <w:t>’</w:t>
      </w:r>
      <w:r w:rsidRPr="00797D60">
        <w:rPr>
          <w:i/>
          <w:iCs/>
        </w:rPr>
        <w:t>, International Journal of Project Management, 20(3), pp. 235</w:t>
      </w:r>
      <w:r w:rsidRPr="00797D60">
        <w:rPr>
          <w:rFonts w:hint="cs"/>
          <w:i/>
          <w:iCs/>
        </w:rPr>
        <w:t>–</w:t>
      </w:r>
      <w:r w:rsidRPr="00797D60">
        <w:rPr>
          <w:i/>
          <w:iCs/>
        </w:rPr>
        <w:t xml:space="preserve">240. Available at: </w:t>
      </w:r>
      <w:hyperlink r:id="rId25" w:history="1">
        <w:r w:rsidR="00A854EE" w:rsidRPr="00175D8E">
          <w:rPr>
            <w:rStyle w:val="Hyperlink"/>
            <w:i/>
            <w:iCs/>
          </w:rPr>
          <w:t>https://doi.org/10.1016/S0263-7863(01)00074-6/</w:t>
        </w:r>
      </w:hyperlink>
      <w:r w:rsidR="00A854EE">
        <w:rPr>
          <w:i/>
          <w:iCs/>
        </w:rPr>
        <w:t xml:space="preserve"> </w:t>
      </w:r>
      <w:r w:rsidRPr="00797D60">
        <w:rPr>
          <w:i/>
          <w:iCs/>
        </w:rPr>
        <w:t xml:space="preserve"> (Accessed: </w:t>
      </w:r>
      <w:r w:rsidR="00606FF9">
        <w:rPr>
          <w:i/>
          <w:iCs/>
        </w:rPr>
        <w:t>1</w:t>
      </w:r>
      <w:r w:rsidRPr="00797D60">
        <w:rPr>
          <w:i/>
          <w:iCs/>
        </w:rPr>
        <w:t xml:space="preserve"> July 2026).</w:t>
      </w:r>
    </w:p>
    <w:p w14:paraId="5691048E" w14:textId="18E32D7A" w:rsidR="00797D60" w:rsidRPr="00797D60" w:rsidRDefault="00797D60" w:rsidP="00797D60">
      <w:pPr>
        <w:rPr>
          <w:i/>
          <w:iCs/>
        </w:rPr>
      </w:pPr>
      <w:r w:rsidRPr="00797D60">
        <w:rPr>
          <w:i/>
          <w:iCs/>
        </w:rPr>
        <w:t xml:space="preserve">Kerzner, H. (2022) Project Management: A Systems Approach to Planning, Scheduling and Controlling. 13th </w:t>
      </w:r>
      <w:proofErr w:type="spellStart"/>
      <w:r w:rsidRPr="00797D60">
        <w:rPr>
          <w:i/>
          <w:iCs/>
        </w:rPr>
        <w:t>edn</w:t>
      </w:r>
      <w:proofErr w:type="spellEnd"/>
      <w:r w:rsidRPr="00797D60">
        <w:rPr>
          <w:i/>
          <w:iCs/>
        </w:rPr>
        <w:t>. Hoboken, NJ: Wiley.</w:t>
      </w:r>
    </w:p>
    <w:p w14:paraId="0F7D9721" w14:textId="2BC4CABF" w:rsidR="00797D60" w:rsidRPr="00797D60" w:rsidRDefault="00797D60" w:rsidP="00797D60">
      <w:pPr>
        <w:rPr>
          <w:i/>
          <w:iCs/>
        </w:rPr>
      </w:pPr>
      <w:r w:rsidRPr="00797D60">
        <w:rPr>
          <w:i/>
          <w:iCs/>
        </w:rPr>
        <w:t xml:space="preserve">Lock, D. (2020) Project Management. 11th </w:t>
      </w:r>
      <w:proofErr w:type="spellStart"/>
      <w:r w:rsidRPr="00797D60">
        <w:rPr>
          <w:i/>
          <w:iCs/>
        </w:rPr>
        <w:t>edn</w:t>
      </w:r>
      <w:proofErr w:type="spellEnd"/>
      <w:r w:rsidRPr="00797D60">
        <w:rPr>
          <w:i/>
          <w:iCs/>
        </w:rPr>
        <w:t>. London: Routledge.</w:t>
      </w:r>
    </w:p>
    <w:p w14:paraId="1B135BC8" w14:textId="4534B1E2" w:rsidR="00797D60" w:rsidRPr="00797D60" w:rsidRDefault="00797D60" w:rsidP="00797D60">
      <w:pPr>
        <w:rPr>
          <w:i/>
          <w:iCs/>
        </w:rPr>
      </w:pPr>
      <w:r w:rsidRPr="00797D60">
        <w:rPr>
          <w:i/>
          <w:iCs/>
        </w:rPr>
        <w:t xml:space="preserve">Maylor, H. (2024) Project Management. 6th </w:t>
      </w:r>
      <w:proofErr w:type="spellStart"/>
      <w:r w:rsidRPr="00797D60">
        <w:rPr>
          <w:i/>
          <w:iCs/>
        </w:rPr>
        <w:t>edn</w:t>
      </w:r>
      <w:proofErr w:type="spellEnd"/>
      <w:r w:rsidRPr="00797D60">
        <w:rPr>
          <w:i/>
          <w:iCs/>
        </w:rPr>
        <w:t>. Harlow: Pearson.</w:t>
      </w:r>
    </w:p>
    <w:p w14:paraId="09B3E713" w14:textId="77777777" w:rsidR="008B14FD" w:rsidRDefault="00797D60" w:rsidP="00797D60">
      <w:pPr>
        <w:rPr>
          <w:i/>
          <w:iCs/>
        </w:rPr>
      </w:pPr>
      <w:r w:rsidRPr="00797D60">
        <w:rPr>
          <w:i/>
          <w:iCs/>
        </w:rPr>
        <w:t xml:space="preserve">Olander, S. (2007) </w:t>
      </w:r>
      <w:r w:rsidRPr="00797D60">
        <w:rPr>
          <w:rFonts w:hint="cs"/>
          <w:i/>
          <w:iCs/>
        </w:rPr>
        <w:t>‘</w:t>
      </w:r>
      <w:r w:rsidRPr="00797D60">
        <w:rPr>
          <w:i/>
          <w:iCs/>
        </w:rPr>
        <w:t>Stakeholder impact analysis in construction project management</w:t>
      </w:r>
      <w:r w:rsidRPr="00797D60">
        <w:rPr>
          <w:rFonts w:hint="cs"/>
          <w:i/>
          <w:iCs/>
        </w:rPr>
        <w:t>’</w:t>
      </w:r>
      <w:r w:rsidRPr="00797D60">
        <w:rPr>
          <w:i/>
          <w:iCs/>
        </w:rPr>
        <w:t>, Construction Management and Economics, 25(3), pp. 277</w:t>
      </w:r>
      <w:r w:rsidRPr="00797D60">
        <w:rPr>
          <w:rFonts w:hint="cs"/>
          <w:i/>
          <w:iCs/>
        </w:rPr>
        <w:t>–</w:t>
      </w:r>
      <w:r w:rsidRPr="00797D60">
        <w:rPr>
          <w:i/>
          <w:iCs/>
        </w:rPr>
        <w:t xml:space="preserve">287. Available at: </w:t>
      </w:r>
    </w:p>
    <w:p w14:paraId="44CBA75D" w14:textId="5E22017C" w:rsidR="00797D60" w:rsidRPr="00797D60" w:rsidRDefault="00D92E06" w:rsidP="00797D60">
      <w:pPr>
        <w:rPr>
          <w:i/>
          <w:iCs/>
        </w:rPr>
      </w:pPr>
      <w:hyperlink r:id="rId26" w:history="1">
        <w:r w:rsidR="006E62FA" w:rsidRPr="00175D8E">
          <w:rPr>
            <w:rStyle w:val="Hyperlink"/>
            <w:i/>
            <w:iCs/>
          </w:rPr>
          <w:t>https://www.tandfonline.com/doi/full/10.1080/01446190600879125/</w:t>
        </w:r>
      </w:hyperlink>
      <w:r w:rsidR="006E62FA">
        <w:rPr>
          <w:i/>
          <w:iCs/>
        </w:rPr>
        <w:t xml:space="preserve"> </w:t>
      </w:r>
      <w:r w:rsidR="00A854EE">
        <w:rPr>
          <w:i/>
          <w:iCs/>
        </w:rPr>
        <w:t xml:space="preserve"> </w:t>
      </w:r>
      <w:r w:rsidR="008B14FD">
        <w:rPr>
          <w:i/>
          <w:iCs/>
        </w:rPr>
        <w:t>(</w:t>
      </w:r>
      <w:r w:rsidR="00797D60" w:rsidRPr="00797D60">
        <w:rPr>
          <w:i/>
          <w:iCs/>
        </w:rPr>
        <w:t xml:space="preserve">Accessed:  </w:t>
      </w:r>
      <w:r w:rsidR="00606FF9">
        <w:rPr>
          <w:i/>
          <w:iCs/>
        </w:rPr>
        <w:t>28 Jun</w:t>
      </w:r>
      <w:r w:rsidR="00797D60" w:rsidRPr="00797D60">
        <w:rPr>
          <w:i/>
          <w:iCs/>
        </w:rPr>
        <w:t xml:space="preserve"> 2026).</w:t>
      </w:r>
    </w:p>
    <w:p w14:paraId="4BE41C2C" w14:textId="0DAE5795" w:rsidR="008B14FD" w:rsidRPr="008B14FD" w:rsidRDefault="00797D60" w:rsidP="008B14FD">
      <w:pPr>
        <w:rPr>
          <w:i/>
          <w:iCs/>
        </w:rPr>
      </w:pPr>
      <w:r w:rsidRPr="00797D60">
        <w:rPr>
          <w:i/>
          <w:iCs/>
        </w:rPr>
        <w:t>Project Management Institute (PMI) (2021) A Guide to the Project Management Body of Knowledge (PMBOK</w:t>
      </w:r>
      <w:r w:rsidRPr="00797D60">
        <w:rPr>
          <w:rFonts w:hint="cs"/>
          <w:i/>
          <w:iCs/>
        </w:rPr>
        <w:t>®</w:t>
      </w:r>
      <w:r w:rsidRPr="00797D60">
        <w:rPr>
          <w:i/>
          <w:iCs/>
        </w:rPr>
        <w:t xml:space="preserve"> Guide</w:t>
      </w:r>
      <w:r w:rsidR="00032F89" w:rsidRPr="00797D60">
        <w:rPr>
          <w:i/>
          <w:iCs/>
        </w:rPr>
        <w:t>)</w:t>
      </w:r>
      <w:r w:rsidR="00032F89">
        <w:rPr>
          <w:i/>
          <w:iCs/>
        </w:rPr>
        <w:t xml:space="preserve">, </w:t>
      </w:r>
      <w:r w:rsidR="00032F89" w:rsidRPr="00797D60">
        <w:rPr>
          <w:i/>
          <w:iCs/>
        </w:rPr>
        <w:t>7</w:t>
      </w:r>
      <w:r w:rsidRPr="00797D60">
        <w:rPr>
          <w:i/>
          <w:iCs/>
        </w:rPr>
        <w:t xml:space="preserve">th </w:t>
      </w:r>
      <w:proofErr w:type="spellStart"/>
      <w:r w:rsidRPr="00797D60">
        <w:rPr>
          <w:i/>
          <w:iCs/>
        </w:rPr>
        <w:t>edn</w:t>
      </w:r>
      <w:proofErr w:type="spellEnd"/>
      <w:r w:rsidRPr="00797D60">
        <w:rPr>
          <w:i/>
          <w:iCs/>
        </w:rPr>
        <w:t>. Newtown Square, PA: Project Management Institute.</w:t>
      </w:r>
    </w:p>
    <w:p w14:paraId="3561297E" w14:textId="02B45C78" w:rsidR="008B14FD" w:rsidRPr="008B14FD" w:rsidRDefault="008B14FD" w:rsidP="003260E2">
      <w:pPr>
        <w:jc w:val="left"/>
        <w:rPr>
          <w:i/>
          <w:iCs/>
        </w:rPr>
      </w:pPr>
      <w:r w:rsidRPr="008B14FD">
        <w:rPr>
          <w:i/>
          <w:iCs/>
        </w:rPr>
        <w:t xml:space="preserve">Atkinson, R. (1999) </w:t>
      </w:r>
      <w:r w:rsidRPr="008B14FD">
        <w:rPr>
          <w:rFonts w:hint="cs"/>
          <w:i/>
          <w:iCs/>
        </w:rPr>
        <w:t>‘</w:t>
      </w:r>
      <w:r w:rsidRPr="008B14FD">
        <w:rPr>
          <w:i/>
          <w:iCs/>
        </w:rPr>
        <w:t>Project management: cost, time and quality, two best guesses and a phenomenon: it’s time to accept other success criteria</w:t>
      </w:r>
      <w:r w:rsidRPr="008B14FD">
        <w:rPr>
          <w:rFonts w:hint="cs"/>
          <w:i/>
          <w:iCs/>
        </w:rPr>
        <w:t>’</w:t>
      </w:r>
      <w:r w:rsidRPr="008B14FD">
        <w:rPr>
          <w:i/>
          <w:iCs/>
        </w:rPr>
        <w:t>, International Journal of Project Management,17(6),pp.337</w:t>
      </w:r>
      <w:r w:rsidRPr="008B14FD">
        <w:rPr>
          <w:rFonts w:hint="cs"/>
          <w:i/>
          <w:iCs/>
        </w:rPr>
        <w:t>–</w:t>
      </w:r>
      <w:r w:rsidRPr="008B14FD">
        <w:rPr>
          <w:i/>
          <w:iCs/>
        </w:rPr>
        <w:t>342.</w:t>
      </w:r>
      <w:r w:rsidR="003260E2">
        <w:rPr>
          <w:i/>
          <w:iCs/>
        </w:rPr>
        <w:t xml:space="preserve">Available at: </w:t>
      </w:r>
      <w:hyperlink r:id="rId27" w:history="1">
        <w:r w:rsidR="003260E2" w:rsidRPr="00175D8E">
          <w:rPr>
            <w:rStyle w:val="Hyperlink"/>
            <w:i/>
            <w:iCs/>
          </w:rPr>
          <w:t>https://www.sciencedirect.com/science/article/abs/pii/S0263786398000696/</w:t>
        </w:r>
      </w:hyperlink>
      <w:r w:rsidR="003260E2">
        <w:rPr>
          <w:i/>
          <w:iCs/>
        </w:rPr>
        <w:t xml:space="preserve">  (Accessed: 1 Jun 2026)</w:t>
      </w:r>
    </w:p>
    <w:p w14:paraId="639FFF60" w14:textId="5B0ADFDC" w:rsidR="008B14FD" w:rsidRPr="008B14FD" w:rsidRDefault="008B14FD" w:rsidP="008B14FD">
      <w:pPr>
        <w:rPr>
          <w:i/>
          <w:iCs/>
        </w:rPr>
      </w:pPr>
      <w:r w:rsidRPr="008B14FD">
        <w:rPr>
          <w:i/>
          <w:iCs/>
        </w:rPr>
        <w:t>Gantt, H.L. (1919) Organizing for Work. New York: Harcourt, Brace and Howe.</w:t>
      </w:r>
    </w:p>
    <w:p w14:paraId="187839EA" w14:textId="0BCD2801" w:rsidR="008B14FD" w:rsidRPr="008B14FD" w:rsidRDefault="008B14FD" w:rsidP="008B14FD">
      <w:pPr>
        <w:rPr>
          <w:i/>
          <w:iCs/>
        </w:rPr>
      </w:pPr>
      <w:r w:rsidRPr="008B14FD">
        <w:rPr>
          <w:i/>
          <w:iCs/>
        </w:rPr>
        <w:t xml:space="preserve">Kerzner, H. (2022) Project Management: A Systems Approach to Planning, Scheduling and Controlling. 13th </w:t>
      </w:r>
      <w:proofErr w:type="spellStart"/>
      <w:r w:rsidRPr="008B14FD">
        <w:rPr>
          <w:i/>
          <w:iCs/>
        </w:rPr>
        <w:t>edn</w:t>
      </w:r>
      <w:proofErr w:type="spellEnd"/>
      <w:r w:rsidRPr="008B14FD">
        <w:rPr>
          <w:i/>
          <w:iCs/>
        </w:rPr>
        <w:t>. Hoboken, NJ: Wiley.</w:t>
      </w:r>
    </w:p>
    <w:p w14:paraId="11E31D88" w14:textId="2D764BC1" w:rsidR="008B14FD" w:rsidRPr="008B14FD" w:rsidRDefault="008B14FD" w:rsidP="008B14FD">
      <w:pPr>
        <w:rPr>
          <w:i/>
          <w:iCs/>
        </w:rPr>
      </w:pPr>
      <w:r w:rsidRPr="008B14FD">
        <w:rPr>
          <w:i/>
          <w:iCs/>
        </w:rPr>
        <w:t xml:space="preserve">Maylor, H. (2024) Project Management. 6th </w:t>
      </w:r>
      <w:proofErr w:type="spellStart"/>
      <w:r w:rsidRPr="008B14FD">
        <w:rPr>
          <w:i/>
          <w:iCs/>
        </w:rPr>
        <w:t>edn</w:t>
      </w:r>
      <w:proofErr w:type="spellEnd"/>
      <w:r w:rsidRPr="008B14FD">
        <w:rPr>
          <w:i/>
          <w:iCs/>
        </w:rPr>
        <w:t>. Harlow: Pearson.</w:t>
      </w:r>
    </w:p>
    <w:p w14:paraId="3CBA182F" w14:textId="0E9909B7" w:rsidR="008B14FD" w:rsidRPr="008B14FD" w:rsidRDefault="008B14FD" w:rsidP="008B14FD">
      <w:pPr>
        <w:rPr>
          <w:i/>
          <w:iCs/>
        </w:rPr>
      </w:pPr>
      <w:proofErr w:type="spellStart"/>
      <w:r w:rsidRPr="008B14FD">
        <w:rPr>
          <w:i/>
          <w:iCs/>
        </w:rPr>
        <w:t>Mendelow</w:t>
      </w:r>
      <w:proofErr w:type="spellEnd"/>
      <w:r w:rsidRPr="008B14FD">
        <w:rPr>
          <w:i/>
          <w:iCs/>
        </w:rPr>
        <w:t xml:space="preserve">, A.L. (1991) </w:t>
      </w:r>
      <w:r w:rsidRPr="008B14FD">
        <w:rPr>
          <w:rFonts w:hint="cs"/>
          <w:i/>
          <w:iCs/>
        </w:rPr>
        <w:t>‘</w:t>
      </w:r>
      <w:r w:rsidRPr="008B14FD">
        <w:rPr>
          <w:i/>
          <w:iCs/>
        </w:rPr>
        <w:t>Stakeholder mapping</w:t>
      </w:r>
      <w:r w:rsidRPr="008B14FD">
        <w:rPr>
          <w:rFonts w:hint="cs"/>
          <w:i/>
          <w:iCs/>
        </w:rPr>
        <w:t>’</w:t>
      </w:r>
      <w:r w:rsidRPr="008B14FD">
        <w:rPr>
          <w:i/>
          <w:iCs/>
        </w:rPr>
        <w:t>, in Proceedings of the 2nd International Conference on Information Systems. Cambridge, MA: Harvard University.</w:t>
      </w:r>
    </w:p>
    <w:p w14:paraId="479DEEC1" w14:textId="01435178" w:rsidR="008B14FD" w:rsidRDefault="008B14FD" w:rsidP="008B14FD">
      <w:pPr>
        <w:rPr>
          <w:i/>
          <w:iCs/>
        </w:rPr>
      </w:pPr>
      <w:r w:rsidRPr="008B14FD">
        <w:rPr>
          <w:i/>
          <w:iCs/>
        </w:rPr>
        <w:t>Project Management Institute (PMI) (2021) A Guide to the Project Management Body of Knowledge (PMBOK</w:t>
      </w:r>
      <w:r w:rsidRPr="008B14FD">
        <w:rPr>
          <w:rFonts w:hint="cs"/>
          <w:i/>
          <w:iCs/>
        </w:rPr>
        <w:t>®</w:t>
      </w:r>
      <w:r w:rsidRPr="008B14FD">
        <w:rPr>
          <w:i/>
          <w:iCs/>
        </w:rPr>
        <w:t xml:space="preserve"> Guide). 7th </w:t>
      </w:r>
      <w:proofErr w:type="spellStart"/>
      <w:r w:rsidRPr="008B14FD">
        <w:rPr>
          <w:i/>
          <w:iCs/>
        </w:rPr>
        <w:t>edn</w:t>
      </w:r>
      <w:proofErr w:type="spellEnd"/>
      <w:r w:rsidRPr="008B14FD">
        <w:rPr>
          <w:i/>
          <w:iCs/>
        </w:rPr>
        <w:t>. Newtown Square, PA: Project Management Institute.</w:t>
      </w:r>
    </w:p>
    <w:p w14:paraId="21B495A2" w14:textId="77777777" w:rsidR="00797D60" w:rsidRDefault="00797D60" w:rsidP="007F15D5">
      <w:pPr>
        <w:rPr>
          <w:i/>
          <w:iCs/>
        </w:rPr>
      </w:pPr>
    </w:p>
    <w:p w14:paraId="2897B94F" w14:textId="77777777" w:rsidR="00797D60" w:rsidRDefault="00797D60" w:rsidP="007F15D5">
      <w:pPr>
        <w:rPr>
          <w:b/>
          <w:bCs/>
          <w:i/>
          <w:iCs/>
          <w:sz w:val="36"/>
          <w:szCs w:val="36"/>
        </w:rPr>
      </w:pPr>
    </w:p>
    <w:sectPr w:rsidR="00797D60" w:rsidSect="001A772E">
      <w:pgSz w:w="11906" w:h="16838"/>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6B5"/>
    <w:rsid w:val="00032F89"/>
    <w:rsid w:val="00052CDB"/>
    <w:rsid w:val="0007684F"/>
    <w:rsid w:val="000A3C0F"/>
    <w:rsid w:val="000A5209"/>
    <w:rsid w:val="000B27F6"/>
    <w:rsid w:val="000B4CFA"/>
    <w:rsid w:val="000C33D8"/>
    <w:rsid w:val="000C3415"/>
    <w:rsid w:val="000D5098"/>
    <w:rsid w:val="000D52D4"/>
    <w:rsid w:val="000E5D6E"/>
    <w:rsid w:val="000F5C95"/>
    <w:rsid w:val="0013457F"/>
    <w:rsid w:val="00143D69"/>
    <w:rsid w:val="001542CC"/>
    <w:rsid w:val="00157A96"/>
    <w:rsid w:val="001712A3"/>
    <w:rsid w:val="0017172D"/>
    <w:rsid w:val="001823F1"/>
    <w:rsid w:val="00183AD3"/>
    <w:rsid w:val="001A772E"/>
    <w:rsid w:val="001B5BC0"/>
    <w:rsid w:val="001F5AE3"/>
    <w:rsid w:val="002126B5"/>
    <w:rsid w:val="00212F73"/>
    <w:rsid w:val="002144C0"/>
    <w:rsid w:val="002271EA"/>
    <w:rsid w:val="00241778"/>
    <w:rsid w:val="00251C62"/>
    <w:rsid w:val="00257C1D"/>
    <w:rsid w:val="002848E9"/>
    <w:rsid w:val="00285322"/>
    <w:rsid w:val="002C40BD"/>
    <w:rsid w:val="002D1F05"/>
    <w:rsid w:val="002D1F7D"/>
    <w:rsid w:val="002D28C5"/>
    <w:rsid w:val="002E401C"/>
    <w:rsid w:val="002F0701"/>
    <w:rsid w:val="002F43D4"/>
    <w:rsid w:val="00312C4E"/>
    <w:rsid w:val="003146A2"/>
    <w:rsid w:val="00320448"/>
    <w:rsid w:val="00322C84"/>
    <w:rsid w:val="003260E2"/>
    <w:rsid w:val="00326D1F"/>
    <w:rsid w:val="0034002C"/>
    <w:rsid w:val="00347103"/>
    <w:rsid w:val="00354B76"/>
    <w:rsid w:val="003A1BFC"/>
    <w:rsid w:val="003A2E02"/>
    <w:rsid w:val="003A3FF0"/>
    <w:rsid w:val="003D6BFE"/>
    <w:rsid w:val="003E3072"/>
    <w:rsid w:val="003F2F6A"/>
    <w:rsid w:val="003F6683"/>
    <w:rsid w:val="00412B7C"/>
    <w:rsid w:val="004137BE"/>
    <w:rsid w:val="00414E6B"/>
    <w:rsid w:val="00427882"/>
    <w:rsid w:val="004326B7"/>
    <w:rsid w:val="00434F1F"/>
    <w:rsid w:val="00435E3A"/>
    <w:rsid w:val="00455777"/>
    <w:rsid w:val="00456BFB"/>
    <w:rsid w:val="004A7406"/>
    <w:rsid w:val="004C2DF1"/>
    <w:rsid w:val="004D53C9"/>
    <w:rsid w:val="004F5D7B"/>
    <w:rsid w:val="00504775"/>
    <w:rsid w:val="00533112"/>
    <w:rsid w:val="005337B2"/>
    <w:rsid w:val="005366CC"/>
    <w:rsid w:val="00545D28"/>
    <w:rsid w:val="005473B5"/>
    <w:rsid w:val="0054775F"/>
    <w:rsid w:val="00552D80"/>
    <w:rsid w:val="005615AF"/>
    <w:rsid w:val="00582CB6"/>
    <w:rsid w:val="00584CE1"/>
    <w:rsid w:val="00593394"/>
    <w:rsid w:val="005A122A"/>
    <w:rsid w:val="005F180B"/>
    <w:rsid w:val="005F3EE0"/>
    <w:rsid w:val="006032DE"/>
    <w:rsid w:val="00603BB1"/>
    <w:rsid w:val="00606FF9"/>
    <w:rsid w:val="00633E38"/>
    <w:rsid w:val="00634EF9"/>
    <w:rsid w:val="006464BC"/>
    <w:rsid w:val="006931CC"/>
    <w:rsid w:val="006A77A7"/>
    <w:rsid w:val="006A7D76"/>
    <w:rsid w:val="006B02A7"/>
    <w:rsid w:val="006B05F1"/>
    <w:rsid w:val="006E1091"/>
    <w:rsid w:val="006E62FA"/>
    <w:rsid w:val="006E6854"/>
    <w:rsid w:val="006F1CF3"/>
    <w:rsid w:val="00700D55"/>
    <w:rsid w:val="00742EF9"/>
    <w:rsid w:val="00744550"/>
    <w:rsid w:val="007651B2"/>
    <w:rsid w:val="00767B9B"/>
    <w:rsid w:val="00797D60"/>
    <w:rsid w:val="007A3308"/>
    <w:rsid w:val="007B175C"/>
    <w:rsid w:val="007C4858"/>
    <w:rsid w:val="007D7100"/>
    <w:rsid w:val="007F03DE"/>
    <w:rsid w:val="007F15D5"/>
    <w:rsid w:val="007F4B5D"/>
    <w:rsid w:val="008208ED"/>
    <w:rsid w:val="008451A7"/>
    <w:rsid w:val="00850696"/>
    <w:rsid w:val="00852A12"/>
    <w:rsid w:val="0086050F"/>
    <w:rsid w:val="00861D3B"/>
    <w:rsid w:val="00864328"/>
    <w:rsid w:val="00880E31"/>
    <w:rsid w:val="0088127F"/>
    <w:rsid w:val="008917E3"/>
    <w:rsid w:val="008B00D5"/>
    <w:rsid w:val="008B14FD"/>
    <w:rsid w:val="008C4152"/>
    <w:rsid w:val="008D4515"/>
    <w:rsid w:val="00911487"/>
    <w:rsid w:val="00913EAF"/>
    <w:rsid w:val="00920A73"/>
    <w:rsid w:val="00935DE5"/>
    <w:rsid w:val="0093600B"/>
    <w:rsid w:val="00936B3D"/>
    <w:rsid w:val="00944ED7"/>
    <w:rsid w:val="00957C09"/>
    <w:rsid w:val="009671FF"/>
    <w:rsid w:val="00976A64"/>
    <w:rsid w:val="00982E12"/>
    <w:rsid w:val="0098344A"/>
    <w:rsid w:val="009A6036"/>
    <w:rsid w:val="009B5002"/>
    <w:rsid w:val="009C5496"/>
    <w:rsid w:val="009D1BA8"/>
    <w:rsid w:val="009D256F"/>
    <w:rsid w:val="009D35C6"/>
    <w:rsid w:val="009D3CD9"/>
    <w:rsid w:val="009F3CAC"/>
    <w:rsid w:val="00A140E8"/>
    <w:rsid w:val="00A1434C"/>
    <w:rsid w:val="00A353DA"/>
    <w:rsid w:val="00A37D03"/>
    <w:rsid w:val="00A43A7A"/>
    <w:rsid w:val="00A66010"/>
    <w:rsid w:val="00A67DB4"/>
    <w:rsid w:val="00A854EE"/>
    <w:rsid w:val="00A955A2"/>
    <w:rsid w:val="00AA3362"/>
    <w:rsid w:val="00AA56AC"/>
    <w:rsid w:val="00AD7071"/>
    <w:rsid w:val="00AD710B"/>
    <w:rsid w:val="00AE035F"/>
    <w:rsid w:val="00B21BA0"/>
    <w:rsid w:val="00B65748"/>
    <w:rsid w:val="00B83C16"/>
    <w:rsid w:val="00B86FF5"/>
    <w:rsid w:val="00B9470D"/>
    <w:rsid w:val="00BA2653"/>
    <w:rsid w:val="00BA735F"/>
    <w:rsid w:val="00BC1CBF"/>
    <w:rsid w:val="00BE6E54"/>
    <w:rsid w:val="00BE6FEB"/>
    <w:rsid w:val="00BF5FFE"/>
    <w:rsid w:val="00C037B6"/>
    <w:rsid w:val="00C07CA7"/>
    <w:rsid w:val="00C1279A"/>
    <w:rsid w:val="00C22020"/>
    <w:rsid w:val="00C46021"/>
    <w:rsid w:val="00C52D46"/>
    <w:rsid w:val="00C57ED4"/>
    <w:rsid w:val="00C63DE7"/>
    <w:rsid w:val="00C66CA0"/>
    <w:rsid w:val="00C834A4"/>
    <w:rsid w:val="00C86798"/>
    <w:rsid w:val="00CD539A"/>
    <w:rsid w:val="00CE5C1F"/>
    <w:rsid w:val="00CF740E"/>
    <w:rsid w:val="00D04C65"/>
    <w:rsid w:val="00D320CC"/>
    <w:rsid w:val="00D420B0"/>
    <w:rsid w:val="00D50B06"/>
    <w:rsid w:val="00D81461"/>
    <w:rsid w:val="00D92E06"/>
    <w:rsid w:val="00DA330C"/>
    <w:rsid w:val="00DA6444"/>
    <w:rsid w:val="00DB4AB1"/>
    <w:rsid w:val="00DC29D3"/>
    <w:rsid w:val="00DD75DA"/>
    <w:rsid w:val="00DE3352"/>
    <w:rsid w:val="00DF0DEF"/>
    <w:rsid w:val="00E1331D"/>
    <w:rsid w:val="00E1573F"/>
    <w:rsid w:val="00E20EE2"/>
    <w:rsid w:val="00E328E1"/>
    <w:rsid w:val="00E51B14"/>
    <w:rsid w:val="00E55A4A"/>
    <w:rsid w:val="00E67DB3"/>
    <w:rsid w:val="00E80192"/>
    <w:rsid w:val="00E9338B"/>
    <w:rsid w:val="00E968E4"/>
    <w:rsid w:val="00EA14DD"/>
    <w:rsid w:val="00EE7050"/>
    <w:rsid w:val="00EF3EDD"/>
    <w:rsid w:val="00EF7E83"/>
    <w:rsid w:val="00F032F7"/>
    <w:rsid w:val="00F10F25"/>
    <w:rsid w:val="00F20426"/>
    <w:rsid w:val="00F21910"/>
    <w:rsid w:val="00F23C8D"/>
    <w:rsid w:val="00F32769"/>
    <w:rsid w:val="00F42C64"/>
    <w:rsid w:val="00F42DF9"/>
    <w:rsid w:val="00F45674"/>
    <w:rsid w:val="00F46BD7"/>
    <w:rsid w:val="00F5441B"/>
    <w:rsid w:val="00F564F9"/>
    <w:rsid w:val="00F64A94"/>
    <w:rsid w:val="00F64F97"/>
    <w:rsid w:val="00F718C2"/>
    <w:rsid w:val="00F72B56"/>
    <w:rsid w:val="00F82952"/>
    <w:rsid w:val="00F92E9F"/>
    <w:rsid w:val="00FA0DB1"/>
    <w:rsid w:val="00FC0FE2"/>
    <w:rsid w:val="00FC15EB"/>
    <w:rsid w:val="00FC73EF"/>
    <w:rsid w:val="00FF5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48B39"/>
  <w15:chartTrackingRefBased/>
  <w15:docId w15:val="{971A3FD0-B80B-4533-8FA7-781DA5D8C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72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A73"/>
    <w:rPr>
      <w:color w:val="467886" w:themeColor="hyperlink"/>
      <w:u w:val="single"/>
    </w:rPr>
  </w:style>
  <w:style w:type="character" w:styleId="UnresolvedMention">
    <w:name w:val="Unresolved Mention"/>
    <w:basedOn w:val="DefaultParagraphFont"/>
    <w:uiPriority w:val="99"/>
    <w:semiHidden/>
    <w:unhideWhenUsed/>
    <w:rsid w:val="00920A73"/>
    <w:rPr>
      <w:color w:val="605E5C"/>
      <w:shd w:val="clear" w:color="auto" w:fill="E1DFDD"/>
    </w:rPr>
  </w:style>
  <w:style w:type="character" w:customStyle="1" w:styleId="Heading1Char">
    <w:name w:val="Heading 1 Char"/>
    <w:basedOn w:val="DefaultParagraphFont"/>
    <w:link w:val="Heading1"/>
    <w:uiPriority w:val="9"/>
    <w:rsid w:val="001A772E"/>
    <w:rPr>
      <w:rFonts w:asciiTheme="majorHAnsi" w:eastAsiaTheme="majorEastAsia" w:hAnsiTheme="majorHAnsi" w:cstheme="majorBidi"/>
      <w:color w:val="0F4761" w:themeColor="accent1" w:themeShade="BF"/>
      <w:sz w:val="32"/>
      <w:szCs w:val="32"/>
    </w:rPr>
  </w:style>
  <w:style w:type="character" w:styleId="CommentReference">
    <w:name w:val="annotation reference"/>
    <w:basedOn w:val="DefaultParagraphFont"/>
    <w:uiPriority w:val="99"/>
    <w:semiHidden/>
    <w:unhideWhenUsed/>
    <w:rsid w:val="009D256F"/>
    <w:rPr>
      <w:sz w:val="16"/>
      <w:szCs w:val="16"/>
    </w:rPr>
  </w:style>
  <w:style w:type="paragraph" w:styleId="CommentText">
    <w:name w:val="annotation text"/>
    <w:basedOn w:val="Normal"/>
    <w:link w:val="CommentTextChar"/>
    <w:uiPriority w:val="99"/>
    <w:semiHidden/>
    <w:unhideWhenUsed/>
    <w:rsid w:val="009D256F"/>
    <w:pPr>
      <w:spacing w:line="240" w:lineRule="auto"/>
    </w:pPr>
    <w:rPr>
      <w:sz w:val="20"/>
      <w:szCs w:val="20"/>
    </w:rPr>
  </w:style>
  <w:style w:type="character" w:customStyle="1" w:styleId="CommentTextChar">
    <w:name w:val="Comment Text Char"/>
    <w:basedOn w:val="DefaultParagraphFont"/>
    <w:link w:val="CommentText"/>
    <w:uiPriority w:val="99"/>
    <w:semiHidden/>
    <w:rsid w:val="009D256F"/>
    <w:rPr>
      <w:sz w:val="20"/>
      <w:szCs w:val="20"/>
    </w:rPr>
  </w:style>
  <w:style w:type="paragraph" w:styleId="CommentSubject">
    <w:name w:val="annotation subject"/>
    <w:basedOn w:val="CommentText"/>
    <w:next w:val="CommentText"/>
    <w:link w:val="CommentSubjectChar"/>
    <w:uiPriority w:val="99"/>
    <w:semiHidden/>
    <w:unhideWhenUsed/>
    <w:rsid w:val="009D256F"/>
    <w:rPr>
      <w:b/>
      <w:bCs/>
    </w:rPr>
  </w:style>
  <w:style w:type="character" w:customStyle="1" w:styleId="CommentSubjectChar">
    <w:name w:val="Comment Subject Char"/>
    <w:basedOn w:val="CommentTextChar"/>
    <w:link w:val="CommentSubject"/>
    <w:uiPriority w:val="99"/>
    <w:semiHidden/>
    <w:rsid w:val="009D256F"/>
    <w:rPr>
      <w:b/>
      <w:bCs/>
      <w:sz w:val="20"/>
      <w:szCs w:val="20"/>
    </w:rPr>
  </w:style>
  <w:style w:type="paragraph" w:styleId="TOCHeading">
    <w:name w:val="TOC Heading"/>
    <w:basedOn w:val="Heading1"/>
    <w:next w:val="Normal"/>
    <w:uiPriority w:val="39"/>
    <w:unhideWhenUsed/>
    <w:qFormat/>
    <w:rsid w:val="004F5D7B"/>
    <w:pPr>
      <w:spacing w:beforeAutospacing="0" w:afterAutospacing="0" w:line="259" w:lineRule="auto"/>
      <w:jc w:val="left"/>
      <w:outlineLvl w:val="9"/>
    </w:pPr>
    <w:rPr>
      <w:kern w:val="0"/>
      <w:lang w:val="en-US"/>
      <w14:ligatures w14:val="none"/>
    </w:rPr>
  </w:style>
  <w:style w:type="paragraph" w:styleId="TOC1">
    <w:name w:val="toc 1"/>
    <w:basedOn w:val="Normal"/>
    <w:next w:val="Normal"/>
    <w:autoRedefine/>
    <w:uiPriority w:val="39"/>
    <w:unhideWhenUsed/>
    <w:rsid w:val="00F20426"/>
    <w:pPr>
      <w:tabs>
        <w:tab w:val="right" w:leader="dot" w:pos="9016"/>
      </w:tabs>
    </w:pPr>
    <w:rPr>
      <w:noProof/>
    </w:rPr>
  </w:style>
  <w:style w:type="table" w:styleId="TableGrid">
    <w:name w:val="Table Grid"/>
    <w:basedOn w:val="TableNormal"/>
    <w:uiPriority w:val="39"/>
    <w:rsid w:val="007F4B5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openxmlformats.org/officeDocument/2006/relationships/diagramLayout" Target="diagrams/layout2.xml"/><Relationship Id="rId26" Type="http://schemas.openxmlformats.org/officeDocument/2006/relationships/hyperlink" Target="https://www.tandfonline.com/doi/full/10.1080/01446190600879125/" TargetMode="External"/><Relationship Id="rId3" Type="http://schemas.openxmlformats.org/officeDocument/2006/relationships/settings" Target="settings.xml"/><Relationship Id="rId21" Type="http://schemas.microsoft.com/office/2007/relationships/diagramDrawing" Target="diagrams/drawing2.xml"/><Relationship Id="rId7" Type="http://schemas.openxmlformats.org/officeDocument/2006/relationships/hyperlink" Target="mailto:l.zhang@uwtsd.ac.uk" TargetMode="External"/><Relationship Id="rId12" Type="http://schemas.microsoft.com/office/2007/relationships/diagramDrawing" Target="diagrams/drawing1.xml"/><Relationship Id="rId17" Type="http://schemas.openxmlformats.org/officeDocument/2006/relationships/diagramData" Target="diagrams/data2.xml"/><Relationship Id="rId25" Type="http://schemas.openxmlformats.org/officeDocument/2006/relationships/hyperlink" Target="https://doi.org/10.1016/S0263-7863(01)00074-6/"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diagramColors" Target="diagrams/colors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diagramColors" Target="diagrams/colors1.xml"/><Relationship Id="rId24" Type="http://schemas.openxmlformats.org/officeDocument/2006/relationships/hyperlink" Target="https://doi.org/10.1016/S0263-7863(98)00069-6/" TargetMode="Externa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QuickStyle" Target="diagrams/quickStyle2.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4.png"/><Relationship Id="rId22" Type="http://schemas.openxmlformats.org/officeDocument/2006/relationships/image" Target="media/image7.png"/><Relationship Id="rId27" Type="http://schemas.openxmlformats.org/officeDocument/2006/relationships/hyperlink" Target="https://www.sciencedirect.com/science/article/abs/pii/S026378639800069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6A2759-3C3F-440F-A189-7ACF04359CC1}" type="doc">
      <dgm:prSet loTypeId="urn:microsoft.com/office/officeart/2005/8/layout/lProcess2" loCatId="list" qsTypeId="urn:microsoft.com/office/officeart/2005/8/quickstyle/simple1" qsCatId="simple" csTypeId="urn:microsoft.com/office/officeart/2005/8/colors/accent1_2" csCatId="accent1" phldr="1"/>
      <dgm:spPr/>
      <dgm:t>
        <a:bodyPr/>
        <a:lstStyle/>
        <a:p>
          <a:endParaRPr lang="en-GB"/>
        </a:p>
      </dgm:t>
    </dgm:pt>
    <dgm:pt modelId="{FD32C80B-696B-493F-8128-3C4919745EF5}">
      <dgm:prSet phldrT="[Text]" custT="1">
        <dgm:style>
          <a:lnRef idx="3">
            <a:schemeClr val="lt1"/>
          </a:lnRef>
          <a:fillRef idx="1">
            <a:schemeClr val="accent4"/>
          </a:fillRef>
          <a:effectRef idx="1">
            <a:schemeClr val="accent4"/>
          </a:effectRef>
          <a:fontRef idx="minor">
            <a:schemeClr val="lt1"/>
          </a:fontRef>
        </dgm:style>
      </dgm:prSet>
      <dgm:spPr/>
      <dgm:t>
        <a:bodyPr/>
        <a:lstStyle/>
        <a:p>
          <a:r>
            <a:rPr lang="en-GB" sz="1600" b="1">
              <a:solidFill>
                <a:srgbClr val="FFFF00"/>
              </a:solidFill>
            </a:rPr>
            <a:t>TIME</a:t>
          </a:r>
        </a:p>
      </dgm:t>
    </dgm:pt>
    <dgm:pt modelId="{94892768-7244-410F-8424-99F2DCE4D0E0}" type="parTrans" cxnId="{CC304FB5-9E56-45C8-9A91-3AAE2480DA91}">
      <dgm:prSet/>
      <dgm:spPr/>
      <dgm:t>
        <a:bodyPr/>
        <a:lstStyle/>
        <a:p>
          <a:endParaRPr lang="en-GB"/>
        </a:p>
      </dgm:t>
    </dgm:pt>
    <dgm:pt modelId="{243BB8CB-B6E8-4DF9-85F8-022EF127D5FD}" type="sibTrans" cxnId="{CC304FB5-9E56-45C8-9A91-3AAE2480DA91}">
      <dgm:prSet/>
      <dgm:spPr/>
      <dgm:t>
        <a:bodyPr/>
        <a:lstStyle/>
        <a:p>
          <a:endParaRPr lang="en-GB"/>
        </a:p>
      </dgm:t>
    </dgm:pt>
    <dgm:pt modelId="{AC7E7FF7-9F6D-43C5-9B59-86C9941A3133}">
      <dgm:prSet phldrT="[Text]" custT="1"/>
      <dgm:spPr/>
      <dgm:t>
        <a:bodyPr/>
        <a:lstStyle/>
        <a:p>
          <a:r>
            <a:rPr lang="en-GB" sz="1200"/>
            <a:t>12-Week completion</a:t>
          </a:r>
        </a:p>
      </dgm:t>
    </dgm:pt>
    <dgm:pt modelId="{7E40A296-806A-4692-B83A-92E1497BFEE9}" type="parTrans" cxnId="{D11B5C09-4A55-4576-9A37-92C091E23D1F}">
      <dgm:prSet/>
      <dgm:spPr/>
      <dgm:t>
        <a:bodyPr/>
        <a:lstStyle/>
        <a:p>
          <a:endParaRPr lang="en-GB"/>
        </a:p>
      </dgm:t>
    </dgm:pt>
    <dgm:pt modelId="{5ADB7466-2E9C-4414-8868-FBB4724AB3CC}" type="sibTrans" cxnId="{D11B5C09-4A55-4576-9A37-92C091E23D1F}">
      <dgm:prSet/>
      <dgm:spPr/>
      <dgm:t>
        <a:bodyPr/>
        <a:lstStyle/>
        <a:p>
          <a:endParaRPr lang="en-GB"/>
        </a:p>
      </dgm:t>
    </dgm:pt>
    <dgm:pt modelId="{5EA55107-A355-424D-9184-01A0197E686F}">
      <dgm:prSet phldrT="[Text]" custT="1"/>
      <dgm:spPr/>
      <dgm:t>
        <a:bodyPr/>
        <a:lstStyle/>
        <a:p>
          <a:r>
            <a:rPr lang="en-GB" sz="1200"/>
            <a:t>Planned project schedule</a:t>
          </a:r>
        </a:p>
      </dgm:t>
    </dgm:pt>
    <dgm:pt modelId="{A89A71C4-C500-416A-9FA7-3B8F0607C7DC}" type="parTrans" cxnId="{ED43C6AD-EE00-48DE-91D1-4E4DD5E39CCA}">
      <dgm:prSet/>
      <dgm:spPr/>
      <dgm:t>
        <a:bodyPr/>
        <a:lstStyle/>
        <a:p>
          <a:endParaRPr lang="en-GB"/>
        </a:p>
      </dgm:t>
    </dgm:pt>
    <dgm:pt modelId="{982BFA0E-3FD8-4315-AFE9-F8469E4B4803}" type="sibTrans" cxnId="{ED43C6AD-EE00-48DE-91D1-4E4DD5E39CCA}">
      <dgm:prSet/>
      <dgm:spPr/>
      <dgm:t>
        <a:bodyPr/>
        <a:lstStyle/>
        <a:p>
          <a:endParaRPr lang="en-GB"/>
        </a:p>
      </dgm:t>
    </dgm:pt>
    <dgm:pt modelId="{521AEB64-36C7-46A2-9597-B6C033FA103D}">
      <dgm:prSet phldrT="[Text]" custT="1">
        <dgm:style>
          <a:lnRef idx="0">
            <a:schemeClr val="accent4"/>
          </a:lnRef>
          <a:fillRef idx="3">
            <a:schemeClr val="accent4"/>
          </a:fillRef>
          <a:effectRef idx="3">
            <a:schemeClr val="accent4"/>
          </a:effectRef>
          <a:fontRef idx="minor">
            <a:schemeClr val="lt1"/>
          </a:fontRef>
        </dgm:style>
      </dgm:prSet>
      <dgm:spPr/>
      <dgm:t>
        <a:bodyPr/>
        <a:lstStyle/>
        <a:p>
          <a:r>
            <a:rPr lang="en-GB" sz="1400" b="1">
              <a:solidFill>
                <a:srgbClr val="FFFF00"/>
              </a:solidFill>
            </a:rPr>
            <a:t>COST</a:t>
          </a:r>
        </a:p>
      </dgm:t>
    </dgm:pt>
    <dgm:pt modelId="{EC403416-3A76-4D5E-85A8-4F41E3D18945}" type="parTrans" cxnId="{3A8FB7D4-F35E-46C4-A4DC-D1737C222366}">
      <dgm:prSet/>
      <dgm:spPr/>
      <dgm:t>
        <a:bodyPr/>
        <a:lstStyle/>
        <a:p>
          <a:endParaRPr lang="en-GB"/>
        </a:p>
      </dgm:t>
    </dgm:pt>
    <dgm:pt modelId="{C53EC10B-A989-4C8A-9F93-28C686FFBC69}" type="sibTrans" cxnId="{3A8FB7D4-F35E-46C4-A4DC-D1737C222366}">
      <dgm:prSet/>
      <dgm:spPr/>
      <dgm:t>
        <a:bodyPr/>
        <a:lstStyle/>
        <a:p>
          <a:endParaRPr lang="en-GB"/>
        </a:p>
      </dgm:t>
    </dgm:pt>
    <dgm:pt modelId="{F4C2C702-2D8F-4B33-96A9-E1E54743F9A3}">
      <dgm:prSet phldrT="[Text]" custT="1"/>
      <dgm:spPr/>
      <dgm:t>
        <a:bodyPr/>
        <a:lstStyle/>
        <a:p>
          <a:r>
            <a:rPr lang="en-GB" sz="1200"/>
            <a:t>Project budget</a:t>
          </a:r>
        </a:p>
      </dgm:t>
    </dgm:pt>
    <dgm:pt modelId="{D0CACF77-DC0C-4456-8871-B18AF98BDB24}" type="parTrans" cxnId="{8E53FAA1-B304-4898-A933-F0B5B86699E2}">
      <dgm:prSet/>
      <dgm:spPr/>
      <dgm:t>
        <a:bodyPr/>
        <a:lstStyle/>
        <a:p>
          <a:endParaRPr lang="en-GB"/>
        </a:p>
      </dgm:t>
    </dgm:pt>
    <dgm:pt modelId="{371F0AAD-5CBA-46A5-8B32-7C49DE8A8791}" type="sibTrans" cxnId="{8E53FAA1-B304-4898-A933-F0B5B86699E2}">
      <dgm:prSet/>
      <dgm:spPr/>
      <dgm:t>
        <a:bodyPr/>
        <a:lstStyle/>
        <a:p>
          <a:endParaRPr lang="en-GB"/>
        </a:p>
      </dgm:t>
    </dgm:pt>
    <dgm:pt modelId="{3C0452DC-3E50-4C23-9BE5-2C77D3CD4822}">
      <dgm:prSet phldrT="[Text]" custT="1"/>
      <dgm:spPr/>
      <dgm:t>
        <a:bodyPr/>
        <a:lstStyle/>
        <a:p>
          <a:r>
            <a:rPr lang="en-GB" sz="1200"/>
            <a:t>Material costs</a:t>
          </a:r>
        </a:p>
      </dgm:t>
    </dgm:pt>
    <dgm:pt modelId="{2265D431-7B36-431E-8F43-D648ED573FF9}" type="parTrans" cxnId="{69DAFA72-10C5-4174-82B6-C11E0A48D6B0}">
      <dgm:prSet/>
      <dgm:spPr/>
      <dgm:t>
        <a:bodyPr/>
        <a:lstStyle/>
        <a:p>
          <a:endParaRPr lang="en-GB"/>
        </a:p>
      </dgm:t>
    </dgm:pt>
    <dgm:pt modelId="{87AE0B30-C42A-4DCC-AC94-344188D8F815}" type="sibTrans" cxnId="{69DAFA72-10C5-4174-82B6-C11E0A48D6B0}">
      <dgm:prSet/>
      <dgm:spPr/>
      <dgm:t>
        <a:bodyPr/>
        <a:lstStyle/>
        <a:p>
          <a:endParaRPr lang="en-GB"/>
        </a:p>
      </dgm:t>
    </dgm:pt>
    <dgm:pt modelId="{83839502-DC91-4A04-B67E-CACA0470A024}">
      <dgm:prSet phldrT="[Text]" custT="1">
        <dgm:style>
          <a:lnRef idx="3">
            <a:schemeClr val="lt1"/>
          </a:lnRef>
          <a:fillRef idx="1">
            <a:schemeClr val="accent4"/>
          </a:fillRef>
          <a:effectRef idx="1">
            <a:schemeClr val="accent4"/>
          </a:effectRef>
          <a:fontRef idx="minor">
            <a:schemeClr val="lt1"/>
          </a:fontRef>
        </dgm:style>
      </dgm:prSet>
      <dgm:spPr/>
      <dgm:t>
        <a:bodyPr/>
        <a:lstStyle/>
        <a:p>
          <a:r>
            <a:rPr lang="en-GB" sz="1600" b="1">
              <a:solidFill>
                <a:srgbClr val="FFFF00"/>
              </a:solidFill>
            </a:rPr>
            <a:t>SCOPE</a:t>
          </a:r>
        </a:p>
      </dgm:t>
    </dgm:pt>
    <dgm:pt modelId="{629B52EC-C9F1-4694-A901-AC46687A23D8}" type="parTrans" cxnId="{5EBD8521-6E73-489B-B1D0-F032E9170EBA}">
      <dgm:prSet/>
      <dgm:spPr/>
      <dgm:t>
        <a:bodyPr/>
        <a:lstStyle/>
        <a:p>
          <a:endParaRPr lang="en-GB"/>
        </a:p>
      </dgm:t>
    </dgm:pt>
    <dgm:pt modelId="{F602E215-7FDD-4A28-9CB3-0EB03C8A80D0}" type="sibTrans" cxnId="{5EBD8521-6E73-489B-B1D0-F032E9170EBA}">
      <dgm:prSet/>
      <dgm:spPr/>
      <dgm:t>
        <a:bodyPr/>
        <a:lstStyle/>
        <a:p>
          <a:endParaRPr lang="en-GB"/>
        </a:p>
      </dgm:t>
    </dgm:pt>
    <dgm:pt modelId="{F2154206-F28A-4C78-B559-B9B88C30A6E1}">
      <dgm:prSet phldrT="[Text]" custT="1"/>
      <dgm:spPr/>
      <dgm:t>
        <a:bodyPr/>
        <a:lstStyle/>
        <a:p>
          <a:r>
            <a:rPr lang="en-GB" sz="1200"/>
            <a:t>Trailer refurbishment</a:t>
          </a:r>
        </a:p>
      </dgm:t>
    </dgm:pt>
    <dgm:pt modelId="{F028767A-BA49-46D3-8117-F7A84059D988}" type="parTrans" cxnId="{F1D55D98-32B9-45B4-B5E9-19CB061C4BBE}">
      <dgm:prSet/>
      <dgm:spPr/>
      <dgm:t>
        <a:bodyPr/>
        <a:lstStyle/>
        <a:p>
          <a:endParaRPr lang="en-GB"/>
        </a:p>
      </dgm:t>
    </dgm:pt>
    <dgm:pt modelId="{054FB624-DC62-41EC-9ECB-388FAD11E5AE}" type="sibTrans" cxnId="{F1D55D98-32B9-45B4-B5E9-19CB061C4BBE}">
      <dgm:prSet/>
      <dgm:spPr/>
      <dgm:t>
        <a:bodyPr/>
        <a:lstStyle/>
        <a:p>
          <a:endParaRPr lang="en-GB"/>
        </a:p>
      </dgm:t>
    </dgm:pt>
    <dgm:pt modelId="{9ED8C5E2-2457-45EA-B364-086E5D46DD5F}">
      <dgm:prSet phldrT="[Text]" custT="1"/>
      <dgm:spPr/>
      <dgm:t>
        <a:bodyPr/>
        <a:lstStyle/>
        <a:p>
          <a:r>
            <a:rPr lang="en-GB" sz="1200"/>
            <a:t>Electrical installation</a:t>
          </a:r>
        </a:p>
      </dgm:t>
    </dgm:pt>
    <dgm:pt modelId="{14AAD582-B80E-42A0-B1A8-8EF64ADBA9FC}" type="parTrans" cxnId="{37F61F6E-7068-440F-A1CF-0345EB565054}">
      <dgm:prSet/>
      <dgm:spPr/>
      <dgm:t>
        <a:bodyPr/>
        <a:lstStyle/>
        <a:p>
          <a:endParaRPr lang="en-GB"/>
        </a:p>
      </dgm:t>
    </dgm:pt>
    <dgm:pt modelId="{4A76353D-6773-47A5-BB87-17573C37EF7C}" type="sibTrans" cxnId="{37F61F6E-7068-440F-A1CF-0345EB565054}">
      <dgm:prSet/>
      <dgm:spPr/>
      <dgm:t>
        <a:bodyPr/>
        <a:lstStyle/>
        <a:p>
          <a:endParaRPr lang="en-GB"/>
        </a:p>
      </dgm:t>
    </dgm:pt>
    <dgm:pt modelId="{7C9F471D-02E8-4A01-861D-52D3F37603E3}">
      <dgm:prSet phldrT="[Text]" custT="1"/>
      <dgm:spPr/>
      <dgm:t>
        <a:bodyPr/>
        <a:lstStyle/>
        <a:p>
          <a:r>
            <a:rPr lang="en-GB" sz="1200"/>
            <a:t>On-time  delivery</a:t>
          </a:r>
        </a:p>
      </dgm:t>
    </dgm:pt>
    <dgm:pt modelId="{56F510D8-E50F-4CEA-AF2A-C76E0283C219}" type="parTrans" cxnId="{B2D973C5-E512-4FBE-AC4F-F122CFF29520}">
      <dgm:prSet/>
      <dgm:spPr/>
      <dgm:t>
        <a:bodyPr/>
        <a:lstStyle/>
        <a:p>
          <a:endParaRPr lang="en-GB"/>
        </a:p>
      </dgm:t>
    </dgm:pt>
    <dgm:pt modelId="{34780B3C-F0BB-47B2-A02C-B39C0350ACE7}" type="sibTrans" cxnId="{B2D973C5-E512-4FBE-AC4F-F122CFF29520}">
      <dgm:prSet/>
      <dgm:spPr/>
      <dgm:t>
        <a:bodyPr/>
        <a:lstStyle/>
        <a:p>
          <a:endParaRPr lang="en-GB"/>
        </a:p>
      </dgm:t>
    </dgm:pt>
    <dgm:pt modelId="{CC039994-4AC3-4FC9-8766-3A4DDFD170E3}">
      <dgm:prSet phldrT="[Text]" custT="1"/>
      <dgm:spPr/>
      <dgm:t>
        <a:bodyPr/>
        <a:lstStyle/>
        <a:p>
          <a:r>
            <a:rPr lang="en-GB" sz="1200"/>
            <a:t>Labour costs</a:t>
          </a:r>
        </a:p>
      </dgm:t>
    </dgm:pt>
    <dgm:pt modelId="{7BE43502-3AFA-4833-8CB3-18215CFB98BB}" type="parTrans" cxnId="{DD0998A4-F937-40B0-9215-4272932CA444}">
      <dgm:prSet/>
      <dgm:spPr/>
      <dgm:t>
        <a:bodyPr/>
        <a:lstStyle/>
        <a:p>
          <a:endParaRPr lang="en-GB"/>
        </a:p>
      </dgm:t>
    </dgm:pt>
    <dgm:pt modelId="{0EC2BF17-6A7E-4D21-82D0-FB90F7234657}" type="sibTrans" cxnId="{DD0998A4-F937-40B0-9215-4272932CA444}">
      <dgm:prSet/>
      <dgm:spPr/>
      <dgm:t>
        <a:bodyPr/>
        <a:lstStyle/>
        <a:p>
          <a:endParaRPr lang="en-GB"/>
        </a:p>
      </dgm:t>
    </dgm:pt>
    <dgm:pt modelId="{430DE76E-0BFD-4DDF-92AC-52B81838E2EE}">
      <dgm:prSet phldrT="[Text]" custT="1"/>
      <dgm:spPr/>
      <dgm:t>
        <a:bodyPr/>
        <a:lstStyle/>
        <a:p>
          <a:r>
            <a:rPr lang="en-GB" sz="1200"/>
            <a:t>contingency fund</a:t>
          </a:r>
        </a:p>
      </dgm:t>
    </dgm:pt>
    <dgm:pt modelId="{DA07C3E4-9932-463D-A936-8A20A3B3D626}" type="parTrans" cxnId="{0D886ACC-E550-4487-822B-1C59FEE81794}">
      <dgm:prSet/>
      <dgm:spPr/>
      <dgm:t>
        <a:bodyPr/>
        <a:lstStyle/>
        <a:p>
          <a:endParaRPr lang="en-GB"/>
        </a:p>
      </dgm:t>
    </dgm:pt>
    <dgm:pt modelId="{654B81F5-936B-412C-9BBC-3FE373311F75}" type="sibTrans" cxnId="{0D886ACC-E550-4487-822B-1C59FEE81794}">
      <dgm:prSet/>
      <dgm:spPr/>
      <dgm:t>
        <a:bodyPr/>
        <a:lstStyle/>
        <a:p>
          <a:endParaRPr lang="en-GB"/>
        </a:p>
      </dgm:t>
    </dgm:pt>
    <dgm:pt modelId="{0BF5AECE-4B84-458D-B9F1-45CE81CE016F}">
      <dgm:prSet phldrT="[Text]" custT="1"/>
      <dgm:spPr/>
      <dgm:t>
        <a:bodyPr/>
        <a:lstStyle/>
        <a:p>
          <a:r>
            <a:rPr lang="en-GB" sz="1200"/>
            <a:t>Plumbing system</a:t>
          </a:r>
        </a:p>
      </dgm:t>
    </dgm:pt>
    <dgm:pt modelId="{1B648046-D820-4836-8171-5332D3873BBF}" type="parTrans" cxnId="{6A66ADEE-696E-4F57-9882-47DBC0FA77BA}">
      <dgm:prSet/>
      <dgm:spPr/>
      <dgm:t>
        <a:bodyPr/>
        <a:lstStyle/>
        <a:p>
          <a:endParaRPr lang="en-GB"/>
        </a:p>
      </dgm:t>
    </dgm:pt>
    <dgm:pt modelId="{224702B9-7B30-4CE7-B883-C770B1BCCD74}" type="sibTrans" cxnId="{6A66ADEE-696E-4F57-9882-47DBC0FA77BA}">
      <dgm:prSet/>
      <dgm:spPr/>
      <dgm:t>
        <a:bodyPr/>
        <a:lstStyle/>
        <a:p>
          <a:endParaRPr lang="en-GB"/>
        </a:p>
      </dgm:t>
    </dgm:pt>
    <dgm:pt modelId="{B57A0FC7-2A50-42F4-B972-5C969F484310}">
      <dgm:prSet phldrT="[Text]" custT="1"/>
      <dgm:spPr/>
      <dgm:t>
        <a:bodyPr/>
        <a:lstStyle/>
        <a:p>
          <a:r>
            <a:rPr lang="en-GB" sz="1200"/>
            <a:t>Kitchen equipment</a:t>
          </a:r>
        </a:p>
      </dgm:t>
    </dgm:pt>
    <dgm:pt modelId="{38C27F84-57CB-4B0C-B6F9-D3E9E4FFB18E}" type="parTrans" cxnId="{E61DAC0A-DD7F-42AE-A4A4-A403C802792D}">
      <dgm:prSet/>
      <dgm:spPr/>
      <dgm:t>
        <a:bodyPr/>
        <a:lstStyle/>
        <a:p>
          <a:endParaRPr lang="en-GB"/>
        </a:p>
      </dgm:t>
    </dgm:pt>
    <dgm:pt modelId="{2DF41F1D-25E3-4785-85DD-34043BBD892D}" type="sibTrans" cxnId="{E61DAC0A-DD7F-42AE-A4A4-A403C802792D}">
      <dgm:prSet/>
      <dgm:spPr/>
      <dgm:t>
        <a:bodyPr/>
        <a:lstStyle/>
        <a:p>
          <a:endParaRPr lang="en-GB"/>
        </a:p>
      </dgm:t>
    </dgm:pt>
    <dgm:pt modelId="{BA825712-099B-4D38-872D-0700F9661F9D}">
      <dgm:prSet phldrT="[Text]" custT="1"/>
      <dgm:spPr/>
      <dgm:t>
        <a:bodyPr/>
        <a:lstStyle/>
        <a:p>
          <a:r>
            <a:rPr lang="en-GB" sz="1200"/>
            <a:t>Food safety compliance</a:t>
          </a:r>
        </a:p>
      </dgm:t>
    </dgm:pt>
    <dgm:pt modelId="{6F6F795B-40B2-4344-B79B-B790C1FEB088}" type="parTrans" cxnId="{E359A024-AF1B-4633-8B4F-BB46E2C55642}">
      <dgm:prSet/>
      <dgm:spPr/>
      <dgm:t>
        <a:bodyPr/>
        <a:lstStyle/>
        <a:p>
          <a:endParaRPr lang="en-GB"/>
        </a:p>
      </dgm:t>
    </dgm:pt>
    <dgm:pt modelId="{CDAD6190-53AC-481B-BC5E-B90CEB2EDEB6}" type="sibTrans" cxnId="{E359A024-AF1B-4633-8B4F-BB46E2C55642}">
      <dgm:prSet/>
      <dgm:spPr/>
      <dgm:t>
        <a:bodyPr/>
        <a:lstStyle/>
        <a:p>
          <a:endParaRPr lang="en-GB"/>
        </a:p>
      </dgm:t>
    </dgm:pt>
    <dgm:pt modelId="{7CD1BCE8-B7D5-4799-894E-9764B917B0F0}" type="pres">
      <dgm:prSet presAssocID="{7B6A2759-3C3F-440F-A189-7ACF04359CC1}" presName="theList" presStyleCnt="0">
        <dgm:presLayoutVars>
          <dgm:dir/>
          <dgm:animLvl val="lvl"/>
          <dgm:resizeHandles val="exact"/>
        </dgm:presLayoutVars>
      </dgm:prSet>
      <dgm:spPr/>
    </dgm:pt>
    <dgm:pt modelId="{03C04D75-3F3B-4FB2-BB4D-62A1C709A929}" type="pres">
      <dgm:prSet presAssocID="{FD32C80B-696B-493F-8128-3C4919745EF5}" presName="compNode" presStyleCnt="0"/>
      <dgm:spPr/>
    </dgm:pt>
    <dgm:pt modelId="{F7235AB0-BE45-4CA6-9A47-BE59ADCC7DE1}" type="pres">
      <dgm:prSet presAssocID="{FD32C80B-696B-493F-8128-3C4919745EF5}" presName="aNode" presStyleLbl="bgShp" presStyleIdx="0" presStyleCnt="3" custLinFactNeighborX="-739" custLinFactNeighborY="787"/>
      <dgm:spPr/>
    </dgm:pt>
    <dgm:pt modelId="{15A8C17D-DAFC-4FE4-9089-F82EE86A4041}" type="pres">
      <dgm:prSet presAssocID="{FD32C80B-696B-493F-8128-3C4919745EF5}" presName="textNode" presStyleLbl="bgShp" presStyleIdx="0" presStyleCnt="3"/>
      <dgm:spPr/>
    </dgm:pt>
    <dgm:pt modelId="{C9D905FB-4B77-4851-AF0E-0C3D6B118D90}" type="pres">
      <dgm:prSet presAssocID="{FD32C80B-696B-493F-8128-3C4919745EF5}" presName="compChildNode" presStyleCnt="0"/>
      <dgm:spPr/>
    </dgm:pt>
    <dgm:pt modelId="{116DF486-7137-4A66-9B7F-559A00480E27}" type="pres">
      <dgm:prSet presAssocID="{FD32C80B-696B-493F-8128-3C4919745EF5}" presName="theInnerList" presStyleCnt="0"/>
      <dgm:spPr/>
    </dgm:pt>
    <dgm:pt modelId="{7848FDBB-5C46-4DED-A2A7-31761F9BF1C3}" type="pres">
      <dgm:prSet presAssocID="{AC7E7FF7-9F6D-43C5-9B59-86C9941A3133}" presName="childNode" presStyleLbl="node1" presStyleIdx="0" presStyleCnt="12" custScaleY="28067">
        <dgm:presLayoutVars>
          <dgm:bulletEnabled val="1"/>
        </dgm:presLayoutVars>
      </dgm:prSet>
      <dgm:spPr/>
    </dgm:pt>
    <dgm:pt modelId="{19F3D87C-06BF-4F6B-B5B2-0A5DE74662F1}" type="pres">
      <dgm:prSet presAssocID="{AC7E7FF7-9F6D-43C5-9B59-86C9941A3133}" presName="aSpace2" presStyleCnt="0"/>
      <dgm:spPr/>
    </dgm:pt>
    <dgm:pt modelId="{48FCBBB2-6772-4C0D-B45A-191A4E91000C}" type="pres">
      <dgm:prSet presAssocID="{5EA55107-A355-424D-9184-01A0197E686F}" presName="childNode" presStyleLbl="node1" presStyleIdx="1" presStyleCnt="12" custScaleY="28610" custLinFactNeighborX="-923">
        <dgm:presLayoutVars>
          <dgm:bulletEnabled val="1"/>
        </dgm:presLayoutVars>
      </dgm:prSet>
      <dgm:spPr/>
    </dgm:pt>
    <dgm:pt modelId="{0215DA7F-D3BA-4044-826C-5B996D95BF66}" type="pres">
      <dgm:prSet presAssocID="{5EA55107-A355-424D-9184-01A0197E686F}" presName="aSpace2" presStyleCnt="0"/>
      <dgm:spPr/>
    </dgm:pt>
    <dgm:pt modelId="{E546429F-569F-4E74-85EE-EA19E339B72E}" type="pres">
      <dgm:prSet presAssocID="{7C9F471D-02E8-4A01-861D-52D3F37603E3}" presName="childNode" presStyleLbl="node1" presStyleIdx="2" presStyleCnt="12" custScaleY="30174">
        <dgm:presLayoutVars>
          <dgm:bulletEnabled val="1"/>
        </dgm:presLayoutVars>
      </dgm:prSet>
      <dgm:spPr/>
    </dgm:pt>
    <dgm:pt modelId="{1F063A7D-5115-4C41-992A-538E42E69317}" type="pres">
      <dgm:prSet presAssocID="{FD32C80B-696B-493F-8128-3C4919745EF5}" presName="aSpace" presStyleCnt="0"/>
      <dgm:spPr/>
    </dgm:pt>
    <dgm:pt modelId="{B4AE2234-20A8-4068-BE9D-BC2215E0C226}" type="pres">
      <dgm:prSet presAssocID="{521AEB64-36C7-46A2-9597-B6C033FA103D}" presName="compNode" presStyleCnt="0"/>
      <dgm:spPr/>
    </dgm:pt>
    <dgm:pt modelId="{ACF7D494-7030-4365-9EBA-755FDA351D7A}" type="pres">
      <dgm:prSet presAssocID="{521AEB64-36C7-46A2-9597-B6C033FA103D}" presName="aNode" presStyleLbl="bgShp" presStyleIdx="1" presStyleCnt="3" custLinFactNeighborX="3902" custLinFactNeighborY="-1102"/>
      <dgm:spPr/>
    </dgm:pt>
    <dgm:pt modelId="{12C131ED-0FA2-4886-B110-E8ED2E7A557A}" type="pres">
      <dgm:prSet presAssocID="{521AEB64-36C7-46A2-9597-B6C033FA103D}" presName="textNode" presStyleLbl="bgShp" presStyleIdx="1" presStyleCnt="3"/>
      <dgm:spPr/>
    </dgm:pt>
    <dgm:pt modelId="{3F5653AE-CA94-4CC3-A89C-5F780F04A4D1}" type="pres">
      <dgm:prSet presAssocID="{521AEB64-36C7-46A2-9597-B6C033FA103D}" presName="compChildNode" presStyleCnt="0"/>
      <dgm:spPr/>
    </dgm:pt>
    <dgm:pt modelId="{2617401D-E553-49C2-94B2-062AB3DDA76B}" type="pres">
      <dgm:prSet presAssocID="{521AEB64-36C7-46A2-9597-B6C033FA103D}" presName="theInnerList" presStyleCnt="0"/>
      <dgm:spPr/>
    </dgm:pt>
    <dgm:pt modelId="{64E7623D-5AEA-47EA-931F-48B2F7B10873}" type="pres">
      <dgm:prSet presAssocID="{F4C2C702-2D8F-4B33-96A9-E1E54743F9A3}" presName="childNode" presStyleLbl="node1" presStyleIdx="3" presStyleCnt="12">
        <dgm:presLayoutVars>
          <dgm:bulletEnabled val="1"/>
        </dgm:presLayoutVars>
      </dgm:prSet>
      <dgm:spPr/>
    </dgm:pt>
    <dgm:pt modelId="{9BDB719B-F7A9-49B3-9EE0-0CE3FBB4EB6F}" type="pres">
      <dgm:prSet presAssocID="{F4C2C702-2D8F-4B33-96A9-E1E54743F9A3}" presName="aSpace2" presStyleCnt="0"/>
      <dgm:spPr/>
    </dgm:pt>
    <dgm:pt modelId="{AD54E1D0-2E68-4F0B-A988-C0C37EEBA9CB}" type="pres">
      <dgm:prSet presAssocID="{3C0452DC-3E50-4C23-9BE5-2C77D3CD4822}" presName="childNode" presStyleLbl="node1" presStyleIdx="4" presStyleCnt="12">
        <dgm:presLayoutVars>
          <dgm:bulletEnabled val="1"/>
        </dgm:presLayoutVars>
      </dgm:prSet>
      <dgm:spPr/>
    </dgm:pt>
    <dgm:pt modelId="{501EC716-493F-4C27-8920-C7E591A0AD81}" type="pres">
      <dgm:prSet presAssocID="{3C0452DC-3E50-4C23-9BE5-2C77D3CD4822}" presName="aSpace2" presStyleCnt="0"/>
      <dgm:spPr/>
    </dgm:pt>
    <dgm:pt modelId="{733FDD68-2FF7-4F65-806C-96603C9BFBB4}" type="pres">
      <dgm:prSet presAssocID="{CC039994-4AC3-4FC9-8766-3A4DDFD170E3}" presName="childNode" presStyleLbl="node1" presStyleIdx="5" presStyleCnt="12">
        <dgm:presLayoutVars>
          <dgm:bulletEnabled val="1"/>
        </dgm:presLayoutVars>
      </dgm:prSet>
      <dgm:spPr/>
    </dgm:pt>
    <dgm:pt modelId="{299B1D3C-F09C-42F6-B9A2-1196851BC9D6}" type="pres">
      <dgm:prSet presAssocID="{CC039994-4AC3-4FC9-8766-3A4DDFD170E3}" presName="aSpace2" presStyleCnt="0"/>
      <dgm:spPr/>
    </dgm:pt>
    <dgm:pt modelId="{2EDBF204-1648-4EF7-9D6C-F14601259ED2}" type="pres">
      <dgm:prSet presAssocID="{430DE76E-0BFD-4DDF-92AC-52B81838E2EE}" presName="childNode" presStyleLbl="node1" presStyleIdx="6" presStyleCnt="12">
        <dgm:presLayoutVars>
          <dgm:bulletEnabled val="1"/>
        </dgm:presLayoutVars>
      </dgm:prSet>
      <dgm:spPr/>
    </dgm:pt>
    <dgm:pt modelId="{9BB4A50A-B903-472D-AC00-214A8F50BE47}" type="pres">
      <dgm:prSet presAssocID="{521AEB64-36C7-46A2-9597-B6C033FA103D}" presName="aSpace" presStyleCnt="0"/>
      <dgm:spPr/>
    </dgm:pt>
    <dgm:pt modelId="{164FC23D-CC83-4885-9383-ECE7462AEBC4}" type="pres">
      <dgm:prSet presAssocID="{83839502-DC91-4A04-B67E-CACA0470A024}" presName="compNode" presStyleCnt="0"/>
      <dgm:spPr/>
    </dgm:pt>
    <dgm:pt modelId="{63E00632-6C5E-495C-B8D8-1FFBECCB2DDD}" type="pres">
      <dgm:prSet presAssocID="{83839502-DC91-4A04-B67E-CACA0470A024}" presName="aNode" presStyleLbl="bgShp" presStyleIdx="2" presStyleCnt="3"/>
      <dgm:spPr/>
    </dgm:pt>
    <dgm:pt modelId="{27D1E199-17A4-470E-9752-9C313A6DA033}" type="pres">
      <dgm:prSet presAssocID="{83839502-DC91-4A04-B67E-CACA0470A024}" presName="textNode" presStyleLbl="bgShp" presStyleIdx="2" presStyleCnt="3"/>
      <dgm:spPr/>
    </dgm:pt>
    <dgm:pt modelId="{C3F24A38-CFD6-4001-AD1D-8B4FBAF7B319}" type="pres">
      <dgm:prSet presAssocID="{83839502-DC91-4A04-B67E-CACA0470A024}" presName="compChildNode" presStyleCnt="0"/>
      <dgm:spPr/>
    </dgm:pt>
    <dgm:pt modelId="{9326767B-AEA0-4C77-95EA-FAA9FC58FDDD}" type="pres">
      <dgm:prSet presAssocID="{83839502-DC91-4A04-B67E-CACA0470A024}" presName="theInnerList" presStyleCnt="0"/>
      <dgm:spPr/>
    </dgm:pt>
    <dgm:pt modelId="{AD2FF75D-591F-4D03-9A55-5F9ED76FAA7C}" type="pres">
      <dgm:prSet presAssocID="{F2154206-F28A-4C78-B559-B9B88C30A6E1}" presName="childNode" presStyleLbl="node1" presStyleIdx="7" presStyleCnt="12">
        <dgm:presLayoutVars>
          <dgm:bulletEnabled val="1"/>
        </dgm:presLayoutVars>
      </dgm:prSet>
      <dgm:spPr/>
    </dgm:pt>
    <dgm:pt modelId="{F0AA2B8A-8F4C-4CE7-8202-D2F1E3E96DA3}" type="pres">
      <dgm:prSet presAssocID="{F2154206-F28A-4C78-B559-B9B88C30A6E1}" presName="aSpace2" presStyleCnt="0"/>
      <dgm:spPr/>
    </dgm:pt>
    <dgm:pt modelId="{4ACC1AC6-A7A6-4455-8000-A2C187253491}" type="pres">
      <dgm:prSet presAssocID="{9ED8C5E2-2457-45EA-B364-086E5D46DD5F}" presName="childNode" presStyleLbl="node1" presStyleIdx="8" presStyleCnt="12">
        <dgm:presLayoutVars>
          <dgm:bulletEnabled val="1"/>
        </dgm:presLayoutVars>
      </dgm:prSet>
      <dgm:spPr/>
    </dgm:pt>
    <dgm:pt modelId="{76D3C37C-5CE3-49DD-B6D0-979DD3D570CB}" type="pres">
      <dgm:prSet presAssocID="{9ED8C5E2-2457-45EA-B364-086E5D46DD5F}" presName="aSpace2" presStyleCnt="0"/>
      <dgm:spPr/>
    </dgm:pt>
    <dgm:pt modelId="{06077D5F-4E83-4A9B-9C8F-2BAA6A8A916F}" type="pres">
      <dgm:prSet presAssocID="{0BF5AECE-4B84-458D-B9F1-45CE81CE016F}" presName="childNode" presStyleLbl="node1" presStyleIdx="9" presStyleCnt="12">
        <dgm:presLayoutVars>
          <dgm:bulletEnabled val="1"/>
        </dgm:presLayoutVars>
      </dgm:prSet>
      <dgm:spPr/>
    </dgm:pt>
    <dgm:pt modelId="{2859791F-75B4-43EA-91AB-A6455565C5DA}" type="pres">
      <dgm:prSet presAssocID="{0BF5AECE-4B84-458D-B9F1-45CE81CE016F}" presName="aSpace2" presStyleCnt="0"/>
      <dgm:spPr/>
    </dgm:pt>
    <dgm:pt modelId="{DFAA7447-4823-465B-8123-85966DCE0918}" type="pres">
      <dgm:prSet presAssocID="{B57A0FC7-2A50-42F4-B972-5C969F484310}" presName="childNode" presStyleLbl="node1" presStyleIdx="10" presStyleCnt="12">
        <dgm:presLayoutVars>
          <dgm:bulletEnabled val="1"/>
        </dgm:presLayoutVars>
      </dgm:prSet>
      <dgm:spPr/>
    </dgm:pt>
    <dgm:pt modelId="{B2F158F8-ECD7-499C-A982-EAC7700967D3}" type="pres">
      <dgm:prSet presAssocID="{B57A0FC7-2A50-42F4-B972-5C969F484310}" presName="aSpace2" presStyleCnt="0"/>
      <dgm:spPr/>
    </dgm:pt>
    <dgm:pt modelId="{C212FFAD-906D-4990-8F7B-B00A5904B298}" type="pres">
      <dgm:prSet presAssocID="{BA825712-099B-4D38-872D-0700F9661F9D}" presName="childNode" presStyleLbl="node1" presStyleIdx="11" presStyleCnt="12">
        <dgm:presLayoutVars>
          <dgm:bulletEnabled val="1"/>
        </dgm:presLayoutVars>
      </dgm:prSet>
      <dgm:spPr/>
    </dgm:pt>
  </dgm:ptLst>
  <dgm:cxnLst>
    <dgm:cxn modelId="{D11B5C09-4A55-4576-9A37-92C091E23D1F}" srcId="{FD32C80B-696B-493F-8128-3C4919745EF5}" destId="{AC7E7FF7-9F6D-43C5-9B59-86C9941A3133}" srcOrd="0" destOrd="0" parTransId="{7E40A296-806A-4692-B83A-92E1497BFEE9}" sibTransId="{5ADB7466-2E9C-4414-8868-FBB4724AB3CC}"/>
    <dgm:cxn modelId="{E61DAC0A-DD7F-42AE-A4A4-A403C802792D}" srcId="{83839502-DC91-4A04-B67E-CACA0470A024}" destId="{B57A0FC7-2A50-42F4-B972-5C969F484310}" srcOrd="3" destOrd="0" parTransId="{38C27F84-57CB-4B0C-B6F9-D3E9E4FFB18E}" sibTransId="{2DF41F1D-25E3-4785-85DD-34043BBD892D}"/>
    <dgm:cxn modelId="{83C4F51D-F1B7-460A-9E7F-9C5D9DEE8606}" type="presOf" srcId="{521AEB64-36C7-46A2-9597-B6C033FA103D}" destId="{ACF7D494-7030-4365-9EBA-755FDA351D7A}" srcOrd="0" destOrd="0" presId="urn:microsoft.com/office/officeart/2005/8/layout/lProcess2"/>
    <dgm:cxn modelId="{5EBD8521-6E73-489B-B1D0-F032E9170EBA}" srcId="{7B6A2759-3C3F-440F-A189-7ACF04359CC1}" destId="{83839502-DC91-4A04-B67E-CACA0470A024}" srcOrd="2" destOrd="0" parTransId="{629B52EC-C9F1-4694-A901-AC46687A23D8}" sibTransId="{F602E215-7FDD-4A28-9CB3-0EB03C8A80D0}"/>
    <dgm:cxn modelId="{E359A024-AF1B-4633-8B4F-BB46E2C55642}" srcId="{83839502-DC91-4A04-B67E-CACA0470A024}" destId="{BA825712-099B-4D38-872D-0700F9661F9D}" srcOrd="4" destOrd="0" parTransId="{6F6F795B-40B2-4344-B79B-B790C1FEB088}" sibTransId="{CDAD6190-53AC-481B-BC5E-B90CEB2EDEB6}"/>
    <dgm:cxn modelId="{4100B061-9A8B-420A-BC35-68870D545C53}" type="presOf" srcId="{83839502-DC91-4A04-B67E-CACA0470A024}" destId="{63E00632-6C5E-495C-B8D8-1FFBECCB2DDD}" srcOrd="0" destOrd="0" presId="urn:microsoft.com/office/officeart/2005/8/layout/lProcess2"/>
    <dgm:cxn modelId="{CEA9F36C-91AE-4E0F-94B5-195B4E4721C9}" type="presOf" srcId="{3C0452DC-3E50-4C23-9BE5-2C77D3CD4822}" destId="{AD54E1D0-2E68-4F0B-A988-C0C37EEBA9CB}" srcOrd="0" destOrd="0" presId="urn:microsoft.com/office/officeart/2005/8/layout/lProcess2"/>
    <dgm:cxn modelId="{A317B56D-0502-4A23-82F4-EC6EEFF9BFC9}" type="presOf" srcId="{7C9F471D-02E8-4A01-861D-52D3F37603E3}" destId="{E546429F-569F-4E74-85EE-EA19E339B72E}" srcOrd="0" destOrd="0" presId="urn:microsoft.com/office/officeart/2005/8/layout/lProcess2"/>
    <dgm:cxn modelId="{37F61F6E-7068-440F-A1CF-0345EB565054}" srcId="{83839502-DC91-4A04-B67E-CACA0470A024}" destId="{9ED8C5E2-2457-45EA-B364-086E5D46DD5F}" srcOrd="1" destOrd="0" parTransId="{14AAD582-B80E-42A0-B1A8-8EF64ADBA9FC}" sibTransId="{4A76353D-6773-47A5-BB87-17573C37EF7C}"/>
    <dgm:cxn modelId="{E9A3B251-3EE7-4C4D-AC6D-E13625037D3B}" type="presOf" srcId="{FD32C80B-696B-493F-8128-3C4919745EF5}" destId="{F7235AB0-BE45-4CA6-9A47-BE59ADCC7DE1}" srcOrd="0" destOrd="0" presId="urn:microsoft.com/office/officeart/2005/8/layout/lProcess2"/>
    <dgm:cxn modelId="{B5E00D72-058D-40B1-AD9E-B00961002F66}" type="presOf" srcId="{B57A0FC7-2A50-42F4-B972-5C969F484310}" destId="{DFAA7447-4823-465B-8123-85966DCE0918}" srcOrd="0" destOrd="0" presId="urn:microsoft.com/office/officeart/2005/8/layout/lProcess2"/>
    <dgm:cxn modelId="{69DAFA72-10C5-4174-82B6-C11E0A48D6B0}" srcId="{521AEB64-36C7-46A2-9597-B6C033FA103D}" destId="{3C0452DC-3E50-4C23-9BE5-2C77D3CD4822}" srcOrd="1" destOrd="0" parTransId="{2265D431-7B36-431E-8F43-D648ED573FF9}" sibTransId="{87AE0B30-C42A-4DCC-AC94-344188D8F815}"/>
    <dgm:cxn modelId="{C3BD0C7D-560A-4B2E-A528-AFC4DA309539}" type="presOf" srcId="{F2154206-F28A-4C78-B559-B9B88C30A6E1}" destId="{AD2FF75D-591F-4D03-9A55-5F9ED76FAA7C}" srcOrd="0" destOrd="0" presId="urn:microsoft.com/office/officeart/2005/8/layout/lProcess2"/>
    <dgm:cxn modelId="{4C908C8A-B0D1-43FB-BAEA-3CCEBBECA7D8}" type="presOf" srcId="{AC7E7FF7-9F6D-43C5-9B59-86C9941A3133}" destId="{7848FDBB-5C46-4DED-A2A7-31761F9BF1C3}" srcOrd="0" destOrd="0" presId="urn:microsoft.com/office/officeart/2005/8/layout/lProcess2"/>
    <dgm:cxn modelId="{F1D55D98-32B9-45B4-B5E9-19CB061C4BBE}" srcId="{83839502-DC91-4A04-B67E-CACA0470A024}" destId="{F2154206-F28A-4C78-B559-B9B88C30A6E1}" srcOrd="0" destOrd="0" parTransId="{F028767A-BA49-46D3-8117-F7A84059D988}" sibTransId="{054FB624-DC62-41EC-9ECB-388FAD11E5AE}"/>
    <dgm:cxn modelId="{B331A19D-3FC6-499A-B0B4-35D907589C88}" type="presOf" srcId="{5EA55107-A355-424D-9184-01A0197E686F}" destId="{48FCBBB2-6772-4C0D-B45A-191A4E91000C}" srcOrd="0" destOrd="0" presId="urn:microsoft.com/office/officeart/2005/8/layout/lProcess2"/>
    <dgm:cxn modelId="{2C324C9E-3E36-4D0A-9CEA-521BBA18EEB1}" type="presOf" srcId="{9ED8C5E2-2457-45EA-B364-086E5D46DD5F}" destId="{4ACC1AC6-A7A6-4455-8000-A2C187253491}" srcOrd="0" destOrd="0" presId="urn:microsoft.com/office/officeart/2005/8/layout/lProcess2"/>
    <dgm:cxn modelId="{8E53FAA1-B304-4898-A933-F0B5B86699E2}" srcId="{521AEB64-36C7-46A2-9597-B6C033FA103D}" destId="{F4C2C702-2D8F-4B33-96A9-E1E54743F9A3}" srcOrd="0" destOrd="0" parTransId="{D0CACF77-DC0C-4456-8871-B18AF98BDB24}" sibTransId="{371F0AAD-5CBA-46A5-8B32-7C49DE8A8791}"/>
    <dgm:cxn modelId="{DD0998A4-F937-40B0-9215-4272932CA444}" srcId="{521AEB64-36C7-46A2-9597-B6C033FA103D}" destId="{CC039994-4AC3-4FC9-8766-3A4DDFD170E3}" srcOrd="2" destOrd="0" parTransId="{7BE43502-3AFA-4833-8CB3-18215CFB98BB}" sibTransId="{0EC2BF17-6A7E-4D21-82D0-FB90F7234657}"/>
    <dgm:cxn modelId="{ED43C6AD-EE00-48DE-91D1-4E4DD5E39CCA}" srcId="{FD32C80B-696B-493F-8128-3C4919745EF5}" destId="{5EA55107-A355-424D-9184-01A0197E686F}" srcOrd="1" destOrd="0" parTransId="{A89A71C4-C500-416A-9FA7-3B8F0607C7DC}" sibTransId="{982BFA0E-3FD8-4315-AFE9-F8469E4B4803}"/>
    <dgm:cxn modelId="{CC304FB5-9E56-45C8-9A91-3AAE2480DA91}" srcId="{7B6A2759-3C3F-440F-A189-7ACF04359CC1}" destId="{FD32C80B-696B-493F-8128-3C4919745EF5}" srcOrd="0" destOrd="0" parTransId="{94892768-7244-410F-8424-99F2DCE4D0E0}" sibTransId="{243BB8CB-B6E8-4DF9-85F8-022EF127D5FD}"/>
    <dgm:cxn modelId="{1FF0C2B7-FFDC-4A0C-85E7-0B5EC2C27F78}" type="presOf" srcId="{0BF5AECE-4B84-458D-B9F1-45CE81CE016F}" destId="{06077D5F-4E83-4A9B-9C8F-2BAA6A8A916F}" srcOrd="0" destOrd="0" presId="urn:microsoft.com/office/officeart/2005/8/layout/lProcess2"/>
    <dgm:cxn modelId="{88EC59BD-453D-40FF-8B40-15FBBAEF06D1}" type="presOf" srcId="{BA825712-099B-4D38-872D-0700F9661F9D}" destId="{C212FFAD-906D-4990-8F7B-B00A5904B298}" srcOrd="0" destOrd="0" presId="urn:microsoft.com/office/officeart/2005/8/layout/lProcess2"/>
    <dgm:cxn modelId="{6287CDBF-94CE-404D-9502-B1B23684B60A}" type="presOf" srcId="{83839502-DC91-4A04-B67E-CACA0470A024}" destId="{27D1E199-17A4-470E-9752-9C313A6DA033}" srcOrd="1" destOrd="0" presId="urn:microsoft.com/office/officeart/2005/8/layout/lProcess2"/>
    <dgm:cxn modelId="{B2D973C5-E512-4FBE-AC4F-F122CFF29520}" srcId="{FD32C80B-696B-493F-8128-3C4919745EF5}" destId="{7C9F471D-02E8-4A01-861D-52D3F37603E3}" srcOrd="2" destOrd="0" parTransId="{56F510D8-E50F-4CEA-AF2A-C76E0283C219}" sibTransId="{34780B3C-F0BB-47B2-A02C-B39C0350ACE7}"/>
    <dgm:cxn modelId="{18E8D7C9-F19A-4CF4-9E3F-94DFAB22DE5C}" type="presOf" srcId="{7B6A2759-3C3F-440F-A189-7ACF04359CC1}" destId="{7CD1BCE8-B7D5-4799-894E-9764B917B0F0}" srcOrd="0" destOrd="0" presId="urn:microsoft.com/office/officeart/2005/8/layout/lProcess2"/>
    <dgm:cxn modelId="{037AE4C9-4563-4229-8DC7-C31A2BE5F82D}" type="presOf" srcId="{CC039994-4AC3-4FC9-8766-3A4DDFD170E3}" destId="{733FDD68-2FF7-4F65-806C-96603C9BFBB4}" srcOrd="0" destOrd="0" presId="urn:microsoft.com/office/officeart/2005/8/layout/lProcess2"/>
    <dgm:cxn modelId="{0D886ACC-E550-4487-822B-1C59FEE81794}" srcId="{521AEB64-36C7-46A2-9597-B6C033FA103D}" destId="{430DE76E-0BFD-4DDF-92AC-52B81838E2EE}" srcOrd="3" destOrd="0" parTransId="{DA07C3E4-9932-463D-A936-8A20A3B3D626}" sibTransId="{654B81F5-936B-412C-9BBC-3FE373311F75}"/>
    <dgm:cxn modelId="{3A8FB7D4-F35E-46C4-A4DC-D1737C222366}" srcId="{7B6A2759-3C3F-440F-A189-7ACF04359CC1}" destId="{521AEB64-36C7-46A2-9597-B6C033FA103D}" srcOrd="1" destOrd="0" parTransId="{EC403416-3A76-4D5E-85A8-4F41E3D18945}" sibTransId="{C53EC10B-A989-4C8A-9F93-28C686FFBC69}"/>
    <dgm:cxn modelId="{7DF9DFD8-AE20-42C2-9DE2-0D89FB66CF00}" type="presOf" srcId="{430DE76E-0BFD-4DDF-92AC-52B81838E2EE}" destId="{2EDBF204-1648-4EF7-9D6C-F14601259ED2}" srcOrd="0" destOrd="0" presId="urn:microsoft.com/office/officeart/2005/8/layout/lProcess2"/>
    <dgm:cxn modelId="{12ADECE4-33C3-44D0-996D-0A0B1E250EFE}" type="presOf" srcId="{FD32C80B-696B-493F-8128-3C4919745EF5}" destId="{15A8C17D-DAFC-4FE4-9089-F82EE86A4041}" srcOrd="1" destOrd="0" presId="urn:microsoft.com/office/officeart/2005/8/layout/lProcess2"/>
    <dgm:cxn modelId="{6A66ADEE-696E-4F57-9882-47DBC0FA77BA}" srcId="{83839502-DC91-4A04-B67E-CACA0470A024}" destId="{0BF5AECE-4B84-458D-B9F1-45CE81CE016F}" srcOrd="2" destOrd="0" parTransId="{1B648046-D820-4836-8171-5332D3873BBF}" sibTransId="{224702B9-7B30-4CE7-B883-C770B1BCCD74}"/>
    <dgm:cxn modelId="{1DC702F5-A525-49C1-9BA4-288ECF6503EB}" type="presOf" srcId="{F4C2C702-2D8F-4B33-96A9-E1E54743F9A3}" destId="{64E7623D-5AEA-47EA-931F-48B2F7B10873}" srcOrd="0" destOrd="0" presId="urn:microsoft.com/office/officeart/2005/8/layout/lProcess2"/>
    <dgm:cxn modelId="{4D3B96F8-D210-4928-A0E8-E4A138513F9D}" type="presOf" srcId="{521AEB64-36C7-46A2-9597-B6C033FA103D}" destId="{12C131ED-0FA2-4886-B110-E8ED2E7A557A}" srcOrd="1" destOrd="0" presId="urn:microsoft.com/office/officeart/2005/8/layout/lProcess2"/>
    <dgm:cxn modelId="{0A4C62CF-2A31-4C4A-A413-836098E85EAB}" type="presParOf" srcId="{7CD1BCE8-B7D5-4799-894E-9764B917B0F0}" destId="{03C04D75-3F3B-4FB2-BB4D-62A1C709A929}" srcOrd="0" destOrd="0" presId="urn:microsoft.com/office/officeart/2005/8/layout/lProcess2"/>
    <dgm:cxn modelId="{E02D4AC3-04E2-4D85-8D66-7484CC24608D}" type="presParOf" srcId="{03C04D75-3F3B-4FB2-BB4D-62A1C709A929}" destId="{F7235AB0-BE45-4CA6-9A47-BE59ADCC7DE1}" srcOrd="0" destOrd="0" presId="urn:microsoft.com/office/officeart/2005/8/layout/lProcess2"/>
    <dgm:cxn modelId="{75E67189-5C55-4EDA-B7E1-726255325450}" type="presParOf" srcId="{03C04D75-3F3B-4FB2-BB4D-62A1C709A929}" destId="{15A8C17D-DAFC-4FE4-9089-F82EE86A4041}" srcOrd="1" destOrd="0" presId="urn:microsoft.com/office/officeart/2005/8/layout/lProcess2"/>
    <dgm:cxn modelId="{6B72DE8E-55AC-492B-98B7-969596396081}" type="presParOf" srcId="{03C04D75-3F3B-4FB2-BB4D-62A1C709A929}" destId="{C9D905FB-4B77-4851-AF0E-0C3D6B118D90}" srcOrd="2" destOrd="0" presId="urn:microsoft.com/office/officeart/2005/8/layout/lProcess2"/>
    <dgm:cxn modelId="{194A8735-71F0-4344-A6E6-951F5EAC6BE8}" type="presParOf" srcId="{C9D905FB-4B77-4851-AF0E-0C3D6B118D90}" destId="{116DF486-7137-4A66-9B7F-559A00480E27}" srcOrd="0" destOrd="0" presId="urn:microsoft.com/office/officeart/2005/8/layout/lProcess2"/>
    <dgm:cxn modelId="{A5923891-7BD5-468B-904E-06F75239FB20}" type="presParOf" srcId="{116DF486-7137-4A66-9B7F-559A00480E27}" destId="{7848FDBB-5C46-4DED-A2A7-31761F9BF1C3}" srcOrd="0" destOrd="0" presId="urn:microsoft.com/office/officeart/2005/8/layout/lProcess2"/>
    <dgm:cxn modelId="{CCECDD79-9326-4049-934F-A9EA57E55060}" type="presParOf" srcId="{116DF486-7137-4A66-9B7F-559A00480E27}" destId="{19F3D87C-06BF-4F6B-B5B2-0A5DE74662F1}" srcOrd="1" destOrd="0" presId="urn:microsoft.com/office/officeart/2005/8/layout/lProcess2"/>
    <dgm:cxn modelId="{4A6B8338-0F00-4B6B-A5CD-BC236561815C}" type="presParOf" srcId="{116DF486-7137-4A66-9B7F-559A00480E27}" destId="{48FCBBB2-6772-4C0D-B45A-191A4E91000C}" srcOrd="2" destOrd="0" presId="urn:microsoft.com/office/officeart/2005/8/layout/lProcess2"/>
    <dgm:cxn modelId="{E30E82DC-E5BE-4DA8-91D5-07A67E42FA89}" type="presParOf" srcId="{116DF486-7137-4A66-9B7F-559A00480E27}" destId="{0215DA7F-D3BA-4044-826C-5B996D95BF66}" srcOrd="3" destOrd="0" presId="urn:microsoft.com/office/officeart/2005/8/layout/lProcess2"/>
    <dgm:cxn modelId="{785C10EF-E4E0-4F2A-A96E-F24DBFDD76BD}" type="presParOf" srcId="{116DF486-7137-4A66-9B7F-559A00480E27}" destId="{E546429F-569F-4E74-85EE-EA19E339B72E}" srcOrd="4" destOrd="0" presId="urn:microsoft.com/office/officeart/2005/8/layout/lProcess2"/>
    <dgm:cxn modelId="{F4DD4193-D6AD-4EC4-AED8-6EE58043CA36}" type="presParOf" srcId="{7CD1BCE8-B7D5-4799-894E-9764B917B0F0}" destId="{1F063A7D-5115-4C41-992A-538E42E69317}" srcOrd="1" destOrd="0" presId="urn:microsoft.com/office/officeart/2005/8/layout/lProcess2"/>
    <dgm:cxn modelId="{179CE24B-4FF6-4F59-9186-DA64805D32B7}" type="presParOf" srcId="{7CD1BCE8-B7D5-4799-894E-9764B917B0F0}" destId="{B4AE2234-20A8-4068-BE9D-BC2215E0C226}" srcOrd="2" destOrd="0" presId="urn:microsoft.com/office/officeart/2005/8/layout/lProcess2"/>
    <dgm:cxn modelId="{5C406F53-296A-4204-B946-774C77177D9C}" type="presParOf" srcId="{B4AE2234-20A8-4068-BE9D-BC2215E0C226}" destId="{ACF7D494-7030-4365-9EBA-755FDA351D7A}" srcOrd="0" destOrd="0" presId="urn:microsoft.com/office/officeart/2005/8/layout/lProcess2"/>
    <dgm:cxn modelId="{0A46AC57-AC52-4CDA-9888-22EF290D4B0B}" type="presParOf" srcId="{B4AE2234-20A8-4068-BE9D-BC2215E0C226}" destId="{12C131ED-0FA2-4886-B110-E8ED2E7A557A}" srcOrd="1" destOrd="0" presId="urn:microsoft.com/office/officeart/2005/8/layout/lProcess2"/>
    <dgm:cxn modelId="{A32E2E97-48FB-4252-BCF8-01F49A8593C7}" type="presParOf" srcId="{B4AE2234-20A8-4068-BE9D-BC2215E0C226}" destId="{3F5653AE-CA94-4CC3-A89C-5F780F04A4D1}" srcOrd="2" destOrd="0" presId="urn:microsoft.com/office/officeart/2005/8/layout/lProcess2"/>
    <dgm:cxn modelId="{B14B29A4-9661-44C0-BA59-AEB3BA87BED1}" type="presParOf" srcId="{3F5653AE-CA94-4CC3-A89C-5F780F04A4D1}" destId="{2617401D-E553-49C2-94B2-062AB3DDA76B}" srcOrd="0" destOrd="0" presId="urn:microsoft.com/office/officeart/2005/8/layout/lProcess2"/>
    <dgm:cxn modelId="{C516D1CB-D3D3-4297-A74E-CA282A7FBE6D}" type="presParOf" srcId="{2617401D-E553-49C2-94B2-062AB3DDA76B}" destId="{64E7623D-5AEA-47EA-931F-48B2F7B10873}" srcOrd="0" destOrd="0" presId="urn:microsoft.com/office/officeart/2005/8/layout/lProcess2"/>
    <dgm:cxn modelId="{49AE4D61-F6F2-486B-AC51-FEE2C0CE08AA}" type="presParOf" srcId="{2617401D-E553-49C2-94B2-062AB3DDA76B}" destId="{9BDB719B-F7A9-49B3-9EE0-0CE3FBB4EB6F}" srcOrd="1" destOrd="0" presId="urn:microsoft.com/office/officeart/2005/8/layout/lProcess2"/>
    <dgm:cxn modelId="{3BBE720F-5215-4F1A-AB52-F82FB0BE430D}" type="presParOf" srcId="{2617401D-E553-49C2-94B2-062AB3DDA76B}" destId="{AD54E1D0-2E68-4F0B-A988-C0C37EEBA9CB}" srcOrd="2" destOrd="0" presId="urn:microsoft.com/office/officeart/2005/8/layout/lProcess2"/>
    <dgm:cxn modelId="{6FE36EA5-68FE-4904-8040-C63A4E4530D0}" type="presParOf" srcId="{2617401D-E553-49C2-94B2-062AB3DDA76B}" destId="{501EC716-493F-4C27-8920-C7E591A0AD81}" srcOrd="3" destOrd="0" presId="urn:microsoft.com/office/officeart/2005/8/layout/lProcess2"/>
    <dgm:cxn modelId="{3C1516C7-6F8D-4FE4-8A3D-86A1EAEC6B5E}" type="presParOf" srcId="{2617401D-E553-49C2-94B2-062AB3DDA76B}" destId="{733FDD68-2FF7-4F65-806C-96603C9BFBB4}" srcOrd="4" destOrd="0" presId="urn:microsoft.com/office/officeart/2005/8/layout/lProcess2"/>
    <dgm:cxn modelId="{E1E172C7-227F-4C8D-9742-C5A0A079C186}" type="presParOf" srcId="{2617401D-E553-49C2-94B2-062AB3DDA76B}" destId="{299B1D3C-F09C-42F6-B9A2-1196851BC9D6}" srcOrd="5" destOrd="0" presId="urn:microsoft.com/office/officeart/2005/8/layout/lProcess2"/>
    <dgm:cxn modelId="{CCF2760E-418F-4576-BE7F-6AE05CFFBB65}" type="presParOf" srcId="{2617401D-E553-49C2-94B2-062AB3DDA76B}" destId="{2EDBF204-1648-4EF7-9D6C-F14601259ED2}" srcOrd="6" destOrd="0" presId="urn:microsoft.com/office/officeart/2005/8/layout/lProcess2"/>
    <dgm:cxn modelId="{F7177615-DA61-4E8A-9904-316CF8429A2C}" type="presParOf" srcId="{7CD1BCE8-B7D5-4799-894E-9764B917B0F0}" destId="{9BB4A50A-B903-472D-AC00-214A8F50BE47}" srcOrd="3" destOrd="0" presId="urn:microsoft.com/office/officeart/2005/8/layout/lProcess2"/>
    <dgm:cxn modelId="{EAF93D33-FA52-4EF8-825E-646ECF458F91}" type="presParOf" srcId="{7CD1BCE8-B7D5-4799-894E-9764B917B0F0}" destId="{164FC23D-CC83-4885-9383-ECE7462AEBC4}" srcOrd="4" destOrd="0" presId="urn:microsoft.com/office/officeart/2005/8/layout/lProcess2"/>
    <dgm:cxn modelId="{18AC962A-2FA0-47DF-966E-B2AD7089136C}" type="presParOf" srcId="{164FC23D-CC83-4885-9383-ECE7462AEBC4}" destId="{63E00632-6C5E-495C-B8D8-1FFBECCB2DDD}" srcOrd="0" destOrd="0" presId="urn:microsoft.com/office/officeart/2005/8/layout/lProcess2"/>
    <dgm:cxn modelId="{1BEA84E5-0D4B-4A3C-A09D-8824A986D409}" type="presParOf" srcId="{164FC23D-CC83-4885-9383-ECE7462AEBC4}" destId="{27D1E199-17A4-470E-9752-9C313A6DA033}" srcOrd="1" destOrd="0" presId="urn:microsoft.com/office/officeart/2005/8/layout/lProcess2"/>
    <dgm:cxn modelId="{76879AD9-1502-4FA8-9075-B74C5EFFC62C}" type="presParOf" srcId="{164FC23D-CC83-4885-9383-ECE7462AEBC4}" destId="{C3F24A38-CFD6-4001-AD1D-8B4FBAF7B319}" srcOrd="2" destOrd="0" presId="urn:microsoft.com/office/officeart/2005/8/layout/lProcess2"/>
    <dgm:cxn modelId="{D938454D-9BF7-4083-968B-6443F8E98B71}" type="presParOf" srcId="{C3F24A38-CFD6-4001-AD1D-8B4FBAF7B319}" destId="{9326767B-AEA0-4C77-95EA-FAA9FC58FDDD}" srcOrd="0" destOrd="0" presId="urn:microsoft.com/office/officeart/2005/8/layout/lProcess2"/>
    <dgm:cxn modelId="{70C7DF9A-FE80-41C2-BC57-B403C881DAC9}" type="presParOf" srcId="{9326767B-AEA0-4C77-95EA-FAA9FC58FDDD}" destId="{AD2FF75D-591F-4D03-9A55-5F9ED76FAA7C}" srcOrd="0" destOrd="0" presId="urn:microsoft.com/office/officeart/2005/8/layout/lProcess2"/>
    <dgm:cxn modelId="{E175865B-B26A-4544-8F1B-D29869E1E022}" type="presParOf" srcId="{9326767B-AEA0-4C77-95EA-FAA9FC58FDDD}" destId="{F0AA2B8A-8F4C-4CE7-8202-D2F1E3E96DA3}" srcOrd="1" destOrd="0" presId="urn:microsoft.com/office/officeart/2005/8/layout/lProcess2"/>
    <dgm:cxn modelId="{B19A3B19-1A95-4BCC-A51C-771CA118ED1B}" type="presParOf" srcId="{9326767B-AEA0-4C77-95EA-FAA9FC58FDDD}" destId="{4ACC1AC6-A7A6-4455-8000-A2C187253491}" srcOrd="2" destOrd="0" presId="urn:microsoft.com/office/officeart/2005/8/layout/lProcess2"/>
    <dgm:cxn modelId="{0F43E389-7988-43F5-BE39-12DDA342DC12}" type="presParOf" srcId="{9326767B-AEA0-4C77-95EA-FAA9FC58FDDD}" destId="{76D3C37C-5CE3-49DD-B6D0-979DD3D570CB}" srcOrd="3" destOrd="0" presId="urn:microsoft.com/office/officeart/2005/8/layout/lProcess2"/>
    <dgm:cxn modelId="{50781C46-A880-4D57-BDB2-40979265B989}" type="presParOf" srcId="{9326767B-AEA0-4C77-95EA-FAA9FC58FDDD}" destId="{06077D5F-4E83-4A9B-9C8F-2BAA6A8A916F}" srcOrd="4" destOrd="0" presId="urn:microsoft.com/office/officeart/2005/8/layout/lProcess2"/>
    <dgm:cxn modelId="{79DD4F4E-2A0C-43B9-9EBD-5F08304E70DC}" type="presParOf" srcId="{9326767B-AEA0-4C77-95EA-FAA9FC58FDDD}" destId="{2859791F-75B4-43EA-91AB-A6455565C5DA}" srcOrd="5" destOrd="0" presId="urn:microsoft.com/office/officeart/2005/8/layout/lProcess2"/>
    <dgm:cxn modelId="{8F4667B5-FC7A-4845-B282-01FCD18FF277}" type="presParOf" srcId="{9326767B-AEA0-4C77-95EA-FAA9FC58FDDD}" destId="{DFAA7447-4823-465B-8123-85966DCE0918}" srcOrd="6" destOrd="0" presId="urn:microsoft.com/office/officeart/2005/8/layout/lProcess2"/>
    <dgm:cxn modelId="{7E655F66-47B6-4453-B1FC-7F6C62BD19C3}" type="presParOf" srcId="{9326767B-AEA0-4C77-95EA-FAA9FC58FDDD}" destId="{B2F158F8-ECD7-499C-A982-EAC7700967D3}" srcOrd="7" destOrd="0" presId="urn:microsoft.com/office/officeart/2005/8/layout/lProcess2"/>
    <dgm:cxn modelId="{25EFC616-E02F-40AD-9870-067281750112}" type="presParOf" srcId="{9326767B-AEA0-4C77-95EA-FAA9FC58FDDD}" destId="{C212FFAD-906D-4990-8F7B-B00A5904B298}" srcOrd="8" destOrd="0" presId="urn:microsoft.com/office/officeart/2005/8/layout/l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0770F8C-0134-4C25-9085-2074A727E4B3}" type="doc">
      <dgm:prSet loTypeId="urn:microsoft.com/office/officeart/2005/8/layout/hierarchy3" loCatId="relationship" qsTypeId="urn:microsoft.com/office/officeart/2005/8/quickstyle/simple1" qsCatId="simple" csTypeId="urn:microsoft.com/office/officeart/2005/8/colors/accent1_2" csCatId="accent1" phldr="1"/>
      <dgm:spPr/>
      <dgm:t>
        <a:bodyPr/>
        <a:lstStyle/>
        <a:p>
          <a:endParaRPr lang="en-GB"/>
        </a:p>
      </dgm:t>
    </dgm:pt>
    <dgm:pt modelId="{7E8F2E78-0356-45EC-A706-5C56CE37F485}">
      <dgm:prSet phldrT="[Text]" custT="1"/>
      <dgm:spPr/>
      <dgm:t>
        <a:bodyPr/>
        <a:lstStyle/>
        <a:p>
          <a:r>
            <a:rPr lang="en-GB" sz="1800">
              <a:solidFill>
                <a:srgbClr val="FFFF00"/>
              </a:solidFill>
            </a:rPr>
            <a:t>Power/Interest</a:t>
          </a:r>
        </a:p>
      </dgm:t>
    </dgm:pt>
    <dgm:pt modelId="{97FFFD52-9590-4E58-8032-C2177451C528}" type="parTrans" cxnId="{B262119F-F40F-418F-B842-BF7A633352BE}">
      <dgm:prSet/>
      <dgm:spPr/>
      <dgm:t>
        <a:bodyPr/>
        <a:lstStyle/>
        <a:p>
          <a:endParaRPr lang="en-GB"/>
        </a:p>
      </dgm:t>
    </dgm:pt>
    <dgm:pt modelId="{F377A52B-E2CE-4482-924A-96F87786F890}" type="sibTrans" cxnId="{B262119F-F40F-418F-B842-BF7A633352BE}">
      <dgm:prSet/>
      <dgm:spPr/>
      <dgm:t>
        <a:bodyPr/>
        <a:lstStyle/>
        <a:p>
          <a:endParaRPr lang="en-GB"/>
        </a:p>
      </dgm:t>
    </dgm:pt>
    <dgm:pt modelId="{F633DA5A-94A2-4B01-8950-A9CE54CBD616}">
      <dgm:prSet phldrT="[Text]" custT="1">
        <dgm:style>
          <a:lnRef idx="1">
            <a:schemeClr val="accent2"/>
          </a:lnRef>
          <a:fillRef idx="2">
            <a:schemeClr val="accent2"/>
          </a:fillRef>
          <a:effectRef idx="1">
            <a:schemeClr val="accent2"/>
          </a:effectRef>
          <a:fontRef idx="minor">
            <a:schemeClr val="dk1"/>
          </a:fontRef>
        </dgm:style>
      </dgm:prSet>
      <dgm:spPr/>
      <dgm:t>
        <a:bodyPr/>
        <a:lstStyle/>
        <a:p>
          <a:r>
            <a:rPr lang="en-GB" sz="1200">
              <a:solidFill>
                <a:schemeClr val="tx1"/>
              </a:solidFill>
            </a:rPr>
            <a:t>High Power- High Interest(Manage Closely)</a:t>
          </a:r>
        </a:p>
      </dgm:t>
    </dgm:pt>
    <dgm:pt modelId="{E332F861-FC93-4822-A008-35D1C787BAB2}" type="parTrans" cxnId="{5312F3E0-6BCC-425C-BD62-F95B3D7B32DD}">
      <dgm:prSet/>
      <dgm:spPr/>
      <dgm:t>
        <a:bodyPr/>
        <a:lstStyle/>
        <a:p>
          <a:endParaRPr lang="en-GB"/>
        </a:p>
      </dgm:t>
    </dgm:pt>
    <dgm:pt modelId="{FE6E451C-B7C7-45E0-9FA7-0A41825A2742}" type="sibTrans" cxnId="{5312F3E0-6BCC-425C-BD62-F95B3D7B32DD}">
      <dgm:prSet/>
      <dgm:spPr/>
      <dgm:t>
        <a:bodyPr/>
        <a:lstStyle/>
        <a:p>
          <a:endParaRPr lang="en-GB"/>
        </a:p>
      </dgm:t>
    </dgm:pt>
    <dgm:pt modelId="{CCD600A7-AAAA-46B6-B5D5-0A11F2712C80}">
      <dgm:prSet phldrT="[Text]" custT="1">
        <dgm:style>
          <a:lnRef idx="1">
            <a:schemeClr val="accent2"/>
          </a:lnRef>
          <a:fillRef idx="2">
            <a:schemeClr val="accent2"/>
          </a:fillRef>
          <a:effectRef idx="1">
            <a:schemeClr val="accent2"/>
          </a:effectRef>
          <a:fontRef idx="minor">
            <a:schemeClr val="dk1"/>
          </a:fontRef>
        </dgm:style>
      </dgm:prSet>
      <dgm:spPr/>
      <dgm:t>
        <a:bodyPr/>
        <a:lstStyle/>
        <a:p>
          <a:r>
            <a:rPr lang="en-GB" sz="1200">
              <a:solidFill>
                <a:schemeClr val="tx1"/>
              </a:solidFill>
            </a:rPr>
            <a:t>Low Power- High Interest (Keep Informed)</a:t>
          </a:r>
        </a:p>
      </dgm:t>
    </dgm:pt>
    <dgm:pt modelId="{023EA7C6-A6A5-4C27-82DD-C0C7212C92B3}" type="parTrans" cxnId="{528EAF56-CE65-4019-AA26-7B2C288B5DFB}">
      <dgm:prSet/>
      <dgm:spPr/>
      <dgm:t>
        <a:bodyPr/>
        <a:lstStyle/>
        <a:p>
          <a:endParaRPr lang="en-GB"/>
        </a:p>
      </dgm:t>
    </dgm:pt>
    <dgm:pt modelId="{267C7B6D-6A9E-477B-BCBC-AD45CFE6B445}" type="sibTrans" cxnId="{528EAF56-CE65-4019-AA26-7B2C288B5DFB}">
      <dgm:prSet/>
      <dgm:spPr/>
      <dgm:t>
        <a:bodyPr/>
        <a:lstStyle/>
        <a:p>
          <a:endParaRPr lang="en-GB"/>
        </a:p>
      </dgm:t>
    </dgm:pt>
    <dgm:pt modelId="{692637FC-F7AD-4897-9B9F-846ED1C8C20A}">
      <dgm:prSet phldrT="[Text]" custT="1"/>
      <dgm:spPr/>
      <dgm:t>
        <a:bodyPr/>
        <a:lstStyle/>
        <a:p>
          <a:r>
            <a:rPr lang="en-GB" sz="1800">
              <a:solidFill>
                <a:srgbClr val="FFFF00"/>
              </a:solidFill>
            </a:rPr>
            <a:t>Stakehholders</a:t>
          </a:r>
        </a:p>
      </dgm:t>
    </dgm:pt>
    <dgm:pt modelId="{299D88AE-303C-4D95-B72F-7F558059E4C7}" type="parTrans" cxnId="{1BA28807-FD54-4838-AFC0-700E59F0F462}">
      <dgm:prSet/>
      <dgm:spPr/>
      <dgm:t>
        <a:bodyPr/>
        <a:lstStyle/>
        <a:p>
          <a:endParaRPr lang="en-GB"/>
        </a:p>
      </dgm:t>
    </dgm:pt>
    <dgm:pt modelId="{819CCD5B-CDF8-4BDA-93D7-AA3A6E653152}" type="sibTrans" cxnId="{1BA28807-FD54-4838-AFC0-700E59F0F462}">
      <dgm:prSet/>
      <dgm:spPr/>
      <dgm:t>
        <a:bodyPr/>
        <a:lstStyle/>
        <a:p>
          <a:endParaRPr lang="en-GB"/>
        </a:p>
      </dgm:t>
    </dgm:pt>
    <dgm:pt modelId="{340BE8EA-6ADE-431A-982B-9B0C8102EFC3}">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dgm:spPr>
      <dgm:t>
        <a:bodyPr/>
        <a:lstStyle/>
        <a:p>
          <a:r>
            <a:rPr lang="en-GB" sz="1200"/>
            <a:t>Cardiff Council(Client), Project Manager, Project Team</a:t>
          </a:r>
        </a:p>
      </dgm:t>
    </dgm:pt>
    <dgm:pt modelId="{CA6628C7-609F-4B8B-B77A-D8A35560F16A}" type="parTrans" cxnId="{3F8764F6-F3EF-4103-ABCF-BF60CADD2186}">
      <dgm:prSet/>
      <dgm:spPr/>
      <dgm:t>
        <a:bodyPr/>
        <a:lstStyle/>
        <a:p>
          <a:endParaRPr lang="en-GB"/>
        </a:p>
      </dgm:t>
    </dgm:pt>
    <dgm:pt modelId="{7B89ED07-5651-44D9-A301-7A2F82459157}" type="sibTrans" cxnId="{3F8764F6-F3EF-4103-ABCF-BF60CADD2186}">
      <dgm:prSet/>
      <dgm:spPr/>
      <dgm:t>
        <a:bodyPr/>
        <a:lstStyle/>
        <a:p>
          <a:endParaRPr lang="en-GB"/>
        </a:p>
      </dgm:t>
    </dgm:pt>
    <dgm:pt modelId="{7AAC7065-C75E-45E2-95B4-E1775E86B5EA}">
      <dgm:prSet custT="1">
        <dgm:style>
          <a:lnRef idx="1">
            <a:schemeClr val="accent2"/>
          </a:lnRef>
          <a:fillRef idx="2">
            <a:schemeClr val="accent2"/>
          </a:fillRef>
          <a:effectRef idx="1">
            <a:schemeClr val="accent2"/>
          </a:effectRef>
          <a:fontRef idx="minor">
            <a:schemeClr val="dk1"/>
          </a:fontRef>
        </dgm:style>
      </dgm:prSet>
      <dgm:spPr/>
      <dgm:t>
        <a:bodyPr/>
        <a:lstStyle/>
        <a:p>
          <a:r>
            <a:rPr lang="en-GB" sz="1200">
              <a:solidFill>
                <a:schemeClr val="tx1"/>
              </a:solidFill>
            </a:rPr>
            <a:t>High Power-Low Interest(Keep Satisfied)</a:t>
          </a:r>
        </a:p>
      </dgm:t>
    </dgm:pt>
    <dgm:pt modelId="{65DA7161-1EB3-4B1D-8239-D7FF2E183938}" type="parTrans" cxnId="{84F5E7E1-C33E-4249-9B70-4184193A277E}">
      <dgm:prSet/>
      <dgm:spPr/>
      <dgm:t>
        <a:bodyPr/>
        <a:lstStyle/>
        <a:p>
          <a:endParaRPr lang="en-GB"/>
        </a:p>
      </dgm:t>
    </dgm:pt>
    <dgm:pt modelId="{0658C5D4-3D01-433C-B7D7-03AF063B7A96}" type="sibTrans" cxnId="{84F5E7E1-C33E-4249-9B70-4184193A277E}">
      <dgm:prSet/>
      <dgm:spPr/>
      <dgm:t>
        <a:bodyPr/>
        <a:lstStyle/>
        <a:p>
          <a:endParaRPr lang="en-GB"/>
        </a:p>
      </dgm:t>
    </dgm:pt>
    <dgm:pt modelId="{683E6837-0F22-4D78-8735-7AFA35433559}">
      <dgm:prSet custT="1">
        <dgm:style>
          <a:lnRef idx="1">
            <a:schemeClr val="accent2"/>
          </a:lnRef>
          <a:fillRef idx="2">
            <a:schemeClr val="accent2"/>
          </a:fillRef>
          <a:effectRef idx="1">
            <a:schemeClr val="accent2"/>
          </a:effectRef>
          <a:fontRef idx="minor">
            <a:schemeClr val="dk1"/>
          </a:fontRef>
        </dgm:style>
      </dgm:prSet>
      <dgm:spPr/>
      <dgm:t>
        <a:bodyPr/>
        <a:lstStyle/>
        <a:p>
          <a:r>
            <a:rPr lang="en-GB" sz="1200">
              <a:solidFill>
                <a:schemeClr val="tx1"/>
              </a:solidFill>
            </a:rPr>
            <a:t>Low Power-Low Interest(Monitor)</a:t>
          </a:r>
        </a:p>
      </dgm:t>
    </dgm:pt>
    <dgm:pt modelId="{9B07D3C2-4205-4EBB-B6FB-9AD48A359B4B}" type="parTrans" cxnId="{EB0A3723-492B-4FA7-A60F-B4F37DE8643F}">
      <dgm:prSet/>
      <dgm:spPr/>
      <dgm:t>
        <a:bodyPr/>
        <a:lstStyle/>
        <a:p>
          <a:endParaRPr lang="en-GB"/>
        </a:p>
      </dgm:t>
    </dgm:pt>
    <dgm:pt modelId="{6EF94412-A32C-4322-8C01-D85FE2DB953E}" type="sibTrans" cxnId="{EB0A3723-492B-4FA7-A60F-B4F37DE8643F}">
      <dgm:prSet/>
      <dgm:spPr/>
      <dgm:t>
        <a:bodyPr/>
        <a:lstStyle/>
        <a:p>
          <a:endParaRPr lang="en-GB"/>
        </a:p>
      </dgm:t>
    </dgm:pt>
    <dgm:pt modelId="{04B6B5F8-9324-469A-82D8-74EF00E9E20F}">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dgm:spPr>
      <dgm:t>
        <a:bodyPr/>
        <a:lstStyle/>
        <a:p>
          <a:r>
            <a:rPr lang="en-GB" sz="1200"/>
            <a:t>Environmental Health Officer, Insurance Company</a:t>
          </a:r>
        </a:p>
      </dgm:t>
    </dgm:pt>
    <dgm:pt modelId="{F3F55789-9ADC-4BF1-8497-5F0C75ADFA79}" type="parTrans" cxnId="{656C6002-6CF8-4EE2-B944-67C4CF9470DB}">
      <dgm:prSet/>
      <dgm:spPr/>
      <dgm:t>
        <a:bodyPr/>
        <a:lstStyle/>
        <a:p>
          <a:endParaRPr lang="en-GB"/>
        </a:p>
      </dgm:t>
    </dgm:pt>
    <dgm:pt modelId="{ED08A890-958F-4607-BF55-6CA2D9C0AE15}" type="sibTrans" cxnId="{656C6002-6CF8-4EE2-B944-67C4CF9470DB}">
      <dgm:prSet/>
      <dgm:spPr/>
      <dgm:t>
        <a:bodyPr/>
        <a:lstStyle/>
        <a:p>
          <a:endParaRPr lang="en-GB"/>
        </a:p>
      </dgm:t>
    </dgm:pt>
    <dgm:pt modelId="{CFA418A8-AD92-40F2-8D92-96CCEC1DEDCA}">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dgm:spPr>
      <dgm:t>
        <a:bodyPr/>
        <a:lstStyle/>
        <a:p>
          <a:r>
            <a:rPr lang="en-GB" sz="1200"/>
            <a:t>Suppliers , Specialist Contractors</a:t>
          </a:r>
        </a:p>
      </dgm:t>
    </dgm:pt>
    <dgm:pt modelId="{AB162FC8-C7AB-4BBF-A36F-74AA0D4DA67E}" type="parTrans" cxnId="{716D0903-9C7D-496F-839B-A452CD5405EA}">
      <dgm:prSet/>
      <dgm:spPr/>
      <dgm:t>
        <a:bodyPr/>
        <a:lstStyle/>
        <a:p>
          <a:endParaRPr lang="en-GB"/>
        </a:p>
      </dgm:t>
    </dgm:pt>
    <dgm:pt modelId="{8FD13FE7-005E-4F93-8302-4C679A9008E8}" type="sibTrans" cxnId="{716D0903-9C7D-496F-839B-A452CD5405EA}">
      <dgm:prSet/>
      <dgm:spPr/>
      <dgm:t>
        <a:bodyPr/>
        <a:lstStyle/>
        <a:p>
          <a:endParaRPr lang="en-GB"/>
        </a:p>
      </dgm:t>
    </dgm:pt>
    <dgm:pt modelId="{A14DABC0-AA4F-4662-B855-2CC85E8ED0F7}">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dgm:spPr>
      <dgm:t>
        <a:bodyPr/>
        <a:lstStyle/>
        <a:p>
          <a:r>
            <a:rPr lang="en-GB" sz="1200"/>
            <a:t>   Local Community, Event Visitors</a:t>
          </a:r>
        </a:p>
      </dgm:t>
    </dgm:pt>
    <dgm:pt modelId="{92D4F732-5D6D-4A27-AC0B-2D03A623F6D1}" type="parTrans" cxnId="{AD64C65C-6B24-49AB-8BD8-CABA682C326C}">
      <dgm:prSet/>
      <dgm:spPr/>
      <dgm:t>
        <a:bodyPr/>
        <a:lstStyle/>
        <a:p>
          <a:endParaRPr lang="en-GB"/>
        </a:p>
      </dgm:t>
    </dgm:pt>
    <dgm:pt modelId="{C6AC3A75-FE1B-41D4-BAD4-7993542CB1E1}" type="sibTrans" cxnId="{AD64C65C-6B24-49AB-8BD8-CABA682C326C}">
      <dgm:prSet/>
      <dgm:spPr/>
      <dgm:t>
        <a:bodyPr/>
        <a:lstStyle/>
        <a:p>
          <a:endParaRPr lang="en-GB"/>
        </a:p>
      </dgm:t>
    </dgm:pt>
    <dgm:pt modelId="{92D29B5F-8DDB-4085-BF4F-373D3AD2F385}" type="pres">
      <dgm:prSet presAssocID="{B0770F8C-0134-4C25-9085-2074A727E4B3}" presName="diagram" presStyleCnt="0">
        <dgm:presLayoutVars>
          <dgm:chPref val="1"/>
          <dgm:dir/>
          <dgm:animOne val="branch"/>
          <dgm:animLvl val="lvl"/>
          <dgm:resizeHandles/>
        </dgm:presLayoutVars>
      </dgm:prSet>
      <dgm:spPr/>
    </dgm:pt>
    <dgm:pt modelId="{408A8253-1F59-4D64-925B-14811C3EC79F}" type="pres">
      <dgm:prSet presAssocID="{7E8F2E78-0356-45EC-A706-5C56CE37F485}" presName="root" presStyleCnt="0"/>
      <dgm:spPr/>
    </dgm:pt>
    <dgm:pt modelId="{F2AF0E18-5179-4624-8CDF-98684EFBCA19}" type="pres">
      <dgm:prSet presAssocID="{7E8F2E78-0356-45EC-A706-5C56CE37F485}" presName="rootComposite" presStyleCnt="0"/>
      <dgm:spPr/>
    </dgm:pt>
    <dgm:pt modelId="{3BA214B7-A4F7-41DB-9FF2-A7BFA8DD3C55}" type="pres">
      <dgm:prSet presAssocID="{7E8F2E78-0356-45EC-A706-5C56CE37F485}" presName="rootText" presStyleLbl="node1" presStyleIdx="0" presStyleCnt="2" custScaleY="84314"/>
      <dgm:spPr/>
    </dgm:pt>
    <dgm:pt modelId="{C7B15E72-6744-40A2-BF47-C5A2048A9655}" type="pres">
      <dgm:prSet presAssocID="{7E8F2E78-0356-45EC-A706-5C56CE37F485}" presName="rootConnector" presStyleLbl="node1" presStyleIdx="0" presStyleCnt="2"/>
      <dgm:spPr/>
    </dgm:pt>
    <dgm:pt modelId="{C734BFA6-E33A-43E7-B6C0-47E4EEA540FC}" type="pres">
      <dgm:prSet presAssocID="{7E8F2E78-0356-45EC-A706-5C56CE37F485}" presName="childShape" presStyleCnt="0"/>
      <dgm:spPr/>
    </dgm:pt>
    <dgm:pt modelId="{87DB1038-E201-43E4-B0C1-DC30DFA8B644}" type="pres">
      <dgm:prSet presAssocID="{E332F861-FC93-4822-A008-35D1C787BAB2}" presName="Name13" presStyleLbl="parChTrans1D2" presStyleIdx="0" presStyleCnt="8"/>
      <dgm:spPr/>
    </dgm:pt>
    <dgm:pt modelId="{E100958A-5990-4C7A-A4D4-E641BE0E6655}" type="pres">
      <dgm:prSet presAssocID="{F633DA5A-94A2-4B01-8950-A9CE54CBD616}" presName="childText" presStyleLbl="bgAcc1" presStyleIdx="0" presStyleCnt="8">
        <dgm:presLayoutVars>
          <dgm:bulletEnabled val="1"/>
        </dgm:presLayoutVars>
      </dgm:prSet>
      <dgm:spPr/>
    </dgm:pt>
    <dgm:pt modelId="{5802F943-EFE4-47DF-B7FE-30E6B17C3082}" type="pres">
      <dgm:prSet presAssocID="{65DA7161-1EB3-4B1D-8239-D7FF2E183938}" presName="Name13" presStyleLbl="parChTrans1D2" presStyleIdx="1" presStyleCnt="8"/>
      <dgm:spPr/>
    </dgm:pt>
    <dgm:pt modelId="{B5C68255-5EA5-4F44-9ACC-EBBAAE577473}" type="pres">
      <dgm:prSet presAssocID="{7AAC7065-C75E-45E2-95B4-E1775E86B5EA}" presName="childText" presStyleLbl="bgAcc1" presStyleIdx="1" presStyleCnt="8" custLinFactNeighborX="9357" custLinFactNeighborY="-1664">
        <dgm:presLayoutVars>
          <dgm:bulletEnabled val="1"/>
        </dgm:presLayoutVars>
      </dgm:prSet>
      <dgm:spPr/>
    </dgm:pt>
    <dgm:pt modelId="{25E7DE81-9179-4596-B13E-913212FD708F}" type="pres">
      <dgm:prSet presAssocID="{023EA7C6-A6A5-4C27-82DD-C0C7212C92B3}" presName="Name13" presStyleLbl="parChTrans1D2" presStyleIdx="2" presStyleCnt="8"/>
      <dgm:spPr/>
    </dgm:pt>
    <dgm:pt modelId="{21E9A64E-47C2-4079-9A11-93ACA9100F1B}" type="pres">
      <dgm:prSet presAssocID="{CCD600A7-AAAA-46B6-B5D5-0A11F2712C80}" presName="childText" presStyleLbl="bgAcc1" presStyleIdx="2" presStyleCnt="8">
        <dgm:presLayoutVars>
          <dgm:bulletEnabled val="1"/>
        </dgm:presLayoutVars>
      </dgm:prSet>
      <dgm:spPr/>
    </dgm:pt>
    <dgm:pt modelId="{CB54988F-DE72-4226-8A0D-CC5D1742D5A0}" type="pres">
      <dgm:prSet presAssocID="{9B07D3C2-4205-4EBB-B6FB-9AD48A359B4B}" presName="Name13" presStyleLbl="parChTrans1D2" presStyleIdx="3" presStyleCnt="8"/>
      <dgm:spPr/>
    </dgm:pt>
    <dgm:pt modelId="{50EFF4D1-0164-4B03-B4C2-0B44DE05A89D}" type="pres">
      <dgm:prSet presAssocID="{683E6837-0F22-4D78-8735-7AFA35433559}" presName="childText" presStyleLbl="bgAcc1" presStyleIdx="3" presStyleCnt="8">
        <dgm:presLayoutVars>
          <dgm:bulletEnabled val="1"/>
        </dgm:presLayoutVars>
      </dgm:prSet>
      <dgm:spPr/>
    </dgm:pt>
    <dgm:pt modelId="{9BCCD096-9D6A-42FF-B5F6-55BBCB429FEC}" type="pres">
      <dgm:prSet presAssocID="{692637FC-F7AD-4897-9B9F-846ED1C8C20A}" presName="root" presStyleCnt="0"/>
      <dgm:spPr/>
    </dgm:pt>
    <dgm:pt modelId="{3A1B7203-C419-4A0A-BF7A-8DB90BBDA7D7}" type="pres">
      <dgm:prSet presAssocID="{692637FC-F7AD-4897-9B9F-846ED1C8C20A}" presName="rootComposite" presStyleCnt="0"/>
      <dgm:spPr/>
    </dgm:pt>
    <dgm:pt modelId="{DE6C5352-03CB-4CB1-B5A2-BF184579CA52}" type="pres">
      <dgm:prSet presAssocID="{692637FC-F7AD-4897-9B9F-846ED1C8C20A}" presName="rootText" presStyleLbl="node1" presStyleIdx="1" presStyleCnt="2" custScaleY="77727"/>
      <dgm:spPr/>
    </dgm:pt>
    <dgm:pt modelId="{04B0D044-39FC-4C65-BFA5-9DFB238E1E49}" type="pres">
      <dgm:prSet presAssocID="{692637FC-F7AD-4897-9B9F-846ED1C8C20A}" presName="rootConnector" presStyleLbl="node1" presStyleIdx="1" presStyleCnt="2"/>
      <dgm:spPr/>
    </dgm:pt>
    <dgm:pt modelId="{DB462263-BAC5-48DB-8DA3-317990D0D171}" type="pres">
      <dgm:prSet presAssocID="{692637FC-F7AD-4897-9B9F-846ED1C8C20A}" presName="childShape" presStyleCnt="0"/>
      <dgm:spPr/>
    </dgm:pt>
    <dgm:pt modelId="{583A331B-ACCB-4811-A266-74F5757A4B0D}" type="pres">
      <dgm:prSet presAssocID="{CA6628C7-609F-4B8B-B77A-D8A35560F16A}" presName="Name13" presStyleLbl="parChTrans1D2" presStyleIdx="4" presStyleCnt="8"/>
      <dgm:spPr/>
    </dgm:pt>
    <dgm:pt modelId="{0C107E12-3239-4B9F-8CD5-274E4A757261}" type="pres">
      <dgm:prSet presAssocID="{340BE8EA-6ADE-431A-982B-9B0C8102EFC3}" presName="childText" presStyleLbl="bgAcc1" presStyleIdx="4" presStyleCnt="8" custScaleX="162390">
        <dgm:presLayoutVars>
          <dgm:bulletEnabled val="1"/>
        </dgm:presLayoutVars>
      </dgm:prSet>
      <dgm:spPr/>
    </dgm:pt>
    <dgm:pt modelId="{2F3274BC-770D-4494-A071-BF467A25E330}" type="pres">
      <dgm:prSet presAssocID="{F3F55789-9ADC-4BF1-8497-5F0C75ADFA79}" presName="Name13" presStyleLbl="parChTrans1D2" presStyleIdx="5" presStyleCnt="8"/>
      <dgm:spPr/>
    </dgm:pt>
    <dgm:pt modelId="{BFE875C3-5835-47D3-9FEF-6D32A43E8B7D}" type="pres">
      <dgm:prSet presAssocID="{04B6B5F8-9324-469A-82D8-74EF00E9E20F}" presName="childText" presStyleLbl="bgAcc1" presStyleIdx="5" presStyleCnt="8" custScaleX="158557">
        <dgm:presLayoutVars>
          <dgm:bulletEnabled val="1"/>
        </dgm:presLayoutVars>
      </dgm:prSet>
      <dgm:spPr/>
    </dgm:pt>
    <dgm:pt modelId="{25D070A5-CB05-480A-A3EB-30DABFA9D5C9}" type="pres">
      <dgm:prSet presAssocID="{AB162FC8-C7AB-4BBF-A36F-74AA0D4DA67E}" presName="Name13" presStyleLbl="parChTrans1D2" presStyleIdx="6" presStyleCnt="8"/>
      <dgm:spPr/>
    </dgm:pt>
    <dgm:pt modelId="{068B49B8-E195-41C4-A59D-620FC404F2B6}" type="pres">
      <dgm:prSet presAssocID="{CFA418A8-AD92-40F2-8D92-96CCEC1DEDCA}" presName="childText" presStyleLbl="bgAcc1" presStyleIdx="6" presStyleCnt="8" custScaleX="166015">
        <dgm:presLayoutVars>
          <dgm:bulletEnabled val="1"/>
        </dgm:presLayoutVars>
      </dgm:prSet>
      <dgm:spPr/>
    </dgm:pt>
    <dgm:pt modelId="{AD765EEE-6FED-4865-8D35-BB49FE9EE236}" type="pres">
      <dgm:prSet presAssocID="{92D4F732-5D6D-4A27-AC0B-2D03A623F6D1}" presName="Name13" presStyleLbl="parChTrans1D2" presStyleIdx="7" presStyleCnt="8"/>
      <dgm:spPr/>
    </dgm:pt>
    <dgm:pt modelId="{817C4ACD-8286-4FC6-939D-8FF817A722FB}" type="pres">
      <dgm:prSet presAssocID="{A14DABC0-AA4F-4662-B855-2CC85E8ED0F7}" presName="childText" presStyleLbl="bgAcc1" presStyleIdx="7" presStyleCnt="8" custScaleX="166222">
        <dgm:presLayoutVars>
          <dgm:bulletEnabled val="1"/>
        </dgm:presLayoutVars>
      </dgm:prSet>
      <dgm:spPr/>
    </dgm:pt>
  </dgm:ptLst>
  <dgm:cxnLst>
    <dgm:cxn modelId="{656C6002-6CF8-4EE2-B944-67C4CF9470DB}" srcId="{692637FC-F7AD-4897-9B9F-846ED1C8C20A}" destId="{04B6B5F8-9324-469A-82D8-74EF00E9E20F}" srcOrd="1" destOrd="0" parTransId="{F3F55789-9ADC-4BF1-8497-5F0C75ADFA79}" sibTransId="{ED08A890-958F-4607-BF55-6CA2D9C0AE15}"/>
    <dgm:cxn modelId="{716D0903-9C7D-496F-839B-A452CD5405EA}" srcId="{692637FC-F7AD-4897-9B9F-846ED1C8C20A}" destId="{CFA418A8-AD92-40F2-8D92-96CCEC1DEDCA}" srcOrd="2" destOrd="0" parTransId="{AB162FC8-C7AB-4BBF-A36F-74AA0D4DA67E}" sibTransId="{8FD13FE7-005E-4F93-8302-4C679A9008E8}"/>
    <dgm:cxn modelId="{1BA28807-FD54-4838-AFC0-700E59F0F462}" srcId="{B0770F8C-0134-4C25-9085-2074A727E4B3}" destId="{692637FC-F7AD-4897-9B9F-846ED1C8C20A}" srcOrd="1" destOrd="0" parTransId="{299D88AE-303C-4D95-B72F-7F558059E4C7}" sibTransId="{819CCD5B-CDF8-4BDA-93D7-AA3A6E653152}"/>
    <dgm:cxn modelId="{24FCF00A-7D7F-4705-9C71-0C61F1993DB2}" type="presOf" srcId="{9B07D3C2-4205-4EBB-B6FB-9AD48A359B4B}" destId="{CB54988F-DE72-4226-8A0D-CC5D1742D5A0}" srcOrd="0" destOrd="0" presId="urn:microsoft.com/office/officeart/2005/8/layout/hierarchy3"/>
    <dgm:cxn modelId="{F9228D11-D949-471B-B25C-A6C5E6AD4E6B}" type="presOf" srcId="{92D4F732-5D6D-4A27-AC0B-2D03A623F6D1}" destId="{AD765EEE-6FED-4865-8D35-BB49FE9EE236}" srcOrd="0" destOrd="0" presId="urn:microsoft.com/office/officeart/2005/8/layout/hierarchy3"/>
    <dgm:cxn modelId="{D1D7091E-2B2B-42C3-8038-D73EF7430144}" type="presOf" srcId="{CFA418A8-AD92-40F2-8D92-96CCEC1DEDCA}" destId="{068B49B8-E195-41C4-A59D-620FC404F2B6}" srcOrd="0" destOrd="0" presId="urn:microsoft.com/office/officeart/2005/8/layout/hierarchy3"/>
    <dgm:cxn modelId="{EB0A3723-492B-4FA7-A60F-B4F37DE8643F}" srcId="{7E8F2E78-0356-45EC-A706-5C56CE37F485}" destId="{683E6837-0F22-4D78-8735-7AFA35433559}" srcOrd="3" destOrd="0" parTransId="{9B07D3C2-4205-4EBB-B6FB-9AD48A359B4B}" sibTransId="{6EF94412-A32C-4322-8C01-D85FE2DB953E}"/>
    <dgm:cxn modelId="{07197129-72FE-4634-B1E7-5233460AF044}" type="presOf" srcId="{04B6B5F8-9324-469A-82D8-74EF00E9E20F}" destId="{BFE875C3-5835-47D3-9FEF-6D32A43E8B7D}" srcOrd="0" destOrd="0" presId="urn:microsoft.com/office/officeart/2005/8/layout/hierarchy3"/>
    <dgm:cxn modelId="{69F40B2D-DCBD-4558-9F5F-EB716ADF3FE2}" type="presOf" srcId="{E332F861-FC93-4822-A008-35D1C787BAB2}" destId="{87DB1038-E201-43E4-B0C1-DC30DFA8B644}" srcOrd="0" destOrd="0" presId="urn:microsoft.com/office/officeart/2005/8/layout/hierarchy3"/>
    <dgm:cxn modelId="{AD64C65C-6B24-49AB-8BD8-CABA682C326C}" srcId="{692637FC-F7AD-4897-9B9F-846ED1C8C20A}" destId="{A14DABC0-AA4F-4662-B855-2CC85E8ED0F7}" srcOrd="3" destOrd="0" parTransId="{92D4F732-5D6D-4A27-AC0B-2D03A623F6D1}" sibTransId="{C6AC3A75-FE1B-41D4-BAD4-7993542CB1E1}"/>
    <dgm:cxn modelId="{C944E35C-F15B-4998-BD69-BA834C102F6A}" type="presOf" srcId="{7AAC7065-C75E-45E2-95B4-E1775E86B5EA}" destId="{B5C68255-5EA5-4F44-9ACC-EBBAAE577473}" srcOrd="0" destOrd="0" presId="urn:microsoft.com/office/officeart/2005/8/layout/hierarchy3"/>
    <dgm:cxn modelId="{AECA4D4A-A7DF-4FB8-BE2B-82135C19E20A}" type="presOf" srcId="{340BE8EA-6ADE-431A-982B-9B0C8102EFC3}" destId="{0C107E12-3239-4B9F-8CD5-274E4A757261}" srcOrd="0" destOrd="0" presId="urn:microsoft.com/office/officeart/2005/8/layout/hierarchy3"/>
    <dgm:cxn modelId="{EE158E6A-FD1C-4452-A1D9-376A2CE4A9A3}" type="presOf" srcId="{692637FC-F7AD-4897-9B9F-846ED1C8C20A}" destId="{04B0D044-39FC-4C65-BFA5-9DFB238E1E49}" srcOrd="1" destOrd="0" presId="urn:microsoft.com/office/officeart/2005/8/layout/hierarchy3"/>
    <dgm:cxn modelId="{82D23F4E-A2FB-4EAB-AF85-F5B85479F0CD}" type="presOf" srcId="{683E6837-0F22-4D78-8735-7AFA35433559}" destId="{50EFF4D1-0164-4B03-B4C2-0B44DE05A89D}" srcOrd="0" destOrd="0" presId="urn:microsoft.com/office/officeart/2005/8/layout/hierarchy3"/>
    <dgm:cxn modelId="{1B815572-0490-4F58-9BA3-B3D17A7142DF}" type="presOf" srcId="{692637FC-F7AD-4897-9B9F-846ED1C8C20A}" destId="{DE6C5352-03CB-4CB1-B5A2-BF184579CA52}" srcOrd="0" destOrd="0" presId="urn:microsoft.com/office/officeart/2005/8/layout/hierarchy3"/>
    <dgm:cxn modelId="{528EAF56-CE65-4019-AA26-7B2C288B5DFB}" srcId="{7E8F2E78-0356-45EC-A706-5C56CE37F485}" destId="{CCD600A7-AAAA-46B6-B5D5-0A11F2712C80}" srcOrd="2" destOrd="0" parTransId="{023EA7C6-A6A5-4C27-82DD-C0C7212C92B3}" sibTransId="{267C7B6D-6A9E-477B-BCBC-AD45CFE6B445}"/>
    <dgm:cxn modelId="{CC15E287-00F2-4319-9785-A578A2FB3AD1}" type="presOf" srcId="{F3F55789-9ADC-4BF1-8497-5F0C75ADFA79}" destId="{2F3274BC-770D-4494-A071-BF467A25E330}" srcOrd="0" destOrd="0" presId="urn:microsoft.com/office/officeart/2005/8/layout/hierarchy3"/>
    <dgm:cxn modelId="{37A0E29D-6B98-4962-A775-45C82B26F7C2}" type="presOf" srcId="{7E8F2E78-0356-45EC-A706-5C56CE37F485}" destId="{3BA214B7-A4F7-41DB-9FF2-A7BFA8DD3C55}" srcOrd="0" destOrd="0" presId="urn:microsoft.com/office/officeart/2005/8/layout/hierarchy3"/>
    <dgm:cxn modelId="{B262119F-F40F-418F-B842-BF7A633352BE}" srcId="{B0770F8C-0134-4C25-9085-2074A727E4B3}" destId="{7E8F2E78-0356-45EC-A706-5C56CE37F485}" srcOrd="0" destOrd="0" parTransId="{97FFFD52-9590-4E58-8032-C2177451C528}" sibTransId="{F377A52B-E2CE-4482-924A-96F87786F890}"/>
    <dgm:cxn modelId="{E9136AA7-14FE-40C7-BBA2-32FD5500A64A}" type="presOf" srcId="{023EA7C6-A6A5-4C27-82DD-C0C7212C92B3}" destId="{25E7DE81-9179-4596-B13E-913212FD708F}" srcOrd="0" destOrd="0" presId="urn:microsoft.com/office/officeart/2005/8/layout/hierarchy3"/>
    <dgm:cxn modelId="{1A9488A9-1846-45DF-843B-247F812C4A2C}" type="presOf" srcId="{CA6628C7-609F-4B8B-B77A-D8A35560F16A}" destId="{583A331B-ACCB-4811-A266-74F5757A4B0D}" srcOrd="0" destOrd="0" presId="urn:microsoft.com/office/officeart/2005/8/layout/hierarchy3"/>
    <dgm:cxn modelId="{B2FB6BB3-EA3A-41EF-9A72-D06A0F433776}" type="presOf" srcId="{CCD600A7-AAAA-46B6-B5D5-0A11F2712C80}" destId="{21E9A64E-47C2-4079-9A11-93ACA9100F1B}" srcOrd="0" destOrd="0" presId="urn:microsoft.com/office/officeart/2005/8/layout/hierarchy3"/>
    <dgm:cxn modelId="{7036D8B4-FC45-448D-8759-0D668B10C6A9}" type="presOf" srcId="{B0770F8C-0134-4C25-9085-2074A727E4B3}" destId="{92D29B5F-8DDB-4085-BF4F-373D3AD2F385}" srcOrd="0" destOrd="0" presId="urn:microsoft.com/office/officeart/2005/8/layout/hierarchy3"/>
    <dgm:cxn modelId="{67AEF9C9-BE44-4BBC-99F3-D5D2E9FAF5B8}" type="presOf" srcId="{7E8F2E78-0356-45EC-A706-5C56CE37F485}" destId="{C7B15E72-6744-40A2-BF47-C5A2048A9655}" srcOrd="1" destOrd="0" presId="urn:microsoft.com/office/officeart/2005/8/layout/hierarchy3"/>
    <dgm:cxn modelId="{4FE927D2-7879-41CB-8F87-F7550B406FA3}" type="presOf" srcId="{A14DABC0-AA4F-4662-B855-2CC85E8ED0F7}" destId="{817C4ACD-8286-4FC6-939D-8FF817A722FB}" srcOrd="0" destOrd="0" presId="urn:microsoft.com/office/officeart/2005/8/layout/hierarchy3"/>
    <dgm:cxn modelId="{0EA89ADE-618B-486E-9F36-65873A454BDF}" type="presOf" srcId="{65DA7161-1EB3-4B1D-8239-D7FF2E183938}" destId="{5802F943-EFE4-47DF-B7FE-30E6B17C3082}" srcOrd="0" destOrd="0" presId="urn:microsoft.com/office/officeart/2005/8/layout/hierarchy3"/>
    <dgm:cxn modelId="{5312F3E0-6BCC-425C-BD62-F95B3D7B32DD}" srcId="{7E8F2E78-0356-45EC-A706-5C56CE37F485}" destId="{F633DA5A-94A2-4B01-8950-A9CE54CBD616}" srcOrd="0" destOrd="0" parTransId="{E332F861-FC93-4822-A008-35D1C787BAB2}" sibTransId="{FE6E451C-B7C7-45E0-9FA7-0A41825A2742}"/>
    <dgm:cxn modelId="{84F5E7E1-C33E-4249-9B70-4184193A277E}" srcId="{7E8F2E78-0356-45EC-A706-5C56CE37F485}" destId="{7AAC7065-C75E-45E2-95B4-E1775E86B5EA}" srcOrd="1" destOrd="0" parTransId="{65DA7161-1EB3-4B1D-8239-D7FF2E183938}" sibTransId="{0658C5D4-3D01-433C-B7D7-03AF063B7A96}"/>
    <dgm:cxn modelId="{2F8AB1EC-DD5F-4AB8-9991-EF125EE50DAF}" type="presOf" srcId="{AB162FC8-C7AB-4BBF-A36F-74AA0D4DA67E}" destId="{25D070A5-CB05-480A-A3EB-30DABFA9D5C9}" srcOrd="0" destOrd="0" presId="urn:microsoft.com/office/officeart/2005/8/layout/hierarchy3"/>
    <dgm:cxn modelId="{044DB8F0-DC33-4AF1-96E1-6FE95B5D9521}" type="presOf" srcId="{F633DA5A-94A2-4B01-8950-A9CE54CBD616}" destId="{E100958A-5990-4C7A-A4D4-E641BE0E6655}" srcOrd="0" destOrd="0" presId="urn:microsoft.com/office/officeart/2005/8/layout/hierarchy3"/>
    <dgm:cxn modelId="{3F8764F6-F3EF-4103-ABCF-BF60CADD2186}" srcId="{692637FC-F7AD-4897-9B9F-846ED1C8C20A}" destId="{340BE8EA-6ADE-431A-982B-9B0C8102EFC3}" srcOrd="0" destOrd="0" parTransId="{CA6628C7-609F-4B8B-B77A-D8A35560F16A}" sibTransId="{7B89ED07-5651-44D9-A301-7A2F82459157}"/>
    <dgm:cxn modelId="{30C7B088-807B-4911-8521-8B3E26CD0F62}" type="presParOf" srcId="{92D29B5F-8DDB-4085-BF4F-373D3AD2F385}" destId="{408A8253-1F59-4D64-925B-14811C3EC79F}" srcOrd="0" destOrd="0" presId="urn:microsoft.com/office/officeart/2005/8/layout/hierarchy3"/>
    <dgm:cxn modelId="{A2A85ACD-77B2-48FB-B78E-001C48B21C9E}" type="presParOf" srcId="{408A8253-1F59-4D64-925B-14811C3EC79F}" destId="{F2AF0E18-5179-4624-8CDF-98684EFBCA19}" srcOrd="0" destOrd="0" presId="urn:microsoft.com/office/officeart/2005/8/layout/hierarchy3"/>
    <dgm:cxn modelId="{9F59ADC2-EDF3-468F-9E82-8A49E8EFE497}" type="presParOf" srcId="{F2AF0E18-5179-4624-8CDF-98684EFBCA19}" destId="{3BA214B7-A4F7-41DB-9FF2-A7BFA8DD3C55}" srcOrd="0" destOrd="0" presId="urn:microsoft.com/office/officeart/2005/8/layout/hierarchy3"/>
    <dgm:cxn modelId="{FDA6B47D-CF79-4232-B346-1F7F21AFBE81}" type="presParOf" srcId="{F2AF0E18-5179-4624-8CDF-98684EFBCA19}" destId="{C7B15E72-6744-40A2-BF47-C5A2048A9655}" srcOrd="1" destOrd="0" presId="urn:microsoft.com/office/officeart/2005/8/layout/hierarchy3"/>
    <dgm:cxn modelId="{7CD92989-B284-4188-A932-D1F57B7CF268}" type="presParOf" srcId="{408A8253-1F59-4D64-925B-14811C3EC79F}" destId="{C734BFA6-E33A-43E7-B6C0-47E4EEA540FC}" srcOrd="1" destOrd="0" presId="urn:microsoft.com/office/officeart/2005/8/layout/hierarchy3"/>
    <dgm:cxn modelId="{00253666-1E13-42FC-BD08-97FCD9AB2A36}" type="presParOf" srcId="{C734BFA6-E33A-43E7-B6C0-47E4EEA540FC}" destId="{87DB1038-E201-43E4-B0C1-DC30DFA8B644}" srcOrd="0" destOrd="0" presId="urn:microsoft.com/office/officeart/2005/8/layout/hierarchy3"/>
    <dgm:cxn modelId="{BEA5805F-D059-425F-A7C9-F995C1CF1833}" type="presParOf" srcId="{C734BFA6-E33A-43E7-B6C0-47E4EEA540FC}" destId="{E100958A-5990-4C7A-A4D4-E641BE0E6655}" srcOrd="1" destOrd="0" presId="urn:microsoft.com/office/officeart/2005/8/layout/hierarchy3"/>
    <dgm:cxn modelId="{9FE5C54F-A5F2-4D56-9A2A-83708DE1F218}" type="presParOf" srcId="{C734BFA6-E33A-43E7-B6C0-47E4EEA540FC}" destId="{5802F943-EFE4-47DF-B7FE-30E6B17C3082}" srcOrd="2" destOrd="0" presId="urn:microsoft.com/office/officeart/2005/8/layout/hierarchy3"/>
    <dgm:cxn modelId="{461BE41E-CE67-47DE-BD75-51EC7FE7E9A5}" type="presParOf" srcId="{C734BFA6-E33A-43E7-B6C0-47E4EEA540FC}" destId="{B5C68255-5EA5-4F44-9ACC-EBBAAE577473}" srcOrd="3" destOrd="0" presId="urn:microsoft.com/office/officeart/2005/8/layout/hierarchy3"/>
    <dgm:cxn modelId="{D679A9F5-D239-45E1-BC1F-394DFE390E28}" type="presParOf" srcId="{C734BFA6-E33A-43E7-B6C0-47E4EEA540FC}" destId="{25E7DE81-9179-4596-B13E-913212FD708F}" srcOrd="4" destOrd="0" presId="urn:microsoft.com/office/officeart/2005/8/layout/hierarchy3"/>
    <dgm:cxn modelId="{43782726-EC82-45F3-821E-43B18A691632}" type="presParOf" srcId="{C734BFA6-E33A-43E7-B6C0-47E4EEA540FC}" destId="{21E9A64E-47C2-4079-9A11-93ACA9100F1B}" srcOrd="5" destOrd="0" presId="urn:microsoft.com/office/officeart/2005/8/layout/hierarchy3"/>
    <dgm:cxn modelId="{A1AEBD01-E4A5-423D-9E6B-802329E7C412}" type="presParOf" srcId="{C734BFA6-E33A-43E7-B6C0-47E4EEA540FC}" destId="{CB54988F-DE72-4226-8A0D-CC5D1742D5A0}" srcOrd="6" destOrd="0" presId="urn:microsoft.com/office/officeart/2005/8/layout/hierarchy3"/>
    <dgm:cxn modelId="{D64729B4-8282-411E-B7DD-540905DDAD95}" type="presParOf" srcId="{C734BFA6-E33A-43E7-B6C0-47E4EEA540FC}" destId="{50EFF4D1-0164-4B03-B4C2-0B44DE05A89D}" srcOrd="7" destOrd="0" presId="urn:microsoft.com/office/officeart/2005/8/layout/hierarchy3"/>
    <dgm:cxn modelId="{A1F578C3-297A-4F47-973B-487DA310DEB4}" type="presParOf" srcId="{92D29B5F-8DDB-4085-BF4F-373D3AD2F385}" destId="{9BCCD096-9D6A-42FF-B5F6-55BBCB429FEC}" srcOrd="1" destOrd="0" presId="urn:microsoft.com/office/officeart/2005/8/layout/hierarchy3"/>
    <dgm:cxn modelId="{A168F2A5-B1C9-410B-83EF-528B0B6A578C}" type="presParOf" srcId="{9BCCD096-9D6A-42FF-B5F6-55BBCB429FEC}" destId="{3A1B7203-C419-4A0A-BF7A-8DB90BBDA7D7}" srcOrd="0" destOrd="0" presId="urn:microsoft.com/office/officeart/2005/8/layout/hierarchy3"/>
    <dgm:cxn modelId="{29DE41B3-8870-4549-9F65-141D4C59F84C}" type="presParOf" srcId="{3A1B7203-C419-4A0A-BF7A-8DB90BBDA7D7}" destId="{DE6C5352-03CB-4CB1-B5A2-BF184579CA52}" srcOrd="0" destOrd="0" presId="urn:microsoft.com/office/officeart/2005/8/layout/hierarchy3"/>
    <dgm:cxn modelId="{20FDC6F0-35C1-4E37-82FE-408904627338}" type="presParOf" srcId="{3A1B7203-C419-4A0A-BF7A-8DB90BBDA7D7}" destId="{04B0D044-39FC-4C65-BFA5-9DFB238E1E49}" srcOrd="1" destOrd="0" presId="urn:microsoft.com/office/officeart/2005/8/layout/hierarchy3"/>
    <dgm:cxn modelId="{9B193DCC-667D-4B8A-A016-DBF9A3F7CF70}" type="presParOf" srcId="{9BCCD096-9D6A-42FF-B5F6-55BBCB429FEC}" destId="{DB462263-BAC5-48DB-8DA3-317990D0D171}" srcOrd="1" destOrd="0" presId="urn:microsoft.com/office/officeart/2005/8/layout/hierarchy3"/>
    <dgm:cxn modelId="{50936A17-2CEE-4CA0-A2B7-62880E047E9F}" type="presParOf" srcId="{DB462263-BAC5-48DB-8DA3-317990D0D171}" destId="{583A331B-ACCB-4811-A266-74F5757A4B0D}" srcOrd="0" destOrd="0" presId="urn:microsoft.com/office/officeart/2005/8/layout/hierarchy3"/>
    <dgm:cxn modelId="{AE7DC374-48A7-42A7-B02F-1FF3341EE705}" type="presParOf" srcId="{DB462263-BAC5-48DB-8DA3-317990D0D171}" destId="{0C107E12-3239-4B9F-8CD5-274E4A757261}" srcOrd="1" destOrd="0" presId="urn:microsoft.com/office/officeart/2005/8/layout/hierarchy3"/>
    <dgm:cxn modelId="{9CE331DA-871F-4B0D-B464-8735C5D83729}" type="presParOf" srcId="{DB462263-BAC5-48DB-8DA3-317990D0D171}" destId="{2F3274BC-770D-4494-A071-BF467A25E330}" srcOrd="2" destOrd="0" presId="urn:microsoft.com/office/officeart/2005/8/layout/hierarchy3"/>
    <dgm:cxn modelId="{B5D98585-05BC-4EE5-B5F5-E4C759C654DB}" type="presParOf" srcId="{DB462263-BAC5-48DB-8DA3-317990D0D171}" destId="{BFE875C3-5835-47D3-9FEF-6D32A43E8B7D}" srcOrd="3" destOrd="0" presId="urn:microsoft.com/office/officeart/2005/8/layout/hierarchy3"/>
    <dgm:cxn modelId="{1688826F-4D5A-4C99-A666-354FF3ABA2BD}" type="presParOf" srcId="{DB462263-BAC5-48DB-8DA3-317990D0D171}" destId="{25D070A5-CB05-480A-A3EB-30DABFA9D5C9}" srcOrd="4" destOrd="0" presId="urn:microsoft.com/office/officeart/2005/8/layout/hierarchy3"/>
    <dgm:cxn modelId="{6FE606FE-933A-4A11-A9E3-8CEF70A10340}" type="presParOf" srcId="{DB462263-BAC5-48DB-8DA3-317990D0D171}" destId="{068B49B8-E195-41C4-A59D-620FC404F2B6}" srcOrd="5" destOrd="0" presId="urn:microsoft.com/office/officeart/2005/8/layout/hierarchy3"/>
    <dgm:cxn modelId="{AB665708-4DE1-434A-AEF7-C70B095D8D1F}" type="presParOf" srcId="{DB462263-BAC5-48DB-8DA3-317990D0D171}" destId="{AD765EEE-6FED-4865-8D35-BB49FE9EE236}" srcOrd="6" destOrd="0" presId="urn:microsoft.com/office/officeart/2005/8/layout/hierarchy3"/>
    <dgm:cxn modelId="{5FAA40C5-EFC0-4F7E-A077-B2FAD462F31F}" type="presParOf" srcId="{DB462263-BAC5-48DB-8DA3-317990D0D171}" destId="{817C4ACD-8286-4FC6-939D-8FF817A722FB}" srcOrd="7" destOrd="0" presId="urn:microsoft.com/office/officeart/2005/8/layout/hierarchy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235AB0-BE45-4CA6-9A47-BE59ADCC7DE1}">
      <dsp:nvSpPr>
        <dsp:cNvPr id="0" name=""/>
        <dsp:cNvSpPr/>
      </dsp:nvSpPr>
      <dsp:spPr>
        <a:xfrm>
          <a:off x="0" y="0"/>
          <a:ext cx="1789658" cy="3347720"/>
        </a:xfrm>
        <a:prstGeom prst="roundRect">
          <a:avLst>
            <a:gd name="adj" fmla="val 10000"/>
          </a:avLst>
        </a:prstGeom>
        <a:solidFill>
          <a:schemeClr val="accent4"/>
        </a:solidFill>
        <a:ln w="25400" cap="flat" cmpd="sng" algn="ctr">
          <a:solidFill>
            <a:schemeClr val="lt1"/>
          </a:solidFill>
          <a:prstDash val="solid"/>
          <a:miter lim="800000"/>
        </a:ln>
        <a:effectLst/>
      </dsp:spPr>
      <dsp:style>
        <a:lnRef idx="3">
          <a:schemeClr val="lt1"/>
        </a:lnRef>
        <a:fillRef idx="1">
          <a:schemeClr val="accent4"/>
        </a:fillRef>
        <a:effectRef idx="1">
          <a:schemeClr val="accent4"/>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FF00"/>
              </a:solidFill>
            </a:rPr>
            <a:t>TIME</a:t>
          </a:r>
        </a:p>
      </dsp:txBody>
      <dsp:txXfrm>
        <a:off x="0" y="0"/>
        <a:ext cx="1789658" cy="1004316"/>
      </dsp:txXfrm>
    </dsp:sp>
    <dsp:sp modelId="{7848FDBB-5C46-4DED-A2A7-31761F9BF1C3}">
      <dsp:nvSpPr>
        <dsp:cNvPr id="0" name=""/>
        <dsp:cNvSpPr/>
      </dsp:nvSpPr>
      <dsp:spPr>
        <a:xfrm>
          <a:off x="179654" y="1005063"/>
          <a:ext cx="1431726" cy="51889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12-Week completion</a:t>
          </a:r>
        </a:p>
      </dsp:txBody>
      <dsp:txXfrm>
        <a:off x="194852" y="1020261"/>
        <a:ext cx="1401330" cy="488496"/>
      </dsp:txXfrm>
    </dsp:sp>
    <dsp:sp modelId="{48FCBBB2-6772-4C0D-B45A-191A4E91000C}">
      <dsp:nvSpPr>
        <dsp:cNvPr id="0" name=""/>
        <dsp:cNvSpPr/>
      </dsp:nvSpPr>
      <dsp:spPr>
        <a:xfrm>
          <a:off x="166439" y="1808382"/>
          <a:ext cx="1431726" cy="5289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Planned project schedule</a:t>
          </a:r>
        </a:p>
      </dsp:txBody>
      <dsp:txXfrm>
        <a:off x="181931" y="1823874"/>
        <a:ext cx="1400742" cy="497947"/>
      </dsp:txXfrm>
    </dsp:sp>
    <dsp:sp modelId="{E546429F-569F-4E74-85EE-EA19E339B72E}">
      <dsp:nvSpPr>
        <dsp:cNvPr id="0" name=""/>
        <dsp:cNvSpPr/>
      </dsp:nvSpPr>
      <dsp:spPr>
        <a:xfrm>
          <a:off x="179654" y="2621739"/>
          <a:ext cx="1431726" cy="55784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On-time  delivery</a:t>
          </a:r>
        </a:p>
      </dsp:txBody>
      <dsp:txXfrm>
        <a:off x="195993" y="2638078"/>
        <a:ext cx="1399048" cy="525168"/>
      </dsp:txXfrm>
    </dsp:sp>
    <dsp:sp modelId="{ACF7D494-7030-4365-9EBA-755FDA351D7A}">
      <dsp:nvSpPr>
        <dsp:cNvPr id="0" name=""/>
        <dsp:cNvSpPr/>
      </dsp:nvSpPr>
      <dsp:spPr>
        <a:xfrm>
          <a:off x="1994403" y="0"/>
          <a:ext cx="1789658" cy="3347720"/>
        </a:xfrm>
        <a:prstGeom prst="roundRect">
          <a:avLst>
            <a:gd name="adj" fmla="val 10000"/>
          </a:avLst>
        </a:prstGeom>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4"/>
        </a:lnRef>
        <a:fillRef idx="3">
          <a:schemeClr val="accent4"/>
        </a:fillRef>
        <a:effectRef idx="3">
          <a:schemeClr val="accent4"/>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rgbClr val="FFFF00"/>
              </a:solidFill>
            </a:rPr>
            <a:t>COST</a:t>
          </a:r>
        </a:p>
      </dsp:txBody>
      <dsp:txXfrm>
        <a:off x="1994403" y="0"/>
        <a:ext cx="1789658" cy="1004316"/>
      </dsp:txXfrm>
    </dsp:sp>
    <dsp:sp modelId="{64E7623D-5AEA-47EA-931F-48B2F7B10873}">
      <dsp:nvSpPr>
        <dsp:cNvPr id="0" name=""/>
        <dsp:cNvSpPr/>
      </dsp:nvSpPr>
      <dsp:spPr>
        <a:xfrm>
          <a:off x="2103536" y="1004397"/>
          <a:ext cx="1431726" cy="48769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Project budget</a:t>
          </a:r>
        </a:p>
      </dsp:txBody>
      <dsp:txXfrm>
        <a:off x="2117820" y="1018681"/>
        <a:ext cx="1403158" cy="459123"/>
      </dsp:txXfrm>
    </dsp:sp>
    <dsp:sp modelId="{AD54E1D0-2E68-4F0B-A988-C0C37EEBA9CB}">
      <dsp:nvSpPr>
        <dsp:cNvPr id="0" name=""/>
        <dsp:cNvSpPr/>
      </dsp:nvSpPr>
      <dsp:spPr>
        <a:xfrm>
          <a:off x="2103536" y="1567118"/>
          <a:ext cx="1431726" cy="48769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Material costs</a:t>
          </a:r>
        </a:p>
      </dsp:txBody>
      <dsp:txXfrm>
        <a:off x="2117820" y="1581402"/>
        <a:ext cx="1403158" cy="459123"/>
      </dsp:txXfrm>
    </dsp:sp>
    <dsp:sp modelId="{733FDD68-2FF7-4F65-806C-96603C9BFBB4}">
      <dsp:nvSpPr>
        <dsp:cNvPr id="0" name=""/>
        <dsp:cNvSpPr/>
      </dsp:nvSpPr>
      <dsp:spPr>
        <a:xfrm>
          <a:off x="2103536" y="2129839"/>
          <a:ext cx="1431726" cy="48769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Labour costs</a:t>
          </a:r>
        </a:p>
      </dsp:txBody>
      <dsp:txXfrm>
        <a:off x="2117820" y="2144123"/>
        <a:ext cx="1403158" cy="459123"/>
      </dsp:txXfrm>
    </dsp:sp>
    <dsp:sp modelId="{2EDBF204-1648-4EF7-9D6C-F14601259ED2}">
      <dsp:nvSpPr>
        <dsp:cNvPr id="0" name=""/>
        <dsp:cNvSpPr/>
      </dsp:nvSpPr>
      <dsp:spPr>
        <a:xfrm>
          <a:off x="2103536" y="2692560"/>
          <a:ext cx="1431726" cy="48769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contingency fund</a:t>
          </a:r>
        </a:p>
      </dsp:txBody>
      <dsp:txXfrm>
        <a:off x="2117820" y="2706844"/>
        <a:ext cx="1403158" cy="459123"/>
      </dsp:txXfrm>
    </dsp:sp>
    <dsp:sp modelId="{63E00632-6C5E-495C-B8D8-1FFBECCB2DDD}">
      <dsp:nvSpPr>
        <dsp:cNvPr id="0" name=""/>
        <dsp:cNvSpPr/>
      </dsp:nvSpPr>
      <dsp:spPr>
        <a:xfrm>
          <a:off x="3848453" y="0"/>
          <a:ext cx="1789658" cy="3347720"/>
        </a:xfrm>
        <a:prstGeom prst="roundRect">
          <a:avLst>
            <a:gd name="adj" fmla="val 10000"/>
          </a:avLst>
        </a:prstGeom>
        <a:solidFill>
          <a:schemeClr val="accent4"/>
        </a:solidFill>
        <a:ln w="25400" cap="flat" cmpd="sng" algn="ctr">
          <a:solidFill>
            <a:schemeClr val="lt1"/>
          </a:solidFill>
          <a:prstDash val="solid"/>
          <a:miter lim="800000"/>
        </a:ln>
        <a:effectLst/>
      </dsp:spPr>
      <dsp:style>
        <a:lnRef idx="3">
          <a:schemeClr val="lt1"/>
        </a:lnRef>
        <a:fillRef idx="1">
          <a:schemeClr val="accent4"/>
        </a:fillRef>
        <a:effectRef idx="1">
          <a:schemeClr val="accent4"/>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FF00"/>
              </a:solidFill>
            </a:rPr>
            <a:t>SCOPE</a:t>
          </a:r>
        </a:p>
      </dsp:txBody>
      <dsp:txXfrm>
        <a:off x="3848453" y="0"/>
        <a:ext cx="1789658" cy="1004316"/>
      </dsp:txXfrm>
    </dsp:sp>
    <dsp:sp modelId="{AD2FF75D-591F-4D03-9A55-5F9ED76FAA7C}">
      <dsp:nvSpPr>
        <dsp:cNvPr id="0" name=""/>
        <dsp:cNvSpPr/>
      </dsp:nvSpPr>
      <dsp:spPr>
        <a:xfrm>
          <a:off x="4027419" y="1004949"/>
          <a:ext cx="1431726" cy="38728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Trailer refurbishment</a:t>
          </a:r>
        </a:p>
      </dsp:txBody>
      <dsp:txXfrm>
        <a:off x="4038762" y="1016292"/>
        <a:ext cx="1409040" cy="364598"/>
      </dsp:txXfrm>
    </dsp:sp>
    <dsp:sp modelId="{4ACC1AC6-A7A6-4455-8000-A2C187253491}">
      <dsp:nvSpPr>
        <dsp:cNvPr id="0" name=""/>
        <dsp:cNvSpPr/>
      </dsp:nvSpPr>
      <dsp:spPr>
        <a:xfrm>
          <a:off x="4027419" y="1451816"/>
          <a:ext cx="1431726" cy="38728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Electrical installation</a:t>
          </a:r>
        </a:p>
      </dsp:txBody>
      <dsp:txXfrm>
        <a:off x="4038762" y="1463159"/>
        <a:ext cx="1409040" cy="364598"/>
      </dsp:txXfrm>
    </dsp:sp>
    <dsp:sp modelId="{06077D5F-4E83-4A9B-9C8F-2BAA6A8A916F}">
      <dsp:nvSpPr>
        <dsp:cNvPr id="0" name=""/>
        <dsp:cNvSpPr/>
      </dsp:nvSpPr>
      <dsp:spPr>
        <a:xfrm>
          <a:off x="4027419" y="1898682"/>
          <a:ext cx="1431726" cy="38728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Plumbing system</a:t>
          </a:r>
        </a:p>
      </dsp:txBody>
      <dsp:txXfrm>
        <a:off x="4038762" y="1910025"/>
        <a:ext cx="1409040" cy="364598"/>
      </dsp:txXfrm>
    </dsp:sp>
    <dsp:sp modelId="{DFAA7447-4823-465B-8123-85966DCE0918}">
      <dsp:nvSpPr>
        <dsp:cNvPr id="0" name=""/>
        <dsp:cNvSpPr/>
      </dsp:nvSpPr>
      <dsp:spPr>
        <a:xfrm>
          <a:off x="4027419" y="2345549"/>
          <a:ext cx="1431726" cy="38728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Kitchen equipment</a:t>
          </a:r>
        </a:p>
      </dsp:txBody>
      <dsp:txXfrm>
        <a:off x="4038762" y="2356892"/>
        <a:ext cx="1409040" cy="364598"/>
      </dsp:txXfrm>
    </dsp:sp>
    <dsp:sp modelId="{C212FFAD-906D-4990-8F7B-B00A5904B298}">
      <dsp:nvSpPr>
        <dsp:cNvPr id="0" name=""/>
        <dsp:cNvSpPr/>
      </dsp:nvSpPr>
      <dsp:spPr>
        <a:xfrm>
          <a:off x="4027419" y="2792416"/>
          <a:ext cx="1431726" cy="38728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t>Food safety compliance</a:t>
          </a:r>
        </a:p>
      </dsp:txBody>
      <dsp:txXfrm>
        <a:off x="4038762" y="2803759"/>
        <a:ext cx="1409040" cy="3645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A214B7-A4F7-41DB-9FF2-A7BFA8DD3C55}">
      <dsp:nvSpPr>
        <dsp:cNvPr id="0" name=""/>
        <dsp:cNvSpPr/>
      </dsp:nvSpPr>
      <dsp:spPr>
        <a:xfrm>
          <a:off x="549612" y="166"/>
          <a:ext cx="1173003" cy="494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solidFill>
                <a:srgbClr val="FFFF00"/>
              </a:solidFill>
            </a:rPr>
            <a:t>Power/Interest</a:t>
          </a:r>
        </a:p>
      </dsp:txBody>
      <dsp:txXfrm>
        <a:off x="564095" y="14649"/>
        <a:ext cx="1144037" cy="465536"/>
      </dsp:txXfrm>
    </dsp:sp>
    <dsp:sp modelId="{87DB1038-E201-43E4-B0C1-DC30DFA8B644}">
      <dsp:nvSpPr>
        <dsp:cNvPr id="0" name=""/>
        <dsp:cNvSpPr/>
      </dsp:nvSpPr>
      <dsp:spPr>
        <a:xfrm>
          <a:off x="666912" y="494669"/>
          <a:ext cx="117300" cy="439876"/>
        </a:xfrm>
        <a:custGeom>
          <a:avLst/>
          <a:gdLst/>
          <a:ahLst/>
          <a:cxnLst/>
          <a:rect l="0" t="0" r="0" b="0"/>
          <a:pathLst>
            <a:path>
              <a:moveTo>
                <a:pt x="0" y="0"/>
              </a:moveTo>
              <a:lnTo>
                <a:pt x="0" y="439876"/>
              </a:lnTo>
              <a:lnTo>
                <a:pt x="117300" y="43987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00958A-5990-4C7A-A4D4-E641BE0E6655}">
      <dsp:nvSpPr>
        <dsp:cNvPr id="0" name=""/>
        <dsp:cNvSpPr/>
      </dsp:nvSpPr>
      <dsp:spPr>
        <a:xfrm>
          <a:off x="784212" y="641294"/>
          <a:ext cx="938402" cy="586501"/>
        </a:xfrm>
        <a:prstGeom prst="roundRect">
          <a:avLst>
            <a:gd name="adj" fmla="val 10000"/>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1270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High Power- High Interest(Manage Closely)</a:t>
          </a:r>
        </a:p>
      </dsp:txBody>
      <dsp:txXfrm>
        <a:off x="801390" y="658472"/>
        <a:ext cx="904046" cy="552145"/>
      </dsp:txXfrm>
    </dsp:sp>
    <dsp:sp modelId="{5802F943-EFE4-47DF-B7FE-30E6B17C3082}">
      <dsp:nvSpPr>
        <dsp:cNvPr id="0" name=""/>
        <dsp:cNvSpPr/>
      </dsp:nvSpPr>
      <dsp:spPr>
        <a:xfrm>
          <a:off x="666912" y="494669"/>
          <a:ext cx="205106" cy="1163243"/>
        </a:xfrm>
        <a:custGeom>
          <a:avLst/>
          <a:gdLst/>
          <a:ahLst/>
          <a:cxnLst/>
          <a:rect l="0" t="0" r="0" b="0"/>
          <a:pathLst>
            <a:path>
              <a:moveTo>
                <a:pt x="0" y="0"/>
              </a:moveTo>
              <a:lnTo>
                <a:pt x="0" y="1163243"/>
              </a:lnTo>
              <a:lnTo>
                <a:pt x="205106" y="1163243"/>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C68255-5EA5-4F44-9ACC-EBBAAE577473}">
      <dsp:nvSpPr>
        <dsp:cNvPr id="0" name=""/>
        <dsp:cNvSpPr/>
      </dsp:nvSpPr>
      <dsp:spPr>
        <a:xfrm>
          <a:off x="872018" y="1364662"/>
          <a:ext cx="938402" cy="586501"/>
        </a:xfrm>
        <a:prstGeom prst="roundRect">
          <a:avLst>
            <a:gd name="adj" fmla="val 10000"/>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1270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High Power-Low Interest(Keep Satisfied)</a:t>
          </a:r>
        </a:p>
      </dsp:txBody>
      <dsp:txXfrm>
        <a:off x="889196" y="1381840"/>
        <a:ext cx="904046" cy="552145"/>
      </dsp:txXfrm>
    </dsp:sp>
    <dsp:sp modelId="{25E7DE81-9179-4596-B13E-913212FD708F}">
      <dsp:nvSpPr>
        <dsp:cNvPr id="0" name=""/>
        <dsp:cNvSpPr/>
      </dsp:nvSpPr>
      <dsp:spPr>
        <a:xfrm>
          <a:off x="666912" y="494669"/>
          <a:ext cx="117300" cy="1906130"/>
        </a:xfrm>
        <a:custGeom>
          <a:avLst/>
          <a:gdLst/>
          <a:ahLst/>
          <a:cxnLst/>
          <a:rect l="0" t="0" r="0" b="0"/>
          <a:pathLst>
            <a:path>
              <a:moveTo>
                <a:pt x="0" y="0"/>
              </a:moveTo>
              <a:lnTo>
                <a:pt x="0" y="1906130"/>
              </a:lnTo>
              <a:lnTo>
                <a:pt x="117300" y="190613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E9A64E-47C2-4079-9A11-93ACA9100F1B}">
      <dsp:nvSpPr>
        <dsp:cNvPr id="0" name=""/>
        <dsp:cNvSpPr/>
      </dsp:nvSpPr>
      <dsp:spPr>
        <a:xfrm>
          <a:off x="784212" y="2107548"/>
          <a:ext cx="938402" cy="586501"/>
        </a:xfrm>
        <a:prstGeom prst="roundRect">
          <a:avLst>
            <a:gd name="adj" fmla="val 10000"/>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1270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Low Power- High Interest (Keep Informed)</a:t>
          </a:r>
        </a:p>
      </dsp:txBody>
      <dsp:txXfrm>
        <a:off x="801390" y="2124726"/>
        <a:ext cx="904046" cy="552145"/>
      </dsp:txXfrm>
    </dsp:sp>
    <dsp:sp modelId="{CB54988F-DE72-4226-8A0D-CC5D1742D5A0}">
      <dsp:nvSpPr>
        <dsp:cNvPr id="0" name=""/>
        <dsp:cNvSpPr/>
      </dsp:nvSpPr>
      <dsp:spPr>
        <a:xfrm>
          <a:off x="666912" y="494669"/>
          <a:ext cx="117300" cy="2639257"/>
        </a:xfrm>
        <a:custGeom>
          <a:avLst/>
          <a:gdLst/>
          <a:ahLst/>
          <a:cxnLst/>
          <a:rect l="0" t="0" r="0" b="0"/>
          <a:pathLst>
            <a:path>
              <a:moveTo>
                <a:pt x="0" y="0"/>
              </a:moveTo>
              <a:lnTo>
                <a:pt x="0" y="2639257"/>
              </a:lnTo>
              <a:lnTo>
                <a:pt x="117300" y="263925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EFF4D1-0164-4B03-B4C2-0B44DE05A89D}">
      <dsp:nvSpPr>
        <dsp:cNvPr id="0" name=""/>
        <dsp:cNvSpPr/>
      </dsp:nvSpPr>
      <dsp:spPr>
        <a:xfrm>
          <a:off x="784212" y="2840675"/>
          <a:ext cx="938402" cy="586501"/>
        </a:xfrm>
        <a:prstGeom prst="roundRect">
          <a:avLst>
            <a:gd name="adj" fmla="val 10000"/>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1270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Low Power-Low Interest(Monitor)</a:t>
          </a:r>
        </a:p>
      </dsp:txBody>
      <dsp:txXfrm>
        <a:off x="801390" y="2857853"/>
        <a:ext cx="904046" cy="552145"/>
      </dsp:txXfrm>
    </dsp:sp>
    <dsp:sp modelId="{DE6C5352-03CB-4CB1-B5A2-BF184579CA52}">
      <dsp:nvSpPr>
        <dsp:cNvPr id="0" name=""/>
        <dsp:cNvSpPr/>
      </dsp:nvSpPr>
      <dsp:spPr>
        <a:xfrm>
          <a:off x="2015865" y="166"/>
          <a:ext cx="1173003" cy="45587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solidFill>
                <a:srgbClr val="FFFF00"/>
              </a:solidFill>
            </a:rPr>
            <a:t>Stakehholders</a:t>
          </a:r>
        </a:p>
      </dsp:txBody>
      <dsp:txXfrm>
        <a:off x="2029217" y="13518"/>
        <a:ext cx="1146299" cy="429166"/>
      </dsp:txXfrm>
    </dsp:sp>
    <dsp:sp modelId="{583A331B-ACCB-4811-A266-74F5757A4B0D}">
      <dsp:nvSpPr>
        <dsp:cNvPr id="0" name=""/>
        <dsp:cNvSpPr/>
      </dsp:nvSpPr>
      <dsp:spPr>
        <a:xfrm>
          <a:off x="2133166" y="456036"/>
          <a:ext cx="117300" cy="439876"/>
        </a:xfrm>
        <a:custGeom>
          <a:avLst/>
          <a:gdLst/>
          <a:ahLst/>
          <a:cxnLst/>
          <a:rect l="0" t="0" r="0" b="0"/>
          <a:pathLst>
            <a:path>
              <a:moveTo>
                <a:pt x="0" y="0"/>
              </a:moveTo>
              <a:lnTo>
                <a:pt x="0" y="439876"/>
              </a:lnTo>
              <a:lnTo>
                <a:pt x="117300" y="43987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107E12-3239-4B9F-8CD5-274E4A757261}">
      <dsp:nvSpPr>
        <dsp:cNvPr id="0" name=""/>
        <dsp:cNvSpPr/>
      </dsp:nvSpPr>
      <dsp:spPr>
        <a:xfrm>
          <a:off x="2250466" y="602661"/>
          <a:ext cx="1523871" cy="586501"/>
        </a:xfrm>
        <a:prstGeom prst="roundRect">
          <a:avLst>
            <a:gd name="adj" fmla="val 10000"/>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t>Cardiff Council(Client), Project Manager, Project Team</a:t>
          </a:r>
        </a:p>
      </dsp:txBody>
      <dsp:txXfrm>
        <a:off x="2267644" y="619839"/>
        <a:ext cx="1489515" cy="552145"/>
      </dsp:txXfrm>
    </dsp:sp>
    <dsp:sp modelId="{2F3274BC-770D-4494-A071-BF467A25E330}">
      <dsp:nvSpPr>
        <dsp:cNvPr id="0" name=""/>
        <dsp:cNvSpPr/>
      </dsp:nvSpPr>
      <dsp:spPr>
        <a:xfrm>
          <a:off x="2133166" y="456036"/>
          <a:ext cx="117300" cy="1173003"/>
        </a:xfrm>
        <a:custGeom>
          <a:avLst/>
          <a:gdLst/>
          <a:ahLst/>
          <a:cxnLst/>
          <a:rect l="0" t="0" r="0" b="0"/>
          <a:pathLst>
            <a:path>
              <a:moveTo>
                <a:pt x="0" y="0"/>
              </a:moveTo>
              <a:lnTo>
                <a:pt x="0" y="1173003"/>
              </a:lnTo>
              <a:lnTo>
                <a:pt x="117300" y="1173003"/>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E875C3-5835-47D3-9FEF-6D32A43E8B7D}">
      <dsp:nvSpPr>
        <dsp:cNvPr id="0" name=""/>
        <dsp:cNvSpPr/>
      </dsp:nvSpPr>
      <dsp:spPr>
        <a:xfrm>
          <a:off x="2250466" y="1335788"/>
          <a:ext cx="1487902" cy="586501"/>
        </a:xfrm>
        <a:prstGeom prst="roundRect">
          <a:avLst>
            <a:gd name="adj" fmla="val 10000"/>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t>Environmental Health Officer, Insurance Company</a:t>
          </a:r>
        </a:p>
      </dsp:txBody>
      <dsp:txXfrm>
        <a:off x="2267644" y="1352966"/>
        <a:ext cx="1453546" cy="552145"/>
      </dsp:txXfrm>
    </dsp:sp>
    <dsp:sp modelId="{25D070A5-CB05-480A-A3EB-30DABFA9D5C9}">
      <dsp:nvSpPr>
        <dsp:cNvPr id="0" name=""/>
        <dsp:cNvSpPr/>
      </dsp:nvSpPr>
      <dsp:spPr>
        <a:xfrm>
          <a:off x="2133166" y="456036"/>
          <a:ext cx="117300" cy="1906130"/>
        </a:xfrm>
        <a:custGeom>
          <a:avLst/>
          <a:gdLst/>
          <a:ahLst/>
          <a:cxnLst/>
          <a:rect l="0" t="0" r="0" b="0"/>
          <a:pathLst>
            <a:path>
              <a:moveTo>
                <a:pt x="0" y="0"/>
              </a:moveTo>
              <a:lnTo>
                <a:pt x="0" y="1906130"/>
              </a:lnTo>
              <a:lnTo>
                <a:pt x="117300" y="190613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8B49B8-E195-41C4-A59D-620FC404F2B6}">
      <dsp:nvSpPr>
        <dsp:cNvPr id="0" name=""/>
        <dsp:cNvSpPr/>
      </dsp:nvSpPr>
      <dsp:spPr>
        <a:xfrm>
          <a:off x="2250466" y="2068915"/>
          <a:ext cx="1557888" cy="586501"/>
        </a:xfrm>
        <a:prstGeom prst="roundRect">
          <a:avLst>
            <a:gd name="adj" fmla="val 10000"/>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t>Suppliers , Specialist Contractors</a:t>
          </a:r>
        </a:p>
      </dsp:txBody>
      <dsp:txXfrm>
        <a:off x="2267644" y="2086093"/>
        <a:ext cx="1523532" cy="552145"/>
      </dsp:txXfrm>
    </dsp:sp>
    <dsp:sp modelId="{AD765EEE-6FED-4865-8D35-BB49FE9EE236}">
      <dsp:nvSpPr>
        <dsp:cNvPr id="0" name=""/>
        <dsp:cNvSpPr/>
      </dsp:nvSpPr>
      <dsp:spPr>
        <a:xfrm>
          <a:off x="2133166" y="456036"/>
          <a:ext cx="117300" cy="2639257"/>
        </a:xfrm>
        <a:custGeom>
          <a:avLst/>
          <a:gdLst/>
          <a:ahLst/>
          <a:cxnLst/>
          <a:rect l="0" t="0" r="0" b="0"/>
          <a:pathLst>
            <a:path>
              <a:moveTo>
                <a:pt x="0" y="0"/>
              </a:moveTo>
              <a:lnTo>
                <a:pt x="0" y="2639257"/>
              </a:lnTo>
              <a:lnTo>
                <a:pt x="117300" y="263925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7C4ACD-8286-4FC6-939D-8FF817A722FB}">
      <dsp:nvSpPr>
        <dsp:cNvPr id="0" name=""/>
        <dsp:cNvSpPr/>
      </dsp:nvSpPr>
      <dsp:spPr>
        <a:xfrm>
          <a:off x="2250466" y="2802042"/>
          <a:ext cx="1559831" cy="586501"/>
        </a:xfrm>
        <a:prstGeom prst="roundRect">
          <a:avLst>
            <a:gd name="adj" fmla="val 10000"/>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t>   Local Community, Event Visitors</a:t>
          </a:r>
        </a:p>
      </dsp:txBody>
      <dsp:txXfrm>
        <a:off x="2267644" y="2819220"/>
        <a:ext cx="1525475" cy="552145"/>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3DFD4-66E6-4599-ADC8-170AA1D69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4856</TotalTime>
  <Pages>17</Pages>
  <Words>3194</Words>
  <Characters>18211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pasha tehrani</dc:creator>
  <cp:keywords/>
  <dc:description/>
  <cp:lastModifiedBy>pasha tehrani</cp:lastModifiedBy>
  <cp:revision>110</cp:revision>
  <dcterms:created xsi:type="dcterms:W3CDTF">2026-06-09T13:16:00Z</dcterms:created>
  <dcterms:modified xsi:type="dcterms:W3CDTF">2026-07-08T02:15:00Z</dcterms:modified>
</cp:coreProperties>
</file>