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AA57E" w14:textId="77777777" w:rsidR="5A453747" w:rsidRDefault="00012B16">
      <w:r>
        <w:rPr>
          <w:noProof/>
        </w:rPr>
        <w:drawing>
          <wp:inline distT="0" distB="0" distL="0" distR="0" wp14:anchorId="1D0B5C25" wp14:editId="57DAB974">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20B9455" w14:textId="77777777" w:rsidR="00563B58" w:rsidRPr="00A47621" w:rsidRDefault="00563B58" w:rsidP="0040668F">
      <w:pPr>
        <w:rPr>
          <w:rFonts w:ascii="Times New Roman" w:hAnsi="Times New Roman" w:cs="Times New Roman"/>
          <w:sz w:val="24"/>
          <w:szCs w:val="24"/>
        </w:rPr>
      </w:pPr>
    </w:p>
    <w:p w14:paraId="41467E9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873F8B8"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41980B7"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16BA61B"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9D00113"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C5F04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39F7F83"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28EBB11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74F5736D"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C0B0EA0" w14:textId="77777777" w:rsidTr="005D3F07">
        <w:tc>
          <w:tcPr>
            <w:tcW w:w="10368" w:type="dxa"/>
            <w:shd w:val="clear" w:color="auto" w:fill="auto"/>
          </w:tcPr>
          <w:p w14:paraId="075A2605" w14:textId="77777777" w:rsidR="00370E8F" w:rsidRPr="00370E8F" w:rsidRDefault="00370E8F" w:rsidP="00370E8F">
            <w:pPr>
              <w:overflowPunct/>
              <w:autoSpaceDE/>
              <w:autoSpaceDN/>
              <w:adjustRightInd/>
              <w:ind w:right="-957"/>
              <w:textAlignment w:val="auto"/>
              <w:rPr>
                <w:rFonts w:ascii="Times New Roman" w:hAnsi="Times New Roman" w:cs="Times New Roman"/>
                <w:b/>
                <w:color w:val="auto"/>
                <w:sz w:val="36"/>
                <w:szCs w:val="18"/>
              </w:rPr>
            </w:pPr>
            <w:r w:rsidRPr="00370E8F">
              <w:rPr>
                <w:rFonts w:ascii="Times New Roman" w:hAnsi="Times New Roman" w:cs="Times New Roman"/>
                <w:b/>
                <w:color w:val="auto"/>
                <w:sz w:val="36"/>
                <w:szCs w:val="18"/>
              </w:rPr>
              <w:t xml:space="preserve">Learner’s name: </w:t>
            </w:r>
          </w:p>
          <w:p w14:paraId="28714664" w14:textId="77777777" w:rsidR="00370E8F" w:rsidRPr="00370E8F" w:rsidRDefault="00370E8F" w:rsidP="00370E8F">
            <w:pPr>
              <w:ind w:right="-957"/>
              <w:rPr>
                <w:rFonts w:ascii="Times New Roman" w:hAnsi="Times New Roman" w:cs="Times New Roman"/>
                <w:sz w:val="36"/>
                <w:szCs w:val="18"/>
              </w:rPr>
            </w:pPr>
            <w:r w:rsidRPr="00370E8F">
              <w:rPr>
                <w:rFonts w:ascii="Times New Roman" w:hAnsi="Times New Roman" w:cs="Times New Roman"/>
                <w:sz w:val="36"/>
                <w:szCs w:val="18"/>
              </w:rPr>
              <w:t xml:space="preserve">James Wynne </w:t>
            </w:r>
          </w:p>
          <w:p w14:paraId="1CA62320" w14:textId="77777777" w:rsidR="00370E8F" w:rsidRPr="00370E8F" w:rsidRDefault="00370E8F" w:rsidP="00370E8F">
            <w:pPr>
              <w:overflowPunct/>
              <w:autoSpaceDE/>
              <w:autoSpaceDN/>
              <w:adjustRightInd/>
              <w:ind w:right="-957"/>
              <w:textAlignment w:val="auto"/>
              <w:rPr>
                <w:rFonts w:ascii="Times New Roman" w:hAnsi="Times New Roman" w:cs="Times New Roman"/>
                <w:color w:val="auto"/>
                <w:sz w:val="36"/>
                <w:szCs w:val="18"/>
              </w:rPr>
            </w:pPr>
          </w:p>
          <w:p w14:paraId="2C9E5054" w14:textId="77777777" w:rsidR="00370E8F" w:rsidRPr="00370E8F" w:rsidRDefault="00370E8F" w:rsidP="00370E8F">
            <w:pPr>
              <w:overflowPunct/>
              <w:autoSpaceDE/>
              <w:autoSpaceDN/>
              <w:adjustRightInd/>
              <w:ind w:right="-957"/>
              <w:textAlignment w:val="auto"/>
              <w:rPr>
                <w:rFonts w:ascii="Times New Roman" w:hAnsi="Times New Roman" w:cs="Times New Roman"/>
                <w:b/>
                <w:color w:val="auto"/>
                <w:sz w:val="36"/>
                <w:szCs w:val="18"/>
              </w:rPr>
            </w:pPr>
            <w:r w:rsidRPr="00370E8F">
              <w:rPr>
                <w:rFonts w:ascii="Times New Roman" w:hAnsi="Times New Roman" w:cs="Times New Roman"/>
                <w:b/>
                <w:color w:val="auto"/>
                <w:sz w:val="36"/>
                <w:szCs w:val="18"/>
              </w:rPr>
              <w:t>Email address:</w:t>
            </w:r>
          </w:p>
          <w:p w14:paraId="507C67DA" w14:textId="77777777" w:rsidR="00370E8F" w:rsidRPr="00370E8F" w:rsidRDefault="00370E8F" w:rsidP="00370E8F">
            <w:pPr>
              <w:ind w:right="-957"/>
              <w:rPr>
                <w:rFonts w:ascii="Times New Roman" w:hAnsi="Times New Roman" w:cs="Times New Roman"/>
                <w:sz w:val="36"/>
                <w:szCs w:val="18"/>
              </w:rPr>
            </w:pPr>
            <w:r w:rsidRPr="00370E8F">
              <w:rPr>
                <w:rFonts w:ascii="Times New Roman" w:hAnsi="Times New Roman" w:cs="Times New Roman"/>
                <w:sz w:val="36"/>
                <w:szCs w:val="18"/>
              </w:rPr>
              <w:t>2328790@student.uwtsd.ac.uk</w:t>
            </w:r>
          </w:p>
          <w:p w14:paraId="4FA8FF05" w14:textId="77777777" w:rsidR="00370E8F" w:rsidRPr="00370E8F" w:rsidRDefault="00370E8F" w:rsidP="00370E8F">
            <w:pPr>
              <w:overflowPunct/>
              <w:autoSpaceDE/>
              <w:autoSpaceDN/>
              <w:adjustRightInd/>
              <w:ind w:right="-957"/>
              <w:textAlignment w:val="auto"/>
              <w:rPr>
                <w:rFonts w:ascii="Times New Roman" w:hAnsi="Times New Roman" w:cs="Times New Roman"/>
                <w:b/>
                <w:color w:val="auto"/>
                <w:sz w:val="36"/>
                <w:szCs w:val="18"/>
              </w:rPr>
            </w:pPr>
          </w:p>
          <w:p w14:paraId="214C4114" w14:textId="77777777" w:rsidR="00370E8F" w:rsidRPr="00370E8F" w:rsidRDefault="00370E8F" w:rsidP="00370E8F">
            <w:pPr>
              <w:overflowPunct/>
              <w:autoSpaceDE/>
              <w:autoSpaceDN/>
              <w:adjustRightInd/>
              <w:ind w:right="-957"/>
              <w:textAlignment w:val="auto"/>
              <w:rPr>
                <w:rFonts w:ascii="Times New Roman" w:hAnsi="Times New Roman" w:cs="Times New Roman"/>
                <w:b/>
                <w:color w:val="auto"/>
                <w:sz w:val="36"/>
                <w:szCs w:val="18"/>
              </w:rPr>
            </w:pPr>
            <w:r w:rsidRPr="00370E8F">
              <w:rPr>
                <w:rFonts w:ascii="Times New Roman" w:hAnsi="Times New Roman" w:cs="Times New Roman"/>
                <w:b/>
                <w:color w:val="auto"/>
                <w:sz w:val="36"/>
                <w:szCs w:val="18"/>
              </w:rPr>
              <w:t>Learner’s University Registration Number:</w:t>
            </w:r>
          </w:p>
          <w:p w14:paraId="05696314" w14:textId="77777777" w:rsidR="00370E8F" w:rsidRPr="00370E8F" w:rsidRDefault="00370E8F" w:rsidP="00370E8F">
            <w:pPr>
              <w:ind w:right="-957"/>
              <w:rPr>
                <w:rFonts w:ascii="Times New Roman" w:hAnsi="Times New Roman" w:cs="Times New Roman"/>
                <w:sz w:val="36"/>
                <w:szCs w:val="18"/>
              </w:rPr>
            </w:pPr>
            <w:r w:rsidRPr="00370E8F">
              <w:rPr>
                <w:rFonts w:ascii="Times New Roman" w:hAnsi="Times New Roman" w:cs="Times New Roman"/>
                <w:sz w:val="36"/>
                <w:szCs w:val="18"/>
              </w:rPr>
              <w:t>2328790</w:t>
            </w:r>
          </w:p>
          <w:p w14:paraId="370A9C54" w14:textId="77777777" w:rsidR="00370E8F" w:rsidRPr="00370E8F" w:rsidRDefault="00370E8F" w:rsidP="00370E8F">
            <w:pPr>
              <w:overflowPunct/>
              <w:autoSpaceDE/>
              <w:autoSpaceDN/>
              <w:adjustRightInd/>
              <w:ind w:right="-957"/>
              <w:textAlignment w:val="auto"/>
              <w:rPr>
                <w:rFonts w:ascii="Times New Roman" w:hAnsi="Times New Roman" w:cs="Times New Roman"/>
                <w:b/>
                <w:color w:val="auto"/>
                <w:sz w:val="36"/>
                <w:szCs w:val="18"/>
              </w:rPr>
            </w:pPr>
          </w:p>
          <w:p w14:paraId="2D1C26D9" w14:textId="77777777" w:rsidR="0085230E" w:rsidRPr="005D3F07" w:rsidRDefault="00370E8F" w:rsidP="00370E8F">
            <w:pPr>
              <w:overflowPunct/>
              <w:autoSpaceDE/>
              <w:autoSpaceDN/>
              <w:adjustRightInd/>
              <w:ind w:right="-957"/>
              <w:textAlignment w:val="auto"/>
              <w:rPr>
                <w:rFonts w:ascii="Times New Roman" w:hAnsi="Times New Roman" w:cs="Times New Roman"/>
                <w:b/>
                <w:color w:val="auto"/>
                <w:sz w:val="48"/>
              </w:rPr>
            </w:pPr>
            <w:r w:rsidRPr="00370E8F">
              <w:rPr>
                <w:rFonts w:ascii="Times New Roman" w:hAnsi="Times New Roman" w:cs="Times New Roman"/>
                <w:b/>
                <w:color w:val="auto"/>
                <w:sz w:val="36"/>
                <w:szCs w:val="18"/>
              </w:rPr>
              <w:t>Cohort: 21 onwards</w:t>
            </w:r>
          </w:p>
        </w:tc>
      </w:tr>
    </w:tbl>
    <w:p w14:paraId="3F3CE804"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E9DBDC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485D9A7"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DFBA027" w14:textId="77777777" w:rsidR="00E559CE" w:rsidRDefault="00E83F91" w:rsidP="005B3A2D">
      <w:pPr>
        <w:jc w:val="center"/>
        <w:rPr>
          <w:b/>
          <w:sz w:val="24"/>
          <w:szCs w:val="24"/>
        </w:rPr>
      </w:pPr>
      <w:r>
        <w:rPr>
          <w:b/>
          <w:sz w:val="24"/>
          <w:szCs w:val="24"/>
        </w:rPr>
        <w:br w:type="page"/>
      </w:r>
    </w:p>
    <w:p w14:paraId="793BD2C1" w14:textId="77777777" w:rsidR="007F312E" w:rsidRDefault="007F312E" w:rsidP="005F64AA">
      <w:pPr>
        <w:jc w:val="center"/>
        <w:rPr>
          <w:b/>
          <w:sz w:val="28"/>
          <w:szCs w:val="28"/>
        </w:rPr>
      </w:pPr>
    </w:p>
    <w:p w14:paraId="0711271C" w14:textId="77777777" w:rsidR="00D3203C" w:rsidRDefault="00D3203C" w:rsidP="00EE5BC3">
      <w:pPr>
        <w:jc w:val="center"/>
        <w:rPr>
          <w:b/>
          <w:sz w:val="24"/>
          <w:szCs w:val="24"/>
        </w:rPr>
      </w:pPr>
    </w:p>
    <w:p w14:paraId="38160D5A" w14:textId="77777777" w:rsidR="00F546D1" w:rsidRPr="00EE5BC3" w:rsidRDefault="007374EF" w:rsidP="00EE5BC3">
      <w:pPr>
        <w:jc w:val="center"/>
        <w:rPr>
          <w:sz w:val="28"/>
          <w:szCs w:val="28"/>
        </w:rPr>
      </w:pPr>
      <w:r w:rsidRPr="00EE5BC3">
        <w:rPr>
          <w:b/>
          <w:sz w:val="28"/>
          <w:szCs w:val="28"/>
        </w:rPr>
        <w:t>Task 3</w:t>
      </w:r>
    </w:p>
    <w:p w14:paraId="410B07AB" w14:textId="77777777" w:rsidR="00F546D1" w:rsidRPr="00EE5BC3" w:rsidRDefault="00F546D1" w:rsidP="00EE5BC3">
      <w:pPr>
        <w:jc w:val="center"/>
        <w:rPr>
          <w:b/>
          <w:sz w:val="28"/>
          <w:szCs w:val="28"/>
        </w:rPr>
      </w:pPr>
    </w:p>
    <w:p w14:paraId="5F31FA05"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1B5175EC" w14:textId="77777777" w:rsidR="007C5ABE" w:rsidRDefault="007C5ABE" w:rsidP="0093018C">
      <w:pPr>
        <w:rPr>
          <w:b/>
          <w:color w:val="auto"/>
          <w:sz w:val="24"/>
          <w:szCs w:val="24"/>
        </w:rPr>
      </w:pPr>
    </w:p>
    <w:p w14:paraId="1F25ABFD"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0343C6CE"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5A2E81A9"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FB15EB9" w14:textId="77777777" w:rsidTr="7B2CF1A9">
        <w:tc>
          <w:tcPr>
            <w:tcW w:w="10031" w:type="dxa"/>
            <w:shd w:val="clear" w:color="auto" w:fill="auto"/>
          </w:tcPr>
          <w:p w14:paraId="45310C69"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05B5E4BA"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bookmarkStart w:id="0" w:name="_Hlk190067144"/>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bookmarkEnd w:id="0"/>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E14591C" w14:textId="77777777" w:rsidR="008D5999" w:rsidRDefault="008D5999" w:rsidP="00064063">
            <w:pPr>
              <w:jc w:val="both"/>
              <w:rPr>
                <w:sz w:val="24"/>
                <w:szCs w:val="24"/>
              </w:rPr>
            </w:pPr>
          </w:p>
          <w:p w14:paraId="5DAB6116" w14:textId="77777777" w:rsidR="008D5999" w:rsidRDefault="008D5999" w:rsidP="00064063">
            <w:pPr>
              <w:jc w:val="both"/>
              <w:rPr>
                <w:sz w:val="24"/>
                <w:szCs w:val="24"/>
              </w:rPr>
            </w:pPr>
          </w:p>
          <w:p w14:paraId="12B861A3"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686591F" w14:textId="77777777" w:rsidR="00D3203C" w:rsidRDefault="00D3203C" w:rsidP="00FF7EBB">
            <w:pPr>
              <w:jc w:val="both"/>
              <w:rPr>
                <w:i/>
                <w:sz w:val="24"/>
                <w:szCs w:val="24"/>
              </w:rPr>
            </w:pPr>
          </w:p>
          <w:p w14:paraId="556B5D52" w14:textId="77777777" w:rsidR="003E60E5" w:rsidRPr="003E60E5" w:rsidRDefault="003E60E5" w:rsidP="003E60E5">
            <w:pPr>
              <w:pStyle w:val="NormalWeb"/>
              <w:spacing w:line="360" w:lineRule="auto"/>
              <w:jc w:val="both"/>
              <w:rPr>
                <w:rFonts w:ascii="Arial" w:hAnsi="Arial" w:cs="Arial"/>
                <w:b/>
                <w:bCs/>
                <w:sz w:val="22"/>
                <w:szCs w:val="22"/>
              </w:rPr>
            </w:pPr>
            <w:r w:rsidRPr="003E60E5">
              <w:rPr>
                <w:rFonts w:ascii="Arial" w:hAnsi="Arial" w:cs="Arial"/>
                <w:b/>
                <w:bCs/>
                <w:sz w:val="22"/>
                <w:szCs w:val="22"/>
              </w:rPr>
              <w:t>Introduction</w:t>
            </w:r>
          </w:p>
          <w:p w14:paraId="12E7F4CC" w14:textId="77FADF4D"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In this assignment, I </w:t>
            </w:r>
            <w:r w:rsidR="003E1D21">
              <w:rPr>
                <w:rFonts w:ascii="Arial" w:hAnsi="Arial" w:cs="Arial"/>
                <w:sz w:val="22"/>
                <w:szCs w:val="22"/>
              </w:rPr>
              <w:t xml:space="preserve">plan to </w:t>
            </w:r>
            <w:r w:rsidRPr="003E60E5">
              <w:rPr>
                <w:rFonts w:ascii="Arial" w:hAnsi="Arial" w:cs="Arial"/>
                <w:sz w:val="22"/>
                <w:szCs w:val="22"/>
              </w:rPr>
              <w:t xml:space="preserve">critically reflect on an assessment </w:t>
            </w:r>
            <w:r w:rsidR="003E1D21">
              <w:rPr>
                <w:rFonts w:ascii="Arial" w:hAnsi="Arial" w:cs="Arial"/>
                <w:sz w:val="22"/>
                <w:szCs w:val="22"/>
              </w:rPr>
              <w:t xml:space="preserve">that </w:t>
            </w:r>
            <w:r w:rsidRPr="003E60E5">
              <w:rPr>
                <w:rFonts w:ascii="Arial" w:hAnsi="Arial" w:cs="Arial"/>
                <w:sz w:val="22"/>
                <w:szCs w:val="22"/>
              </w:rPr>
              <w:t xml:space="preserve">I carried out as a </w:t>
            </w:r>
            <w:r w:rsidR="003E1D21">
              <w:rPr>
                <w:rFonts w:ascii="Arial" w:hAnsi="Arial" w:cs="Arial"/>
                <w:sz w:val="22"/>
                <w:szCs w:val="22"/>
              </w:rPr>
              <w:t>S</w:t>
            </w:r>
            <w:r w:rsidRPr="003E60E5">
              <w:rPr>
                <w:rFonts w:ascii="Arial" w:hAnsi="Arial" w:cs="Arial"/>
                <w:sz w:val="22"/>
                <w:szCs w:val="22"/>
              </w:rPr>
              <w:t xml:space="preserve">ocial </w:t>
            </w:r>
            <w:r w:rsidR="003E1D21">
              <w:rPr>
                <w:rFonts w:ascii="Arial" w:hAnsi="Arial" w:cs="Arial"/>
                <w:sz w:val="22"/>
                <w:szCs w:val="22"/>
              </w:rPr>
              <w:t>W</w:t>
            </w:r>
            <w:r w:rsidRPr="003E60E5">
              <w:rPr>
                <w:rFonts w:ascii="Arial" w:hAnsi="Arial" w:cs="Arial"/>
                <w:sz w:val="22"/>
                <w:szCs w:val="22"/>
              </w:rPr>
              <w:t xml:space="preserve">orker in the Looked After Children (LAC) team, focusing on safeguarding. I will explore how national and organisational policies, legislation, and procedures influenced my decision-making. </w:t>
            </w:r>
            <w:r w:rsidR="003E1D21">
              <w:rPr>
                <w:rFonts w:ascii="Arial" w:hAnsi="Arial" w:cs="Arial"/>
                <w:sz w:val="22"/>
                <w:szCs w:val="22"/>
              </w:rPr>
              <w:t>In addition</w:t>
            </w:r>
            <w:r w:rsidRPr="003E60E5">
              <w:rPr>
                <w:rFonts w:ascii="Arial" w:hAnsi="Arial" w:cs="Arial"/>
                <w:sz w:val="22"/>
                <w:szCs w:val="22"/>
              </w:rPr>
              <w:t>, I will compare safeguarding pr</w:t>
            </w:r>
            <w:r w:rsidR="003E1D21">
              <w:rPr>
                <w:rFonts w:ascii="Arial" w:hAnsi="Arial" w:cs="Arial"/>
                <w:sz w:val="22"/>
                <w:szCs w:val="22"/>
              </w:rPr>
              <w:t>ocesses</w:t>
            </w:r>
            <w:r w:rsidRPr="003E60E5">
              <w:rPr>
                <w:rFonts w:ascii="Arial" w:hAnsi="Arial" w:cs="Arial"/>
                <w:sz w:val="22"/>
                <w:szCs w:val="22"/>
              </w:rPr>
              <w:t xml:space="preserve"> in Wales with those across the wider UK, the European Union (EU), and internationally. A </w:t>
            </w:r>
            <w:r w:rsidR="003E1D21">
              <w:rPr>
                <w:rFonts w:ascii="Arial" w:hAnsi="Arial" w:cs="Arial"/>
                <w:sz w:val="22"/>
                <w:szCs w:val="22"/>
              </w:rPr>
              <w:t>key part</w:t>
            </w:r>
            <w:r w:rsidRPr="003E60E5">
              <w:rPr>
                <w:rFonts w:ascii="Arial" w:hAnsi="Arial" w:cs="Arial"/>
                <w:sz w:val="22"/>
                <w:szCs w:val="22"/>
              </w:rPr>
              <w:t xml:space="preserve"> my reflection will evaluate how professional judgment, multi-agency collaboration, and </w:t>
            </w:r>
            <w:r w:rsidR="003E1D21">
              <w:rPr>
                <w:rFonts w:ascii="Arial" w:hAnsi="Arial" w:cs="Arial"/>
                <w:sz w:val="22"/>
                <w:szCs w:val="22"/>
              </w:rPr>
              <w:t>S</w:t>
            </w:r>
            <w:r w:rsidRPr="003E60E5">
              <w:rPr>
                <w:rFonts w:ascii="Arial" w:hAnsi="Arial" w:cs="Arial"/>
                <w:sz w:val="22"/>
                <w:szCs w:val="22"/>
              </w:rPr>
              <w:t xml:space="preserve">ocial </w:t>
            </w:r>
            <w:r w:rsidR="003E1D21">
              <w:rPr>
                <w:rFonts w:ascii="Arial" w:hAnsi="Arial" w:cs="Arial"/>
                <w:sz w:val="22"/>
                <w:szCs w:val="22"/>
              </w:rPr>
              <w:t>W</w:t>
            </w:r>
            <w:r w:rsidRPr="003E60E5">
              <w:rPr>
                <w:rFonts w:ascii="Arial" w:hAnsi="Arial" w:cs="Arial"/>
                <w:sz w:val="22"/>
                <w:szCs w:val="22"/>
              </w:rPr>
              <w:t xml:space="preserve">ork theories </w:t>
            </w:r>
            <w:r w:rsidR="003E1D21">
              <w:rPr>
                <w:rFonts w:ascii="Arial" w:hAnsi="Arial" w:cs="Arial"/>
                <w:sz w:val="22"/>
                <w:szCs w:val="22"/>
              </w:rPr>
              <w:t xml:space="preserve">have </w:t>
            </w:r>
            <w:r w:rsidRPr="003E60E5">
              <w:rPr>
                <w:rFonts w:ascii="Arial" w:hAnsi="Arial" w:cs="Arial"/>
                <w:sz w:val="22"/>
                <w:szCs w:val="22"/>
              </w:rPr>
              <w:t xml:space="preserve">contributed to navigating complex safeguarding challenges in Wales. To support my reflective practice, I will use Schön’s Reflection Model as a structured framework for analysis (Schon, 1992). </w:t>
            </w:r>
          </w:p>
          <w:p w14:paraId="531F5543" w14:textId="77777777" w:rsidR="003E60E5" w:rsidRPr="003E60E5" w:rsidRDefault="003E60E5" w:rsidP="003E60E5">
            <w:pPr>
              <w:pStyle w:val="NormalWeb"/>
              <w:spacing w:line="360" w:lineRule="auto"/>
              <w:jc w:val="both"/>
              <w:rPr>
                <w:rFonts w:ascii="Arial" w:hAnsi="Arial" w:cs="Arial"/>
                <w:b/>
                <w:bCs/>
                <w:sz w:val="22"/>
                <w:szCs w:val="22"/>
              </w:rPr>
            </w:pPr>
            <w:r w:rsidRPr="003E60E5">
              <w:rPr>
                <w:rFonts w:ascii="Arial" w:hAnsi="Arial" w:cs="Arial"/>
                <w:b/>
                <w:bCs/>
                <w:sz w:val="22"/>
                <w:szCs w:val="22"/>
              </w:rPr>
              <w:t>Case Overview and Key Safeguarding Concerns</w:t>
            </w:r>
          </w:p>
          <w:p w14:paraId="7416D3B6" w14:textId="11DB75A8"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Following the Code of Professional Practice (COPP) (Welsh Government, 2017), I ensure confidentiality is maintained by anonymising details, referring to the child</w:t>
            </w:r>
            <w:r w:rsidR="004B73A9">
              <w:rPr>
                <w:rFonts w:ascii="Arial" w:hAnsi="Arial" w:cs="Arial"/>
                <w:sz w:val="22"/>
                <w:szCs w:val="22"/>
              </w:rPr>
              <w:t xml:space="preserve"> in this case</w:t>
            </w:r>
            <w:r w:rsidRPr="003E60E5">
              <w:rPr>
                <w:rFonts w:ascii="Arial" w:hAnsi="Arial" w:cs="Arial"/>
                <w:sz w:val="22"/>
                <w:szCs w:val="22"/>
              </w:rPr>
              <w:t xml:space="preserve"> as "Child 2", and using other identifiers for professionals involved</w:t>
            </w:r>
            <w:r w:rsidR="004B73A9">
              <w:rPr>
                <w:rFonts w:ascii="Arial" w:hAnsi="Arial" w:cs="Arial"/>
                <w:sz w:val="22"/>
                <w:szCs w:val="22"/>
              </w:rPr>
              <w:t xml:space="preserve">. </w:t>
            </w:r>
            <w:r w:rsidRPr="003E60E5">
              <w:rPr>
                <w:rFonts w:ascii="Arial" w:hAnsi="Arial" w:cs="Arial"/>
                <w:sz w:val="22"/>
                <w:szCs w:val="22"/>
              </w:rPr>
              <w:t xml:space="preserve">This safeguarding assessment is underpinned by a strengths-based approach. According to Caiels et al. (2024), professionals' strength-based practice in </w:t>
            </w:r>
            <w:r w:rsidR="003E1D21">
              <w:rPr>
                <w:rFonts w:ascii="Arial" w:hAnsi="Arial" w:cs="Arial"/>
                <w:sz w:val="22"/>
                <w:szCs w:val="22"/>
              </w:rPr>
              <w:lastRenderedPageBreak/>
              <w:t>S</w:t>
            </w:r>
            <w:r w:rsidRPr="003E60E5">
              <w:rPr>
                <w:rFonts w:ascii="Arial" w:hAnsi="Arial" w:cs="Arial"/>
                <w:sz w:val="22"/>
                <w:szCs w:val="22"/>
              </w:rPr>
              <w:t xml:space="preserve">ocial </w:t>
            </w:r>
            <w:r w:rsidR="003E1D21">
              <w:rPr>
                <w:rFonts w:ascii="Arial" w:hAnsi="Arial" w:cs="Arial"/>
                <w:sz w:val="22"/>
                <w:szCs w:val="22"/>
              </w:rPr>
              <w:t>W</w:t>
            </w:r>
            <w:r w:rsidRPr="003E60E5">
              <w:rPr>
                <w:rFonts w:ascii="Arial" w:hAnsi="Arial" w:cs="Arial"/>
                <w:sz w:val="22"/>
                <w:szCs w:val="22"/>
              </w:rPr>
              <w:t xml:space="preserve">ork develops their ability to assist individuals with care and support needs. A strength-based approach is also fluid and recommended throughout the current Welsh safeguarding procedures, which advocate for a holistic, child-centred model rather than a risk-driven approach (Welsh Government, 2025). </w:t>
            </w:r>
          </w:p>
          <w:p w14:paraId="2AC4EE4C" w14:textId="0404BA91"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Over the past two years, I have worked closely with Child 2, overseeing their care plan and ensuring stability in their </w:t>
            </w:r>
            <w:r w:rsidR="003E1D21">
              <w:rPr>
                <w:rFonts w:ascii="Arial" w:hAnsi="Arial" w:cs="Arial"/>
                <w:sz w:val="22"/>
                <w:szCs w:val="22"/>
              </w:rPr>
              <w:t xml:space="preserve">current </w:t>
            </w:r>
            <w:r w:rsidRPr="003E60E5">
              <w:rPr>
                <w:rFonts w:ascii="Arial" w:hAnsi="Arial" w:cs="Arial"/>
                <w:sz w:val="22"/>
                <w:szCs w:val="22"/>
              </w:rPr>
              <w:t xml:space="preserve">placement. As a </w:t>
            </w:r>
            <w:r w:rsidR="003E1D21">
              <w:rPr>
                <w:rFonts w:ascii="Arial" w:hAnsi="Arial" w:cs="Arial"/>
                <w:sz w:val="22"/>
                <w:szCs w:val="22"/>
              </w:rPr>
              <w:t>S</w:t>
            </w:r>
            <w:r w:rsidRPr="003E60E5">
              <w:rPr>
                <w:rFonts w:ascii="Arial" w:hAnsi="Arial" w:cs="Arial"/>
                <w:sz w:val="22"/>
                <w:szCs w:val="22"/>
              </w:rPr>
              <w:t xml:space="preserve">ocial </w:t>
            </w:r>
            <w:r w:rsidR="003E1D21">
              <w:rPr>
                <w:rFonts w:ascii="Arial" w:hAnsi="Arial" w:cs="Arial"/>
                <w:sz w:val="22"/>
                <w:szCs w:val="22"/>
              </w:rPr>
              <w:t>W</w:t>
            </w:r>
            <w:r w:rsidRPr="003E60E5">
              <w:rPr>
                <w:rFonts w:ascii="Arial" w:hAnsi="Arial" w:cs="Arial"/>
                <w:sz w:val="22"/>
                <w:szCs w:val="22"/>
              </w:rPr>
              <w:t>orker in the LAC team, I identify and address safeguarding risks and support the emotional well-being of the children</w:t>
            </w:r>
            <w:r w:rsidR="003E1D21">
              <w:rPr>
                <w:rFonts w:ascii="Arial" w:hAnsi="Arial" w:cs="Arial"/>
                <w:sz w:val="22"/>
                <w:szCs w:val="22"/>
              </w:rPr>
              <w:t xml:space="preserve"> and families that</w:t>
            </w:r>
            <w:r w:rsidRPr="003E60E5">
              <w:rPr>
                <w:rFonts w:ascii="Arial" w:hAnsi="Arial" w:cs="Arial"/>
                <w:sz w:val="22"/>
                <w:szCs w:val="22"/>
              </w:rPr>
              <w:t xml:space="preserve"> I work with. Stability is crucial for children as it provides the foundation for healthy emotional development (Trevithick, 2012). Multiple placements can disrupt a child's sense of safety, identity, and emotional well-being. Balancing emotional support with safeguarding is </w:t>
            </w:r>
            <w:r w:rsidR="003E1D21">
              <w:rPr>
                <w:rFonts w:ascii="Arial" w:hAnsi="Arial" w:cs="Arial"/>
                <w:sz w:val="22"/>
                <w:szCs w:val="22"/>
              </w:rPr>
              <w:t xml:space="preserve">also </w:t>
            </w:r>
            <w:r w:rsidRPr="003E60E5">
              <w:rPr>
                <w:rFonts w:ascii="Arial" w:hAnsi="Arial" w:cs="Arial"/>
                <w:sz w:val="22"/>
                <w:szCs w:val="22"/>
              </w:rPr>
              <w:t xml:space="preserve">crucial for achieving positive outcomes. This balance is essential, especially as LAC faces challenges such as frequent placement changes more than they should. Maguire et al. (2024) highlight that frequent moves can hinder children's ability to form secure attachments, leading to emotional and behavioural difficulties, which can have a lasting impact on their development. </w:t>
            </w:r>
          </w:p>
          <w:p w14:paraId="1169CCD7" w14:textId="21EA90D6"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Child 2 resides in a residential children's home outside their original borough and in a different UK nation from Wales. Research indicates that children with multiple placement moves are more likely to be placed far from </w:t>
            </w:r>
            <w:r w:rsidR="00A270F4">
              <w:rPr>
                <w:rFonts w:ascii="Arial" w:hAnsi="Arial" w:cs="Arial"/>
                <w:sz w:val="22"/>
                <w:szCs w:val="22"/>
              </w:rPr>
              <w:t>their hometown/city</w:t>
            </w:r>
            <w:r w:rsidRPr="003E60E5">
              <w:rPr>
                <w:rFonts w:ascii="Arial" w:hAnsi="Arial" w:cs="Arial"/>
                <w:sz w:val="22"/>
                <w:szCs w:val="22"/>
              </w:rPr>
              <w:t xml:space="preserve">, with 29.9% of children in their third or subsequent placement living over 20 miles away (Community Care, 2023). Despite the geographical distance, my local authority retained primary parental responsibility, as Child 2 is subject to a Care Order under The Children Act (1989) s.31 (Government, 1989). This means my organisation is accountable for Child 2's safeguarding and well-being. In addition, child 2 was given a choice of language in line with the More Than Just Words framework (Welsh Government, 2022). </w:t>
            </w:r>
            <w:r w:rsidR="00A270F4">
              <w:rPr>
                <w:rFonts w:ascii="Arial" w:hAnsi="Arial" w:cs="Arial"/>
                <w:sz w:val="22"/>
                <w:szCs w:val="22"/>
              </w:rPr>
              <w:t>Child 2</w:t>
            </w:r>
            <w:r w:rsidRPr="003E60E5">
              <w:rPr>
                <w:rFonts w:ascii="Arial" w:hAnsi="Arial" w:cs="Arial"/>
                <w:sz w:val="22"/>
                <w:szCs w:val="22"/>
              </w:rPr>
              <w:t xml:space="preserve"> chose to communicate in English. Having worked with Child 2 for a few years, they knew I also speak Welsh fluently. The option to use the Welsh language is revisited in care planning meetings and LAC reviews. Additionally, my ability to communicate in Welsh is clearly indicated in my work email signature and on my lanyard, ensuring that both the child and other professionals know it and that their language preferences are optional.</w:t>
            </w:r>
          </w:p>
          <w:p w14:paraId="0F5DB23D" w14:textId="1565AD8B" w:rsidR="00582745" w:rsidRPr="00B017E3" w:rsidRDefault="003E60E5" w:rsidP="00B017E3">
            <w:pPr>
              <w:pStyle w:val="NormalWeb"/>
              <w:spacing w:line="360" w:lineRule="auto"/>
              <w:jc w:val="both"/>
              <w:rPr>
                <w:rFonts w:ascii="Arial" w:hAnsi="Arial" w:cs="Arial"/>
                <w:sz w:val="22"/>
                <w:szCs w:val="22"/>
              </w:rPr>
            </w:pPr>
            <w:r w:rsidRPr="003E60E5">
              <w:rPr>
                <w:rFonts w:ascii="Arial" w:hAnsi="Arial" w:cs="Arial"/>
                <w:sz w:val="22"/>
                <w:szCs w:val="22"/>
              </w:rPr>
              <w:t>A safeguarding referral was received from Professional 1, a residential care worker, outlining concerns about Child 2 being reported missing during their planned independence time. The referral highlighted repeated missing episodes and inconsistencies in Child 2's original explanations. A second agency submitted an additional referral, reinforcing concerns about the circumstances surrounding the missing</w:t>
            </w:r>
            <w:r w:rsidR="00A270F4">
              <w:rPr>
                <w:rFonts w:ascii="Arial" w:hAnsi="Arial" w:cs="Arial"/>
                <w:sz w:val="22"/>
                <w:szCs w:val="22"/>
              </w:rPr>
              <w:t xml:space="preserve"> </w:t>
            </w:r>
            <w:r w:rsidRPr="003E60E5">
              <w:rPr>
                <w:rFonts w:ascii="Arial" w:hAnsi="Arial" w:cs="Arial"/>
                <w:sz w:val="22"/>
                <w:szCs w:val="22"/>
              </w:rPr>
              <w:t>from</w:t>
            </w:r>
            <w:r w:rsidR="00A270F4">
              <w:rPr>
                <w:rFonts w:ascii="Arial" w:hAnsi="Arial" w:cs="Arial"/>
                <w:sz w:val="22"/>
                <w:szCs w:val="22"/>
              </w:rPr>
              <w:t xml:space="preserve"> </w:t>
            </w:r>
            <w:r w:rsidRPr="003E60E5">
              <w:rPr>
                <w:rFonts w:ascii="Arial" w:hAnsi="Arial" w:cs="Arial"/>
                <w:sz w:val="22"/>
                <w:szCs w:val="22"/>
              </w:rPr>
              <w:t xml:space="preserve">home incident Child 2. Given the potential risks of child exploitation, I was tasked with ensuring </w:t>
            </w:r>
            <w:r w:rsidRPr="003E60E5">
              <w:rPr>
                <w:rFonts w:ascii="Arial" w:hAnsi="Arial" w:cs="Arial"/>
                <w:sz w:val="22"/>
                <w:szCs w:val="22"/>
              </w:rPr>
              <w:lastRenderedPageBreak/>
              <w:t xml:space="preserve">an appropriate safeguarding response in line with the Wales Safeguarding Procedures (Welsh Government, 2025). Further details in the referral revealed that Child 2 had mentioned travelling in a car with unknown adult males and being under the influence of an unknown substance, possibly alcohol or illegal drugs. They also described visiting a "crack den." Given these disclosures, I exercised professional judgment to initiate a strategy discussion. A review held in 2011 of the child protection system argues that high-risk safeguarding decisions require balancing procedural compliance with discretionary decision-making to ensure contextually appropriate interventions (Department for Education, 2011). While I was confident that escalation was necessary, I consulted with my manager before proceeding. This reflective conversation with my manager allowed me to ensure that my response was proportionate and well-justified, as a positive aspect of this safeguarding decision-making was highlighted in the child protection review report from The Department for Education (2011). </w:t>
            </w:r>
          </w:p>
          <w:p w14:paraId="6FDAD637" w14:textId="77777777" w:rsidR="003E60E5" w:rsidRPr="003E60E5" w:rsidRDefault="003E60E5" w:rsidP="003E60E5">
            <w:pPr>
              <w:pStyle w:val="NormalWeb"/>
              <w:spacing w:line="360" w:lineRule="auto"/>
              <w:jc w:val="both"/>
              <w:rPr>
                <w:rFonts w:ascii="Arial" w:hAnsi="Arial" w:cs="Arial"/>
                <w:b/>
                <w:bCs/>
                <w:sz w:val="22"/>
                <w:szCs w:val="22"/>
              </w:rPr>
            </w:pPr>
            <w:r w:rsidRPr="003E60E5">
              <w:rPr>
                <w:rFonts w:ascii="Arial" w:hAnsi="Arial" w:cs="Arial"/>
                <w:b/>
                <w:bCs/>
                <w:sz w:val="22"/>
                <w:szCs w:val="22"/>
              </w:rPr>
              <w:t xml:space="preserve">Multi-Agency Strategy Discussion </w:t>
            </w:r>
          </w:p>
          <w:p w14:paraId="3958F152" w14:textId="67DAD1BE"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Under the Wales Safeguarding Procedures (Welsh Government, 2025), a strategy discussion must occur within twenty-four hours of identifying a safeguarding concern</w:t>
            </w:r>
            <w:r w:rsidR="00A270F4">
              <w:rPr>
                <w:rFonts w:ascii="Arial" w:hAnsi="Arial" w:cs="Arial"/>
                <w:sz w:val="22"/>
                <w:szCs w:val="22"/>
              </w:rPr>
              <w:t xml:space="preserve">. Also </w:t>
            </w:r>
            <w:r w:rsidR="00A270F4">
              <w:rPr>
                <w:rFonts w:ascii="Arial" w:hAnsi="Arial" w:cs="Arial"/>
                <w:sz w:val="22"/>
                <w:szCs w:val="22"/>
              </w:rPr>
              <w:t>to ensure</w:t>
            </w:r>
            <w:r w:rsidR="00A270F4" w:rsidRPr="003E60E5">
              <w:rPr>
                <w:rFonts w:ascii="Arial" w:hAnsi="Arial" w:cs="Arial"/>
                <w:sz w:val="22"/>
                <w:szCs w:val="22"/>
              </w:rPr>
              <w:t xml:space="preserve"> a swift and coordinated response to protect the child</w:t>
            </w:r>
            <w:r w:rsidR="00A270F4">
              <w:rPr>
                <w:rFonts w:ascii="Arial" w:hAnsi="Arial" w:cs="Arial"/>
                <w:sz w:val="22"/>
                <w:szCs w:val="22"/>
              </w:rPr>
              <w:t xml:space="preserve"> who may be at risk. </w:t>
            </w:r>
            <w:r w:rsidRPr="003E60E5">
              <w:rPr>
                <w:rFonts w:ascii="Arial" w:hAnsi="Arial" w:cs="Arial"/>
                <w:sz w:val="22"/>
                <w:szCs w:val="22"/>
              </w:rPr>
              <w:t xml:space="preserve">A strategy meeting is a crucial part of the safeguarding process. It is typically a multi-agency discussion to assess the level of risk and decide the appropriate steps to protect the child. </w:t>
            </w:r>
            <w:r w:rsidR="003C438B">
              <w:rPr>
                <w:rFonts w:ascii="Arial" w:hAnsi="Arial" w:cs="Arial"/>
                <w:sz w:val="22"/>
                <w:szCs w:val="22"/>
              </w:rPr>
              <w:t>A</w:t>
            </w:r>
            <w:r w:rsidRPr="003E60E5">
              <w:rPr>
                <w:rFonts w:ascii="Arial" w:hAnsi="Arial" w:cs="Arial"/>
                <w:sz w:val="22"/>
                <w:szCs w:val="22"/>
              </w:rPr>
              <w:t xml:space="preserve"> multi-agency strategy meeting usually involves professionals from various sectors, such as </w:t>
            </w:r>
            <w:r w:rsidR="00A270F4">
              <w:rPr>
                <w:rFonts w:ascii="Arial" w:hAnsi="Arial" w:cs="Arial"/>
                <w:sz w:val="22"/>
                <w:szCs w:val="22"/>
              </w:rPr>
              <w:t>S</w:t>
            </w:r>
            <w:r w:rsidRPr="003E60E5">
              <w:rPr>
                <w:rFonts w:ascii="Arial" w:hAnsi="Arial" w:cs="Arial"/>
                <w:sz w:val="22"/>
                <w:szCs w:val="22"/>
              </w:rPr>
              <w:t xml:space="preserve">ocial </w:t>
            </w:r>
            <w:r w:rsidR="00A270F4">
              <w:rPr>
                <w:rFonts w:ascii="Arial" w:hAnsi="Arial" w:cs="Arial"/>
                <w:sz w:val="22"/>
                <w:szCs w:val="22"/>
              </w:rPr>
              <w:t>W</w:t>
            </w:r>
            <w:r w:rsidRPr="003E60E5">
              <w:rPr>
                <w:rFonts w:ascii="Arial" w:hAnsi="Arial" w:cs="Arial"/>
                <w:sz w:val="22"/>
                <w:szCs w:val="22"/>
              </w:rPr>
              <w:t xml:space="preserve">orkers, Police, </w:t>
            </w:r>
            <w:r w:rsidR="00A270F4">
              <w:rPr>
                <w:rFonts w:ascii="Arial" w:hAnsi="Arial" w:cs="Arial"/>
                <w:sz w:val="22"/>
                <w:szCs w:val="22"/>
              </w:rPr>
              <w:t>H</w:t>
            </w:r>
            <w:r w:rsidRPr="003E60E5">
              <w:rPr>
                <w:rFonts w:ascii="Arial" w:hAnsi="Arial" w:cs="Arial"/>
                <w:sz w:val="22"/>
                <w:szCs w:val="22"/>
              </w:rPr>
              <w:t xml:space="preserve">ealth, and </w:t>
            </w:r>
            <w:r w:rsidR="00A270F4">
              <w:rPr>
                <w:rFonts w:ascii="Arial" w:hAnsi="Arial" w:cs="Arial"/>
                <w:sz w:val="22"/>
                <w:szCs w:val="22"/>
              </w:rPr>
              <w:t>E</w:t>
            </w:r>
            <w:r w:rsidRPr="003E60E5">
              <w:rPr>
                <w:rFonts w:ascii="Arial" w:hAnsi="Arial" w:cs="Arial"/>
                <w:sz w:val="22"/>
                <w:szCs w:val="22"/>
              </w:rPr>
              <w:t xml:space="preserve">ducation, sharing information and agreeing on the next steps. </w:t>
            </w:r>
          </w:p>
          <w:p w14:paraId="242E9BA6" w14:textId="4CBBD926"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After escalating the concerns raised about child 2 to my management team, a strategy discussion was held on the same day the referral was received. A multi-agency strategy meeting was then scheduled, bringing together professionals from various agencies, including </w:t>
            </w:r>
            <w:r w:rsidR="00AE4F73">
              <w:rPr>
                <w:rFonts w:ascii="Arial" w:hAnsi="Arial" w:cs="Arial"/>
                <w:sz w:val="22"/>
                <w:szCs w:val="22"/>
              </w:rPr>
              <w:t>H</w:t>
            </w:r>
            <w:r w:rsidRPr="003E60E5">
              <w:rPr>
                <w:rFonts w:ascii="Arial" w:hAnsi="Arial" w:cs="Arial"/>
                <w:sz w:val="22"/>
                <w:szCs w:val="22"/>
              </w:rPr>
              <w:t xml:space="preserve">ealth, </w:t>
            </w:r>
            <w:r w:rsidR="00AE4F73">
              <w:rPr>
                <w:rFonts w:ascii="Arial" w:hAnsi="Arial" w:cs="Arial"/>
                <w:sz w:val="22"/>
                <w:szCs w:val="22"/>
              </w:rPr>
              <w:t>Ed</w:t>
            </w:r>
            <w:r w:rsidR="00AE4F73" w:rsidRPr="003E60E5">
              <w:rPr>
                <w:rFonts w:ascii="Arial" w:hAnsi="Arial" w:cs="Arial"/>
                <w:sz w:val="22"/>
                <w:szCs w:val="22"/>
              </w:rPr>
              <w:t>ucation</w:t>
            </w:r>
            <w:r w:rsidRPr="003E60E5">
              <w:rPr>
                <w:rFonts w:ascii="Arial" w:hAnsi="Arial" w:cs="Arial"/>
                <w:sz w:val="22"/>
                <w:szCs w:val="22"/>
              </w:rPr>
              <w:t xml:space="preserve">, </w:t>
            </w:r>
            <w:r w:rsidR="00AE4F73">
              <w:rPr>
                <w:rFonts w:ascii="Arial" w:hAnsi="Arial" w:cs="Arial"/>
                <w:sz w:val="22"/>
                <w:szCs w:val="22"/>
              </w:rPr>
              <w:t>T</w:t>
            </w:r>
            <w:r w:rsidRPr="003E60E5">
              <w:rPr>
                <w:rFonts w:ascii="Arial" w:hAnsi="Arial" w:cs="Arial"/>
                <w:sz w:val="22"/>
                <w:szCs w:val="22"/>
              </w:rPr>
              <w:t xml:space="preserve">he </w:t>
            </w:r>
            <w:r w:rsidR="00AE4F73">
              <w:rPr>
                <w:rFonts w:ascii="Arial" w:hAnsi="Arial" w:cs="Arial"/>
                <w:sz w:val="22"/>
                <w:szCs w:val="22"/>
              </w:rPr>
              <w:t>M</w:t>
            </w:r>
            <w:r w:rsidRPr="003E60E5">
              <w:rPr>
                <w:rFonts w:ascii="Arial" w:hAnsi="Arial" w:cs="Arial"/>
                <w:sz w:val="22"/>
                <w:szCs w:val="22"/>
              </w:rPr>
              <w:t xml:space="preserve">issing </w:t>
            </w:r>
            <w:r w:rsidR="00AE4F73">
              <w:rPr>
                <w:rFonts w:ascii="Arial" w:hAnsi="Arial" w:cs="Arial"/>
                <w:sz w:val="22"/>
                <w:szCs w:val="22"/>
              </w:rPr>
              <w:t>from</w:t>
            </w:r>
            <w:r w:rsidRPr="003E60E5">
              <w:rPr>
                <w:rFonts w:ascii="Arial" w:hAnsi="Arial" w:cs="Arial"/>
                <w:sz w:val="22"/>
                <w:szCs w:val="22"/>
              </w:rPr>
              <w:t xml:space="preserve"> </w:t>
            </w:r>
            <w:r w:rsidR="00AE4F73">
              <w:rPr>
                <w:rFonts w:ascii="Arial" w:hAnsi="Arial" w:cs="Arial"/>
                <w:sz w:val="22"/>
                <w:szCs w:val="22"/>
              </w:rPr>
              <w:t>H</w:t>
            </w:r>
            <w:r w:rsidRPr="003E60E5">
              <w:rPr>
                <w:rFonts w:ascii="Arial" w:hAnsi="Arial" w:cs="Arial"/>
                <w:sz w:val="22"/>
                <w:szCs w:val="22"/>
              </w:rPr>
              <w:t>ome team, a family support worker, residential care staff, and the Police. This coordinated approach ensured a comprehensive response to the situation. At the start of the strategy meeting for Child 2, the chair (</w:t>
            </w:r>
            <w:r w:rsidR="00AE4F73">
              <w:rPr>
                <w:rFonts w:ascii="Arial" w:hAnsi="Arial" w:cs="Arial"/>
                <w:sz w:val="22"/>
                <w:szCs w:val="22"/>
              </w:rPr>
              <w:t xml:space="preserve">LAC </w:t>
            </w:r>
            <w:r w:rsidRPr="003E60E5">
              <w:rPr>
                <w:rFonts w:ascii="Arial" w:hAnsi="Arial" w:cs="Arial"/>
                <w:sz w:val="22"/>
                <w:szCs w:val="22"/>
              </w:rPr>
              <w:t xml:space="preserve">Team Manager) read out a confidential statement to ensure that all professionals are aware of their responsibilities regarding confidentiality. The chair then confirmed the child’s identity before proceeding, ensuring that all professionals were discussing the correct case. This process ensures compliance with European GDPR regulations (European Union, 2016) and upholds confidentiality in line with the COPP for Social Care Workers (Welsh Government, 2017). </w:t>
            </w:r>
          </w:p>
          <w:p w14:paraId="2B16065F" w14:textId="50B18F53"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Although the </w:t>
            </w:r>
            <w:r w:rsidR="00AE4F73">
              <w:rPr>
                <w:rFonts w:ascii="Arial" w:hAnsi="Arial" w:cs="Arial"/>
                <w:sz w:val="22"/>
                <w:szCs w:val="22"/>
              </w:rPr>
              <w:t>H</w:t>
            </w:r>
            <w:r w:rsidRPr="003E60E5">
              <w:rPr>
                <w:rFonts w:ascii="Arial" w:hAnsi="Arial" w:cs="Arial"/>
                <w:sz w:val="22"/>
                <w:szCs w:val="22"/>
              </w:rPr>
              <w:t xml:space="preserve">ealth agency was invited to attend the strategy meeting, they could not participate, which has been a noticeable recurring issue in strategy meetings over the past twelve months, despite </w:t>
            </w:r>
            <w:r w:rsidRPr="003E60E5">
              <w:rPr>
                <w:rFonts w:ascii="Arial" w:hAnsi="Arial" w:cs="Arial"/>
                <w:sz w:val="22"/>
                <w:szCs w:val="22"/>
              </w:rPr>
              <w:lastRenderedPageBreak/>
              <w:t xml:space="preserve">their responsibilities under the Social Services and Well-being (Wales) Act 2014 </w:t>
            </w:r>
            <w:r w:rsidR="00C86F9C">
              <w:rPr>
                <w:rFonts w:ascii="Arial" w:hAnsi="Arial" w:cs="Arial"/>
                <w:sz w:val="22"/>
                <w:szCs w:val="22"/>
              </w:rPr>
              <w:t xml:space="preserve">(SSWBA) </w:t>
            </w:r>
            <w:r w:rsidRPr="003E60E5">
              <w:rPr>
                <w:rFonts w:ascii="Arial" w:hAnsi="Arial" w:cs="Arial"/>
                <w:sz w:val="22"/>
                <w:szCs w:val="22"/>
              </w:rPr>
              <w:t>(Welsh Government, 2014). Health agencies are crucial in identifying and addressing physical and emotional needs, contributing to risk assessments, and ensuring a holistic safeguarding approach. Any agency absence can lead to gaps in information-sharing, delaying interventions and potentially increasing risks for vulnerable children (Department for Education, 2023). During Child 2’s strategy meeting, I provided a summary of their background as Child 2’s Social Worker, highlighting their Adverse Childhood Experiences (ACEs) and the risks identified previously. ACEs, including abuse, neglect, or household dysfunction, can significantly affect a child’s development and well-being (Felitti et al., 1998). Therefore, LAC Children are more likely to have experienced multiple ACEs, increasing their vulnerability to further risks, according to a study by Di Lemma et al. (2019).</w:t>
            </w:r>
          </w:p>
          <w:p w14:paraId="06FF46E7" w14:textId="7BFCDE8E" w:rsidR="003E60E5" w:rsidRPr="003E60E5" w:rsidRDefault="003E60E5" w:rsidP="003E60E5">
            <w:pPr>
              <w:pStyle w:val="NormalWeb"/>
              <w:spacing w:line="360" w:lineRule="auto"/>
              <w:jc w:val="both"/>
              <w:rPr>
                <w:rFonts w:ascii="Arial" w:hAnsi="Arial" w:cs="Arial"/>
                <w:sz w:val="22"/>
                <w:szCs w:val="22"/>
              </w:rPr>
            </w:pPr>
            <w:r w:rsidRPr="003E60E5">
              <w:rPr>
                <w:rFonts w:ascii="Arial" w:hAnsi="Arial" w:cs="Arial"/>
                <w:sz w:val="22"/>
                <w:szCs w:val="22"/>
              </w:rPr>
              <w:t xml:space="preserve">After I presented the summary of concerns for Child 2, professionals from other agencies shared their perspectives, highlighting both positive developments and ongoing </w:t>
            </w:r>
            <w:r w:rsidR="00AE4F73">
              <w:rPr>
                <w:rFonts w:ascii="Arial" w:hAnsi="Arial" w:cs="Arial"/>
                <w:sz w:val="22"/>
                <w:szCs w:val="22"/>
              </w:rPr>
              <w:t>concerns.</w:t>
            </w:r>
            <w:r w:rsidRPr="003E60E5">
              <w:rPr>
                <w:rFonts w:ascii="Arial" w:hAnsi="Arial" w:cs="Arial"/>
                <w:sz w:val="22"/>
                <w:szCs w:val="22"/>
              </w:rPr>
              <w:t xml:space="preserve"> The chair then asked the group to assess whether the situation met the legal threshold for significant harm.</w:t>
            </w:r>
            <w:r w:rsidR="00C86F9C">
              <w:rPr>
                <w:rFonts w:ascii="Arial" w:hAnsi="Arial" w:cs="Arial"/>
                <w:sz w:val="22"/>
                <w:szCs w:val="22"/>
              </w:rPr>
              <w:t xml:space="preserve"> Within Welsh legislation</w:t>
            </w:r>
            <w:r w:rsidRPr="003E60E5">
              <w:rPr>
                <w:rFonts w:ascii="Arial" w:hAnsi="Arial" w:cs="Arial"/>
                <w:sz w:val="22"/>
                <w:szCs w:val="22"/>
              </w:rPr>
              <w:t xml:space="preserve">, there must be reasonable grounds to suspect that a child is experiencing or at risk of </w:t>
            </w:r>
            <w:r w:rsidR="00AE4F73" w:rsidRPr="003E60E5">
              <w:rPr>
                <w:rFonts w:ascii="Arial" w:hAnsi="Arial" w:cs="Arial"/>
                <w:sz w:val="22"/>
                <w:szCs w:val="22"/>
              </w:rPr>
              <w:t>significant harm</w:t>
            </w:r>
            <w:r w:rsidRPr="003E60E5">
              <w:rPr>
                <w:rFonts w:ascii="Arial" w:hAnsi="Arial" w:cs="Arial"/>
                <w:sz w:val="22"/>
                <w:szCs w:val="22"/>
              </w:rPr>
              <w:t xml:space="preserve"> under section 47 of the Children Act 1989 (Children Act 1989)</w:t>
            </w:r>
            <w:r w:rsidR="00AE4F73">
              <w:rPr>
                <w:rFonts w:ascii="Arial" w:hAnsi="Arial" w:cs="Arial"/>
                <w:sz w:val="22"/>
                <w:szCs w:val="22"/>
              </w:rPr>
              <w:t xml:space="preserve"> and </w:t>
            </w:r>
            <w:r w:rsidR="00AE4F73" w:rsidRPr="003E60E5">
              <w:rPr>
                <w:rFonts w:ascii="Arial" w:hAnsi="Arial" w:cs="Arial"/>
                <w:sz w:val="22"/>
                <w:szCs w:val="22"/>
              </w:rPr>
              <w:t xml:space="preserve">Part 7 of the </w:t>
            </w:r>
            <w:r w:rsidR="00C86F9C">
              <w:rPr>
                <w:rFonts w:ascii="Arial" w:hAnsi="Arial" w:cs="Arial"/>
                <w:sz w:val="22"/>
                <w:szCs w:val="22"/>
              </w:rPr>
              <w:t xml:space="preserve">SSWBA </w:t>
            </w:r>
            <w:r w:rsidR="00AE4F73" w:rsidRPr="003E60E5">
              <w:rPr>
                <w:rFonts w:ascii="Arial" w:hAnsi="Arial" w:cs="Arial"/>
                <w:sz w:val="22"/>
                <w:szCs w:val="22"/>
              </w:rPr>
              <w:t>(Wales) Act 2014 Welsh Government</w:t>
            </w:r>
            <w:r w:rsidR="00AE4F73">
              <w:rPr>
                <w:rFonts w:ascii="Arial" w:hAnsi="Arial" w:cs="Arial"/>
                <w:sz w:val="22"/>
                <w:szCs w:val="22"/>
              </w:rPr>
              <w:t xml:space="preserve"> (2014)</w:t>
            </w:r>
            <w:r w:rsidR="00C86F9C">
              <w:rPr>
                <w:rFonts w:ascii="Arial" w:hAnsi="Arial" w:cs="Arial"/>
                <w:sz w:val="22"/>
                <w:szCs w:val="22"/>
              </w:rPr>
              <w:t>, emphasising</w:t>
            </w:r>
            <w:r w:rsidR="00AE4F73">
              <w:rPr>
                <w:rFonts w:ascii="Arial" w:hAnsi="Arial" w:cs="Arial"/>
                <w:sz w:val="22"/>
                <w:szCs w:val="22"/>
              </w:rPr>
              <w:t xml:space="preserve"> </w:t>
            </w:r>
            <w:r w:rsidR="00C86F9C">
              <w:rPr>
                <w:rFonts w:ascii="Arial" w:hAnsi="Arial" w:cs="Arial"/>
                <w:sz w:val="22"/>
                <w:szCs w:val="22"/>
              </w:rPr>
              <w:t>agencies</w:t>
            </w:r>
            <w:r w:rsidR="00AE4F73" w:rsidRPr="003E60E5">
              <w:rPr>
                <w:rFonts w:ascii="Arial" w:hAnsi="Arial" w:cs="Arial"/>
                <w:sz w:val="22"/>
                <w:szCs w:val="22"/>
              </w:rPr>
              <w:t xml:space="preserve"> must inquire about </w:t>
            </w:r>
            <w:r w:rsidR="00C86F9C">
              <w:rPr>
                <w:rFonts w:ascii="Arial" w:hAnsi="Arial" w:cs="Arial"/>
                <w:sz w:val="22"/>
                <w:szCs w:val="22"/>
              </w:rPr>
              <w:t xml:space="preserve">safeguarding </w:t>
            </w:r>
            <w:r w:rsidR="00AE4F73" w:rsidRPr="003E60E5">
              <w:rPr>
                <w:rFonts w:ascii="Arial" w:hAnsi="Arial" w:cs="Arial"/>
                <w:sz w:val="22"/>
                <w:szCs w:val="22"/>
              </w:rPr>
              <w:t>concerns</w:t>
            </w:r>
            <w:r w:rsidR="00AE4F73">
              <w:rPr>
                <w:rFonts w:ascii="Arial" w:hAnsi="Arial" w:cs="Arial"/>
                <w:sz w:val="22"/>
                <w:szCs w:val="22"/>
              </w:rPr>
              <w:t xml:space="preserve"> immediately</w:t>
            </w:r>
            <w:r w:rsidR="00AE4F73" w:rsidRPr="003E60E5">
              <w:rPr>
                <w:rFonts w:ascii="Arial" w:hAnsi="Arial" w:cs="Arial"/>
                <w:sz w:val="22"/>
                <w:szCs w:val="22"/>
              </w:rPr>
              <w:t xml:space="preserve">. </w:t>
            </w:r>
            <w:r w:rsidR="00AE4F73">
              <w:rPr>
                <w:rFonts w:ascii="Arial" w:hAnsi="Arial" w:cs="Arial"/>
                <w:sz w:val="22"/>
                <w:szCs w:val="22"/>
              </w:rPr>
              <w:t xml:space="preserve">In addition, professionals must </w:t>
            </w:r>
            <w:r w:rsidRPr="003E60E5">
              <w:rPr>
                <w:rFonts w:ascii="Arial" w:hAnsi="Arial" w:cs="Arial"/>
                <w:sz w:val="22"/>
                <w:szCs w:val="22"/>
              </w:rPr>
              <w:t>agree on a consensus decision within a multi-agency strategy meeting</w:t>
            </w:r>
            <w:r w:rsidR="00AE4F73">
              <w:rPr>
                <w:rFonts w:ascii="Arial" w:hAnsi="Arial" w:cs="Arial"/>
                <w:sz w:val="22"/>
                <w:szCs w:val="22"/>
              </w:rPr>
              <w:t xml:space="preserve"> to agree a section 47.</w:t>
            </w:r>
            <w:r w:rsidRPr="003E60E5">
              <w:rPr>
                <w:rFonts w:ascii="Arial" w:hAnsi="Arial" w:cs="Arial"/>
                <w:sz w:val="22"/>
                <w:szCs w:val="22"/>
              </w:rPr>
              <w:t xml:space="preserve"> </w:t>
            </w:r>
            <w:r w:rsidR="00AE4F73">
              <w:rPr>
                <w:rFonts w:ascii="Arial" w:hAnsi="Arial" w:cs="Arial"/>
                <w:sz w:val="22"/>
                <w:szCs w:val="22"/>
              </w:rPr>
              <w:t xml:space="preserve">If a </w:t>
            </w:r>
            <w:r w:rsidRPr="003E60E5">
              <w:rPr>
                <w:rFonts w:ascii="Arial" w:hAnsi="Arial" w:cs="Arial"/>
                <w:sz w:val="22"/>
                <w:szCs w:val="22"/>
              </w:rPr>
              <w:t xml:space="preserve">Section 47 enquiry </w:t>
            </w:r>
            <w:r w:rsidR="00AE4F73">
              <w:rPr>
                <w:rFonts w:ascii="Arial" w:hAnsi="Arial" w:cs="Arial"/>
                <w:sz w:val="22"/>
                <w:szCs w:val="22"/>
              </w:rPr>
              <w:t>is agreed</w:t>
            </w:r>
            <w:r w:rsidR="00FF532F">
              <w:rPr>
                <w:rFonts w:ascii="Arial" w:hAnsi="Arial" w:cs="Arial"/>
                <w:sz w:val="22"/>
                <w:szCs w:val="22"/>
              </w:rPr>
              <w:t>, this</w:t>
            </w:r>
            <w:r w:rsidR="00AE4F73">
              <w:rPr>
                <w:rFonts w:ascii="Arial" w:hAnsi="Arial" w:cs="Arial"/>
                <w:sz w:val="22"/>
                <w:szCs w:val="22"/>
              </w:rPr>
              <w:t xml:space="preserve"> is </w:t>
            </w:r>
            <w:r w:rsidRPr="003E60E5">
              <w:rPr>
                <w:rFonts w:ascii="Arial" w:hAnsi="Arial" w:cs="Arial"/>
                <w:sz w:val="22"/>
                <w:szCs w:val="22"/>
              </w:rPr>
              <w:t xml:space="preserve">a formal child protection investigation where </w:t>
            </w:r>
            <w:r w:rsidR="00AE4F73">
              <w:rPr>
                <w:rFonts w:ascii="Arial" w:hAnsi="Arial" w:cs="Arial"/>
                <w:sz w:val="22"/>
                <w:szCs w:val="22"/>
              </w:rPr>
              <w:t>S</w:t>
            </w:r>
            <w:r w:rsidRPr="003E60E5">
              <w:rPr>
                <w:rFonts w:ascii="Arial" w:hAnsi="Arial" w:cs="Arial"/>
                <w:sz w:val="22"/>
                <w:szCs w:val="22"/>
              </w:rPr>
              <w:t xml:space="preserve">ocial </w:t>
            </w:r>
            <w:r w:rsidR="00AE4F73">
              <w:rPr>
                <w:rFonts w:ascii="Arial" w:hAnsi="Arial" w:cs="Arial"/>
                <w:sz w:val="22"/>
                <w:szCs w:val="22"/>
              </w:rPr>
              <w:t>S</w:t>
            </w:r>
            <w:r w:rsidRPr="003E60E5">
              <w:rPr>
                <w:rFonts w:ascii="Arial" w:hAnsi="Arial" w:cs="Arial"/>
                <w:sz w:val="22"/>
                <w:szCs w:val="22"/>
              </w:rPr>
              <w:t xml:space="preserve">ervices, the Police, </w:t>
            </w:r>
            <w:r w:rsidR="00AE4F73">
              <w:rPr>
                <w:rFonts w:ascii="Arial" w:hAnsi="Arial" w:cs="Arial"/>
                <w:sz w:val="22"/>
                <w:szCs w:val="22"/>
              </w:rPr>
              <w:t xml:space="preserve">Education, </w:t>
            </w:r>
            <w:r w:rsidRPr="003E60E5">
              <w:rPr>
                <w:rFonts w:ascii="Arial" w:hAnsi="Arial" w:cs="Arial"/>
                <w:sz w:val="22"/>
                <w:szCs w:val="22"/>
              </w:rPr>
              <w:t xml:space="preserve">and </w:t>
            </w:r>
            <w:r w:rsidR="00AE4F73">
              <w:rPr>
                <w:rFonts w:ascii="Arial" w:hAnsi="Arial" w:cs="Arial"/>
                <w:sz w:val="22"/>
                <w:szCs w:val="22"/>
              </w:rPr>
              <w:t>H</w:t>
            </w:r>
            <w:r w:rsidRPr="003E60E5">
              <w:rPr>
                <w:rFonts w:ascii="Arial" w:hAnsi="Arial" w:cs="Arial"/>
                <w:sz w:val="22"/>
                <w:szCs w:val="22"/>
              </w:rPr>
              <w:t>ealth professionals assess risk and determine necessary safeguarding</w:t>
            </w:r>
            <w:r w:rsidR="00FF532F">
              <w:rPr>
                <w:rFonts w:ascii="Arial" w:hAnsi="Arial" w:cs="Arial"/>
                <w:sz w:val="22"/>
                <w:szCs w:val="22"/>
              </w:rPr>
              <w:t xml:space="preserve"> immediate</w:t>
            </w:r>
            <w:r w:rsidRPr="003E60E5">
              <w:rPr>
                <w:rFonts w:ascii="Arial" w:hAnsi="Arial" w:cs="Arial"/>
                <w:sz w:val="22"/>
                <w:szCs w:val="22"/>
              </w:rPr>
              <w:t xml:space="preserve"> actions. In my organisation, we refer to this process as an </w:t>
            </w:r>
            <w:r w:rsidR="00AE4F73">
              <w:rPr>
                <w:rFonts w:ascii="Arial" w:hAnsi="Arial" w:cs="Arial"/>
                <w:sz w:val="22"/>
                <w:szCs w:val="22"/>
              </w:rPr>
              <w:t>“</w:t>
            </w:r>
            <w:r w:rsidRPr="003E60E5">
              <w:rPr>
                <w:rFonts w:ascii="Arial" w:hAnsi="Arial" w:cs="Arial"/>
                <w:sz w:val="22"/>
                <w:szCs w:val="22"/>
              </w:rPr>
              <w:t>S47 enquiry</w:t>
            </w:r>
            <w:r w:rsidR="00AE4F73">
              <w:rPr>
                <w:rFonts w:ascii="Arial" w:hAnsi="Arial" w:cs="Arial"/>
                <w:sz w:val="22"/>
                <w:szCs w:val="22"/>
              </w:rPr>
              <w:t>”</w:t>
            </w:r>
            <w:r w:rsidRPr="003E60E5">
              <w:rPr>
                <w:rFonts w:ascii="Arial" w:hAnsi="Arial" w:cs="Arial"/>
                <w:sz w:val="22"/>
                <w:szCs w:val="22"/>
              </w:rPr>
              <w:t xml:space="preserve">, aligning with statutory guidance set out in the Wales Safeguarding Procedures (Welsh Government, 2019), which provide a framework for multi-agency safeguarding responses. </w:t>
            </w:r>
          </w:p>
          <w:p w14:paraId="6D7B0B0F" w14:textId="77777777" w:rsidR="007E745E" w:rsidRPr="007E745E" w:rsidRDefault="007E745E" w:rsidP="007E745E">
            <w:pPr>
              <w:pStyle w:val="NormalWeb"/>
              <w:spacing w:line="360" w:lineRule="auto"/>
              <w:jc w:val="both"/>
              <w:rPr>
                <w:rFonts w:ascii="Arial" w:hAnsi="Arial" w:cs="Arial"/>
                <w:b/>
                <w:bCs/>
                <w:sz w:val="22"/>
                <w:szCs w:val="22"/>
              </w:rPr>
            </w:pPr>
            <w:r w:rsidRPr="007E745E">
              <w:rPr>
                <w:rFonts w:ascii="Arial" w:hAnsi="Arial" w:cs="Arial"/>
                <w:b/>
                <w:bCs/>
                <w:sz w:val="22"/>
                <w:szCs w:val="22"/>
              </w:rPr>
              <w:t xml:space="preserve">Professional judgement and the Decision-Making process </w:t>
            </w:r>
          </w:p>
          <w:p w14:paraId="24643BBB" w14:textId="0F53F09F" w:rsidR="007E745E" w:rsidRPr="007E745E" w:rsidRDefault="007E745E" w:rsidP="007E745E">
            <w:pPr>
              <w:pStyle w:val="NormalWeb"/>
              <w:spacing w:line="360" w:lineRule="auto"/>
              <w:jc w:val="both"/>
              <w:rPr>
                <w:rFonts w:ascii="Arial" w:hAnsi="Arial" w:cs="Arial"/>
                <w:sz w:val="22"/>
                <w:szCs w:val="22"/>
              </w:rPr>
            </w:pPr>
            <w:r w:rsidRPr="007E745E">
              <w:rPr>
                <w:rFonts w:ascii="Arial" w:hAnsi="Arial" w:cs="Arial"/>
                <w:sz w:val="22"/>
                <w:szCs w:val="22"/>
              </w:rPr>
              <w:t>After discussing the potential harm and severity of the situation, the professionals in the strategy meeting unanimously agreed to proceed with a single-agency Section 47 enquiry</w:t>
            </w:r>
            <w:r w:rsidR="00C86F9C">
              <w:rPr>
                <w:rFonts w:ascii="Arial" w:hAnsi="Arial" w:cs="Arial"/>
                <w:sz w:val="22"/>
                <w:szCs w:val="22"/>
              </w:rPr>
              <w:t xml:space="preserve"> for child 2</w:t>
            </w:r>
            <w:r w:rsidRPr="007E745E">
              <w:rPr>
                <w:rFonts w:ascii="Arial" w:hAnsi="Arial" w:cs="Arial"/>
                <w:sz w:val="22"/>
                <w:szCs w:val="22"/>
              </w:rPr>
              <w:t xml:space="preserve">. In contrast, a joint Section 47 enquiry means a collaborative approach involving a joint visit between social services, the police, and other relevant agencies, such as health professionals, to assess the child's risk level. This allows for a more holistic view and ensures that all professionals contribute to the decision-making process. While I understood and agreed with the decision of a single-agency section 47, I couldn't help but feel frustrated, particularly knowing Child 2's complex relationship with professionals and their previous expressions of distrust, such as saying, "No one listens." I respectfully </w:t>
            </w:r>
            <w:r w:rsidRPr="007E745E">
              <w:rPr>
                <w:rFonts w:ascii="Arial" w:hAnsi="Arial" w:cs="Arial"/>
                <w:sz w:val="22"/>
                <w:szCs w:val="22"/>
              </w:rPr>
              <w:lastRenderedPageBreak/>
              <w:t xml:space="preserve">challenged the decision, advocating for a joint Section 47 enquiry to ensure a coordinated and comprehensive approach to safeguarding. I explained to the other agencies that this might be our only chance to gather information directly from Child 2 and understand their perspective, stressing that they may find it challenging to repeat sensitive information again. </w:t>
            </w:r>
          </w:p>
          <w:p w14:paraId="1FA9E743" w14:textId="766F6C41" w:rsidR="007E745E" w:rsidRPr="007E745E" w:rsidRDefault="007E745E" w:rsidP="007E745E">
            <w:pPr>
              <w:pStyle w:val="NormalWeb"/>
              <w:spacing w:line="360" w:lineRule="auto"/>
              <w:jc w:val="both"/>
              <w:rPr>
                <w:rFonts w:ascii="Arial" w:hAnsi="Arial" w:cs="Arial"/>
                <w:sz w:val="22"/>
                <w:szCs w:val="22"/>
              </w:rPr>
            </w:pPr>
            <w:r w:rsidRPr="007E745E">
              <w:rPr>
                <w:rFonts w:ascii="Arial" w:hAnsi="Arial" w:cs="Arial"/>
                <w:sz w:val="22"/>
                <w:szCs w:val="22"/>
              </w:rPr>
              <w:t>Reflecting on this situation now through the lens of Schön's reflection-</w:t>
            </w:r>
            <w:r w:rsidR="000C73FE">
              <w:rPr>
                <w:rFonts w:ascii="Arial" w:hAnsi="Arial" w:cs="Arial"/>
                <w:sz w:val="22"/>
                <w:szCs w:val="22"/>
              </w:rPr>
              <w:t>in</w:t>
            </w:r>
            <w:r w:rsidRPr="007E745E">
              <w:rPr>
                <w:rFonts w:ascii="Arial" w:hAnsi="Arial" w:cs="Arial"/>
                <w:sz w:val="22"/>
                <w:szCs w:val="22"/>
              </w:rPr>
              <w:t xml:space="preserve">-action model (Schon, 1992), I couldn't help but wonder if a joint approach would have helped a better engagement with Child 2 and led to a broader gathering of relevant evidence. However, the </w:t>
            </w:r>
            <w:r w:rsidR="00C86F9C">
              <w:rPr>
                <w:rFonts w:ascii="Arial" w:hAnsi="Arial" w:cs="Arial"/>
                <w:sz w:val="22"/>
                <w:szCs w:val="22"/>
              </w:rPr>
              <w:t>P</w:t>
            </w:r>
            <w:r w:rsidRPr="007E745E">
              <w:rPr>
                <w:rFonts w:ascii="Arial" w:hAnsi="Arial" w:cs="Arial"/>
                <w:sz w:val="22"/>
                <w:szCs w:val="22"/>
              </w:rPr>
              <w:t xml:space="preserve">olice professional at the strategy meeting explained that there was insufficient evidence to initiate a joint Section 47 enquiry, as no criminal offences had been identified. Despite presenting Child 2's history, anticipating their likely response to such an enquiry, and considering their previously explained ACES, I still struggled with the decision. I felt the weight of the child's situation and the missed opportunity for a more thorough investigation. Research has highlighted differences in local safeguarding thresholds and practices across regions, such as between Wales and England, can lead to variations in how safeguarding concerns are prioritised and addressed (Ball et al., 2024). Through reflection conversations with my manager, I began questioning the source of my strong desire to challenge the decision regarding the </w:t>
            </w:r>
            <w:r w:rsidR="000C73FE">
              <w:rPr>
                <w:rFonts w:ascii="Arial" w:hAnsi="Arial" w:cs="Arial"/>
                <w:sz w:val="22"/>
                <w:szCs w:val="22"/>
              </w:rPr>
              <w:t xml:space="preserve">joint </w:t>
            </w:r>
            <w:r w:rsidRPr="007E745E">
              <w:rPr>
                <w:rFonts w:ascii="Arial" w:hAnsi="Arial" w:cs="Arial"/>
                <w:sz w:val="22"/>
                <w:szCs w:val="22"/>
              </w:rPr>
              <w:t xml:space="preserve">Section 47 enquiry. With recent serious case reviews being widely covered in the media, I felt an increased urgency to advocate for the best interests of the children and families I work with and uphold the values and integrity of the </w:t>
            </w:r>
            <w:r w:rsidR="000C73FE">
              <w:rPr>
                <w:rFonts w:ascii="Arial" w:hAnsi="Arial" w:cs="Arial"/>
                <w:sz w:val="22"/>
                <w:szCs w:val="22"/>
              </w:rPr>
              <w:t>S</w:t>
            </w:r>
            <w:r w:rsidRPr="007E745E">
              <w:rPr>
                <w:rFonts w:ascii="Arial" w:hAnsi="Arial" w:cs="Arial"/>
                <w:sz w:val="22"/>
                <w:szCs w:val="22"/>
              </w:rPr>
              <w:t xml:space="preserve">ocial </w:t>
            </w:r>
            <w:r w:rsidR="000C73FE">
              <w:rPr>
                <w:rFonts w:ascii="Arial" w:hAnsi="Arial" w:cs="Arial"/>
                <w:sz w:val="22"/>
                <w:szCs w:val="22"/>
              </w:rPr>
              <w:t>W</w:t>
            </w:r>
            <w:r w:rsidRPr="007E745E">
              <w:rPr>
                <w:rFonts w:ascii="Arial" w:hAnsi="Arial" w:cs="Arial"/>
                <w:sz w:val="22"/>
                <w:szCs w:val="22"/>
              </w:rPr>
              <w:t xml:space="preserve">ork profession. However, after the meeting, I may have unconsciously placed less trust in the professionals from the English agencies due to my unfamiliarity with their regional approach to safeguarding. Given the differing safeguarding thresholds across regions, I wondered if I had subconsciously feared they might not take the situation as seriously. </w:t>
            </w:r>
          </w:p>
          <w:p w14:paraId="70DF09A0" w14:textId="77777777" w:rsidR="000C73FE" w:rsidRDefault="007E745E" w:rsidP="000C73FE">
            <w:pPr>
              <w:pStyle w:val="NormalWeb"/>
              <w:spacing w:line="360" w:lineRule="auto"/>
              <w:jc w:val="both"/>
              <w:rPr>
                <w:rFonts w:ascii="Arial" w:hAnsi="Arial" w:cs="Arial"/>
                <w:sz w:val="22"/>
                <w:szCs w:val="22"/>
              </w:rPr>
            </w:pPr>
            <w:r w:rsidRPr="007E745E">
              <w:rPr>
                <w:rFonts w:ascii="Arial" w:hAnsi="Arial" w:cs="Arial"/>
                <w:sz w:val="22"/>
                <w:szCs w:val="22"/>
              </w:rPr>
              <w:t xml:space="preserve">Reflecting on this through the lens of Schön's </w:t>
            </w:r>
            <w:r w:rsidR="000C73FE">
              <w:rPr>
                <w:rFonts w:ascii="Arial" w:hAnsi="Arial" w:cs="Arial"/>
                <w:sz w:val="22"/>
                <w:szCs w:val="22"/>
              </w:rPr>
              <w:t>on</w:t>
            </w:r>
            <w:r w:rsidRPr="007E745E">
              <w:rPr>
                <w:rFonts w:ascii="Arial" w:hAnsi="Arial" w:cs="Arial"/>
                <w:sz w:val="22"/>
                <w:szCs w:val="22"/>
              </w:rPr>
              <w:t>-action (Schön, 1992), I understood that my decision-making had been influenced by my preconceived ideas about how safeguarding is approached in different regions. This realisation was surprising</w:t>
            </w:r>
            <w:r w:rsidR="000C73FE">
              <w:rPr>
                <w:rFonts w:ascii="Arial" w:hAnsi="Arial" w:cs="Arial"/>
                <w:sz w:val="22"/>
                <w:szCs w:val="22"/>
              </w:rPr>
              <w:t xml:space="preserve"> to me</w:t>
            </w:r>
            <w:r w:rsidRPr="007E745E">
              <w:rPr>
                <w:rFonts w:ascii="Arial" w:hAnsi="Arial" w:cs="Arial"/>
                <w:sz w:val="22"/>
                <w:szCs w:val="22"/>
              </w:rPr>
              <w:t>, mainly because I typically rely on Neil Thompson's Person-Cantered Social Work (PCS) model, which I learnt as a Social Work student. The PCS model helps challenge personal biases and promotes self-awareness in practice, ensuring an anti-oppressive approach (Thompson, 2016). The PCS model emphasises the importance of practitioners critically reflecting on their values, assumptions, and prejudices, mainly how they engage with others. Reflecting on the PCS model, I recognised that my unconscious beliefs about the English agencies had influenced my professional judgment, prompting me to reassess how I engage with colleagues from different nations moving forward. Reflecting particularly on my actions in this instance has deepened my understanding of unconscious biases' impact on safeguarding decision-making</w:t>
            </w:r>
            <w:r w:rsidR="000C73FE">
              <w:rPr>
                <w:rFonts w:ascii="Arial" w:hAnsi="Arial" w:cs="Arial"/>
                <w:sz w:val="22"/>
                <w:szCs w:val="22"/>
              </w:rPr>
              <w:t>.</w:t>
            </w:r>
          </w:p>
          <w:p w14:paraId="7120D929" w14:textId="39928B71" w:rsidR="004B73A9" w:rsidRPr="000C73FE" w:rsidRDefault="007E745E" w:rsidP="000C73FE">
            <w:pPr>
              <w:pStyle w:val="NormalWeb"/>
              <w:spacing w:line="360" w:lineRule="auto"/>
              <w:jc w:val="both"/>
              <w:rPr>
                <w:rFonts w:ascii="Arial" w:hAnsi="Arial" w:cs="Arial"/>
                <w:sz w:val="22"/>
                <w:szCs w:val="22"/>
              </w:rPr>
            </w:pPr>
            <w:r w:rsidRPr="000C73FE">
              <w:rPr>
                <w:rFonts w:ascii="Arial" w:hAnsi="Arial" w:cs="Arial"/>
                <w:sz w:val="22"/>
                <w:szCs w:val="22"/>
              </w:rPr>
              <w:lastRenderedPageBreak/>
              <w:t>After the meeting, I quickly arranged to visit the residential home where Child 2 lives. According to the Wales Safeguarding Procedures (Welsh Government, 2025), a child must be seen within twenty</w:t>
            </w:r>
            <w:r w:rsidR="00A21141" w:rsidRPr="000C73FE">
              <w:rPr>
                <w:rFonts w:ascii="Arial" w:hAnsi="Arial" w:cs="Arial"/>
                <w:sz w:val="22"/>
                <w:szCs w:val="22"/>
              </w:rPr>
              <w:t xml:space="preserve">-four </w:t>
            </w:r>
            <w:r w:rsidRPr="000C73FE">
              <w:rPr>
                <w:rFonts w:ascii="Arial" w:hAnsi="Arial" w:cs="Arial"/>
                <w:sz w:val="22"/>
                <w:szCs w:val="22"/>
              </w:rPr>
              <w:t>hours once a Section 47 enquiry has been agreed upon. This is a crucial part of safeguarding, ensuring that a child's safety and well-being are assessed immediately so that risks can be addressed early on.</w:t>
            </w:r>
            <w:r w:rsidR="000C73FE" w:rsidRPr="000C73FE">
              <w:rPr>
                <w:rFonts w:ascii="Arial" w:hAnsi="Arial" w:cs="Arial"/>
                <w:sz w:val="22"/>
                <w:szCs w:val="22"/>
              </w:rPr>
              <w:t xml:space="preserve"> There is a clear link of</w:t>
            </w:r>
            <w:r w:rsidR="000C73FE" w:rsidRPr="000C73FE">
              <w:rPr>
                <w:rFonts w:ascii="Arial" w:hAnsi="Arial" w:cs="Arial"/>
                <w:sz w:val="22"/>
                <w:szCs w:val="22"/>
              </w:rPr>
              <w:t xml:space="preserve"> the importance of following safeguarding procedures </w:t>
            </w:r>
            <w:r w:rsidR="000C73FE">
              <w:rPr>
                <w:rFonts w:ascii="Arial" w:hAnsi="Arial" w:cs="Arial"/>
                <w:sz w:val="22"/>
                <w:szCs w:val="22"/>
              </w:rPr>
              <w:t xml:space="preserve">swiftly </w:t>
            </w:r>
            <w:r w:rsidR="000C73FE" w:rsidRPr="000C73FE">
              <w:rPr>
                <w:rFonts w:ascii="Arial" w:hAnsi="Arial" w:cs="Arial"/>
                <w:sz w:val="22"/>
                <w:szCs w:val="22"/>
              </w:rPr>
              <w:t xml:space="preserve">within Wales and in the broader context, including how </w:t>
            </w:r>
            <w:r w:rsidR="000C73FE" w:rsidRPr="000C73FE">
              <w:rPr>
                <w:rFonts w:ascii="Arial" w:hAnsi="Arial" w:cs="Arial"/>
                <w:sz w:val="22"/>
                <w:szCs w:val="22"/>
              </w:rPr>
              <w:t>S</w:t>
            </w:r>
            <w:r w:rsidR="000C73FE" w:rsidRPr="000C73FE">
              <w:rPr>
                <w:rFonts w:ascii="Arial" w:hAnsi="Arial" w:cs="Arial"/>
                <w:sz w:val="22"/>
                <w:szCs w:val="22"/>
              </w:rPr>
              <w:t xml:space="preserve">ocial </w:t>
            </w:r>
            <w:r w:rsidR="000C73FE" w:rsidRPr="000C73FE">
              <w:rPr>
                <w:rFonts w:ascii="Arial" w:hAnsi="Arial" w:cs="Arial"/>
                <w:sz w:val="22"/>
                <w:szCs w:val="22"/>
              </w:rPr>
              <w:t>S</w:t>
            </w:r>
            <w:r w:rsidR="000C73FE" w:rsidRPr="000C73FE">
              <w:rPr>
                <w:rFonts w:ascii="Arial" w:hAnsi="Arial" w:cs="Arial"/>
                <w:sz w:val="22"/>
                <w:szCs w:val="22"/>
              </w:rPr>
              <w:t xml:space="preserve">ervices in Wales connect with the UK, EU, and international </w:t>
            </w:r>
            <w:r w:rsidR="000C73FE" w:rsidRPr="000C73FE">
              <w:rPr>
                <w:rFonts w:ascii="Arial" w:hAnsi="Arial" w:cs="Arial"/>
                <w:sz w:val="22"/>
                <w:szCs w:val="22"/>
              </w:rPr>
              <w:t xml:space="preserve">legislation. </w:t>
            </w:r>
            <w:r w:rsidR="004B73A9" w:rsidRPr="000C73FE">
              <w:rPr>
                <w:rFonts w:ascii="Arial" w:hAnsi="Arial" w:cs="Arial"/>
                <w:sz w:val="22"/>
                <w:szCs w:val="22"/>
              </w:rPr>
              <w:t xml:space="preserve">The </w:t>
            </w:r>
            <w:r w:rsidRPr="000C73FE">
              <w:rPr>
                <w:rFonts w:ascii="Arial" w:hAnsi="Arial" w:cs="Arial"/>
                <w:sz w:val="22"/>
                <w:szCs w:val="22"/>
              </w:rPr>
              <w:t xml:space="preserve">Welsh and UK laws like The Children Act (1989) (s.47) (Children Act 1989), Part 7 of </w:t>
            </w:r>
            <w:r w:rsidR="000C73FE" w:rsidRPr="000C73FE">
              <w:rPr>
                <w:rFonts w:ascii="Arial" w:hAnsi="Arial" w:cs="Arial"/>
                <w:sz w:val="22"/>
                <w:szCs w:val="22"/>
              </w:rPr>
              <w:t xml:space="preserve">SSWBA </w:t>
            </w:r>
            <w:r w:rsidRPr="000C73FE">
              <w:rPr>
                <w:rFonts w:ascii="Arial" w:hAnsi="Arial" w:cs="Arial"/>
                <w:sz w:val="22"/>
                <w:szCs w:val="22"/>
              </w:rPr>
              <w:t xml:space="preserve">(Wales) Act 2014 </w:t>
            </w:r>
            <w:r w:rsidR="000C73FE" w:rsidRPr="000C73FE">
              <w:rPr>
                <w:rFonts w:ascii="Arial" w:hAnsi="Arial" w:cs="Arial"/>
                <w:sz w:val="22"/>
                <w:szCs w:val="22"/>
              </w:rPr>
              <w:t>(</w:t>
            </w:r>
            <w:r w:rsidRPr="000C73FE">
              <w:rPr>
                <w:rFonts w:ascii="Arial" w:hAnsi="Arial" w:cs="Arial"/>
                <w:sz w:val="22"/>
                <w:szCs w:val="22"/>
              </w:rPr>
              <w:t>Welsh Government</w:t>
            </w:r>
            <w:r w:rsidR="000C73FE" w:rsidRPr="000C73FE">
              <w:rPr>
                <w:rFonts w:ascii="Arial" w:hAnsi="Arial" w:cs="Arial"/>
                <w:sz w:val="22"/>
                <w:szCs w:val="22"/>
              </w:rPr>
              <w:t xml:space="preserve">, </w:t>
            </w:r>
            <w:r w:rsidRPr="000C73FE">
              <w:rPr>
                <w:rFonts w:ascii="Arial" w:hAnsi="Arial" w:cs="Arial"/>
                <w:sz w:val="22"/>
                <w:szCs w:val="22"/>
              </w:rPr>
              <w:t xml:space="preserve">2014) requires immediate action when there's concern about a child's safety. On a broader scale, this approach aligns with European Union and </w:t>
            </w:r>
            <w:r w:rsidR="000C73FE">
              <w:rPr>
                <w:rFonts w:ascii="Arial" w:hAnsi="Arial" w:cs="Arial"/>
                <w:sz w:val="22"/>
                <w:szCs w:val="22"/>
              </w:rPr>
              <w:t>I</w:t>
            </w:r>
            <w:r w:rsidRPr="000C73FE">
              <w:rPr>
                <w:rFonts w:ascii="Arial" w:hAnsi="Arial" w:cs="Arial"/>
                <w:sz w:val="22"/>
                <w:szCs w:val="22"/>
              </w:rPr>
              <w:t xml:space="preserve">nternational standards that stress in article thirty-six that local governments must protect children from all forms of exploitation (UNRC, 1989). </w:t>
            </w:r>
            <w:r w:rsidR="00097196" w:rsidRPr="000C73FE">
              <w:rPr>
                <w:rFonts w:ascii="Arial" w:hAnsi="Arial" w:cs="Arial"/>
                <w:sz w:val="22"/>
                <w:szCs w:val="22"/>
              </w:rPr>
              <w:t xml:space="preserve">Additionally, international comparisons, such as those in New Zealand’s Children, Young Persons, and Their Families Act </w:t>
            </w:r>
            <w:r w:rsidR="00810E84" w:rsidRPr="000C73FE">
              <w:rPr>
                <w:rFonts w:ascii="Arial" w:hAnsi="Arial" w:cs="Arial"/>
                <w:sz w:val="22"/>
                <w:szCs w:val="22"/>
              </w:rPr>
              <w:t>(</w:t>
            </w:r>
            <w:r w:rsidR="00097196" w:rsidRPr="000C73FE">
              <w:rPr>
                <w:rFonts w:ascii="Arial" w:hAnsi="Arial" w:cs="Arial"/>
                <w:sz w:val="22"/>
                <w:szCs w:val="22"/>
              </w:rPr>
              <w:t>1989</w:t>
            </w:r>
            <w:r w:rsidR="000C73FE">
              <w:rPr>
                <w:rFonts w:ascii="Arial" w:hAnsi="Arial" w:cs="Arial"/>
                <w:sz w:val="22"/>
                <w:szCs w:val="22"/>
              </w:rPr>
              <w:t>)</w:t>
            </w:r>
            <w:r w:rsidR="00097196" w:rsidRPr="000C73FE">
              <w:rPr>
                <w:rFonts w:ascii="Arial" w:hAnsi="Arial" w:cs="Arial"/>
                <w:sz w:val="22"/>
                <w:szCs w:val="22"/>
              </w:rPr>
              <w:t xml:space="preserve"> </w:t>
            </w:r>
            <w:sdt>
              <w:sdtPr>
                <w:rPr>
                  <w:rFonts w:ascii="Arial" w:hAnsi="Arial" w:cs="Arial"/>
                  <w:sz w:val="22"/>
                  <w:szCs w:val="22"/>
                  <w:lang w:val="en-US"/>
                </w:rPr>
                <w:id w:val="738590197"/>
                <w:citation/>
              </w:sdtPr>
              <w:sdtContent>
                <w:r w:rsidR="00097196" w:rsidRPr="000C73FE">
                  <w:rPr>
                    <w:rFonts w:ascii="Arial" w:hAnsi="Arial" w:cs="Arial"/>
                    <w:sz w:val="22"/>
                    <w:szCs w:val="22"/>
                    <w:lang w:val="en-US"/>
                  </w:rPr>
                  <w:fldChar w:fldCharType="begin"/>
                </w:r>
                <w:r w:rsidR="00097196" w:rsidRPr="000C73FE">
                  <w:rPr>
                    <w:rFonts w:ascii="Arial" w:hAnsi="Arial" w:cs="Arial"/>
                    <w:sz w:val="22"/>
                    <w:szCs w:val="22"/>
                    <w:lang w:val="en-US"/>
                  </w:rPr>
                  <w:instrText xml:space="preserve"> CITATION New89 \l 1033 </w:instrText>
                </w:r>
                <w:r w:rsidR="00097196" w:rsidRPr="000C73FE">
                  <w:rPr>
                    <w:rFonts w:ascii="Arial" w:hAnsi="Arial" w:cs="Arial"/>
                    <w:sz w:val="22"/>
                    <w:szCs w:val="22"/>
                    <w:lang w:val="en-US"/>
                  </w:rPr>
                  <w:fldChar w:fldCharType="separate"/>
                </w:r>
                <w:r w:rsidR="00097196" w:rsidRPr="000C73FE">
                  <w:rPr>
                    <w:rFonts w:ascii="Arial" w:hAnsi="Arial" w:cs="Arial"/>
                    <w:noProof/>
                    <w:sz w:val="22"/>
                    <w:szCs w:val="22"/>
                    <w:lang w:val="en-US"/>
                  </w:rPr>
                  <w:t>(New Zeland Governement , 1989)</w:t>
                </w:r>
                <w:r w:rsidR="00097196" w:rsidRPr="000C73FE">
                  <w:rPr>
                    <w:rFonts w:ascii="Arial" w:hAnsi="Arial" w:cs="Arial"/>
                    <w:sz w:val="22"/>
                    <w:szCs w:val="22"/>
                    <w:lang w:val="en-US"/>
                  </w:rPr>
                  <w:fldChar w:fldCharType="end"/>
                </w:r>
              </w:sdtContent>
            </w:sdt>
            <w:r w:rsidR="00097196" w:rsidRPr="000C73FE">
              <w:rPr>
                <w:rFonts w:ascii="Arial" w:hAnsi="Arial" w:cs="Arial"/>
                <w:sz w:val="22"/>
                <w:szCs w:val="22"/>
                <w:lang w:val="en-US"/>
              </w:rPr>
              <w:t xml:space="preserve"> </w:t>
            </w:r>
            <w:r w:rsidR="00097196" w:rsidRPr="000C73FE">
              <w:rPr>
                <w:rFonts w:ascii="Arial" w:hAnsi="Arial" w:cs="Arial"/>
                <w:sz w:val="22"/>
                <w:szCs w:val="22"/>
              </w:rPr>
              <w:t xml:space="preserve">and the Oranga Tamariki Act </w:t>
            </w:r>
            <w:r w:rsidR="00810E84" w:rsidRPr="000C73FE">
              <w:rPr>
                <w:rFonts w:ascii="Arial" w:hAnsi="Arial" w:cs="Arial"/>
                <w:sz w:val="22"/>
                <w:szCs w:val="22"/>
              </w:rPr>
              <w:t>(</w:t>
            </w:r>
            <w:r w:rsidR="00097196" w:rsidRPr="000C73FE">
              <w:rPr>
                <w:rFonts w:ascii="Arial" w:hAnsi="Arial" w:cs="Arial"/>
                <w:sz w:val="22"/>
                <w:szCs w:val="22"/>
              </w:rPr>
              <w:t>1989</w:t>
            </w:r>
            <w:r w:rsidR="00810E84" w:rsidRPr="000C73FE">
              <w:rPr>
                <w:rFonts w:ascii="Arial" w:hAnsi="Arial" w:cs="Arial"/>
                <w:sz w:val="22"/>
                <w:szCs w:val="22"/>
              </w:rPr>
              <w:t>)</w:t>
            </w:r>
            <w:r w:rsidR="00097196" w:rsidRPr="000C73FE">
              <w:rPr>
                <w:rFonts w:ascii="Arial" w:hAnsi="Arial" w:cs="Arial"/>
                <w:sz w:val="22"/>
                <w:szCs w:val="22"/>
              </w:rPr>
              <w:t xml:space="preserve"> (New Zealand Government, 1989), reinforce the importance of timely intervention in safeguarding cases. These pieces of legislation ensure that children are protected from harm and that immediate action is taken when concerns arise. </w:t>
            </w:r>
            <w:r w:rsidRPr="000C73FE">
              <w:rPr>
                <w:rFonts w:ascii="Arial" w:hAnsi="Arial" w:cs="Arial"/>
                <w:sz w:val="22"/>
                <w:szCs w:val="22"/>
              </w:rPr>
              <w:t>By visiting Child 2 within twenty-four hours, I ensured I was following the correct procedures in Wales and acting swiftly to ensure the child was safe, showing how local practice in Wales connects with UK</w:t>
            </w:r>
            <w:r w:rsidR="00097196" w:rsidRPr="000C73FE">
              <w:rPr>
                <w:rFonts w:ascii="Arial" w:hAnsi="Arial" w:cs="Arial"/>
                <w:sz w:val="22"/>
                <w:szCs w:val="22"/>
              </w:rPr>
              <w:t xml:space="preserve">, EU </w:t>
            </w:r>
            <w:r w:rsidRPr="000C73FE">
              <w:rPr>
                <w:rFonts w:ascii="Arial" w:hAnsi="Arial" w:cs="Arial"/>
                <w:sz w:val="22"/>
                <w:szCs w:val="22"/>
              </w:rPr>
              <w:t xml:space="preserve">and </w:t>
            </w:r>
            <w:r w:rsidR="000C73FE">
              <w:rPr>
                <w:rFonts w:ascii="Arial" w:hAnsi="Arial" w:cs="Arial"/>
                <w:sz w:val="22"/>
                <w:szCs w:val="22"/>
              </w:rPr>
              <w:t>I</w:t>
            </w:r>
            <w:r w:rsidRPr="000C73FE">
              <w:rPr>
                <w:rFonts w:ascii="Arial" w:hAnsi="Arial" w:cs="Arial"/>
                <w:sz w:val="22"/>
                <w:szCs w:val="22"/>
              </w:rPr>
              <w:t xml:space="preserve">nternational safeguarding </w:t>
            </w:r>
            <w:r w:rsidR="00097196" w:rsidRPr="000C73FE">
              <w:rPr>
                <w:rFonts w:ascii="Arial" w:hAnsi="Arial" w:cs="Arial"/>
                <w:sz w:val="22"/>
                <w:szCs w:val="22"/>
              </w:rPr>
              <w:t xml:space="preserve">laws. </w:t>
            </w:r>
          </w:p>
          <w:p w14:paraId="17CC272F" w14:textId="77777777" w:rsidR="007E745E" w:rsidRPr="007E745E" w:rsidRDefault="007E745E" w:rsidP="007E745E">
            <w:pPr>
              <w:pStyle w:val="NormalWeb"/>
              <w:spacing w:line="360" w:lineRule="auto"/>
              <w:jc w:val="both"/>
              <w:rPr>
                <w:rFonts w:ascii="Arial" w:hAnsi="Arial" w:cs="Arial"/>
                <w:b/>
                <w:bCs/>
                <w:sz w:val="22"/>
                <w:szCs w:val="22"/>
              </w:rPr>
            </w:pPr>
            <w:r w:rsidRPr="007E745E">
              <w:rPr>
                <w:rFonts w:ascii="Arial" w:hAnsi="Arial" w:cs="Arial"/>
                <w:b/>
                <w:bCs/>
                <w:sz w:val="22"/>
                <w:szCs w:val="22"/>
              </w:rPr>
              <w:t>Safeguarding Intervention and the Initial Section 47 Assessment</w:t>
            </w:r>
          </w:p>
          <w:p w14:paraId="40E453D2" w14:textId="77777777" w:rsidR="000C73FE" w:rsidRDefault="007E745E" w:rsidP="00A21141">
            <w:pPr>
              <w:pStyle w:val="NormalWeb"/>
              <w:spacing w:line="360" w:lineRule="auto"/>
              <w:jc w:val="both"/>
              <w:rPr>
                <w:rFonts w:ascii="Arial" w:hAnsi="Arial" w:cs="Arial"/>
                <w:sz w:val="22"/>
                <w:szCs w:val="22"/>
              </w:rPr>
            </w:pPr>
            <w:r w:rsidRPr="007E745E">
              <w:rPr>
                <w:rFonts w:ascii="Arial" w:hAnsi="Arial" w:cs="Arial"/>
                <w:sz w:val="22"/>
                <w:szCs w:val="22"/>
              </w:rPr>
              <w:t xml:space="preserve">Before visiting Child 2, I discussed with the professionals at the residential home where Child 2 lives. During this conversation, I instructed them to increase the supervision of Child 2 sensitively and discreetly, ensuring that they could freely talk to anyone with whom they have a trusting relationship. I emphasised the importance of documenting any new information Child 2 might share that could contribute to the Section 47 enquiry. In addition, further steps have already been taken to ensure Child 2's safety. I had arranged for Child 2's mobile phone to be temporarily withheld if it contained evidence that could assist the Section 47 enquiry. I was careful to explain to Child 2 that this was not a consequence of their behaviour or intended to shame them but rather a protective measure to ensure they understood the importance of using mobile phones responsibly. Historically, Child 2 had not owned a mobile phone and had previously completed direct work around mobile phone safety. As a professional working in corporate parenting, I find it essential to consider how mobile phones are managed to safeguard children effectively. According to research by bbfc (2019), discovered that 66% of children aged 14 to 15 reported having viewed pornography at some point, compared to 51% of </w:t>
            </w:r>
            <w:r w:rsidRPr="007E745E">
              <w:rPr>
                <w:rFonts w:ascii="Arial" w:hAnsi="Arial" w:cs="Arial"/>
                <w:sz w:val="22"/>
                <w:szCs w:val="22"/>
              </w:rPr>
              <w:lastRenderedPageBreak/>
              <w:t>children aged 11 to 13. To help mitigate these risks for children, it is vital to implement policies that balance the benefits of mobile phone usage with appropriate safeguarding measures. This includes setting clear guidelines on proper usage, monitoring online activities, and educating children about the potential dangers of mobile phone use. Barnardo (2023) emphasises the importance of communication and setting boundaries to protect children from the risks associated with smartphones and other devices.</w:t>
            </w:r>
            <w:r w:rsidR="000C73FE">
              <w:rPr>
                <w:rFonts w:ascii="Arial" w:hAnsi="Arial" w:cs="Arial"/>
                <w:sz w:val="22"/>
                <w:szCs w:val="22"/>
              </w:rPr>
              <w:t xml:space="preserve"> </w:t>
            </w:r>
          </w:p>
          <w:p w14:paraId="145A5AF4" w14:textId="347796B0" w:rsidR="00A87D56" w:rsidRDefault="00A21141" w:rsidP="00A21141">
            <w:pPr>
              <w:pStyle w:val="NormalWeb"/>
              <w:spacing w:line="360" w:lineRule="auto"/>
              <w:jc w:val="both"/>
              <w:rPr>
                <w:rFonts w:ascii="Arial" w:hAnsi="Arial" w:cs="Arial"/>
                <w:sz w:val="22"/>
                <w:szCs w:val="22"/>
              </w:rPr>
            </w:pPr>
            <w:r w:rsidRPr="00A21141">
              <w:rPr>
                <w:rFonts w:ascii="Arial" w:hAnsi="Arial" w:cs="Arial"/>
                <w:sz w:val="22"/>
                <w:szCs w:val="22"/>
              </w:rPr>
              <w:t>When I arrived to see Child 2, I greeted her with a warm smile and an animated tone, trying to ease her into the conversation. However, to my surprise, she stormed past me, shouting, 'I am not speaking to you; go away!' In that moment, I quickly turned to Schön's (Schön, 1992) reflection-in-action to guide my response. As I reflected on the situation, I wondered if Child 2 felt scared, perhaps thinking she was in trouble. LAC children often see social workers as authority figures but struggle to trust us because of frequent changes in social workers (Winter &amp; Thomas, 2024).</w:t>
            </w:r>
            <w:r w:rsidR="000C73FE">
              <w:rPr>
                <w:rFonts w:ascii="Arial" w:hAnsi="Arial" w:cs="Arial"/>
                <w:sz w:val="22"/>
                <w:szCs w:val="22"/>
              </w:rPr>
              <w:t xml:space="preserve"> </w:t>
            </w:r>
            <w:r w:rsidRPr="00A21141">
              <w:rPr>
                <w:rFonts w:ascii="Arial" w:hAnsi="Arial" w:cs="Arial"/>
                <w:sz w:val="22"/>
                <w:szCs w:val="22"/>
              </w:rPr>
              <w:t xml:space="preserve">I also considered the possibility that her behaviour could be linked to </w:t>
            </w:r>
            <w:r w:rsidR="00281894">
              <w:rPr>
                <w:rFonts w:ascii="Arial" w:hAnsi="Arial" w:cs="Arial"/>
                <w:sz w:val="22"/>
                <w:szCs w:val="22"/>
              </w:rPr>
              <w:t xml:space="preserve">human </w:t>
            </w:r>
            <w:r w:rsidRPr="00A21141">
              <w:rPr>
                <w:rFonts w:ascii="Arial" w:hAnsi="Arial" w:cs="Arial"/>
                <w:sz w:val="22"/>
                <w:szCs w:val="22"/>
              </w:rPr>
              <w:t>attachment</w:t>
            </w:r>
            <w:r w:rsidR="00281894">
              <w:rPr>
                <w:rFonts w:ascii="Arial" w:hAnsi="Arial" w:cs="Arial"/>
                <w:sz w:val="22"/>
                <w:szCs w:val="22"/>
              </w:rPr>
              <w:t xml:space="preserve"> styles</w:t>
            </w:r>
            <w:r w:rsidRPr="00A21141">
              <w:rPr>
                <w:rFonts w:ascii="Arial" w:hAnsi="Arial" w:cs="Arial"/>
                <w:sz w:val="22"/>
                <w:szCs w:val="22"/>
              </w:rPr>
              <w:t xml:space="preserve">. Bowlby's Attachment Theory (1969) suggests that a child's early experiences with caregivers shape their ability to form emotional bonds and regulate their feelings (Bowlby, 1969). Given Child 2's history in care, she may have developed a disorganised attachment style. Disorganised attachment styles often experience contradictory behaviours within children, seeking closeness but pushing people away due to fear or confusion (Duchinsky &amp; Solomon, 2017). Reflecting on this, I realised child 2's outburst might stem from past trauma and attachment difficulties. It wasn't a personal </w:t>
            </w:r>
            <w:r w:rsidR="000C73FE" w:rsidRPr="00A21141">
              <w:rPr>
                <w:rFonts w:ascii="Arial" w:hAnsi="Arial" w:cs="Arial"/>
                <w:sz w:val="22"/>
                <w:szCs w:val="22"/>
              </w:rPr>
              <w:t>rejection,</w:t>
            </w:r>
            <w:r w:rsidRPr="00A21141">
              <w:rPr>
                <w:rFonts w:ascii="Arial" w:hAnsi="Arial" w:cs="Arial"/>
                <w:sz w:val="22"/>
                <w:szCs w:val="22"/>
              </w:rPr>
              <w:t xml:space="preserve"> but a response rooted in fear. This helped me understand the importance of being patient, consistent, and empathetic in my approach, giving her the space to process her emotions safely and non-threateningly. </w:t>
            </w:r>
          </w:p>
          <w:p w14:paraId="622FC587" w14:textId="317B675F" w:rsidR="007E745E" w:rsidRPr="007E745E" w:rsidRDefault="007E745E" w:rsidP="00A21141">
            <w:pPr>
              <w:pStyle w:val="NormalWeb"/>
              <w:spacing w:line="360" w:lineRule="auto"/>
              <w:jc w:val="both"/>
              <w:rPr>
                <w:rFonts w:ascii="Arial" w:hAnsi="Arial" w:cs="Arial"/>
                <w:sz w:val="22"/>
                <w:szCs w:val="22"/>
              </w:rPr>
            </w:pPr>
            <w:r w:rsidRPr="007E745E">
              <w:rPr>
                <w:rFonts w:ascii="Arial" w:hAnsi="Arial" w:cs="Arial"/>
                <w:sz w:val="22"/>
                <w:szCs w:val="22"/>
              </w:rPr>
              <w:t xml:space="preserve">Looking back, I felt frustrated for not adjusting my approach sooner, especially since I knew Child 2 had struggled with trusting professionals during times of worry. I wished I had been more aware of her emotional state and adapted my approach accordingly. In hindsight, I also recognised a gap in the process. While the legal requirement is to see the child within twenty-four hours, I should have created a more thoughtful and robust engagement plan for situations like this, where building trust is crucial. I recognised that Child 2 needed space to process her emotions and gather her thoughts, so I allowed her to remain in her bedroom for a while. I understood that my arrival may have triggered a feeling of being in trouble, even though that wasn't the case. Giving children the space they need is essential, as this helps them feel more in control and less anxious (Dodd &amp; Lester, 2021). </w:t>
            </w:r>
          </w:p>
          <w:p w14:paraId="5DB9C20E" w14:textId="77777777" w:rsidR="007E745E" w:rsidRPr="007E745E" w:rsidRDefault="007E745E" w:rsidP="007E745E">
            <w:pPr>
              <w:pStyle w:val="NormalWeb"/>
              <w:spacing w:line="360" w:lineRule="auto"/>
              <w:jc w:val="both"/>
              <w:rPr>
                <w:rFonts w:ascii="Arial" w:hAnsi="Arial" w:cs="Arial"/>
                <w:sz w:val="22"/>
                <w:szCs w:val="22"/>
              </w:rPr>
            </w:pPr>
            <w:r w:rsidRPr="007E745E">
              <w:rPr>
                <w:rFonts w:ascii="Arial" w:hAnsi="Arial" w:cs="Arial"/>
                <w:sz w:val="22"/>
                <w:szCs w:val="22"/>
              </w:rPr>
              <w:t xml:space="preserve">After some time, I sat outside Child 2's bedroom door with a staff member from the residential home. I used my (PACE) skills, Playfulness, Acceptance, Curiosity, and Empathy (Golding &amp; Hughes, 2012) </w:t>
            </w:r>
            <w:r w:rsidRPr="007E745E">
              <w:rPr>
                <w:rFonts w:ascii="Arial" w:hAnsi="Arial" w:cs="Arial"/>
                <w:sz w:val="22"/>
                <w:szCs w:val="22"/>
              </w:rPr>
              <w:lastRenderedPageBreak/>
              <w:t>to engage with her in a gentle and supportive manner. The goal was to create a space where she felt safe enough to open, build trust, and engage with me at her own pace. Initially, Child 2 repeatedly said, "No, I'm not talking to you," and I began worrying that I wouldn't be able to speak with her. However, I maintained my focus on acceptance, reassuring her, "I know you may be scared about why I'm here, but you're not in trouble. I've come to see if you're okay." I also incorporated playfulness, saying, "I heard you've had your eyebrows done. I'd love to see them since I know you're great at makeup". This seemed to lighten the mood, and Child 2, feeling safe and calm, eventually opened her bedroom door and joined me and the residential professional in the hallway. After chatting, Child 2 indicated she was comfortable thoroughly discussing the incident. I remained mindful of our surroundings and the potential for others to overhear us, so I respectfully asked if we could move to her bedroom for a more private conversation. This was in line with maintaining confidentiality and ensuring respect for the individual, as outlined in the COPP (Welsh Government, 2017).  </w:t>
            </w:r>
          </w:p>
          <w:p w14:paraId="3A567026" w14:textId="77777777" w:rsidR="007E745E" w:rsidRPr="007E745E" w:rsidRDefault="007E745E" w:rsidP="007E745E">
            <w:pPr>
              <w:pStyle w:val="NormalWeb"/>
              <w:spacing w:line="360" w:lineRule="auto"/>
              <w:jc w:val="both"/>
              <w:rPr>
                <w:rFonts w:ascii="Arial" w:hAnsi="Arial" w:cs="Arial"/>
                <w:sz w:val="22"/>
                <w:szCs w:val="22"/>
              </w:rPr>
            </w:pPr>
            <w:r w:rsidRPr="007E745E">
              <w:rPr>
                <w:rFonts w:ascii="Arial" w:hAnsi="Arial" w:cs="Arial"/>
                <w:sz w:val="22"/>
                <w:szCs w:val="22"/>
              </w:rPr>
              <w:t>Reflecting on this interaction through Schön's reflection-in-action (Schön, 1992), I felt both surprised and proud of my practice, particularly in how I gathered information during this stage of the conversation with Child 2. I realised that without consciously planning to do so, I had applied the Achieving Best Evidence (ABE) interview techniques I learnt last year through training. ABE skills, as outlined in best practice guidelines, are an effective way to gather accurate and reliable information from children and families in a sensitive manner (Ministry of Justice, 2022). These techniques focus on creating a safe, supportive environment for children to disclose sensitive information, essential for ensuring the conversation prioritises Child 2's emotional well-being.</w:t>
            </w:r>
          </w:p>
          <w:p w14:paraId="21192C36" w14:textId="77777777" w:rsidR="007E745E" w:rsidRPr="007E745E" w:rsidRDefault="007E745E" w:rsidP="007E745E">
            <w:pPr>
              <w:pStyle w:val="NormalWeb"/>
              <w:spacing w:line="360" w:lineRule="auto"/>
              <w:jc w:val="both"/>
              <w:rPr>
                <w:rFonts w:ascii="Arial" w:hAnsi="Arial" w:cs="Arial"/>
                <w:sz w:val="22"/>
                <w:szCs w:val="22"/>
              </w:rPr>
            </w:pPr>
            <w:r w:rsidRPr="007E745E">
              <w:rPr>
                <w:rFonts w:ascii="Arial" w:hAnsi="Arial" w:cs="Arial"/>
                <w:sz w:val="22"/>
                <w:szCs w:val="22"/>
              </w:rPr>
              <w:t xml:space="preserve">I drew on open-ended questions from the ABE guidance, such as, "What were the people you were wearing?" and "What colour car did they have?" These types of questions helped prompt Child 2 to recall specific details. Additionally, I used a technique from the ABE guidelines where I asked Child 2 to close her eyes and think back to a particular moment she was describing. She initially struggled to recall a detail, but she could provide the specific information when she opened her eyes. The ABE framework emphasises the value of eye-closing techniques as they can help children focus on and retrieve memories (Ministry of Justice, 2022). This approach facilitated a more accurate recollection, ensuring we gathered the most reliable information during the conversation. I was surprised and delighted by how much information Child 2 provided during this conversation. However, Schön's reflection-in-action reflection model (Schön, 1992) reminded me that I wasn't writing anything down, and I was worried I wouldn't capture every detail. However, I was mindful that there was another professional with me and child 2, who I could have deliberated with after this conversation. </w:t>
            </w:r>
          </w:p>
          <w:p w14:paraId="05CEE6EA" w14:textId="77777777" w:rsidR="00867673" w:rsidRPr="00867673" w:rsidRDefault="00867673" w:rsidP="00867673">
            <w:pPr>
              <w:pStyle w:val="NormalWeb"/>
              <w:spacing w:line="360" w:lineRule="auto"/>
              <w:jc w:val="both"/>
              <w:rPr>
                <w:rFonts w:ascii="Arial" w:hAnsi="Arial" w:cs="Arial"/>
                <w:b/>
                <w:bCs/>
                <w:sz w:val="22"/>
                <w:szCs w:val="22"/>
              </w:rPr>
            </w:pPr>
            <w:r w:rsidRPr="00867673">
              <w:rPr>
                <w:rFonts w:ascii="Arial" w:hAnsi="Arial" w:cs="Arial"/>
                <w:b/>
                <w:bCs/>
                <w:sz w:val="22"/>
                <w:szCs w:val="22"/>
              </w:rPr>
              <w:lastRenderedPageBreak/>
              <w:t xml:space="preserve">The outcome of the Section 47 assessment </w:t>
            </w:r>
          </w:p>
          <w:p w14:paraId="6D7D5DCC" w14:textId="439E7C62" w:rsidR="00867673" w:rsidRPr="00867673" w:rsidRDefault="00867673" w:rsidP="00867673">
            <w:pPr>
              <w:pStyle w:val="NormalWeb"/>
              <w:spacing w:line="360" w:lineRule="auto"/>
              <w:jc w:val="both"/>
              <w:rPr>
                <w:rFonts w:ascii="Arial" w:hAnsi="Arial" w:cs="Arial"/>
                <w:sz w:val="22"/>
                <w:szCs w:val="22"/>
              </w:rPr>
            </w:pPr>
            <w:r w:rsidRPr="00867673">
              <w:rPr>
                <w:rFonts w:ascii="Arial" w:hAnsi="Arial" w:cs="Arial"/>
                <w:sz w:val="22"/>
                <w:szCs w:val="22"/>
              </w:rPr>
              <w:t xml:space="preserve">During my conversation with Child 2, they disclosed additional details that reinforced the concerns outlined in the initial referral. Child 2’s account suggested that they had been possibly manipulated during the incident. Acknowledging the sensitivity of her account, I praised Child 2 for their bravery and checked </w:t>
            </w:r>
            <w:r w:rsidR="00BA2D75">
              <w:rPr>
                <w:rFonts w:ascii="Arial" w:hAnsi="Arial" w:cs="Arial"/>
                <w:sz w:val="22"/>
                <w:szCs w:val="22"/>
              </w:rPr>
              <w:t>on her</w:t>
            </w:r>
            <w:r w:rsidRPr="00867673">
              <w:rPr>
                <w:rFonts w:ascii="Arial" w:hAnsi="Arial" w:cs="Arial"/>
                <w:sz w:val="22"/>
                <w:szCs w:val="22"/>
              </w:rPr>
              <w:t xml:space="preserve"> emotional well-being. I also asked if there was anything I or the residential home staff could do to support her. Taking the time to explain the following steps, I informed her that I would be consulting with other agencies, including </w:t>
            </w:r>
            <w:r w:rsidR="00BA2D75">
              <w:rPr>
                <w:rFonts w:ascii="Arial" w:hAnsi="Arial" w:cs="Arial"/>
                <w:sz w:val="22"/>
                <w:szCs w:val="22"/>
              </w:rPr>
              <w:t>H</w:t>
            </w:r>
            <w:r w:rsidRPr="00867673">
              <w:rPr>
                <w:rFonts w:ascii="Arial" w:hAnsi="Arial" w:cs="Arial"/>
                <w:sz w:val="22"/>
                <w:szCs w:val="22"/>
              </w:rPr>
              <w:t xml:space="preserve">ealth and the Police, and that the Police might want to speak with </w:t>
            </w:r>
            <w:r w:rsidR="00BA2D75">
              <w:rPr>
                <w:rFonts w:ascii="Arial" w:hAnsi="Arial" w:cs="Arial"/>
                <w:sz w:val="22"/>
                <w:szCs w:val="22"/>
              </w:rPr>
              <w:t>her.</w:t>
            </w:r>
            <w:r w:rsidRPr="00867673">
              <w:rPr>
                <w:rFonts w:ascii="Arial" w:hAnsi="Arial" w:cs="Arial"/>
                <w:sz w:val="22"/>
                <w:szCs w:val="22"/>
              </w:rPr>
              <w:t xml:space="preserve"> While she initially appeared hesitant, child 2’s subtle smiles and eventual agreement suggested a willingness to cooperate. As a </w:t>
            </w:r>
            <w:r w:rsidR="00BA2D75">
              <w:rPr>
                <w:rFonts w:ascii="Arial" w:hAnsi="Arial" w:cs="Arial"/>
                <w:sz w:val="22"/>
                <w:szCs w:val="22"/>
              </w:rPr>
              <w:t>S</w:t>
            </w:r>
            <w:r w:rsidRPr="00867673">
              <w:rPr>
                <w:rFonts w:ascii="Arial" w:hAnsi="Arial" w:cs="Arial"/>
                <w:sz w:val="22"/>
                <w:szCs w:val="22"/>
              </w:rPr>
              <w:t xml:space="preserve">ocial </w:t>
            </w:r>
            <w:r w:rsidR="00BA2D75">
              <w:rPr>
                <w:rFonts w:ascii="Arial" w:hAnsi="Arial" w:cs="Arial"/>
                <w:sz w:val="22"/>
                <w:szCs w:val="22"/>
              </w:rPr>
              <w:t>W</w:t>
            </w:r>
            <w:r w:rsidRPr="00867673">
              <w:rPr>
                <w:rFonts w:ascii="Arial" w:hAnsi="Arial" w:cs="Arial"/>
                <w:sz w:val="22"/>
                <w:szCs w:val="22"/>
              </w:rPr>
              <w:t xml:space="preserve">orker, it is essential to ensure that children are fully informed and actively involved in decisions that affect them, in line with core principles of The </w:t>
            </w:r>
            <w:r w:rsidR="00BA2D75">
              <w:rPr>
                <w:rFonts w:ascii="Arial" w:hAnsi="Arial" w:cs="Arial"/>
                <w:sz w:val="22"/>
                <w:szCs w:val="22"/>
              </w:rPr>
              <w:t>SSWBA</w:t>
            </w:r>
            <w:r w:rsidRPr="00867673">
              <w:rPr>
                <w:rFonts w:ascii="Arial" w:hAnsi="Arial" w:cs="Arial"/>
                <w:sz w:val="22"/>
                <w:szCs w:val="22"/>
              </w:rPr>
              <w:t xml:space="preserve"> (Wales) Act (2014) and the UN Convention (UNRC, 1989).</w:t>
            </w:r>
          </w:p>
          <w:p w14:paraId="7D843D30" w14:textId="248F8770" w:rsidR="00867673" w:rsidRPr="00867673" w:rsidRDefault="00867673" w:rsidP="00867673">
            <w:pPr>
              <w:pStyle w:val="NormalWeb"/>
              <w:spacing w:line="360" w:lineRule="auto"/>
              <w:jc w:val="both"/>
              <w:rPr>
                <w:rFonts w:ascii="Arial" w:hAnsi="Arial" w:cs="Arial"/>
                <w:sz w:val="22"/>
                <w:szCs w:val="22"/>
              </w:rPr>
            </w:pPr>
            <w:r w:rsidRPr="00867673">
              <w:rPr>
                <w:rFonts w:ascii="Arial" w:hAnsi="Arial" w:cs="Arial"/>
                <w:sz w:val="22"/>
                <w:szCs w:val="22"/>
              </w:rPr>
              <w:t xml:space="preserve">To ease the atmosphere, I shifted the conversation to something more positive, asking Child 2 about her plans for the rest of the day. She engaged more positively with this topic, and it provided a distraction from the seriousness of our discussion. I felt reassured by the care provided by the residential home and the updated risk assessments, which confirmed that Child 2 was safe in </w:t>
            </w:r>
            <w:r w:rsidR="00BA2D75">
              <w:rPr>
                <w:rFonts w:ascii="Arial" w:hAnsi="Arial" w:cs="Arial"/>
                <w:sz w:val="22"/>
                <w:szCs w:val="22"/>
              </w:rPr>
              <w:t>her</w:t>
            </w:r>
            <w:r w:rsidRPr="00867673">
              <w:rPr>
                <w:rFonts w:ascii="Arial" w:hAnsi="Arial" w:cs="Arial"/>
                <w:sz w:val="22"/>
                <w:szCs w:val="22"/>
              </w:rPr>
              <w:t xml:space="preserve"> current environment. Before leaving, I made sure to document all the information Child 2 had shared, ensuring it was accurate and reflecting on the conversation with the residential staff member who had been present. This collaboration helped to ensure that all relevant details were </w:t>
            </w:r>
            <w:r w:rsidR="001D0E10" w:rsidRPr="00867673">
              <w:rPr>
                <w:rFonts w:ascii="Arial" w:hAnsi="Arial" w:cs="Arial"/>
                <w:sz w:val="22"/>
                <w:szCs w:val="22"/>
              </w:rPr>
              <w:t>captured,</w:t>
            </w:r>
            <w:r w:rsidRPr="00867673">
              <w:rPr>
                <w:rFonts w:ascii="Arial" w:hAnsi="Arial" w:cs="Arial"/>
                <w:sz w:val="22"/>
                <w:szCs w:val="22"/>
              </w:rPr>
              <w:t xml:space="preserve"> and the child’s voice was heard as emphasised and fluid within the principles of The </w:t>
            </w:r>
            <w:r w:rsidR="00BA2D75">
              <w:rPr>
                <w:rFonts w:ascii="Arial" w:hAnsi="Arial" w:cs="Arial"/>
                <w:sz w:val="22"/>
                <w:szCs w:val="22"/>
              </w:rPr>
              <w:t xml:space="preserve">SSWBA </w:t>
            </w:r>
            <w:r w:rsidRPr="00867673">
              <w:rPr>
                <w:rFonts w:ascii="Arial" w:hAnsi="Arial" w:cs="Arial"/>
                <w:sz w:val="22"/>
                <w:szCs w:val="22"/>
              </w:rPr>
              <w:t>(Wales) Act 2014 and COPP (Welsh Government, 2017).  </w:t>
            </w:r>
          </w:p>
          <w:p w14:paraId="552C51CC" w14:textId="117E1490" w:rsidR="00867673" w:rsidRPr="00867673" w:rsidRDefault="00867673" w:rsidP="00867673">
            <w:pPr>
              <w:pStyle w:val="NormalWeb"/>
              <w:spacing w:line="360" w:lineRule="auto"/>
              <w:jc w:val="both"/>
              <w:rPr>
                <w:rFonts w:ascii="Arial" w:hAnsi="Arial" w:cs="Arial"/>
                <w:sz w:val="22"/>
                <w:szCs w:val="22"/>
              </w:rPr>
            </w:pPr>
            <w:r w:rsidRPr="00867673">
              <w:rPr>
                <w:rFonts w:ascii="Arial" w:hAnsi="Arial" w:cs="Arial"/>
                <w:sz w:val="22"/>
                <w:szCs w:val="22"/>
              </w:rPr>
              <w:t xml:space="preserve">After the conversation, I discussed the case with my </w:t>
            </w:r>
            <w:r w:rsidR="00281894">
              <w:rPr>
                <w:rFonts w:ascii="Arial" w:hAnsi="Arial" w:cs="Arial"/>
                <w:sz w:val="22"/>
                <w:szCs w:val="22"/>
              </w:rPr>
              <w:t>manager to</w:t>
            </w:r>
            <w:r w:rsidRPr="00867673">
              <w:rPr>
                <w:rFonts w:ascii="Arial" w:hAnsi="Arial" w:cs="Arial"/>
                <w:sz w:val="22"/>
                <w:szCs w:val="22"/>
              </w:rPr>
              <w:t xml:space="preserve"> review the details provided by Child 2. We agreed that the new information warranted further action, </w:t>
            </w:r>
            <w:r w:rsidR="00BA2D75">
              <w:rPr>
                <w:rFonts w:ascii="Arial" w:hAnsi="Arial" w:cs="Arial"/>
                <w:sz w:val="22"/>
                <w:szCs w:val="22"/>
              </w:rPr>
              <w:t>comparing</w:t>
            </w:r>
            <w:r w:rsidRPr="00867673">
              <w:rPr>
                <w:rFonts w:ascii="Arial" w:hAnsi="Arial" w:cs="Arial"/>
                <w:sz w:val="22"/>
                <w:szCs w:val="22"/>
              </w:rPr>
              <w:t xml:space="preserve"> </w:t>
            </w:r>
            <w:r w:rsidR="00BA2D75">
              <w:rPr>
                <w:rFonts w:ascii="Arial" w:hAnsi="Arial" w:cs="Arial"/>
                <w:sz w:val="22"/>
                <w:szCs w:val="22"/>
              </w:rPr>
              <w:t>T</w:t>
            </w:r>
            <w:r w:rsidRPr="00867673">
              <w:rPr>
                <w:rFonts w:ascii="Arial" w:hAnsi="Arial" w:cs="Arial"/>
                <w:sz w:val="22"/>
                <w:szCs w:val="22"/>
              </w:rPr>
              <w:t>he Wales Safeguarding procedures (Welsh Government, 2025). Therefore, I requested a</w:t>
            </w:r>
            <w:r w:rsidR="00BA2D75">
              <w:rPr>
                <w:rFonts w:ascii="Arial" w:hAnsi="Arial" w:cs="Arial"/>
                <w:sz w:val="22"/>
                <w:szCs w:val="22"/>
              </w:rPr>
              <w:t xml:space="preserve"> further</w:t>
            </w:r>
            <w:r w:rsidRPr="00867673">
              <w:rPr>
                <w:rFonts w:ascii="Arial" w:hAnsi="Arial" w:cs="Arial"/>
                <w:sz w:val="22"/>
                <w:szCs w:val="22"/>
              </w:rPr>
              <w:t xml:space="preserve"> strategy meeting to explore the developments. Upon reflection, I felt frustrated, as I had previously questioned the decision for a single-agency Section 47 enquiry. We held a second strategy meeting the following day, where I presented the new findings. After careful consideration, all agencies involved decided to proceed with a joint Section 47 enquiry, focusing on the potential criminal aspects of the incident. After further discussions with the Police, they determined it was appropriate for them to lead the criminal investigation. Based on my assessment, the Police arranged an ABE interview with Child 2 and proceeded with evidence gathering. My assessment provided sufficient information for the Police to </w:t>
            </w:r>
            <w:r w:rsidRPr="00867673">
              <w:rPr>
                <w:rFonts w:ascii="Arial" w:hAnsi="Arial" w:cs="Arial"/>
                <w:sz w:val="22"/>
                <w:szCs w:val="22"/>
              </w:rPr>
              <w:lastRenderedPageBreak/>
              <w:t xml:space="preserve">pursue criminal </w:t>
            </w:r>
            <w:r w:rsidR="00BA2D75">
              <w:rPr>
                <w:rFonts w:ascii="Arial" w:hAnsi="Arial" w:cs="Arial"/>
                <w:sz w:val="22"/>
                <w:szCs w:val="22"/>
              </w:rPr>
              <w:t>arrests</w:t>
            </w:r>
            <w:r w:rsidRPr="00867673">
              <w:rPr>
                <w:rFonts w:ascii="Arial" w:hAnsi="Arial" w:cs="Arial"/>
                <w:sz w:val="22"/>
                <w:szCs w:val="22"/>
              </w:rPr>
              <w:t xml:space="preserve"> against the suspects. I concluded by finalising the written Section 47 assessment, which were endorsed and quality-assured by my team manager.</w:t>
            </w:r>
          </w:p>
          <w:p w14:paraId="64B09481" w14:textId="32EF835A" w:rsidR="00062EB0" w:rsidRDefault="00867673" w:rsidP="00867673">
            <w:pPr>
              <w:pStyle w:val="NormalWeb"/>
              <w:spacing w:line="360" w:lineRule="auto"/>
              <w:jc w:val="both"/>
              <w:rPr>
                <w:rFonts w:ascii="Arial" w:hAnsi="Arial" w:cs="Arial"/>
                <w:sz w:val="22"/>
                <w:szCs w:val="22"/>
              </w:rPr>
            </w:pPr>
            <w:r w:rsidRPr="00867673">
              <w:rPr>
                <w:rFonts w:ascii="Arial" w:hAnsi="Arial" w:cs="Arial"/>
                <w:sz w:val="22"/>
                <w:szCs w:val="22"/>
              </w:rPr>
              <w:t>However, I couldn’t help but feel disappointed that the agencies had not agreed to a joint enquiry from the outset. The delay in this decision meant that Child 2 would have to recount her narrative again, a process that could risk re-traumatising her. There was also the possibility that the repetition of their account might lead to inconsistencies in their narrative or even cause Child 2 to withdraw from speaking further. This situation highlighted the challenges of multi-agency collaboration and the need to prioritise the child’s well-being in safeguarding processes.</w:t>
            </w:r>
          </w:p>
          <w:p w14:paraId="18912728" w14:textId="6415C9E7" w:rsidR="00062EB0" w:rsidRPr="00062EB0" w:rsidRDefault="00062EB0" w:rsidP="00867673">
            <w:pPr>
              <w:pStyle w:val="NormalWeb"/>
              <w:spacing w:line="360" w:lineRule="auto"/>
              <w:jc w:val="both"/>
              <w:rPr>
                <w:rFonts w:ascii="Arial" w:hAnsi="Arial" w:cs="Arial"/>
                <w:b/>
                <w:bCs/>
                <w:sz w:val="22"/>
                <w:szCs w:val="22"/>
                <w:u w:val="single"/>
              </w:rPr>
            </w:pPr>
            <w:r w:rsidRPr="00062EB0">
              <w:rPr>
                <w:rFonts w:ascii="Arial" w:hAnsi="Arial" w:cs="Arial"/>
                <w:b/>
                <w:bCs/>
                <w:sz w:val="22"/>
                <w:szCs w:val="22"/>
                <w:u w:val="single"/>
              </w:rPr>
              <w:t>Conclusion</w:t>
            </w:r>
          </w:p>
          <w:p w14:paraId="4B75E847" w14:textId="514C0875" w:rsidR="00062EB0" w:rsidRPr="00062EB0" w:rsidRDefault="00BA2D75" w:rsidP="00062EB0">
            <w:pPr>
              <w:pStyle w:val="NormalWeb"/>
              <w:spacing w:line="360" w:lineRule="auto"/>
              <w:jc w:val="both"/>
              <w:rPr>
                <w:rFonts w:ascii="Arial" w:hAnsi="Arial" w:cs="Arial"/>
                <w:sz w:val="22"/>
                <w:szCs w:val="22"/>
              </w:rPr>
            </w:pPr>
            <w:r>
              <w:rPr>
                <w:rFonts w:ascii="Arial" w:hAnsi="Arial" w:cs="Arial"/>
                <w:sz w:val="22"/>
                <w:szCs w:val="22"/>
              </w:rPr>
              <w:t>Within this</w:t>
            </w:r>
            <w:r w:rsidR="00062EB0" w:rsidRPr="00062EB0">
              <w:rPr>
                <w:rFonts w:ascii="Arial" w:hAnsi="Arial" w:cs="Arial"/>
                <w:sz w:val="22"/>
                <w:szCs w:val="22"/>
              </w:rPr>
              <w:t xml:space="preserve"> safeguarding case review</w:t>
            </w:r>
            <w:r>
              <w:rPr>
                <w:rFonts w:ascii="Arial" w:hAnsi="Arial" w:cs="Arial"/>
                <w:sz w:val="22"/>
                <w:szCs w:val="22"/>
              </w:rPr>
              <w:t>, there is an emphasis</w:t>
            </w:r>
            <w:r w:rsidR="00062EB0" w:rsidRPr="00062EB0">
              <w:rPr>
                <w:rFonts w:ascii="Arial" w:hAnsi="Arial" w:cs="Arial"/>
                <w:sz w:val="22"/>
                <w:szCs w:val="22"/>
              </w:rPr>
              <w:t xml:space="preserve"> that when agencies fail to share or contribute information, critical gaps emerge in the </w:t>
            </w:r>
            <w:r>
              <w:rPr>
                <w:rFonts w:ascii="Arial" w:hAnsi="Arial" w:cs="Arial"/>
                <w:sz w:val="22"/>
                <w:szCs w:val="22"/>
              </w:rPr>
              <w:t xml:space="preserve">final </w:t>
            </w:r>
            <w:r w:rsidR="00062EB0" w:rsidRPr="00062EB0">
              <w:rPr>
                <w:rFonts w:ascii="Arial" w:hAnsi="Arial" w:cs="Arial"/>
                <w:sz w:val="22"/>
                <w:szCs w:val="22"/>
              </w:rPr>
              <w:t xml:space="preserve">analysis of assessments, leading to potential risks for children. This highlights the necessity of a coordinated, multi-agency approach, as emphasised by the Department for Education (2023), to ensure safeguarding assessments are both comprehensive and evidence based. Safeguarding is a shared responsibility among all professions and agencies concerned with the well-being of children to protect those at risk, which </w:t>
            </w:r>
            <w:r w:rsidR="005F2FF5">
              <w:rPr>
                <w:rFonts w:ascii="Arial" w:hAnsi="Arial" w:cs="Arial"/>
                <w:sz w:val="22"/>
                <w:szCs w:val="22"/>
              </w:rPr>
              <w:t>has been highlighted</w:t>
            </w:r>
            <w:r w:rsidR="00062EB0" w:rsidRPr="00062EB0">
              <w:rPr>
                <w:rFonts w:ascii="Arial" w:hAnsi="Arial" w:cs="Arial"/>
                <w:sz w:val="22"/>
                <w:szCs w:val="22"/>
              </w:rPr>
              <w:t xml:space="preserve"> through this safeguarding case review. Schön's reflection model (1992) has helped me navigate this complex </w:t>
            </w:r>
            <w:r>
              <w:rPr>
                <w:rFonts w:ascii="Arial" w:hAnsi="Arial" w:cs="Arial"/>
                <w:sz w:val="22"/>
                <w:szCs w:val="22"/>
              </w:rPr>
              <w:t xml:space="preserve">case </w:t>
            </w:r>
            <w:r w:rsidR="00062EB0" w:rsidRPr="00062EB0">
              <w:rPr>
                <w:rFonts w:ascii="Arial" w:hAnsi="Arial" w:cs="Arial"/>
                <w:sz w:val="22"/>
                <w:szCs w:val="22"/>
              </w:rPr>
              <w:t>by allowing me to analyse my decision-making in real-time and adjust it as new complexities arise. Analysing and adapting during the assessment process was essential for developing a balanced and well-reasoned professional opinion.</w:t>
            </w:r>
          </w:p>
          <w:p w14:paraId="09100275" w14:textId="120F3B06" w:rsidR="00062EB0" w:rsidRPr="00062EB0" w:rsidRDefault="00BA2D75" w:rsidP="00062EB0">
            <w:pPr>
              <w:pStyle w:val="NormalWeb"/>
              <w:spacing w:line="360" w:lineRule="auto"/>
              <w:jc w:val="both"/>
              <w:rPr>
                <w:rFonts w:ascii="Arial" w:hAnsi="Arial" w:cs="Arial"/>
                <w:sz w:val="22"/>
                <w:szCs w:val="22"/>
              </w:rPr>
            </w:pPr>
            <w:r>
              <w:rPr>
                <w:rFonts w:ascii="Arial" w:hAnsi="Arial" w:cs="Arial"/>
                <w:sz w:val="22"/>
                <w:szCs w:val="22"/>
              </w:rPr>
              <w:t xml:space="preserve">In addition, this </w:t>
            </w:r>
            <w:r w:rsidR="00062EB0">
              <w:rPr>
                <w:rFonts w:ascii="Arial" w:hAnsi="Arial" w:cs="Arial"/>
                <w:sz w:val="22"/>
                <w:szCs w:val="22"/>
              </w:rPr>
              <w:t xml:space="preserve">specific case </w:t>
            </w:r>
            <w:r w:rsidR="00062EB0" w:rsidRPr="00062EB0">
              <w:rPr>
                <w:rFonts w:ascii="Arial" w:hAnsi="Arial" w:cs="Arial"/>
                <w:sz w:val="22"/>
                <w:szCs w:val="22"/>
              </w:rPr>
              <w:t xml:space="preserve">has reinforced my commitment to advocating for children and ensuring their voices remain central in decision-making, in accordance with </w:t>
            </w:r>
            <w:r>
              <w:rPr>
                <w:rFonts w:ascii="Arial" w:hAnsi="Arial" w:cs="Arial"/>
                <w:sz w:val="22"/>
                <w:szCs w:val="22"/>
              </w:rPr>
              <w:t>T</w:t>
            </w:r>
            <w:r w:rsidR="00062EB0" w:rsidRPr="00062EB0">
              <w:rPr>
                <w:rFonts w:ascii="Arial" w:hAnsi="Arial" w:cs="Arial"/>
                <w:sz w:val="22"/>
                <w:szCs w:val="22"/>
              </w:rPr>
              <w:t xml:space="preserve">he </w:t>
            </w:r>
            <w:r>
              <w:rPr>
                <w:rFonts w:ascii="Arial" w:hAnsi="Arial" w:cs="Arial"/>
                <w:sz w:val="22"/>
                <w:szCs w:val="22"/>
              </w:rPr>
              <w:t>SSWBA</w:t>
            </w:r>
            <w:r w:rsidR="00062EB0" w:rsidRPr="00062EB0">
              <w:rPr>
                <w:rFonts w:ascii="Arial" w:hAnsi="Arial" w:cs="Arial"/>
                <w:sz w:val="22"/>
                <w:szCs w:val="22"/>
              </w:rPr>
              <w:t xml:space="preserve"> (Wales) Act (2014) and the UN Convention on the Rights of the Child (1989).</w:t>
            </w:r>
            <w:r w:rsidR="00FE25CE">
              <w:rPr>
                <w:rFonts w:ascii="Arial" w:hAnsi="Arial" w:cs="Arial"/>
                <w:sz w:val="22"/>
                <w:szCs w:val="22"/>
              </w:rPr>
              <w:t xml:space="preserve"> </w:t>
            </w:r>
            <w:r>
              <w:rPr>
                <w:rFonts w:ascii="Arial" w:hAnsi="Arial" w:cs="Arial"/>
                <w:sz w:val="22"/>
                <w:szCs w:val="22"/>
              </w:rPr>
              <w:t>The case review has</w:t>
            </w:r>
            <w:r w:rsidR="00062EB0" w:rsidRPr="00062EB0">
              <w:rPr>
                <w:rFonts w:ascii="Arial" w:hAnsi="Arial" w:cs="Arial"/>
                <w:sz w:val="22"/>
                <w:szCs w:val="22"/>
              </w:rPr>
              <w:t xml:space="preserve"> </w:t>
            </w:r>
            <w:r>
              <w:rPr>
                <w:rFonts w:ascii="Arial" w:hAnsi="Arial" w:cs="Arial"/>
                <w:sz w:val="22"/>
                <w:szCs w:val="22"/>
              </w:rPr>
              <w:t>made a</w:t>
            </w:r>
            <w:r w:rsidR="00062EB0" w:rsidRPr="00062EB0">
              <w:rPr>
                <w:rFonts w:ascii="Arial" w:hAnsi="Arial" w:cs="Arial"/>
                <w:sz w:val="22"/>
                <w:szCs w:val="22"/>
              </w:rPr>
              <w:t xml:space="preserve"> link between legal frameworks, ethical considerations, and professional accountability in safeguarding practice. Howe's (2011) emphasis on </w:t>
            </w:r>
            <w:r>
              <w:rPr>
                <w:rFonts w:ascii="Arial" w:hAnsi="Arial" w:cs="Arial"/>
                <w:sz w:val="22"/>
                <w:szCs w:val="22"/>
              </w:rPr>
              <w:t>S</w:t>
            </w:r>
            <w:r w:rsidR="00062EB0" w:rsidRPr="00062EB0">
              <w:rPr>
                <w:rFonts w:ascii="Arial" w:hAnsi="Arial" w:cs="Arial"/>
                <w:sz w:val="22"/>
                <w:szCs w:val="22"/>
              </w:rPr>
              <w:t xml:space="preserve">ocial </w:t>
            </w:r>
            <w:r>
              <w:rPr>
                <w:rFonts w:ascii="Arial" w:hAnsi="Arial" w:cs="Arial"/>
                <w:sz w:val="22"/>
                <w:szCs w:val="22"/>
              </w:rPr>
              <w:t>W</w:t>
            </w:r>
            <w:r w:rsidR="00062EB0" w:rsidRPr="00062EB0">
              <w:rPr>
                <w:rFonts w:ascii="Arial" w:hAnsi="Arial" w:cs="Arial"/>
                <w:sz w:val="22"/>
                <w:szCs w:val="22"/>
              </w:rPr>
              <w:t xml:space="preserve">ork's emotional and relational elements was especially significant, as developing trust with children and families was critical for getting accurate information and conducting a thorough assessment. In addition, Rogers' (1957) person-centred approach </w:t>
            </w:r>
            <w:r>
              <w:rPr>
                <w:rFonts w:ascii="Arial" w:hAnsi="Arial" w:cs="Arial"/>
                <w:sz w:val="22"/>
                <w:szCs w:val="22"/>
              </w:rPr>
              <w:t xml:space="preserve">supported the </w:t>
            </w:r>
            <w:r w:rsidR="00062EB0" w:rsidRPr="00062EB0">
              <w:rPr>
                <w:rFonts w:ascii="Arial" w:hAnsi="Arial" w:cs="Arial"/>
                <w:sz w:val="22"/>
                <w:szCs w:val="22"/>
              </w:rPr>
              <w:t xml:space="preserve">child and incorporating their viewpoints into decision-making processes. </w:t>
            </w:r>
          </w:p>
          <w:p w14:paraId="60B5D8A5" w14:textId="443577FD" w:rsidR="00062EB0" w:rsidRPr="00062EB0" w:rsidRDefault="00BA2D75" w:rsidP="00062EB0">
            <w:pPr>
              <w:pStyle w:val="NormalWeb"/>
              <w:spacing w:line="360" w:lineRule="auto"/>
              <w:jc w:val="both"/>
              <w:rPr>
                <w:rFonts w:ascii="Arial" w:hAnsi="Arial" w:cs="Arial"/>
                <w:sz w:val="22"/>
                <w:szCs w:val="22"/>
              </w:rPr>
            </w:pPr>
            <w:r>
              <w:rPr>
                <w:rFonts w:ascii="Arial" w:hAnsi="Arial" w:cs="Arial"/>
                <w:sz w:val="22"/>
                <w:szCs w:val="22"/>
              </w:rPr>
              <w:t>This</w:t>
            </w:r>
            <w:r w:rsidR="00062EB0" w:rsidRPr="00062EB0">
              <w:rPr>
                <w:rFonts w:ascii="Arial" w:hAnsi="Arial" w:cs="Arial"/>
                <w:sz w:val="22"/>
                <w:szCs w:val="22"/>
              </w:rPr>
              <w:t xml:space="preserve"> safeguarding assessment has reinforced the necessity to understand how social services </w:t>
            </w:r>
            <w:r w:rsidR="00492C70">
              <w:rPr>
                <w:rFonts w:ascii="Arial" w:hAnsi="Arial" w:cs="Arial"/>
                <w:sz w:val="22"/>
                <w:szCs w:val="22"/>
              </w:rPr>
              <w:t xml:space="preserve">procedures </w:t>
            </w:r>
            <w:r w:rsidR="00062EB0" w:rsidRPr="00062EB0">
              <w:rPr>
                <w:rFonts w:ascii="Arial" w:hAnsi="Arial" w:cs="Arial"/>
                <w:sz w:val="22"/>
                <w:szCs w:val="22"/>
              </w:rPr>
              <w:t xml:space="preserve">in Wales interact with safeguarding systems across the UK and internationally. As </w:t>
            </w:r>
            <w:r>
              <w:rPr>
                <w:rFonts w:ascii="Arial" w:hAnsi="Arial" w:cs="Arial"/>
                <w:sz w:val="22"/>
                <w:szCs w:val="22"/>
              </w:rPr>
              <w:t>The SSWBA</w:t>
            </w:r>
            <w:r w:rsidR="00062EB0" w:rsidRPr="00062EB0">
              <w:rPr>
                <w:rFonts w:ascii="Arial" w:hAnsi="Arial" w:cs="Arial"/>
                <w:sz w:val="22"/>
                <w:szCs w:val="22"/>
              </w:rPr>
              <w:t xml:space="preserve"> (Wales) Act (2014) highlights, aligning local procedures with international standards is crucial for ensuring consistency in child protection. This reinforces the importance of timely, coordinated </w:t>
            </w:r>
            <w:r w:rsidR="00062EB0" w:rsidRPr="00062EB0">
              <w:rPr>
                <w:rFonts w:ascii="Arial" w:hAnsi="Arial" w:cs="Arial"/>
                <w:sz w:val="22"/>
                <w:szCs w:val="22"/>
              </w:rPr>
              <w:lastRenderedPageBreak/>
              <w:t xml:space="preserve">action and my role in applying analytical skills, collaboration, and professional judgment to safeguard children effectively in increasingly complex safeguarding matters within my role. </w:t>
            </w:r>
          </w:p>
          <w:p w14:paraId="20EBF370" w14:textId="324EE1E6" w:rsidR="00D3203C" w:rsidRPr="001D0E10" w:rsidRDefault="00370E8F" w:rsidP="00062EB0">
            <w:pPr>
              <w:pStyle w:val="NormalWeb"/>
              <w:spacing w:line="360" w:lineRule="auto"/>
              <w:jc w:val="both"/>
              <w:rPr>
                <w:rFonts w:ascii="Arial" w:hAnsi="Arial" w:cs="Arial"/>
                <w:b/>
                <w:bCs/>
                <w:color w:val="000000"/>
                <w:sz w:val="22"/>
                <w:szCs w:val="22"/>
              </w:rPr>
            </w:pPr>
            <w:r w:rsidRPr="008B74D5">
              <w:rPr>
                <w:rFonts w:ascii="Arial" w:hAnsi="Arial" w:cs="Arial"/>
                <w:b/>
                <w:bCs/>
                <w:color w:val="000000"/>
                <w:sz w:val="22"/>
                <w:szCs w:val="22"/>
              </w:rPr>
              <w:t xml:space="preserve">Word count: </w:t>
            </w:r>
            <w:r w:rsidR="005C6FC8">
              <w:rPr>
                <w:rFonts w:ascii="Arial" w:hAnsi="Arial" w:cs="Arial"/>
                <w:b/>
                <w:bCs/>
                <w:color w:val="000000"/>
                <w:sz w:val="22"/>
                <w:szCs w:val="22"/>
              </w:rPr>
              <w:t>4</w:t>
            </w:r>
            <w:r w:rsidR="00062EB0">
              <w:rPr>
                <w:rFonts w:ascii="Arial" w:hAnsi="Arial" w:cs="Arial"/>
                <w:b/>
                <w:bCs/>
                <w:color w:val="000000"/>
                <w:sz w:val="22"/>
                <w:szCs w:val="22"/>
              </w:rPr>
              <w:t>3</w:t>
            </w:r>
            <w:r w:rsidR="00BA2D75">
              <w:rPr>
                <w:rFonts w:ascii="Arial" w:hAnsi="Arial" w:cs="Arial"/>
                <w:b/>
                <w:bCs/>
                <w:color w:val="000000"/>
                <w:sz w:val="22"/>
                <w:szCs w:val="22"/>
              </w:rPr>
              <w:t>00.</w:t>
            </w:r>
          </w:p>
          <w:p w14:paraId="16E6CF74" w14:textId="77777777" w:rsidR="007A628F" w:rsidRPr="008B28E7" w:rsidRDefault="007A628F" w:rsidP="00FF7EBB">
            <w:pPr>
              <w:jc w:val="both"/>
              <w:rPr>
                <w:sz w:val="24"/>
                <w:szCs w:val="24"/>
              </w:rPr>
            </w:pPr>
          </w:p>
        </w:tc>
      </w:tr>
      <w:tr w:rsidR="006B6BB5" w:rsidRPr="008B28E7" w14:paraId="4A712DB2" w14:textId="77777777" w:rsidTr="7B2CF1A9">
        <w:tc>
          <w:tcPr>
            <w:tcW w:w="10031" w:type="dxa"/>
            <w:shd w:val="clear" w:color="auto" w:fill="auto"/>
          </w:tcPr>
          <w:p w14:paraId="76483048" w14:textId="77777777" w:rsidR="006B6BB5" w:rsidRPr="006872A0" w:rsidRDefault="006B6BB5" w:rsidP="00064063">
            <w:pPr>
              <w:jc w:val="both"/>
              <w:rPr>
                <w:b/>
                <w:sz w:val="24"/>
                <w:szCs w:val="24"/>
              </w:rPr>
            </w:pPr>
          </w:p>
        </w:tc>
      </w:tr>
    </w:tbl>
    <w:p w14:paraId="428BA0EB" w14:textId="77777777" w:rsidR="00D3442D" w:rsidRDefault="00D3442D" w:rsidP="00D3442D">
      <w:pPr>
        <w:jc w:val="both"/>
        <w:rPr>
          <w:sz w:val="24"/>
          <w:szCs w:val="24"/>
        </w:rPr>
      </w:pPr>
    </w:p>
    <w:p w14:paraId="01A93CAE" w14:textId="77777777" w:rsidR="00DD31C5" w:rsidRDefault="00DD31C5" w:rsidP="00064063">
      <w:pPr>
        <w:ind w:firstLine="720"/>
        <w:jc w:val="both"/>
        <w:rPr>
          <w:b/>
          <w:sz w:val="24"/>
          <w:szCs w:val="24"/>
        </w:rPr>
      </w:pPr>
    </w:p>
    <w:p w14:paraId="54898280" w14:textId="77777777" w:rsidR="00DD31C5" w:rsidRPr="008B28E7" w:rsidRDefault="00DD31C5" w:rsidP="00064063">
      <w:pPr>
        <w:ind w:firstLine="720"/>
        <w:jc w:val="both"/>
        <w:rPr>
          <w:b/>
          <w:sz w:val="24"/>
          <w:szCs w:val="24"/>
        </w:rPr>
      </w:pPr>
    </w:p>
    <w:p w14:paraId="3A60578C" w14:textId="77777777"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6D048" w14:textId="77777777" w:rsidR="00B36606" w:rsidRDefault="00B36606">
      <w:r>
        <w:separator/>
      </w:r>
    </w:p>
  </w:endnote>
  <w:endnote w:type="continuationSeparator" w:id="0">
    <w:p w14:paraId="055BBFF0" w14:textId="77777777" w:rsidR="00B36606" w:rsidRDefault="00B36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06F01" w14:textId="77777777" w:rsidR="00A5656A" w:rsidRDefault="00A5656A">
    <w:pPr>
      <w:pStyle w:val="Footer"/>
      <w:jc w:val="right"/>
    </w:pPr>
    <w:r>
      <w:fldChar w:fldCharType="begin"/>
    </w:r>
    <w:r>
      <w:instrText xml:space="preserve"> PAGE   \* MERGEFORMAT </w:instrText>
    </w:r>
    <w:r>
      <w:fldChar w:fldCharType="separate"/>
    </w:r>
    <w:r w:rsidR="003D7C26">
      <w:rPr>
        <w:noProof/>
      </w:rPr>
      <w:t>6</w:t>
    </w:r>
    <w:r>
      <w:rPr>
        <w:noProof/>
      </w:rPr>
      <w:fldChar w:fldCharType="end"/>
    </w:r>
  </w:p>
  <w:p w14:paraId="11FF72C0"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DD4C6" w14:textId="77777777" w:rsidR="00B36606" w:rsidRDefault="00B36606">
      <w:r>
        <w:separator/>
      </w:r>
    </w:p>
  </w:footnote>
  <w:footnote w:type="continuationSeparator" w:id="0">
    <w:p w14:paraId="6363532F" w14:textId="77777777" w:rsidR="00B36606" w:rsidRDefault="00B366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2A6B1"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00932519">
    <w:abstractNumId w:val="1"/>
    <w:lvlOverride w:ilvl="0">
      <w:lvl w:ilvl="0">
        <w:start w:val="1"/>
        <w:numFmt w:val="bullet"/>
        <w:lvlText w:val=""/>
        <w:lvlJc w:val="left"/>
        <w:pPr>
          <w:ind w:left="720" w:hanging="360"/>
        </w:pPr>
        <w:rPr>
          <w:rFonts w:ascii="Symbol" w:hAnsi="Symbol" w:hint="default"/>
        </w:rPr>
      </w:lvl>
    </w:lvlOverride>
  </w:num>
  <w:num w:numId="2" w16cid:durableId="1081298339">
    <w:abstractNumId w:val="22"/>
  </w:num>
  <w:num w:numId="3" w16cid:durableId="1143543596">
    <w:abstractNumId w:val="45"/>
  </w:num>
  <w:num w:numId="4" w16cid:durableId="1898468096">
    <w:abstractNumId w:val="47"/>
  </w:num>
  <w:num w:numId="5" w16cid:durableId="472715262">
    <w:abstractNumId w:val="34"/>
  </w:num>
  <w:num w:numId="6" w16cid:durableId="282150164">
    <w:abstractNumId w:val="32"/>
  </w:num>
  <w:num w:numId="7" w16cid:durableId="1065032523">
    <w:abstractNumId w:val="29"/>
  </w:num>
  <w:num w:numId="8" w16cid:durableId="1997420385">
    <w:abstractNumId w:val="30"/>
  </w:num>
  <w:num w:numId="9" w16cid:durableId="625817944">
    <w:abstractNumId w:val="10"/>
  </w:num>
  <w:num w:numId="10" w16cid:durableId="924849478">
    <w:abstractNumId w:val="33"/>
  </w:num>
  <w:num w:numId="11" w16cid:durableId="1965840315">
    <w:abstractNumId w:val="17"/>
  </w:num>
  <w:num w:numId="12" w16cid:durableId="1006983296">
    <w:abstractNumId w:val="16"/>
  </w:num>
  <w:num w:numId="13" w16cid:durableId="1371371321">
    <w:abstractNumId w:val="27"/>
  </w:num>
  <w:num w:numId="14" w16cid:durableId="708147769">
    <w:abstractNumId w:val="8"/>
  </w:num>
  <w:num w:numId="15" w16cid:durableId="1699113837">
    <w:abstractNumId w:val="26"/>
  </w:num>
  <w:num w:numId="16" w16cid:durableId="1406759691">
    <w:abstractNumId w:val="15"/>
  </w:num>
  <w:num w:numId="17" w16cid:durableId="702248279">
    <w:abstractNumId w:val="13"/>
  </w:num>
  <w:num w:numId="18" w16cid:durableId="4802710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73206536">
    <w:abstractNumId w:val="23"/>
  </w:num>
  <w:num w:numId="20" w16cid:durableId="1268079653">
    <w:abstractNumId w:val="18"/>
  </w:num>
  <w:num w:numId="21" w16cid:durableId="1710063501">
    <w:abstractNumId w:val="14"/>
  </w:num>
  <w:num w:numId="22" w16cid:durableId="2078017356">
    <w:abstractNumId w:val="11"/>
  </w:num>
  <w:num w:numId="23" w16cid:durableId="657004856">
    <w:abstractNumId w:val="28"/>
  </w:num>
  <w:num w:numId="24" w16cid:durableId="882408211">
    <w:abstractNumId w:val="19"/>
  </w:num>
  <w:num w:numId="25" w16cid:durableId="1191067190">
    <w:abstractNumId w:val="41"/>
  </w:num>
  <w:num w:numId="26" w16cid:durableId="1601058557">
    <w:abstractNumId w:val="35"/>
  </w:num>
  <w:num w:numId="27" w16cid:durableId="1437363464">
    <w:abstractNumId w:val="40"/>
  </w:num>
  <w:num w:numId="28" w16cid:durableId="354502043">
    <w:abstractNumId w:val="20"/>
  </w:num>
  <w:num w:numId="29" w16cid:durableId="1457021164">
    <w:abstractNumId w:val="43"/>
  </w:num>
  <w:num w:numId="30" w16cid:durableId="729235236">
    <w:abstractNumId w:val="31"/>
  </w:num>
  <w:num w:numId="31" w16cid:durableId="219444370">
    <w:abstractNumId w:val="12"/>
  </w:num>
  <w:num w:numId="32" w16cid:durableId="1050878478">
    <w:abstractNumId w:val="44"/>
  </w:num>
  <w:num w:numId="33" w16cid:durableId="515772989">
    <w:abstractNumId w:val="39"/>
  </w:num>
  <w:num w:numId="34" w16cid:durableId="1525749307">
    <w:abstractNumId w:val="5"/>
  </w:num>
  <w:num w:numId="35" w16cid:durableId="1888569892">
    <w:abstractNumId w:val="46"/>
  </w:num>
  <w:num w:numId="36" w16cid:durableId="491410766">
    <w:abstractNumId w:val="42"/>
  </w:num>
  <w:num w:numId="37" w16cid:durableId="1887790134">
    <w:abstractNumId w:val="36"/>
  </w:num>
  <w:num w:numId="38" w16cid:durableId="701516763">
    <w:abstractNumId w:val="37"/>
  </w:num>
  <w:num w:numId="39" w16cid:durableId="480148838">
    <w:abstractNumId w:val="4"/>
  </w:num>
  <w:num w:numId="40" w16cid:durableId="491991718">
    <w:abstractNumId w:val="6"/>
  </w:num>
  <w:num w:numId="41" w16cid:durableId="905918113">
    <w:abstractNumId w:val="25"/>
  </w:num>
  <w:num w:numId="42" w16cid:durableId="371729197">
    <w:abstractNumId w:val="7"/>
  </w:num>
  <w:num w:numId="43" w16cid:durableId="1892037059">
    <w:abstractNumId w:val="3"/>
  </w:num>
  <w:num w:numId="44" w16cid:durableId="134956583">
    <w:abstractNumId w:val="38"/>
  </w:num>
  <w:num w:numId="45" w16cid:durableId="1519926466">
    <w:abstractNumId w:val="0"/>
  </w:num>
  <w:num w:numId="46" w16cid:durableId="60108089">
    <w:abstractNumId w:val="14"/>
  </w:num>
  <w:num w:numId="47" w16cid:durableId="1439255822">
    <w:abstractNumId w:val="48"/>
  </w:num>
  <w:num w:numId="48" w16cid:durableId="173731473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09140517">
    <w:abstractNumId w:val="11"/>
  </w:num>
  <w:num w:numId="50" w16cid:durableId="1407845226">
    <w:abstractNumId w:val="28"/>
  </w:num>
  <w:num w:numId="51" w16cid:durableId="194543463">
    <w:abstractNumId w:val="24"/>
  </w:num>
  <w:num w:numId="52" w16cid:durableId="2045670321">
    <w:abstractNumId w:val="21"/>
  </w:num>
  <w:num w:numId="53" w16cid:durableId="195848795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400"/>
    <w:rsid w:val="000045B8"/>
    <w:rsid w:val="00012B16"/>
    <w:rsid w:val="00020EEC"/>
    <w:rsid w:val="0002440E"/>
    <w:rsid w:val="0002493D"/>
    <w:rsid w:val="0002759A"/>
    <w:rsid w:val="00027B1F"/>
    <w:rsid w:val="0003088B"/>
    <w:rsid w:val="000325D9"/>
    <w:rsid w:val="000372B2"/>
    <w:rsid w:val="0004079F"/>
    <w:rsid w:val="00043543"/>
    <w:rsid w:val="00045B87"/>
    <w:rsid w:val="00045C07"/>
    <w:rsid w:val="00045C40"/>
    <w:rsid w:val="00046861"/>
    <w:rsid w:val="000516B1"/>
    <w:rsid w:val="00054A07"/>
    <w:rsid w:val="00055D43"/>
    <w:rsid w:val="00056FAC"/>
    <w:rsid w:val="00057751"/>
    <w:rsid w:val="00062E39"/>
    <w:rsid w:val="00062EB0"/>
    <w:rsid w:val="00064063"/>
    <w:rsid w:val="00064D39"/>
    <w:rsid w:val="0006581A"/>
    <w:rsid w:val="0007355B"/>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196"/>
    <w:rsid w:val="000A4240"/>
    <w:rsid w:val="000A45FF"/>
    <w:rsid w:val="000A469A"/>
    <w:rsid w:val="000A584A"/>
    <w:rsid w:val="000A6222"/>
    <w:rsid w:val="000A6458"/>
    <w:rsid w:val="000C378F"/>
    <w:rsid w:val="000C6892"/>
    <w:rsid w:val="000C6FFE"/>
    <w:rsid w:val="000C73FE"/>
    <w:rsid w:val="000D0BB6"/>
    <w:rsid w:val="000D2ED2"/>
    <w:rsid w:val="000D394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58C"/>
    <w:rsid w:val="0012614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4E1"/>
    <w:rsid w:val="0019496C"/>
    <w:rsid w:val="001961CF"/>
    <w:rsid w:val="001A59BB"/>
    <w:rsid w:val="001A5D4E"/>
    <w:rsid w:val="001A607E"/>
    <w:rsid w:val="001A6A51"/>
    <w:rsid w:val="001A79C4"/>
    <w:rsid w:val="001B331A"/>
    <w:rsid w:val="001C0237"/>
    <w:rsid w:val="001C0E74"/>
    <w:rsid w:val="001C2494"/>
    <w:rsid w:val="001C3E71"/>
    <w:rsid w:val="001C4DB8"/>
    <w:rsid w:val="001C50B8"/>
    <w:rsid w:val="001D0E10"/>
    <w:rsid w:val="001D229F"/>
    <w:rsid w:val="001D61C3"/>
    <w:rsid w:val="001E2EB6"/>
    <w:rsid w:val="001F4552"/>
    <w:rsid w:val="002019EB"/>
    <w:rsid w:val="00204B58"/>
    <w:rsid w:val="00205051"/>
    <w:rsid w:val="00210D75"/>
    <w:rsid w:val="0021159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00E"/>
    <w:rsid w:val="00247265"/>
    <w:rsid w:val="0024729D"/>
    <w:rsid w:val="002519D6"/>
    <w:rsid w:val="002529A3"/>
    <w:rsid w:val="00260663"/>
    <w:rsid w:val="002657E9"/>
    <w:rsid w:val="0026665E"/>
    <w:rsid w:val="002672C1"/>
    <w:rsid w:val="0027147E"/>
    <w:rsid w:val="002761F4"/>
    <w:rsid w:val="002775E1"/>
    <w:rsid w:val="00277979"/>
    <w:rsid w:val="00281894"/>
    <w:rsid w:val="00290E9E"/>
    <w:rsid w:val="00291ADD"/>
    <w:rsid w:val="002920DF"/>
    <w:rsid w:val="00292F3D"/>
    <w:rsid w:val="00293A56"/>
    <w:rsid w:val="00295CA1"/>
    <w:rsid w:val="00297AC7"/>
    <w:rsid w:val="002A0E51"/>
    <w:rsid w:val="002A1A44"/>
    <w:rsid w:val="002A291A"/>
    <w:rsid w:val="002A2C54"/>
    <w:rsid w:val="002A4E2E"/>
    <w:rsid w:val="002A5604"/>
    <w:rsid w:val="002B1701"/>
    <w:rsid w:val="002B23C3"/>
    <w:rsid w:val="002B443A"/>
    <w:rsid w:val="002B5B35"/>
    <w:rsid w:val="002B685D"/>
    <w:rsid w:val="002B7AEE"/>
    <w:rsid w:val="002C2536"/>
    <w:rsid w:val="002C256A"/>
    <w:rsid w:val="002C3031"/>
    <w:rsid w:val="002C4233"/>
    <w:rsid w:val="002C496D"/>
    <w:rsid w:val="002D05EB"/>
    <w:rsid w:val="002D11A8"/>
    <w:rsid w:val="002D2F29"/>
    <w:rsid w:val="002D46C0"/>
    <w:rsid w:val="002D5A92"/>
    <w:rsid w:val="002D65D2"/>
    <w:rsid w:val="002D6B31"/>
    <w:rsid w:val="002E356D"/>
    <w:rsid w:val="002E6D17"/>
    <w:rsid w:val="002E7017"/>
    <w:rsid w:val="002E7F2C"/>
    <w:rsid w:val="002F0CEB"/>
    <w:rsid w:val="002F1FC7"/>
    <w:rsid w:val="002F2185"/>
    <w:rsid w:val="002F4F6E"/>
    <w:rsid w:val="003015C3"/>
    <w:rsid w:val="00307F75"/>
    <w:rsid w:val="003106DB"/>
    <w:rsid w:val="00311754"/>
    <w:rsid w:val="0031350A"/>
    <w:rsid w:val="00316815"/>
    <w:rsid w:val="003168CA"/>
    <w:rsid w:val="00321255"/>
    <w:rsid w:val="003216EF"/>
    <w:rsid w:val="0032230D"/>
    <w:rsid w:val="00322A0B"/>
    <w:rsid w:val="00330881"/>
    <w:rsid w:val="00331CD2"/>
    <w:rsid w:val="00332426"/>
    <w:rsid w:val="00332CE9"/>
    <w:rsid w:val="00335C41"/>
    <w:rsid w:val="00335F18"/>
    <w:rsid w:val="00335FC5"/>
    <w:rsid w:val="0033771E"/>
    <w:rsid w:val="00337FEF"/>
    <w:rsid w:val="00353B24"/>
    <w:rsid w:val="00354B6D"/>
    <w:rsid w:val="00354C84"/>
    <w:rsid w:val="00355210"/>
    <w:rsid w:val="00355CFD"/>
    <w:rsid w:val="00356B5B"/>
    <w:rsid w:val="00365DF9"/>
    <w:rsid w:val="0037066E"/>
    <w:rsid w:val="00370E8F"/>
    <w:rsid w:val="00372552"/>
    <w:rsid w:val="00372DB4"/>
    <w:rsid w:val="00373A36"/>
    <w:rsid w:val="0037419E"/>
    <w:rsid w:val="00375AF5"/>
    <w:rsid w:val="003761BD"/>
    <w:rsid w:val="00377448"/>
    <w:rsid w:val="00377884"/>
    <w:rsid w:val="003826BD"/>
    <w:rsid w:val="00385414"/>
    <w:rsid w:val="00390074"/>
    <w:rsid w:val="003925CF"/>
    <w:rsid w:val="00392F73"/>
    <w:rsid w:val="00393600"/>
    <w:rsid w:val="0039762B"/>
    <w:rsid w:val="003A0C37"/>
    <w:rsid w:val="003A1B6B"/>
    <w:rsid w:val="003A46C0"/>
    <w:rsid w:val="003A600E"/>
    <w:rsid w:val="003A6513"/>
    <w:rsid w:val="003B0F49"/>
    <w:rsid w:val="003B16C7"/>
    <w:rsid w:val="003B29BC"/>
    <w:rsid w:val="003B3115"/>
    <w:rsid w:val="003B3D7F"/>
    <w:rsid w:val="003C19F1"/>
    <w:rsid w:val="003C3C67"/>
    <w:rsid w:val="003C4186"/>
    <w:rsid w:val="003C438B"/>
    <w:rsid w:val="003C6185"/>
    <w:rsid w:val="003D0D2D"/>
    <w:rsid w:val="003D1885"/>
    <w:rsid w:val="003D1BC0"/>
    <w:rsid w:val="003D20F1"/>
    <w:rsid w:val="003D4710"/>
    <w:rsid w:val="003D7C26"/>
    <w:rsid w:val="003E16D7"/>
    <w:rsid w:val="003E197E"/>
    <w:rsid w:val="003E1D21"/>
    <w:rsid w:val="003E4B70"/>
    <w:rsid w:val="003E54CF"/>
    <w:rsid w:val="003E5FBA"/>
    <w:rsid w:val="003E60E5"/>
    <w:rsid w:val="003F0CBB"/>
    <w:rsid w:val="003F1233"/>
    <w:rsid w:val="003F2943"/>
    <w:rsid w:val="003F67A4"/>
    <w:rsid w:val="00400786"/>
    <w:rsid w:val="00401FDA"/>
    <w:rsid w:val="004046F0"/>
    <w:rsid w:val="0040668F"/>
    <w:rsid w:val="00411EF7"/>
    <w:rsid w:val="00412677"/>
    <w:rsid w:val="00425160"/>
    <w:rsid w:val="0042595C"/>
    <w:rsid w:val="00430DE3"/>
    <w:rsid w:val="00430F1C"/>
    <w:rsid w:val="004348AE"/>
    <w:rsid w:val="004376C0"/>
    <w:rsid w:val="0044223A"/>
    <w:rsid w:val="00450525"/>
    <w:rsid w:val="00450B67"/>
    <w:rsid w:val="00451851"/>
    <w:rsid w:val="0045189A"/>
    <w:rsid w:val="00453343"/>
    <w:rsid w:val="004538C3"/>
    <w:rsid w:val="00453D9B"/>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C70"/>
    <w:rsid w:val="00492EEB"/>
    <w:rsid w:val="00493434"/>
    <w:rsid w:val="004968E2"/>
    <w:rsid w:val="004A0EB1"/>
    <w:rsid w:val="004A2A49"/>
    <w:rsid w:val="004A5A64"/>
    <w:rsid w:val="004B5553"/>
    <w:rsid w:val="004B600B"/>
    <w:rsid w:val="004B6822"/>
    <w:rsid w:val="004B69F6"/>
    <w:rsid w:val="004B73A9"/>
    <w:rsid w:val="004B7665"/>
    <w:rsid w:val="004C2D3A"/>
    <w:rsid w:val="004C34E8"/>
    <w:rsid w:val="004D03C4"/>
    <w:rsid w:val="004D0BF1"/>
    <w:rsid w:val="004D0F4E"/>
    <w:rsid w:val="004D3278"/>
    <w:rsid w:val="004D35A4"/>
    <w:rsid w:val="004D445F"/>
    <w:rsid w:val="004E087B"/>
    <w:rsid w:val="004E30C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10"/>
    <w:rsid w:val="00521221"/>
    <w:rsid w:val="0052250B"/>
    <w:rsid w:val="005305C6"/>
    <w:rsid w:val="00540EEC"/>
    <w:rsid w:val="005414F4"/>
    <w:rsid w:val="005455BB"/>
    <w:rsid w:val="00546187"/>
    <w:rsid w:val="00547B11"/>
    <w:rsid w:val="00557D77"/>
    <w:rsid w:val="00562EAA"/>
    <w:rsid w:val="00563B58"/>
    <w:rsid w:val="005640C4"/>
    <w:rsid w:val="0056684C"/>
    <w:rsid w:val="00566C84"/>
    <w:rsid w:val="00574A0C"/>
    <w:rsid w:val="0057780F"/>
    <w:rsid w:val="00581E0A"/>
    <w:rsid w:val="00582745"/>
    <w:rsid w:val="00586D89"/>
    <w:rsid w:val="005877C8"/>
    <w:rsid w:val="00587923"/>
    <w:rsid w:val="00594F9F"/>
    <w:rsid w:val="005A0C01"/>
    <w:rsid w:val="005A1B4C"/>
    <w:rsid w:val="005A39EC"/>
    <w:rsid w:val="005A545C"/>
    <w:rsid w:val="005A6320"/>
    <w:rsid w:val="005B271A"/>
    <w:rsid w:val="005B3A2D"/>
    <w:rsid w:val="005C1567"/>
    <w:rsid w:val="005C28D3"/>
    <w:rsid w:val="005C6CE5"/>
    <w:rsid w:val="005C6FC8"/>
    <w:rsid w:val="005D3F07"/>
    <w:rsid w:val="005D4A1E"/>
    <w:rsid w:val="005D4F72"/>
    <w:rsid w:val="005E047A"/>
    <w:rsid w:val="005E13EA"/>
    <w:rsid w:val="005E17F1"/>
    <w:rsid w:val="005F2FF5"/>
    <w:rsid w:val="005F64AA"/>
    <w:rsid w:val="005F7851"/>
    <w:rsid w:val="00606E27"/>
    <w:rsid w:val="006108C9"/>
    <w:rsid w:val="00611733"/>
    <w:rsid w:val="00614DF7"/>
    <w:rsid w:val="006179BB"/>
    <w:rsid w:val="0062158D"/>
    <w:rsid w:val="006223FD"/>
    <w:rsid w:val="006269C8"/>
    <w:rsid w:val="006326D1"/>
    <w:rsid w:val="00632E0A"/>
    <w:rsid w:val="00633165"/>
    <w:rsid w:val="006447DE"/>
    <w:rsid w:val="00644889"/>
    <w:rsid w:val="0065276E"/>
    <w:rsid w:val="00654329"/>
    <w:rsid w:val="00654CEC"/>
    <w:rsid w:val="00655507"/>
    <w:rsid w:val="00655B55"/>
    <w:rsid w:val="006579FD"/>
    <w:rsid w:val="00657D39"/>
    <w:rsid w:val="00663397"/>
    <w:rsid w:val="006635E3"/>
    <w:rsid w:val="006669F3"/>
    <w:rsid w:val="006712A7"/>
    <w:rsid w:val="00672CED"/>
    <w:rsid w:val="00674FC2"/>
    <w:rsid w:val="00676E35"/>
    <w:rsid w:val="00677E42"/>
    <w:rsid w:val="00682334"/>
    <w:rsid w:val="00684732"/>
    <w:rsid w:val="00684B16"/>
    <w:rsid w:val="00687016"/>
    <w:rsid w:val="006872A0"/>
    <w:rsid w:val="00695940"/>
    <w:rsid w:val="0069625A"/>
    <w:rsid w:val="00696A88"/>
    <w:rsid w:val="00696F65"/>
    <w:rsid w:val="00697572"/>
    <w:rsid w:val="006A6FFE"/>
    <w:rsid w:val="006B0103"/>
    <w:rsid w:val="006B4496"/>
    <w:rsid w:val="006B5E67"/>
    <w:rsid w:val="006B6612"/>
    <w:rsid w:val="006B6BB5"/>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373"/>
    <w:rsid w:val="0072678F"/>
    <w:rsid w:val="007276E5"/>
    <w:rsid w:val="00727C4C"/>
    <w:rsid w:val="00734809"/>
    <w:rsid w:val="0073714E"/>
    <w:rsid w:val="007374EF"/>
    <w:rsid w:val="007406E1"/>
    <w:rsid w:val="00743E40"/>
    <w:rsid w:val="00745016"/>
    <w:rsid w:val="0075031F"/>
    <w:rsid w:val="00751263"/>
    <w:rsid w:val="007544FC"/>
    <w:rsid w:val="00755427"/>
    <w:rsid w:val="007562AD"/>
    <w:rsid w:val="00756548"/>
    <w:rsid w:val="0075673A"/>
    <w:rsid w:val="0075704F"/>
    <w:rsid w:val="00763B2D"/>
    <w:rsid w:val="00764C84"/>
    <w:rsid w:val="007710AD"/>
    <w:rsid w:val="00772924"/>
    <w:rsid w:val="0077358E"/>
    <w:rsid w:val="0077430A"/>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C69"/>
    <w:rsid w:val="007E745E"/>
    <w:rsid w:val="007F10BD"/>
    <w:rsid w:val="007F312E"/>
    <w:rsid w:val="007F3F7E"/>
    <w:rsid w:val="007F4BA4"/>
    <w:rsid w:val="00810E84"/>
    <w:rsid w:val="00813CEC"/>
    <w:rsid w:val="0081534C"/>
    <w:rsid w:val="00816CE7"/>
    <w:rsid w:val="008171E4"/>
    <w:rsid w:val="008208EA"/>
    <w:rsid w:val="00822B44"/>
    <w:rsid w:val="00823C23"/>
    <w:rsid w:val="00824E67"/>
    <w:rsid w:val="00825A64"/>
    <w:rsid w:val="00826F48"/>
    <w:rsid w:val="008308AE"/>
    <w:rsid w:val="00830DD1"/>
    <w:rsid w:val="0083166E"/>
    <w:rsid w:val="00831DC3"/>
    <w:rsid w:val="008322C7"/>
    <w:rsid w:val="008340BA"/>
    <w:rsid w:val="0083422B"/>
    <w:rsid w:val="00834F1D"/>
    <w:rsid w:val="00836FEC"/>
    <w:rsid w:val="00841F9D"/>
    <w:rsid w:val="008420E1"/>
    <w:rsid w:val="00844D98"/>
    <w:rsid w:val="00846D84"/>
    <w:rsid w:val="00850233"/>
    <w:rsid w:val="00851473"/>
    <w:rsid w:val="0085230E"/>
    <w:rsid w:val="008550A1"/>
    <w:rsid w:val="00861038"/>
    <w:rsid w:val="00864E51"/>
    <w:rsid w:val="00865B58"/>
    <w:rsid w:val="00866B50"/>
    <w:rsid w:val="00867673"/>
    <w:rsid w:val="00867A63"/>
    <w:rsid w:val="008708F1"/>
    <w:rsid w:val="00871960"/>
    <w:rsid w:val="008733BA"/>
    <w:rsid w:val="0087369F"/>
    <w:rsid w:val="00880539"/>
    <w:rsid w:val="008859E8"/>
    <w:rsid w:val="0088737B"/>
    <w:rsid w:val="00891078"/>
    <w:rsid w:val="00892716"/>
    <w:rsid w:val="00893067"/>
    <w:rsid w:val="008933DE"/>
    <w:rsid w:val="008942AA"/>
    <w:rsid w:val="00895FCE"/>
    <w:rsid w:val="00897F3E"/>
    <w:rsid w:val="008A21B4"/>
    <w:rsid w:val="008A31E9"/>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D2B"/>
    <w:rsid w:val="009079BD"/>
    <w:rsid w:val="00912BD9"/>
    <w:rsid w:val="00916FB2"/>
    <w:rsid w:val="00920E5B"/>
    <w:rsid w:val="0092523F"/>
    <w:rsid w:val="00926436"/>
    <w:rsid w:val="00926C53"/>
    <w:rsid w:val="0093018C"/>
    <w:rsid w:val="00940205"/>
    <w:rsid w:val="0094495F"/>
    <w:rsid w:val="009517B2"/>
    <w:rsid w:val="009544C0"/>
    <w:rsid w:val="00954FA4"/>
    <w:rsid w:val="00956AE9"/>
    <w:rsid w:val="00964CC6"/>
    <w:rsid w:val="00967BFA"/>
    <w:rsid w:val="00971F83"/>
    <w:rsid w:val="009732FF"/>
    <w:rsid w:val="00980456"/>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4CD"/>
    <w:rsid w:val="009E122F"/>
    <w:rsid w:val="009E1982"/>
    <w:rsid w:val="009E4D2C"/>
    <w:rsid w:val="009F0978"/>
    <w:rsid w:val="009F3AEC"/>
    <w:rsid w:val="009F6801"/>
    <w:rsid w:val="009F68D4"/>
    <w:rsid w:val="00A00081"/>
    <w:rsid w:val="00A06422"/>
    <w:rsid w:val="00A10D56"/>
    <w:rsid w:val="00A11E3D"/>
    <w:rsid w:val="00A12AAE"/>
    <w:rsid w:val="00A12F22"/>
    <w:rsid w:val="00A16DD1"/>
    <w:rsid w:val="00A21141"/>
    <w:rsid w:val="00A22441"/>
    <w:rsid w:val="00A23F3B"/>
    <w:rsid w:val="00A24406"/>
    <w:rsid w:val="00A25F64"/>
    <w:rsid w:val="00A270F4"/>
    <w:rsid w:val="00A275F6"/>
    <w:rsid w:val="00A303B9"/>
    <w:rsid w:val="00A37416"/>
    <w:rsid w:val="00A40ED6"/>
    <w:rsid w:val="00A47621"/>
    <w:rsid w:val="00A479CD"/>
    <w:rsid w:val="00A50CFC"/>
    <w:rsid w:val="00A54D67"/>
    <w:rsid w:val="00A54ECB"/>
    <w:rsid w:val="00A55A3F"/>
    <w:rsid w:val="00A5656A"/>
    <w:rsid w:val="00A60103"/>
    <w:rsid w:val="00A652F6"/>
    <w:rsid w:val="00A65861"/>
    <w:rsid w:val="00A732EA"/>
    <w:rsid w:val="00A7489E"/>
    <w:rsid w:val="00A8015F"/>
    <w:rsid w:val="00A842B9"/>
    <w:rsid w:val="00A85039"/>
    <w:rsid w:val="00A87D56"/>
    <w:rsid w:val="00A906AA"/>
    <w:rsid w:val="00A94C5E"/>
    <w:rsid w:val="00AA252C"/>
    <w:rsid w:val="00AA2530"/>
    <w:rsid w:val="00AA666E"/>
    <w:rsid w:val="00AA7960"/>
    <w:rsid w:val="00AB5518"/>
    <w:rsid w:val="00AC3A0E"/>
    <w:rsid w:val="00AC4A04"/>
    <w:rsid w:val="00AC5679"/>
    <w:rsid w:val="00AD336F"/>
    <w:rsid w:val="00AE134C"/>
    <w:rsid w:val="00AE1868"/>
    <w:rsid w:val="00AE2564"/>
    <w:rsid w:val="00AE301F"/>
    <w:rsid w:val="00AE3302"/>
    <w:rsid w:val="00AE4F73"/>
    <w:rsid w:val="00AE5BA6"/>
    <w:rsid w:val="00AE6231"/>
    <w:rsid w:val="00AE7077"/>
    <w:rsid w:val="00AF61C2"/>
    <w:rsid w:val="00AF6CC6"/>
    <w:rsid w:val="00B017E3"/>
    <w:rsid w:val="00B0296A"/>
    <w:rsid w:val="00B037B0"/>
    <w:rsid w:val="00B07E79"/>
    <w:rsid w:val="00B12295"/>
    <w:rsid w:val="00B12CEF"/>
    <w:rsid w:val="00B137BE"/>
    <w:rsid w:val="00B14CE9"/>
    <w:rsid w:val="00B15998"/>
    <w:rsid w:val="00B17FA0"/>
    <w:rsid w:val="00B2292C"/>
    <w:rsid w:val="00B22C3C"/>
    <w:rsid w:val="00B23270"/>
    <w:rsid w:val="00B24344"/>
    <w:rsid w:val="00B26769"/>
    <w:rsid w:val="00B2754B"/>
    <w:rsid w:val="00B31C91"/>
    <w:rsid w:val="00B36606"/>
    <w:rsid w:val="00B3747F"/>
    <w:rsid w:val="00B42CAE"/>
    <w:rsid w:val="00B42E76"/>
    <w:rsid w:val="00B43194"/>
    <w:rsid w:val="00B436BF"/>
    <w:rsid w:val="00B47734"/>
    <w:rsid w:val="00B50FBA"/>
    <w:rsid w:val="00B558EB"/>
    <w:rsid w:val="00B577D3"/>
    <w:rsid w:val="00B60466"/>
    <w:rsid w:val="00B6548F"/>
    <w:rsid w:val="00B71A32"/>
    <w:rsid w:val="00B7502A"/>
    <w:rsid w:val="00B77305"/>
    <w:rsid w:val="00B774BD"/>
    <w:rsid w:val="00B77F52"/>
    <w:rsid w:val="00B82CC2"/>
    <w:rsid w:val="00B84A89"/>
    <w:rsid w:val="00B9256C"/>
    <w:rsid w:val="00B92BEF"/>
    <w:rsid w:val="00B94443"/>
    <w:rsid w:val="00B9689A"/>
    <w:rsid w:val="00B97056"/>
    <w:rsid w:val="00BA2D75"/>
    <w:rsid w:val="00BA531E"/>
    <w:rsid w:val="00BA728B"/>
    <w:rsid w:val="00BB06CB"/>
    <w:rsid w:val="00BB1C04"/>
    <w:rsid w:val="00BB261F"/>
    <w:rsid w:val="00BB2887"/>
    <w:rsid w:val="00BB3B56"/>
    <w:rsid w:val="00BB5EAA"/>
    <w:rsid w:val="00BB5F11"/>
    <w:rsid w:val="00BB6638"/>
    <w:rsid w:val="00BB7FD2"/>
    <w:rsid w:val="00BC04FA"/>
    <w:rsid w:val="00BC1C22"/>
    <w:rsid w:val="00BC1F21"/>
    <w:rsid w:val="00BC460B"/>
    <w:rsid w:val="00BC4ED3"/>
    <w:rsid w:val="00BC5725"/>
    <w:rsid w:val="00BD30B1"/>
    <w:rsid w:val="00BE0F7B"/>
    <w:rsid w:val="00BE10C2"/>
    <w:rsid w:val="00BE763D"/>
    <w:rsid w:val="00BF0D6C"/>
    <w:rsid w:val="00C01D14"/>
    <w:rsid w:val="00C01D97"/>
    <w:rsid w:val="00C025B4"/>
    <w:rsid w:val="00C029EC"/>
    <w:rsid w:val="00C04CC8"/>
    <w:rsid w:val="00C161FD"/>
    <w:rsid w:val="00C17C9F"/>
    <w:rsid w:val="00C20AE4"/>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466"/>
    <w:rsid w:val="00C86F9C"/>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605"/>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0BF"/>
    <w:rsid w:val="00D44B67"/>
    <w:rsid w:val="00D44F8E"/>
    <w:rsid w:val="00D477FD"/>
    <w:rsid w:val="00D51FD5"/>
    <w:rsid w:val="00D552FA"/>
    <w:rsid w:val="00D55DE0"/>
    <w:rsid w:val="00D607EF"/>
    <w:rsid w:val="00D60F88"/>
    <w:rsid w:val="00D622F5"/>
    <w:rsid w:val="00D646BD"/>
    <w:rsid w:val="00D65558"/>
    <w:rsid w:val="00D71201"/>
    <w:rsid w:val="00D720C7"/>
    <w:rsid w:val="00D84841"/>
    <w:rsid w:val="00D876E6"/>
    <w:rsid w:val="00D90958"/>
    <w:rsid w:val="00DA1025"/>
    <w:rsid w:val="00DA22EC"/>
    <w:rsid w:val="00DA5682"/>
    <w:rsid w:val="00DA5860"/>
    <w:rsid w:val="00DA5C0C"/>
    <w:rsid w:val="00DA74D0"/>
    <w:rsid w:val="00DB2767"/>
    <w:rsid w:val="00DB377E"/>
    <w:rsid w:val="00DC1B10"/>
    <w:rsid w:val="00DC2924"/>
    <w:rsid w:val="00DC4729"/>
    <w:rsid w:val="00DD0A2C"/>
    <w:rsid w:val="00DD2573"/>
    <w:rsid w:val="00DD31C5"/>
    <w:rsid w:val="00DD5020"/>
    <w:rsid w:val="00DD63BE"/>
    <w:rsid w:val="00DE4296"/>
    <w:rsid w:val="00DF2469"/>
    <w:rsid w:val="00DF6C5A"/>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382"/>
    <w:rsid w:val="00E7086E"/>
    <w:rsid w:val="00E71248"/>
    <w:rsid w:val="00E73C41"/>
    <w:rsid w:val="00E75911"/>
    <w:rsid w:val="00E7598F"/>
    <w:rsid w:val="00E76F60"/>
    <w:rsid w:val="00E812B5"/>
    <w:rsid w:val="00E83D90"/>
    <w:rsid w:val="00E83F91"/>
    <w:rsid w:val="00E84FE9"/>
    <w:rsid w:val="00E86299"/>
    <w:rsid w:val="00E9107A"/>
    <w:rsid w:val="00E91F62"/>
    <w:rsid w:val="00E929FD"/>
    <w:rsid w:val="00E93240"/>
    <w:rsid w:val="00E9479B"/>
    <w:rsid w:val="00E94E22"/>
    <w:rsid w:val="00E95F08"/>
    <w:rsid w:val="00E97171"/>
    <w:rsid w:val="00EA340C"/>
    <w:rsid w:val="00EA4D48"/>
    <w:rsid w:val="00EA5D16"/>
    <w:rsid w:val="00EA7ADF"/>
    <w:rsid w:val="00EB2173"/>
    <w:rsid w:val="00EB6182"/>
    <w:rsid w:val="00EB62E6"/>
    <w:rsid w:val="00EB695F"/>
    <w:rsid w:val="00EC0D7A"/>
    <w:rsid w:val="00EC3A85"/>
    <w:rsid w:val="00EC4B89"/>
    <w:rsid w:val="00EC59A5"/>
    <w:rsid w:val="00EC6E15"/>
    <w:rsid w:val="00ED1B30"/>
    <w:rsid w:val="00ED5D03"/>
    <w:rsid w:val="00ED5EFB"/>
    <w:rsid w:val="00EE01ED"/>
    <w:rsid w:val="00EE1AC1"/>
    <w:rsid w:val="00EE39D6"/>
    <w:rsid w:val="00EE52AD"/>
    <w:rsid w:val="00EE5BC3"/>
    <w:rsid w:val="00EE6FAB"/>
    <w:rsid w:val="00EF328C"/>
    <w:rsid w:val="00EF68BB"/>
    <w:rsid w:val="00EF6EA4"/>
    <w:rsid w:val="00F01F92"/>
    <w:rsid w:val="00F030D4"/>
    <w:rsid w:val="00F04053"/>
    <w:rsid w:val="00F06573"/>
    <w:rsid w:val="00F10A08"/>
    <w:rsid w:val="00F15354"/>
    <w:rsid w:val="00F20533"/>
    <w:rsid w:val="00F22AC5"/>
    <w:rsid w:val="00F254D1"/>
    <w:rsid w:val="00F32B82"/>
    <w:rsid w:val="00F34C86"/>
    <w:rsid w:val="00F4043E"/>
    <w:rsid w:val="00F412D9"/>
    <w:rsid w:val="00F41795"/>
    <w:rsid w:val="00F41BBC"/>
    <w:rsid w:val="00F444F0"/>
    <w:rsid w:val="00F446FF"/>
    <w:rsid w:val="00F45521"/>
    <w:rsid w:val="00F50847"/>
    <w:rsid w:val="00F53F27"/>
    <w:rsid w:val="00F546D1"/>
    <w:rsid w:val="00F60281"/>
    <w:rsid w:val="00F66272"/>
    <w:rsid w:val="00F709C0"/>
    <w:rsid w:val="00F72352"/>
    <w:rsid w:val="00F754E3"/>
    <w:rsid w:val="00F81FEC"/>
    <w:rsid w:val="00F911AE"/>
    <w:rsid w:val="00F927A1"/>
    <w:rsid w:val="00F92E4D"/>
    <w:rsid w:val="00F95D08"/>
    <w:rsid w:val="00FA23BD"/>
    <w:rsid w:val="00FA3764"/>
    <w:rsid w:val="00FA41C7"/>
    <w:rsid w:val="00FA4223"/>
    <w:rsid w:val="00FA4A79"/>
    <w:rsid w:val="00FA56ED"/>
    <w:rsid w:val="00FB002C"/>
    <w:rsid w:val="00FB05DD"/>
    <w:rsid w:val="00FB0F7C"/>
    <w:rsid w:val="00FB24EA"/>
    <w:rsid w:val="00FB5FA6"/>
    <w:rsid w:val="00FC0334"/>
    <w:rsid w:val="00FC1310"/>
    <w:rsid w:val="00FC2FF3"/>
    <w:rsid w:val="00FC3263"/>
    <w:rsid w:val="00FC3CC0"/>
    <w:rsid w:val="00FC51F9"/>
    <w:rsid w:val="00FC5B40"/>
    <w:rsid w:val="00FC5FF8"/>
    <w:rsid w:val="00FD271B"/>
    <w:rsid w:val="00FD3D7C"/>
    <w:rsid w:val="00FD4F8F"/>
    <w:rsid w:val="00FE0C16"/>
    <w:rsid w:val="00FE14B1"/>
    <w:rsid w:val="00FE25CE"/>
    <w:rsid w:val="00FE4D97"/>
    <w:rsid w:val="00FE5F90"/>
    <w:rsid w:val="00FF0070"/>
    <w:rsid w:val="00FF07C3"/>
    <w:rsid w:val="00FF532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43567F"/>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apple-converted-space">
    <w:name w:val="apple-converted-space"/>
    <w:basedOn w:val="DefaultParagraphFont"/>
    <w:rsid w:val="00370E8F"/>
  </w:style>
  <w:style w:type="paragraph" w:styleId="NormalWeb">
    <w:name w:val="Normal (Web)"/>
    <w:basedOn w:val="Normal"/>
    <w:uiPriority w:val="99"/>
    <w:unhideWhenUsed/>
    <w:rsid w:val="00370E8F"/>
    <w:pPr>
      <w:overflowPunct/>
      <w:autoSpaceDE/>
      <w:autoSpaceDN/>
      <w:adjustRightInd/>
      <w:spacing w:before="100" w:beforeAutospacing="1" w:after="100" w:afterAutospacing="1"/>
      <w:textAlignment w:val="auto"/>
    </w:pPr>
    <w:rPr>
      <w:rFonts w:ascii="Times New Roman" w:eastAsiaTheme="minorEastAsia" w:hAnsi="Times New Roman" w:cs="Times New Roman"/>
      <w:color w:val="auto"/>
      <w:sz w:val="24"/>
      <w:szCs w:val="24"/>
    </w:rPr>
  </w:style>
  <w:style w:type="character" w:styleId="Strong">
    <w:name w:val="Strong"/>
    <w:basedOn w:val="DefaultParagraphFont"/>
    <w:uiPriority w:val="22"/>
    <w:qFormat/>
    <w:rsid w:val="00370E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06013">
      <w:bodyDiv w:val="1"/>
      <w:marLeft w:val="0"/>
      <w:marRight w:val="0"/>
      <w:marTop w:val="0"/>
      <w:marBottom w:val="0"/>
      <w:divBdr>
        <w:top w:val="none" w:sz="0" w:space="0" w:color="auto"/>
        <w:left w:val="none" w:sz="0" w:space="0" w:color="auto"/>
        <w:bottom w:val="none" w:sz="0" w:space="0" w:color="auto"/>
        <w:right w:val="none" w:sz="0" w:space="0" w:color="auto"/>
      </w:divBdr>
    </w:div>
    <w:div w:id="46416160">
      <w:bodyDiv w:val="1"/>
      <w:marLeft w:val="0"/>
      <w:marRight w:val="0"/>
      <w:marTop w:val="0"/>
      <w:marBottom w:val="0"/>
      <w:divBdr>
        <w:top w:val="none" w:sz="0" w:space="0" w:color="auto"/>
        <w:left w:val="none" w:sz="0" w:space="0" w:color="auto"/>
        <w:bottom w:val="none" w:sz="0" w:space="0" w:color="auto"/>
        <w:right w:val="none" w:sz="0" w:space="0" w:color="auto"/>
      </w:divBdr>
    </w:div>
    <w:div w:id="52656073">
      <w:bodyDiv w:val="1"/>
      <w:marLeft w:val="0"/>
      <w:marRight w:val="0"/>
      <w:marTop w:val="0"/>
      <w:marBottom w:val="0"/>
      <w:divBdr>
        <w:top w:val="none" w:sz="0" w:space="0" w:color="auto"/>
        <w:left w:val="none" w:sz="0" w:space="0" w:color="auto"/>
        <w:bottom w:val="none" w:sz="0" w:space="0" w:color="auto"/>
        <w:right w:val="none" w:sz="0" w:space="0" w:color="auto"/>
      </w:divBdr>
    </w:div>
    <w:div w:id="68887255">
      <w:bodyDiv w:val="1"/>
      <w:marLeft w:val="0"/>
      <w:marRight w:val="0"/>
      <w:marTop w:val="0"/>
      <w:marBottom w:val="0"/>
      <w:divBdr>
        <w:top w:val="none" w:sz="0" w:space="0" w:color="auto"/>
        <w:left w:val="none" w:sz="0" w:space="0" w:color="auto"/>
        <w:bottom w:val="none" w:sz="0" w:space="0" w:color="auto"/>
        <w:right w:val="none" w:sz="0" w:space="0" w:color="auto"/>
      </w:divBdr>
    </w:div>
    <w:div w:id="123232395">
      <w:bodyDiv w:val="1"/>
      <w:marLeft w:val="0"/>
      <w:marRight w:val="0"/>
      <w:marTop w:val="0"/>
      <w:marBottom w:val="0"/>
      <w:divBdr>
        <w:top w:val="none" w:sz="0" w:space="0" w:color="auto"/>
        <w:left w:val="none" w:sz="0" w:space="0" w:color="auto"/>
        <w:bottom w:val="none" w:sz="0" w:space="0" w:color="auto"/>
        <w:right w:val="none" w:sz="0" w:space="0" w:color="auto"/>
      </w:divBdr>
    </w:div>
    <w:div w:id="133109152">
      <w:bodyDiv w:val="1"/>
      <w:marLeft w:val="0"/>
      <w:marRight w:val="0"/>
      <w:marTop w:val="0"/>
      <w:marBottom w:val="0"/>
      <w:divBdr>
        <w:top w:val="none" w:sz="0" w:space="0" w:color="auto"/>
        <w:left w:val="none" w:sz="0" w:space="0" w:color="auto"/>
        <w:bottom w:val="none" w:sz="0" w:space="0" w:color="auto"/>
        <w:right w:val="none" w:sz="0" w:space="0" w:color="auto"/>
      </w:divBdr>
    </w:div>
    <w:div w:id="143281740">
      <w:bodyDiv w:val="1"/>
      <w:marLeft w:val="0"/>
      <w:marRight w:val="0"/>
      <w:marTop w:val="0"/>
      <w:marBottom w:val="0"/>
      <w:divBdr>
        <w:top w:val="none" w:sz="0" w:space="0" w:color="auto"/>
        <w:left w:val="none" w:sz="0" w:space="0" w:color="auto"/>
        <w:bottom w:val="none" w:sz="0" w:space="0" w:color="auto"/>
        <w:right w:val="none" w:sz="0" w:space="0" w:color="auto"/>
      </w:divBdr>
    </w:div>
    <w:div w:id="218129008">
      <w:bodyDiv w:val="1"/>
      <w:marLeft w:val="0"/>
      <w:marRight w:val="0"/>
      <w:marTop w:val="0"/>
      <w:marBottom w:val="0"/>
      <w:divBdr>
        <w:top w:val="none" w:sz="0" w:space="0" w:color="auto"/>
        <w:left w:val="none" w:sz="0" w:space="0" w:color="auto"/>
        <w:bottom w:val="none" w:sz="0" w:space="0" w:color="auto"/>
        <w:right w:val="none" w:sz="0" w:space="0" w:color="auto"/>
      </w:divBdr>
    </w:div>
    <w:div w:id="259144790">
      <w:bodyDiv w:val="1"/>
      <w:marLeft w:val="0"/>
      <w:marRight w:val="0"/>
      <w:marTop w:val="0"/>
      <w:marBottom w:val="0"/>
      <w:divBdr>
        <w:top w:val="none" w:sz="0" w:space="0" w:color="auto"/>
        <w:left w:val="none" w:sz="0" w:space="0" w:color="auto"/>
        <w:bottom w:val="none" w:sz="0" w:space="0" w:color="auto"/>
        <w:right w:val="none" w:sz="0" w:space="0" w:color="auto"/>
      </w:divBdr>
    </w:div>
    <w:div w:id="317805433">
      <w:bodyDiv w:val="1"/>
      <w:marLeft w:val="0"/>
      <w:marRight w:val="0"/>
      <w:marTop w:val="0"/>
      <w:marBottom w:val="0"/>
      <w:divBdr>
        <w:top w:val="none" w:sz="0" w:space="0" w:color="auto"/>
        <w:left w:val="none" w:sz="0" w:space="0" w:color="auto"/>
        <w:bottom w:val="none" w:sz="0" w:space="0" w:color="auto"/>
        <w:right w:val="none" w:sz="0" w:space="0" w:color="auto"/>
      </w:divBdr>
    </w:div>
    <w:div w:id="332689901">
      <w:bodyDiv w:val="1"/>
      <w:marLeft w:val="0"/>
      <w:marRight w:val="0"/>
      <w:marTop w:val="0"/>
      <w:marBottom w:val="0"/>
      <w:divBdr>
        <w:top w:val="none" w:sz="0" w:space="0" w:color="auto"/>
        <w:left w:val="none" w:sz="0" w:space="0" w:color="auto"/>
        <w:bottom w:val="none" w:sz="0" w:space="0" w:color="auto"/>
        <w:right w:val="none" w:sz="0" w:space="0" w:color="auto"/>
      </w:divBdr>
    </w:div>
    <w:div w:id="407312328">
      <w:bodyDiv w:val="1"/>
      <w:marLeft w:val="0"/>
      <w:marRight w:val="0"/>
      <w:marTop w:val="0"/>
      <w:marBottom w:val="0"/>
      <w:divBdr>
        <w:top w:val="none" w:sz="0" w:space="0" w:color="auto"/>
        <w:left w:val="none" w:sz="0" w:space="0" w:color="auto"/>
        <w:bottom w:val="none" w:sz="0" w:space="0" w:color="auto"/>
        <w:right w:val="none" w:sz="0" w:space="0" w:color="auto"/>
      </w:divBdr>
    </w:div>
    <w:div w:id="478183272">
      <w:bodyDiv w:val="1"/>
      <w:marLeft w:val="0"/>
      <w:marRight w:val="0"/>
      <w:marTop w:val="0"/>
      <w:marBottom w:val="0"/>
      <w:divBdr>
        <w:top w:val="none" w:sz="0" w:space="0" w:color="auto"/>
        <w:left w:val="none" w:sz="0" w:space="0" w:color="auto"/>
        <w:bottom w:val="none" w:sz="0" w:space="0" w:color="auto"/>
        <w:right w:val="none" w:sz="0" w:space="0" w:color="auto"/>
      </w:divBdr>
    </w:div>
    <w:div w:id="509564638">
      <w:bodyDiv w:val="1"/>
      <w:marLeft w:val="0"/>
      <w:marRight w:val="0"/>
      <w:marTop w:val="0"/>
      <w:marBottom w:val="0"/>
      <w:divBdr>
        <w:top w:val="none" w:sz="0" w:space="0" w:color="auto"/>
        <w:left w:val="none" w:sz="0" w:space="0" w:color="auto"/>
        <w:bottom w:val="none" w:sz="0" w:space="0" w:color="auto"/>
        <w:right w:val="none" w:sz="0" w:space="0" w:color="auto"/>
      </w:divBdr>
    </w:div>
    <w:div w:id="537856155">
      <w:bodyDiv w:val="1"/>
      <w:marLeft w:val="0"/>
      <w:marRight w:val="0"/>
      <w:marTop w:val="0"/>
      <w:marBottom w:val="0"/>
      <w:divBdr>
        <w:top w:val="none" w:sz="0" w:space="0" w:color="auto"/>
        <w:left w:val="none" w:sz="0" w:space="0" w:color="auto"/>
        <w:bottom w:val="none" w:sz="0" w:space="0" w:color="auto"/>
        <w:right w:val="none" w:sz="0" w:space="0" w:color="auto"/>
      </w:divBdr>
    </w:div>
    <w:div w:id="541136288">
      <w:bodyDiv w:val="1"/>
      <w:marLeft w:val="0"/>
      <w:marRight w:val="0"/>
      <w:marTop w:val="0"/>
      <w:marBottom w:val="0"/>
      <w:divBdr>
        <w:top w:val="none" w:sz="0" w:space="0" w:color="auto"/>
        <w:left w:val="none" w:sz="0" w:space="0" w:color="auto"/>
        <w:bottom w:val="none" w:sz="0" w:space="0" w:color="auto"/>
        <w:right w:val="none" w:sz="0" w:space="0" w:color="auto"/>
      </w:divBdr>
    </w:div>
    <w:div w:id="679963404">
      <w:bodyDiv w:val="1"/>
      <w:marLeft w:val="0"/>
      <w:marRight w:val="0"/>
      <w:marTop w:val="0"/>
      <w:marBottom w:val="0"/>
      <w:divBdr>
        <w:top w:val="none" w:sz="0" w:space="0" w:color="auto"/>
        <w:left w:val="none" w:sz="0" w:space="0" w:color="auto"/>
        <w:bottom w:val="none" w:sz="0" w:space="0" w:color="auto"/>
        <w:right w:val="none" w:sz="0" w:space="0" w:color="auto"/>
      </w:divBdr>
    </w:div>
    <w:div w:id="742334512">
      <w:bodyDiv w:val="1"/>
      <w:marLeft w:val="0"/>
      <w:marRight w:val="0"/>
      <w:marTop w:val="0"/>
      <w:marBottom w:val="0"/>
      <w:divBdr>
        <w:top w:val="none" w:sz="0" w:space="0" w:color="auto"/>
        <w:left w:val="none" w:sz="0" w:space="0" w:color="auto"/>
        <w:bottom w:val="none" w:sz="0" w:space="0" w:color="auto"/>
        <w:right w:val="none" w:sz="0" w:space="0" w:color="auto"/>
      </w:divBdr>
    </w:div>
    <w:div w:id="873614554">
      <w:bodyDiv w:val="1"/>
      <w:marLeft w:val="0"/>
      <w:marRight w:val="0"/>
      <w:marTop w:val="0"/>
      <w:marBottom w:val="0"/>
      <w:divBdr>
        <w:top w:val="none" w:sz="0" w:space="0" w:color="auto"/>
        <w:left w:val="none" w:sz="0" w:space="0" w:color="auto"/>
        <w:bottom w:val="none" w:sz="0" w:space="0" w:color="auto"/>
        <w:right w:val="none" w:sz="0" w:space="0" w:color="auto"/>
      </w:divBdr>
    </w:div>
    <w:div w:id="88895732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0812267">
      <w:bodyDiv w:val="1"/>
      <w:marLeft w:val="0"/>
      <w:marRight w:val="0"/>
      <w:marTop w:val="0"/>
      <w:marBottom w:val="0"/>
      <w:divBdr>
        <w:top w:val="none" w:sz="0" w:space="0" w:color="auto"/>
        <w:left w:val="none" w:sz="0" w:space="0" w:color="auto"/>
        <w:bottom w:val="none" w:sz="0" w:space="0" w:color="auto"/>
        <w:right w:val="none" w:sz="0" w:space="0" w:color="auto"/>
      </w:divBdr>
    </w:div>
    <w:div w:id="1142845766">
      <w:bodyDiv w:val="1"/>
      <w:marLeft w:val="0"/>
      <w:marRight w:val="0"/>
      <w:marTop w:val="0"/>
      <w:marBottom w:val="0"/>
      <w:divBdr>
        <w:top w:val="none" w:sz="0" w:space="0" w:color="auto"/>
        <w:left w:val="none" w:sz="0" w:space="0" w:color="auto"/>
        <w:bottom w:val="none" w:sz="0" w:space="0" w:color="auto"/>
        <w:right w:val="none" w:sz="0" w:space="0" w:color="auto"/>
      </w:divBdr>
    </w:div>
    <w:div w:id="11701005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261527">
      <w:bodyDiv w:val="1"/>
      <w:marLeft w:val="0"/>
      <w:marRight w:val="0"/>
      <w:marTop w:val="0"/>
      <w:marBottom w:val="0"/>
      <w:divBdr>
        <w:top w:val="none" w:sz="0" w:space="0" w:color="auto"/>
        <w:left w:val="none" w:sz="0" w:space="0" w:color="auto"/>
        <w:bottom w:val="none" w:sz="0" w:space="0" w:color="auto"/>
        <w:right w:val="none" w:sz="0" w:space="0" w:color="auto"/>
      </w:divBdr>
    </w:div>
    <w:div w:id="1431854767">
      <w:bodyDiv w:val="1"/>
      <w:marLeft w:val="0"/>
      <w:marRight w:val="0"/>
      <w:marTop w:val="0"/>
      <w:marBottom w:val="0"/>
      <w:divBdr>
        <w:top w:val="none" w:sz="0" w:space="0" w:color="auto"/>
        <w:left w:val="none" w:sz="0" w:space="0" w:color="auto"/>
        <w:bottom w:val="none" w:sz="0" w:space="0" w:color="auto"/>
        <w:right w:val="none" w:sz="0" w:space="0" w:color="auto"/>
      </w:divBdr>
    </w:div>
    <w:div w:id="1534803854">
      <w:bodyDiv w:val="1"/>
      <w:marLeft w:val="0"/>
      <w:marRight w:val="0"/>
      <w:marTop w:val="0"/>
      <w:marBottom w:val="0"/>
      <w:divBdr>
        <w:top w:val="none" w:sz="0" w:space="0" w:color="auto"/>
        <w:left w:val="none" w:sz="0" w:space="0" w:color="auto"/>
        <w:bottom w:val="none" w:sz="0" w:space="0" w:color="auto"/>
        <w:right w:val="none" w:sz="0" w:space="0" w:color="auto"/>
      </w:divBdr>
    </w:div>
    <w:div w:id="1539977318">
      <w:bodyDiv w:val="1"/>
      <w:marLeft w:val="0"/>
      <w:marRight w:val="0"/>
      <w:marTop w:val="0"/>
      <w:marBottom w:val="0"/>
      <w:divBdr>
        <w:top w:val="none" w:sz="0" w:space="0" w:color="auto"/>
        <w:left w:val="none" w:sz="0" w:space="0" w:color="auto"/>
        <w:bottom w:val="none" w:sz="0" w:space="0" w:color="auto"/>
        <w:right w:val="none" w:sz="0" w:space="0" w:color="auto"/>
      </w:divBdr>
    </w:div>
    <w:div w:id="1568951176">
      <w:bodyDiv w:val="1"/>
      <w:marLeft w:val="0"/>
      <w:marRight w:val="0"/>
      <w:marTop w:val="0"/>
      <w:marBottom w:val="0"/>
      <w:divBdr>
        <w:top w:val="none" w:sz="0" w:space="0" w:color="auto"/>
        <w:left w:val="none" w:sz="0" w:space="0" w:color="auto"/>
        <w:bottom w:val="none" w:sz="0" w:space="0" w:color="auto"/>
        <w:right w:val="none" w:sz="0" w:space="0" w:color="auto"/>
      </w:divBdr>
    </w:div>
    <w:div w:id="1666015046">
      <w:bodyDiv w:val="1"/>
      <w:marLeft w:val="0"/>
      <w:marRight w:val="0"/>
      <w:marTop w:val="0"/>
      <w:marBottom w:val="0"/>
      <w:divBdr>
        <w:top w:val="none" w:sz="0" w:space="0" w:color="auto"/>
        <w:left w:val="none" w:sz="0" w:space="0" w:color="auto"/>
        <w:bottom w:val="none" w:sz="0" w:space="0" w:color="auto"/>
        <w:right w:val="none" w:sz="0" w:space="0" w:color="auto"/>
      </w:divBdr>
    </w:div>
    <w:div w:id="1842810935">
      <w:bodyDiv w:val="1"/>
      <w:marLeft w:val="0"/>
      <w:marRight w:val="0"/>
      <w:marTop w:val="0"/>
      <w:marBottom w:val="0"/>
      <w:divBdr>
        <w:top w:val="none" w:sz="0" w:space="0" w:color="auto"/>
        <w:left w:val="none" w:sz="0" w:space="0" w:color="auto"/>
        <w:bottom w:val="none" w:sz="0" w:space="0" w:color="auto"/>
        <w:right w:val="none" w:sz="0" w:space="0" w:color="auto"/>
      </w:divBdr>
    </w:div>
    <w:div w:id="19958379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937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8759E5-9DCC-42B1-8B6A-D40280DB9B2E}">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12</Pages>
  <Words>4465</Words>
  <Characters>25457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55</cp:revision>
  <cp:lastPrinted>2020-02-11T19:20:00Z</cp:lastPrinted>
  <dcterms:created xsi:type="dcterms:W3CDTF">2025-02-22T10:25:00Z</dcterms:created>
  <dcterms:modified xsi:type="dcterms:W3CDTF">2025-03-11T08:45:00Z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