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85379" w14:textId="75B78783" w:rsidR="00453FCB" w:rsidRPr="00C0226B" w:rsidRDefault="00453FCB" w:rsidP="00453FCB">
      <w:pPr>
        <w:ind w:left="426" w:hanging="426"/>
        <w:contextualSpacing/>
        <w:rPr>
          <w:rFonts w:ascii="Trebuchet MS" w:hAnsi="Trebuchet MS"/>
        </w:rPr>
      </w:pPr>
      <w:r w:rsidRPr="00C0226B">
        <w:rPr>
          <w:rFonts w:ascii="Trebuchet MS" w:hAnsi="Trebuchet MS"/>
        </w:rPr>
        <w:t>(AC 1.1)</w:t>
      </w:r>
    </w:p>
    <w:p w14:paraId="4F619B35" w14:textId="77777777" w:rsidR="00453FCB" w:rsidRDefault="00453FCB"/>
    <w:p w14:paraId="5FC61352" w14:textId="3093218B" w:rsidR="00453FCB" w:rsidRDefault="00453FCB">
      <w:r>
        <w:t>Evidence based practice or EBP is a notion that decision making is a collaborative approach to reaching a favourable outcome through using critical thinking and gathering as much evidence as possible to allow a decision to be made.</w:t>
      </w:r>
      <w:r w:rsidR="002F2715">
        <w:t xml:space="preserve"> Evidence based practice should focus on two questions or two main areas. </w:t>
      </w:r>
      <w:proofErr w:type="spellStart"/>
      <w:proofErr w:type="gramStart"/>
      <w:r w:rsidR="002F2715">
        <w:t>Brainer,R</w:t>
      </w:r>
      <w:proofErr w:type="spellEnd"/>
      <w:proofErr w:type="gramEnd"/>
      <w:r w:rsidR="002F2715">
        <w:t xml:space="preserve"> Dec 2023 outlines that </w:t>
      </w:r>
      <w:proofErr w:type="gramStart"/>
      <w:r w:rsidR="002F2715">
        <w:t>evidence based</w:t>
      </w:r>
      <w:proofErr w:type="gramEnd"/>
      <w:r w:rsidR="002F2715">
        <w:t xml:space="preserve"> practise should firstly focus on identifying the problems and secondly the </w:t>
      </w:r>
      <w:r w:rsidR="000A410A">
        <w:t>resolutions</w:t>
      </w:r>
      <w:r w:rsidR="002F2715">
        <w:t xml:space="preserve"> or solutions to these problems.</w:t>
      </w:r>
      <w:r w:rsidR="001876DF">
        <w:t xml:space="preserve"> The robust gathering of quantitative and qualitative data, applying critical thinking </w:t>
      </w:r>
      <w:proofErr w:type="gramStart"/>
      <w:r w:rsidR="001876DF">
        <w:t>in order to</w:t>
      </w:r>
      <w:proofErr w:type="gramEnd"/>
      <w:r w:rsidR="001876DF">
        <w:t xml:space="preserve"> assist decision making.</w:t>
      </w:r>
    </w:p>
    <w:p w14:paraId="133F62D9" w14:textId="77777777" w:rsidR="00453FCB" w:rsidRDefault="00453FCB"/>
    <w:p w14:paraId="58E9DAB3" w14:textId="77777777" w:rsidR="00453FCB" w:rsidRDefault="00453FCB">
      <w:r>
        <w:t xml:space="preserve">Evidence based practice can be used positively, as it is drawing on various sources of information that is currently available, it is based on facts, can enhance the current knowledge base of </w:t>
      </w:r>
      <w:proofErr w:type="spellStart"/>
      <w:r>
        <w:t>pracise</w:t>
      </w:r>
      <w:proofErr w:type="spellEnd"/>
      <w:r>
        <w:t xml:space="preserve"> </w:t>
      </w:r>
      <w:proofErr w:type="spellStart"/>
      <w:r>
        <w:t>prffessionals</w:t>
      </w:r>
      <w:proofErr w:type="spellEnd"/>
      <w:r>
        <w:t xml:space="preserve"> and can help to </w:t>
      </w:r>
      <w:proofErr w:type="gramStart"/>
      <w:r>
        <w:t>re enforce</w:t>
      </w:r>
      <w:proofErr w:type="gramEnd"/>
      <w:r>
        <w:t xml:space="preserve"> trust in practice professionals there are limitations to it. </w:t>
      </w:r>
    </w:p>
    <w:p w14:paraId="769F8879" w14:textId="77777777" w:rsidR="00453FCB" w:rsidRDefault="00453FCB"/>
    <w:p w14:paraId="3A9D0836" w14:textId="5FC860CC" w:rsidR="00453FCB" w:rsidRDefault="00453FCB">
      <w:r>
        <w:t xml:space="preserve">Although evidence based </w:t>
      </w:r>
      <w:proofErr w:type="spellStart"/>
      <w:r>
        <w:t>pracised</w:t>
      </w:r>
      <w:proofErr w:type="spellEnd"/>
      <w:r>
        <w:t xml:space="preserve"> is based on facts, it can only be based on the current facts that are available</w:t>
      </w:r>
      <w:r w:rsidR="002F2715">
        <w:t>. T</w:t>
      </w:r>
      <w:r>
        <w:t xml:space="preserve">here may be a limited amount of resource </w:t>
      </w:r>
      <w:r w:rsidR="002F2715">
        <w:t>available</w:t>
      </w:r>
      <w:r>
        <w:t xml:space="preserve"> to be able to determine what would be accepted as a fact and the quality of the information may not be to the best </w:t>
      </w:r>
      <w:r w:rsidR="002F2715">
        <w:t>available</w:t>
      </w:r>
      <w:r>
        <w:t>.</w:t>
      </w:r>
      <w:r w:rsidR="002F2715">
        <w:t xml:space="preserve"> Gathering of said data could also introduce not only bias towards a favourable outcome but it can also be </w:t>
      </w:r>
      <w:proofErr w:type="spellStart"/>
      <w:r w:rsidR="002F2715">
        <w:t>argused</w:t>
      </w:r>
      <w:proofErr w:type="spellEnd"/>
      <w:r w:rsidR="002F2715">
        <w:t xml:space="preserve"> that with the level or information or volume of information that is </w:t>
      </w:r>
      <w:proofErr w:type="spellStart"/>
      <w:r w:rsidR="002F2715">
        <w:t>avilable</w:t>
      </w:r>
      <w:proofErr w:type="spellEnd"/>
      <w:r w:rsidR="002F2715">
        <w:t xml:space="preserve"> that an honest and critical approach to its gathering must be focused on to ensure that thorough information and variable sources of information are gathered to avoid creating an overwhelming feeling so that natural bias doesn’t occur. Natural bias may occur in a </w:t>
      </w:r>
      <w:proofErr w:type="gramStart"/>
      <w:r w:rsidR="002F2715">
        <w:t>circumstances</w:t>
      </w:r>
      <w:proofErr w:type="gramEnd"/>
      <w:r w:rsidR="002F2715">
        <w:t xml:space="preserve"> as outline where there is such vast information available that the information used is almost cherry picked towards the solution rather than firstly identifying the problem.</w:t>
      </w:r>
    </w:p>
    <w:p w14:paraId="2F73F64B" w14:textId="77777777" w:rsidR="002F2715" w:rsidRDefault="002F2715"/>
    <w:p w14:paraId="6F96D6A5" w14:textId="5E79FD0F" w:rsidR="002F2715" w:rsidRDefault="002F2715">
      <w:r>
        <w:t xml:space="preserve">Whilst it is my belief that evidence based practice can and is the best </w:t>
      </w:r>
      <w:r w:rsidR="000A410A">
        <w:t xml:space="preserve">tool to help decision making it must be used in </w:t>
      </w:r>
      <w:r w:rsidR="001876DF">
        <w:t xml:space="preserve">an ethical way, </w:t>
      </w:r>
      <w:r w:rsidR="000A410A">
        <w:t xml:space="preserve"> a way that facts are always relied upon, with a balance struc</w:t>
      </w:r>
      <w:r w:rsidR="001876DF">
        <w:t>k</w:t>
      </w:r>
      <w:r w:rsidR="000A410A">
        <w:t xml:space="preserve"> between what is a problem and what is the solution rather than what we wish for those outcomes to be without the evidence having been critically reviewed.</w:t>
      </w:r>
    </w:p>
    <w:p w14:paraId="2A55272B" w14:textId="77777777" w:rsidR="000A410A" w:rsidRDefault="000A410A"/>
    <w:p w14:paraId="5590907E" w14:textId="77DEE8EF" w:rsidR="001876DF" w:rsidRDefault="001876DF">
      <w:proofErr w:type="spellStart"/>
      <w:r>
        <w:t>Techinivara</w:t>
      </w:r>
      <w:proofErr w:type="spellEnd"/>
      <w:r>
        <w:t xml:space="preserve"> can use </w:t>
      </w:r>
      <w:proofErr w:type="gramStart"/>
      <w:r>
        <w:t>evidence based</w:t>
      </w:r>
      <w:proofErr w:type="gramEnd"/>
      <w:r>
        <w:t xml:space="preserve"> practice</w:t>
      </w:r>
      <w:r w:rsidR="00320F45">
        <w:t xml:space="preserve"> </w:t>
      </w:r>
      <w:r>
        <w:t xml:space="preserve">in two different ways to enhance decisions making. </w:t>
      </w:r>
      <w:proofErr w:type="gramStart"/>
      <w:r>
        <w:t>Firstly</w:t>
      </w:r>
      <w:proofErr w:type="gramEnd"/>
      <w:r>
        <w:t xml:space="preserve"> </w:t>
      </w:r>
      <w:proofErr w:type="gramStart"/>
      <w:r>
        <w:t xml:space="preserve">is </w:t>
      </w:r>
      <w:r w:rsidR="00320F45">
        <w:t>c</w:t>
      </w:r>
      <w:r>
        <w:t>an be</w:t>
      </w:r>
      <w:proofErr w:type="gramEnd"/>
      <w:r>
        <w:t xml:space="preserve"> sued in decision making.</w:t>
      </w:r>
      <w:r w:rsidR="00320F45">
        <w:t xml:space="preserve"> Should there need to be a profit report needed to determine the profit margin over the last 16 years to identify where best to invest the companies money prior to expansion, a quantitative approach to data gathering would be preferred where by data and factual numbers can be collated to produce the report to determine the best decision on where to invest their money.</w:t>
      </w:r>
    </w:p>
    <w:p w14:paraId="2079130B" w14:textId="77777777" w:rsidR="00320F45" w:rsidRDefault="00320F45"/>
    <w:p w14:paraId="20CA464F" w14:textId="4E5BE3CE" w:rsidR="00320F45" w:rsidRDefault="00320F45">
      <w:r>
        <w:t xml:space="preserve">A </w:t>
      </w:r>
      <w:proofErr w:type="spellStart"/>
      <w:r>
        <w:t>futher</w:t>
      </w:r>
      <w:proofErr w:type="spellEnd"/>
      <w:r>
        <w:t xml:space="preserve"> way </w:t>
      </w:r>
      <w:proofErr w:type="gramStart"/>
      <w:r>
        <w:t>evidence based</w:t>
      </w:r>
      <w:proofErr w:type="gramEnd"/>
      <w:r>
        <w:t xml:space="preserve"> practise can be useful to </w:t>
      </w:r>
      <w:proofErr w:type="spellStart"/>
      <w:r>
        <w:t>Techinvara</w:t>
      </w:r>
      <w:proofErr w:type="spellEnd"/>
      <w:r>
        <w:t xml:space="preserve"> can be to gather information on employee experience, this can range from retention or wellness, a qualitative approach would be best here as this is best to gather thoughts and feels and to determine the how and the why’s. Qualitative data information gathering can range from interviews, conversation and even observing staff members to determine how they view the employee experience, potentially identifying areas for improvement with employee relationships and staff retention.</w:t>
      </w:r>
    </w:p>
    <w:p w14:paraId="7D01370D" w14:textId="77777777" w:rsidR="000A410A" w:rsidRDefault="000A410A"/>
    <w:p w14:paraId="2B301916" w14:textId="77777777" w:rsidR="000A410A" w:rsidRDefault="000A410A"/>
    <w:p w14:paraId="36125633" w14:textId="5233FCF6" w:rsidR="00BE6764" w:rsidRDefault="00BE6764" w:rsidP="00BE6764">
      <w:pPr>
        <w:ind w:left="426" w:hanging="426"/>
        <w:contextualSpacing/>
        <w:rPr>
          <w:rFonts w:ascii="Trebuchet MS" w:hAnsi="Trebuchet MS"/>
        </w:rPr>
      </w:pPr>
      <w:r w:rsidRPr="00C0226B">
        <w:rPr>
          <w:rFonts w:ascii="Trebuchet MS" w:hAnsi="Trebuchet MS"/>
        </w:rPr>
        <w:t xml:space="preserve">AC 1.2 </w:t>
      </w:r>
    </w:p>
    <w:p w14:paraId="6445B724" w14:textId="77777777" w:rsidR="000A410A" w:rsidRDefault="000A410A"/>
    <w:p w14:paraId="08BC1074" w14:textId="47261080" w:rsidR="006B6FA4" w:rsidRDefault="001907DB">
      <w:r>
        <w:t xml:space="preserve">A SWOT analysis tool is </w:t>
      </w:r>
      <w:r w:rsidRPr="001907DB">
        <w:t>widely used</w:t>
      </w:r>
      <w:r>
        <w:t xml:space="preserve"> as an analysis</w:t>
      </w:r>
      <w:r w:rsidRPr="001907DB">
        <w:t xml:space="preserve"> tool that helps organisations understand both internal and external factors affecting performance</w:t>
      </w:r>
      <w:r w:rsidR="006B6FA4">
        <w:t xml:space="preserve">, it captured strengths, weaknesses, opportunities </w:t>
      </w:r>
      <w:r w:rsidR="006B6FA4" w:rsidRPr="00256D46">
        <w:t>and threats</w:t>
      </w:r>
      <w:r w:rsidRPr="00256D46">
        <w:t xml:space="preserve">. For a company like </w:t>
      </w:r>
      <w:proofErr w:type="spellStart"/>
      <w:r w:rsidRPr="00256D46">
        <w:t>Technivara</w:t>
      </w:r>
      <w:proofErr w:type="spellEnd"/>
      <w:r w:rsidRPr="00256D46">
        <w:t xml:space="preserve">. A SWOT analysis </w:t>
      </w:r>
      <w:r w:rsidRPr="00256D46">
        <w:t>provides a structured way to identify what is working, what is not</w:t>
      </w:r>
      <w:r w:rsidRPr="00256D46">
        <w:t xml:space="preserve">. </w:t>
      </w:r>
      <w:r w:rsidR="006B6FA4" w:rsidRPr="00256D46">
        <w:t>CIPD details a swot analysis as</w:t>
      </w:r>
      <w:r w:rsidR="00256D46" w:rsidRPr="00256D46">
        <w:t xml:space="preserve"> </w:t>
      </w:r>
      <w:r w:rsidR="00256D46" w:rsidRPr="00256D46">
        <w:t xml:space="preserve">a valuable tool for strategic workforce planning and organisational diagnosis, helping leaders </w:t>
      </w:r>
      <w:r w:rsidR="00256D46" w:rsidRPr="00256D46">
        <w:lastRenderedPageBreak/>
        <w:t>align people strategies with business needs (CIPD, 2021)</w:t>
      </w:r>
      <w:r w:rsidR="000D3106">
        <w:t xml:space="preserve">. </w:t>
      </w:r>
    </w:p>
    <w:p w14:paraId="10102B6B" w14:textId="77777777" w:rsidR="006B6FA4" w:rsidRDefault="006B6FA4"/>
    <w:p w14:paraId="4CA4FA06" w14:textId="31CFE851" w:rsidR="001907DB" w:rsidRDefault="001907DB">
      <w:r>
        <w:t xml:space="preserve">A SWOT </w:t>
      </w:r>
      <w:proofErr w:type="spellStart"/>
      <w:r>
        <w:t>anylysis</w:t>
      </w:r>
      <w:proofErr w:type="spellEnd"/>
      <w:r>
        <w:t xml:space="preserve"> would capture the </w:t>
      </w:r>
      <w:proofErr w:type="spellStart"/>
      <w:proofErr w:type="gramStart"/>
      <w:r>
        <w:t>companies</w:t>
      </w:r>
      <w:proofErr w:type="spellEnd"/>
      <w:proofErr w:type="gramEnd"/>
      <w:r>
        <w:t xml:space="preserve"> strengths, a strong, fulfilled workforce shown by the fact that Sue has remined with the company for eight years, good company culture, cutting edge technology, good retention of custom and growth as </w:t>
      </w:r>
      <w:proofErr w:type="spellStart"/>
      <w:r>
        <w:t>Technivara</w:t>
      </w:r>
      <w:proofErr w:type="spellEnd"/>
      <w:r>
        <w:t xml:space="preserve"> are looking to expand.</w:t>
      </w:r>
    </w:p>
    <w:p w14:paraId="36FF1B86" w14:textId="77777777" w:rsidR="001907DB" w:rsidRDefault="001907DB"/>
    <w:p w14:paraId="7B7B4C36" w14:textId="5CDE621D" w:rsidR="002F2715" w:rsidRDefault="001907DB">
      <w:r>
        <w:t xml:space="preserve">Weaknesses as identified by Sue are currently that the people practices are outdated leaving them open to rash or </w:t>
      </w:r>
      <w:proofErr w:type="gramStart"/>
      <w:r>
        <w:t>ill informed</w:t>
      </w:r>
      <w:proofErr w:type="gramEnd"/>
      <w:r>
        <w:t xml:space="preserve"> decision making</w:t>
      </w:r>
      <w:r w:rsidR="006B6FA4">
        <w:t xml:space="preserve">. </w:t>
      </w:r>
    </w:p>
    <w:p w14:paraId="5A956EFC" w14:textId="77777777" w:rsidR="006B6FA4" w:rsidRDefault="006B6FA4"/>
    <w:p w14:paraId="0538F8EA" w14:textId="36B17B6D" w:rsidR="006B6FA4" w:rsidRDefault="006B6FA4">
      <w:r>
        <w:t xml:space="preserve">Opportunities, the company have already identified that they now have an opportunity to expand after a continued period of growth however, this leads nicely onto the threats as opportunities and threats often come hand in hand. </w:t>
      </w:r>
    </w:p>
    <w:p w14:paraId="03F3A34C" w14:textId="77777777" w:rsidR="006B6FA4" w:rsidRDefault="006B6FA4"/>
    <w:p w14:paraId="324540FA" w14:textId="77777777" w:rsidR="000D3106" w:rsidRDefault="006B6FA4" w:rsidP="000D3106">
      <w:r>
        <w:t xml:space="preserve">CIPD states that a SWOT </w:t>
      </w:r>
      <w:proofErr w:type="spellStart"/>
      <w:r>
        <w:t>naylysis</w:t>
      </w:r>
      <w:proofErr w:type="spellEnd"/>
      <w:r>
        <w:t xml:space="preserve"> is particularly useful when a company is </w:t>
      </w:r>
      <w:proofErr w:type="spellStart"/>
      <w:r>
        <w:t>looing</w:t>
      </w:r>
      <w:proofErr w:type="spellEnd"/>
      <w:r>
        <w:t xml:space="preserve"> to expand as it provides structured approach to dealing with the benefits and risks to any company considering growth. Whilst a SWOT analysis provides a structured, almost tick box approach to help </w:t>
      </w:r>
      <w:proofErr w:type="spellStart"/>
      <w:r>
        <w:t>Techinvara</w:t>
      </w:r>
      <w:proofErr w:type="spellEnd"/>
      <w:r>
        <w:t xml:space="preserve"> </w:t>
      </w:r>
      <w:r w:rsidR="0033350E">
        <w:t xml:space="preserve">recognise and diagnose issues, opportunities and challenges, it does have its limitations. </w:t>
      </w:r>
      <w:proofErr w:type="spellStart"/>
      <w:r w:rsidR="0033350E">
        <w:t>Techinivara</w:t>
      </w:r>
      <w:proofErr w:type="spellEnd"/>
      <w:r w:rsidR="0033350E">
        <w:t xml:space="preserve"> should be mindful that although a swot analysis encourages comprehensive thinking it can only be as good of a diagnostic tool as the information that is gathered and shouldn’t be used as a </w:t>
      </w:r>
      <w:proofErr w:type="gramStart"/>
      <w:r w:rsidR="0033350E">
        <w:t>stand alone</w:t>
      </w:r>
      <w:proofErr w:type="gramEnd"/>
      <w:r w:rsidR="0033350E">
        <w:t xml:space="preserve"> tool to complete any findings.</w:t>
      </w:r>
      <w:r w:rsidR="000D3106">
        <w:t xml:space="preserve"> </w:t>
      </w:r>
    </w:p>
    <w:p w14:paraId="49435F3A" w14:textId="77777777" w:rsidR="000D3106" w:rsidRDefault="000D3106" w:rsidP="000D3106"/>
    <w:p w14:paraId="206DF2F3" w14:textId="24352ACE" w:rsidR="000D3106" w:rsidRDefault="000D3106" w:rsidP="000D3106">
      <w:r>
        <w:t>(</w:t>
      </w:r>
      <w:r w:rsidRPr="000D3106">
        <w:t>Gurel &amp; Tat, 2017)</w:t>
      </w:r>
      <w:r>
        <w:t xml:space="preserve"> also support a SWOT analysis as a tool for business tool for analysis </w:t>
      </w:r>
      <w:r>
        <w:t>for strategic management, they do also mention that it does need to be supported by other methods to overcome its limitations.</w:t>
      </w:r>
    </w:p>
    <w:p w14:paraId="0F1BFA0E" w14:textId="350E0CD9" w:rsidR="006B6FA4" w:rsidRDefault="006B6FA4"/>
    <w:p w14:paraId="2C3834AE" w14:textId="77777777" w:rsidR="0033350E" w:rsidRDefault="0033350E"/>
    <w:p w14:paraId="43B60FA7" w14:textId="41654E99" w:rsidR="000D3106" w:rsidRDefault="0033350E" w:rsidP="000D3106">
      <w:proofErr w:type="spellStart"/>
      <w:r>
        <w:t>Techinvara</w:t>
      </w:r>
      <w:proofErr w:type="spellEnd"/>
      <w:r>
        <w:t xml:space="preserve"> along with the SWOT analysis </w:t>
      </w:r>
      <w:r w:rsidR="000D3106">
        <w:t>a r</w:t>
      </w:r>
      <w:r w:rsidR="000D3106" w:rsidRPr="000D3106">
        <w:t xml:space="preserve">oot </w:t>
      </w:r>
      <w:r w:rsidR="000D3106">
        <w:t>c</w:t>
      </w:r>
      <w:r w:rsidR="000D3106" w:rsidRPr="000D3106">
        <w:t xml:space="preserve">ause </w:t>
      </w:r>
      <w:r w:rsidR="000D3106">
        <w:t>a</w:t>
      </w:r>
      <w:r w:rsidR="000D3106" w:rsidRPr="000D3106">
        <w:t xml:space="preserve">nalysis is a method </w:t>
      </w:r>
      <w:r w:rsidR="00B57519">
        <w:t xml:space="preserve">that can help </w:t>
      </w:r>
      <w:proofErr w:type="spellStart"/>
      <w:r w:rsidR="00B57519">
        <w:t>Techinvara</w:t>
      </w:r>
      <w:proofErr w:type="spellEnd"/>
      <w:r w:rsidR="00B57519">
        <w:t xml:space="preserve"> diagnose issues, challenges and opportunities, it is widely used </w:t>
      </w:r>
      <w:r w:rsidR="00B57519" w:rsidRPr="00B57519">
        <w:t xml:space="preserve">after initial issues have been identified through </w:t>
      </w:r>
      <w:r w:rsidR="00B57519">
        <w:t xml:space="preserve">a </w:t>
      </w:r>
      <w:r w:rsidR="00B57519" w:rsidRPr="00B57519">
        <w:t>SWOT</w:t>
      </w:r>
      <w:r w:rsidR="00B57519">
        <w:t xml:space="preserve"> analysis</w:t>
      </w:r>
      <w:r w:rsidR="00B57519" w:rsidRPr="00B57519">
        <w:t xml:space="preserve">. It enables </w:t>
      </w:r>
      <w:proofErr w:type="spellStart"/>
      <w:r w:rsidR="00B57519" w:rsidRPr="00B57519">
        <w:t>Technivara</w:t>
      </w:r>
      <w:proofErr w:type="spellEnd"/>
      <w:r w:rsidR="00B57519" w:rsidRPr="00B57519">
        <w:t xml:space="preserve"> to diagnose why problems occur and </w:t>
      </w:r>
      <w:r w:rsidR="00B57519">
        <w:t>can help to build towards identifying solutions</w:t>
      </w:r>
      <w:r w:rsidR="00B57519" w:rsidRPr="00B57519">
        <w:t>.</w:t>
      </w:r>
    </w:p>
    <w:p w14:paraId="1A7BF8C8" w14:textId="77777777" w:rsidR="00B57519" w:rsidRDefault="00B57519" w:rsidP="000D3106"/>
    <w:p w14:paraId="300DD3CD" w14:textId="77777777" w:rsidR="00B57519" w:rsidRDefault="00B57519" w:rsidP="00B57519">
      <w:r w:rsidRPr="00B57519">
        <w:t>The CIPD Profession Map highlights the need for analytical thinking</w:t>
      </w:r>
      <w:r>
        <w:t xml:space="preserve"> </w:t>
      </w:r>
      <w:r w:rsidRPr="00B57519">
        <w:t xml:space="preserve">and using evidence to </w:t>
      </w:r>
      <w:r>
        <w:t xml:space="preserve">make </w:t>
      </w:r>
      <w:r w:rsidRPr="00B57519">
        <w:t>inform</w:t>
      </w:r>
      <w:r>
        <w:t>ed</w:t>
      </w:r>
      <w:r w:rsidRPr="00B57519">
        <w:t xml:space="preserve"> decisions, all of which align with RCA (CIPD, 2023). RCA supports these behaviours by enabling systematic, data</w:t>
      </w:r>
      <w:r w:rsidRPr="00B57519">
        <w:noBreakHyphen/>
        <w:t>driven problem</w:t>
      </w:r>
      <w:r w:rsidRPr="00B57519">
        <w:noBreakHyphen/>
        <w:t>solving.</w:t>
      </w:r>
    </w:p>
    <w:p w14:paraId="4E40437A" w14:textId="77777777" w:rsidR="00B57519" w:rsidRDefault="00B57519" w:rsidP="00B57519"/>
    <w:p w14:paraId="3C68A7EA" w14:textId="1E677646" w:rsidR="00B57519" w:rsidRPr="00B57519" w:rsidRDefault="00B57519" w:rsidP="00B57519">
      <w:r>
        <w:t xml:space="preserve">The </w:t>
      </w:r>
      <w:proofErr w:type="gramStart"/>
      <w:r>
        <w:t>most commonly used</w:t>
      </w:r>
      <w:proofErr w:type="gramEnd"/>
      <w:r>
        <w:t xml:space="preserve"> RCA is the 5 Why’s, ordinarily repeatedly asking why to reach the rot cause of the issue. The five whys can </w:t>
      </w:r>
      <w:proofErr w:type="gramStart"/>
      <w:r>
        <w:t>include,</w:t>
      </w:r>
      <w:proofErr w:type="gramEnd"/>
      <w:r>
        <w:t xml:space="preserve"> </w:t>
      </w:r>
      <w:r w:rsidRPr="00B57519">
        <w:t>definition</w:t>
      </w:r>
      <w:r>
        <w:t>, r</w:t>
      </w:r>
      <w:r w:rsidRPr="00B57519">
        <w:t>eason</w:t>
      </w:r>
      <w:r>
        <w:t>, c</w:t>
      </w:r>
      <w:r w:rsidRPr="00B57519">
        <w:t xml:space="preserve">onfirmation </w:t>
      </w:r>
      <w:r>
        <w:t>and solution.</w:t>
      </w:r>
    </w:p>
    <w:p w14:paraId="78A71559" w14:textId="15FE82F8" w:rsidR="00B57519" w:rsidRPr="00B57519" w:rsidRDefault="00B57519" w:rsidP="000D3106"/>
    <w:p w14:paraId="4141D8C4" w14:textId="1DB41D12" w:rsidR="0033350E" w:rsidRDefault="00822E1E">
      <w:r>
        <w:t>Doggett 2005 does confirm this and agrees that RCA does provide the opportunity to reach the root cause of any challenge, opportunity or issue however, it is only as good as the data that is collected, the questions that are asked, it does also mention the need for unconscious bias when these are performed, similarly to producing a SWOT analysis.</w:t>
      </w:r>
    </w:p>
    <w:p w14:paraId="2A85BCA2" w14:textId="77777777" w:rsidR="00822E1E" w:rsidRDefault="00822E1E"/>
    <w:p w14:paraId="58652B32" w14:textId="77777777" w:rsidR="00822E1E" w:rsidRDefault="00822E1E"/>
    <w:p w14:paraId="40C8C0DE" w14:textId="77777777" w:rsidR="002F2715" w:rsidRDefault="002F2715"/>
    <w:p w14:paraId="537FECCA" w14:textId="77777777" w:rsidR="00051AA7" w:rsidRDefault="00051AA7"/>
    <w:p w14:paraId="776FEF92" w14:textId="3C7C2C25" w:rsidR="00051AA7" w:rsidRPr="00535CE2" w:rsidRDefault="00822E1E">
      <w:pPr>
        <w:rPr>
          <w:color w:val="EE0000"/>
        </w:rPr>
      </w:pPr>
      <w:r w:rsidRPr="00535CE2">
        <w:rPr>
          <w:color w:val="EE0000"/>
        </w:rPr>
        <w:t>AC1.3</w:t>
      </w:r>
    </w:p>
    <w:p w14:paraId="30D0EB3E" w14:textId="43277F00" w:rsidR="00822E1E" w:rsidRPr="00822E1E" w:rsidRDefault="00822E1E" w:rsidP="00822E1E"/>
    <w:p w14:paraId="59DD7859" w14:textId="77777777" w:rsidR="00822E1E" w:rsidRPr="00822E1E" w:rsidRDefault="00822E1E" w:rsidP="00822E1E">
      <w:pPr>
        <w:rPr>
          <w:b/>
          <w:bCs/>
        </w:rPr>
      </w:pPr>
      <w:r w:rsidRPr="00822E1E">
        <w:rPr>
          <w:b/>
          <w:bCs/>
        </w:rPr>
        <w:t xml:space="preserve">Critical Thinking Principles and Their Application to Objective Debate at </w:t>
      </w:r>
      <w:proofErr w:type="spellStart"/>
      <w:r w:rsidRPr="00822E1E">
        <w:rPr>
          <w:b/>
          <w:bCs/>
        </w:rPr>
        <w:t>Technivara</w:t>
      </w:r>
      <w:proofErr w:type="spellEnd"/>
    </w:p>
    <w:p w14:paraId="205ECB78" w14:textId="77777777" w:rsidR="00822E1E" w:rsidRPr="00822E1E" w:rsidRDefault="00822E1E" w:rsidP="00822E1E">
      <w:r w:rsidRPr="00822E1E">
        <w:t>Critical thinking is an essential capability for supporting rational, evidence</w:t>
      </w:r>
      <w:r w:rsidRPr="00822E1E">
        <w:noBreakHyphen/>
        <w:t xml:space="preserve">based debate within organisations such as </w:t>
      </w:r>
      <w:proofErr w:type="spellStart"/>
      <w:r w:rsidRPr="00822E1E">
        <w:t>Technivara</w:t>
      </w:r>
      <w:proofErr w:type="spellEnd"/>
      <w:r w:rsidRPr="00822E1E">
        <w:t xml:space="preserve">. The CIPD describes critical thinking as the ability to “objectively analyse and evaluate information, ideas and arguments” to support sound professional judgement (CIPD, 2023). Several core principles underpin this process, each </w:t>
      </w:r>
      <w:r w:rsidRPr="00822E1E">
        <w:lastRenderedPageBreak/>
        <w:t>contributing to more rigorous and balanced organisational discussions.</w:t>
      </w:r>
    </w:p>
    <w:p w14:paraId="6FB08BF7" w14:textId="77777777" w:rsidR="00822E1E" w:rsidRDefault="00822E1E" w:rsidP="00822E1E">
      <w:r w:rsidRPr="00822E1E">
        <w:t xml:space="preserve">A key principle is </w:t>
      </w:r>
      <w:r w:rsidRPr="00822E1E">
        <w:rPr>
          <w:b/>
          <w:bCs/>
        </w:rPr>
        <w:t>clarity</w:t>
      </w:r>
      <w:r w:rsidRPr="00822E1E">
        <w:t xml:space="preserve">, which involves expressing ideas in a precise and understandable way. Paul and Elder (2014) identify clarity as the foundation of all critical thought, as unclear ideas cannot be effectively evaluated. At </w:t>
      </w:r>
      <w:proofErr w:type="spellStart"/>
      <w:r w:rsidRPr="00822E1E">
        <w:t>Technivara</w:t>
      </w:r>
      <w:proofErr w:type="spellEnd"/>
      <w:r w:rsidRPr="00822E1E">
        <w:t>, ensuring clarity when presenting proposals—such as defining problems or outlining assumptions—helps colleagues engage meaningfully with the argument rather than interpreting it inconsistently.</w:t>
      </w:r>
    </w:p>
    <w:p w14:paraId="7ACDD608" w14:textId="77777777" w:rsidR="00535CE2" w:rsidRPr="00822E1E" w:rsidRDefault="00535CE2" w:rsidP="00822E1E"/>
    <w:p w14:paraId="62F6669C" w14:textId="77777777" w:rsidR="00822E1E" w:rsidRDefault="00822E1E" w:rsidP="00822E1E">
      <w:r w:rsidRPr="00822E1E">
        <w:rPr>
          <w:b/>
          <w:bCs/>
        </w:rPr>
        <w:t>Logic and coherence</w:t>
      </w:r>
      <w:r w:rsidRPr="00822E1E">
        <w:t xml:space="preserve"> are equally important. CIPD (2021) emphasises the need to identify flaws in reasoning and ensure that conclusions follow from evidence. Toulmin’s (2003) model of argumentation reinforces this by highlighting the importance of linking claims to supporting data. When evaluating colleagues’ suggestions at </w:t>
      </w:r>
      <w:proofErr w:type="spellStart"/>
      <w:r w:rsidRPr="00822E1E">
        <w:t>Technivara</w:t>
      </w:r>
      <w:proofErr w:type="spellEnd"/>
      <w:r w:rsidRPr="00822E1E">
        <w:t>, checking whether their reasoning is internally consistent helps prevent decisions based on assumptions or incomplete thinking.</w:t>
      </w:r>
    </w:p>
    <w:p w14:paraId="02A3EE12" w14:textId="77777777" w:rsidR="00822E1E" w:rsidRPr="00822E1E" w:rsidRDefault="00822E1E" w:rsidP="00822E1E"/>
    <w:p w14:paraId="21CB4D75" w14:textId="77777777" w:rsidR="00822E1E" w:rsidRDefault="00822E1E" w:rsidP="00822E1E">
      <w:r w:rsidRPr="00822E1E">
        <w:t xml:space="preserve">Another principle is </w:t>
      </w:r>
      <w:r w:rsidRPr="00822E1E">
        <w:rPr>
          <w:b/>
          <w:bCs/>
        </w:rPr>
        <w:t>open</w:t>
      </w:r>
      <w:r w:rsidRPr="00822E1E">
        <w:rPr>
          <w:b/>
          <w:bCs/>
        </w:rPr>
        <w:noBreakHyphen/>
        <w:t>mindedness</w:t>
      </w:r>
      <w:r w:rsidRPr="00822E1E">
        <w:t xml:space="preserve">, which requires acknowledging alternative viewpoints and recognising personal biases. CIPD stresses that professionals must reflect objectively on others’ arguments rather than relying on preference or habit (CIPD, 2023). Mill (1859) similarly argues that engaging with opposing views strengthens one’s own reasoning. In practice, this means </w:t>
      </w:r>
      <w:proofErr w:type="spellStart"/>
      <w:r w:rsidRPr="00822E1E">
        <w:t>Technivara</w:t>
      </w:r>
      <w:proofErr w:type="spellEnd"/>
      <w:r w:rsidRPr="00822E1E">
        <w:t xml:space="preserve"> employees should actively listen to differing perspectives during debates, reducing the risk of groupthink and encouraging innovation.</w:t>
      </w:r>
    </w:p>
    <w:p w14:paraId="61D112AC" w14:textId="77777777" w:rsidR="00822E1E" w:rsidRPr="00822E1E" w:rsidRDefault="00822E1E" w:rsidP="00822E1E"/>
    <w:p w14:paraId="0F6752BB" w14:textId="77777777" w:rsidR="00822E1E" w:rsidRDefault="00822E1E" w:rsidP="00822E1E">
      <w:r w:rsidRPr="00822E1E">
        <w:rPr>
          <w:b/>
          <w:bCs/>
        </w:rPr>
        <w:t>Evidence</w:t>
      </w:r>
      <w:r w:rsidRPr="00822E1E">
        <w:rPr>
          <w:b/>
          <w:bCs/>
        </w:rPr>
        <w:noBreakHyphen/>
        <w:t>based evaluation</w:t>
      </w:r>
      <w:r w:rsidRPr="00822E1E">
        <w:t xml:space="preserve"> is central to critical thinking. CIPD’s evidence</w:t>
      </w:r>
      <w:r w:rsidRPr="00822E1E">
        <w:noBreakHyphen/>
        <w:t xml:space="preserve">based practice framework encourages drawing on organisational data, stakeholder feedback, professional expertise, and research to inform decisions (CIPD, 2020). Kahneman (2011) warns that cognitive biases can distort judgement, making evidence essential for counteracting intuitive errors. At </w:t>
      </w:r>
      <w:proofErr w:type="spellStart"/>
      <w:r w:rsidRPr="00822E1E">
        <w:t>Technivara</w:t>
      </w:r>
      <w:proofErr w:type="spellEnd"/>
      <w:r w:rsidRPr="00822E1E">
        <w:t>, using data to support or challenge ideas—such as performance metrics or customer insights—ensures debates remain grounded in fact rather than opinion.</w:t>
      </w:r>
    </w:p>
    <w:p w14:paraId="5BC3F2B4" w14:textId="77777777" w:rsidR="00535CE2" w:rsidRPr="00822E1E" w:rsidRDefault="00535CE2" w:rsidP="00822E1E"/>
    <w:p w14:paraId="09DD7F84" w14:textId="77777777" w:rsidR="00822E1E" w:rsidRPr="00822E1E" w:rsidRDefault="00822E1E" w:rsidP="00822E1E">
      <w:r w:rsidRPr="00822E1E">
        <w:t xml:space="preserve">Finally, </w:t>
      </w:r>
      <w:r w:rsidRPr="00822E1E">
        <w:rPr>
          <w:b/>
          <w:bCs/>
        </w:rPr>
        <w:t>reflection and self</w:t>
      </w:r>
      <w:r w:rsidRPr="00822E1E">
        <w:rPr>
          <w:b/>
          <w:bCs/>
        </w:rPr>
        <w:noBreakHyphen/>
        <w:t>awareness</w:t>
      </w:r>
      <w:r w:rsidRPr="00822E1E">
        <w:t xml:space="preserve"> enable individuals to examine their own reasoning processes. Schön (1983) argues that reflective practitioners continually evaluate their assumptions and decision</w:t>
      </w:r>
      <w:r w:rsidRPr="00822E1E">
        <w:noBreakHyphen/>
        <w:t xml:space="preserve">making patterns. For </w:t>
      </w:r>
      <w:proofErr w:type="spellStart"/>
      <w:r w:rsidRPr="00822E1E">
        <w:t>Technivara</w:t>
      </w:r>
      <w:proofErr w:type="spellEnd"/>
      <w:r w:rsidRPr="00822E1E">
        <w:t>, this means employees should reflect on how their biases or emotions may influence their contributions to discussions.</w:t>
      </w:r>
    </w:p>
    <w:p w14:paraId="1171AB8B" w14:textId="77777777" w:rsidR="00822E1E" w:rsidRPr="00822E1E" w:rsidRDefault="00822E1E" w:rsidP="00822E1E">
      <w:r w:rsidRPr="00822E1E">
        <w:t>Collectively, these principles support objective, rational debate by encouraging clarity, fairness, evidence</w:t>
      </w:r>
      <w:r w:rsidRPr="00822E1E">
        <w:noBreakHyphen/>
        <w:t>based reasoning, and reflective practice. Applying them to one’s own and others’ ideas strengthens decision</w:t>
      </w:r>
      <w:r w:rsidRPr="00822E1E">
        <w:noBreakHyphen/>
        <w:t xml:space="preserve">making and fosters a culture of thoughtful, informed dialogue at </w:t>
      </w:r>
      <w:proofErr w:type="spellStart"/>
      <w:r w:rsidRPr="00822E1E">
        <w:t>Technivara</w:t>
      </w:r>
      <w:proofErr w:type="spellEnd"/>
      <w:r w:rsidRPr="00822E1E">
        <w:t>.</w:t>
      </w:r>
    </w:p>
    <w:p w14:paraId="2729B693" w14:textId="77777777" w:rsidR="00822E1E" w:rsidRDefault="00822E1E"/>
    <w:p w14:paraId="5EE24741" w14:textId="77777777" w:rsidR="00051AA7" w:rsidRDefault="00051AA7"/>
    <w:p w14:paraId="6EA31F93" w14:textId="7CF80BAE" w:rsidR="00535CE2" w:rsidRDefault="00535CE2">
      <w:r>
        <w:t xml:space="preserve">AC 1.4 </w:t>
      </w:r>
    </w:p>
    <w:p w14:paraId="53A6AFC0" w14:textId="77777777" w:rsidR="00051AA7" w:rsidRDefault="00051AA7"/>
    <w:p w14:paraId="2A9908C1" w14:textId="77777777" w:rsidR="00170BBE" w:rsidRDefault="00170BBE" w:rsidP="00170BBE">
      <w:r w:rsidRPr="00170BBE">
        <w:t>Effective decision</w:t>
      </w:r>
      <w:r w:rsidRPr="00170BBE">
        <w:noBreakHyphen/>
        <w:t xml:space="preserve">making is essential for ensuring that </w:t>
      </w:r>
      <w:proofErr w:type="spellStart"/>
      <w:r w:rsidRPr="00170BBE">
        <w:t>Technivara</w:t>
      </w:r>
      <w:proofErr w:type="spellEnd"/>
      <w:r w:rsidRPr="00170BBE">
        <w:t xml:space="preserve"> achieves consistent, evidence</w:t>
      </w:r>
      <w:r w:rsidRPr="00170BBE">
        <w:noBreakHyphen/>
        <w:t>based and strategically aligned outcomes. The Chartered Institute of Personnel and Development (CIPD) highlights that structured decision</w:t>
      </w:r>
      <w:r w:rsidRPr="00170BBE">
        <w:noBreakHyphen/>
        <w:t xml:space="preserve">making approaches help organisations reduce bias, improve clarity and support more rational choices (CIPD, 2020). </w:t>
      </w:r>
    </w:p>
    <w:p w14:paraId="0E3E82C3" w14:textId="77777777" w:rsidR="00170BBE" w:rsidRDefault="00170BBE" w:rsidP="00170BBE"/>
    <w:p w14:paraId="36334864" w14:textId="4BF19719" w:rsidR="00170BBE" w:rsidRDefault="00170BBE" w:rsidP="00170BBE">
      <w:r w:rsidRPr="00170BBE">
        <w:t xml:space="preserve">Two processes particularly valuable for </w:t>
      </w:r>
      <w:proofErr w:type="spellStart"/>
      <w:r w:rsidRPr="00170BBE">
        <w:t>Technivara</w:t>
      </w:r>
      <w:proofErr w:type="spellEnd"/>
      <w:r w:rsidRPr="00170BBE">
        <w:t xml:space="preserve"> are </w:t>
      </w:r>
      <w:r w:rsidRPr="00170BBE">
        <w:rPr>
          <w:b/>
          <w:bCs/>
        </w:rPr>
        <w:t>De Bono’s Six Thinking Hats</w:t>
      </w:r>
      <w:r w:rsidRPr="00170BBE">
        <w:t xml:space="preserve"> and the </w:t>
      </w:r>
      <w:r w:rsidRPr="00170BBE">
        <w:rPr>
          <w:b/>
          <w:bCs/>
        </w:rPr>
        <w:t>Kepner</w:t>
      </w:r>
      <w:r w:rsidRPr="00170BBE">
        <w:rPr>
          <w:b/>
          <w:bCs/>
        </w:rPr>
        <w:noBreakHyphen/>
        <w:t>Tregoe (KT) decision</w:t>
      </w:r>
      <w:r w:rsidRPr="00170BBE">
        <w:rPr>
          <w:b/>
          <w:bCs/>
        </w:rPr>
        <w:noBreakHyphen/>
        <w:t>making method</w:t>
      </w:r>
      <w:r w:rsidRPr="00170BBE">
        <w:t>. Each offers a systematic framework that enhances objectivity, collaboration and problem</w:t>
      </w:r>
      <w:r w:rsidRPr="00170BBE">
        <w:noBreakHyphen/>
        <w:t>solving quality.</w:t>
      </w:r>
    </w:p>
    <w:p w14:paraId="55B8A76C" w14:textId="77777777" w:rsidR="00170BBE" w:rsidRPr="00170BBE" w:rsidRDefault="00170BBE" w:rsidP="00170BBE"/>
    <w:p w14:paraId="686CEE5B" w14:textId="64971611" w:rsidR="00170BBE" w:rsidRPr="00170BBE" w:rsidRDefault="00170BBE" w:rsidP="00170BBE">
      <w:pPr>
        <w:rPr>
          <w:b/>
          <w:bCs/>
        </w:rPr>
      </w:pPr>
    </w:p>
    <w:p w14:paraId="36010495" w14:textId="107FE75C" w:rsidR="00170BBE" w:rsidRDefault="00170BBE" w:rsidP="00170BBE">
      <w:r w:rsidRPr="00170BBE">
        <w:t>Edward de Bono’s Six Thinking Hats is a parallel</w:t>
      </w:r>
      <w:r w:rsidRPr="00170BBE">
        <w:noBreakHyphen/>
        <w:t xml:space="preserve">thinking technique designed to help teams explore issues from multiple perspectives. Instead of debating from fixed positions, individuals adopt different “hats” representing distinct modes of thinking—such as facts (White Hat), emotions (Red Hat), caution (Black Hat), optimism (Yellow Hat), creativity (Green Hat) and process control (Blue Hat) (De Bono, 2017). CIPD notes that structured </w:t>
      </w:r>
      <w:r w:rsidRPr="00170BBE">
        <w:lastRenderedPageBreak/>
        <w:t>thinking tools like this support critical thinking by encouraging professionals to consider diverse viewpoints and challenge assumptions (CIPD, 2021).</w:t>
      </w:r>
    </w:p>
    <w:p w14:paraId="1FCE55F7" w14:textId="77777777" w:rsidR="00170BBE" w:rsidRPr="00170BBE" w:rsidRDefault="00170BBE" w:rsidP="00170BBE"/>
    <w:p w14:paraId="601994B4" w14:textId="77777777" w:rsidR="00170BBE" w:rsidRDefault="00170BBE" w:rsidP="00170BBE">
      <w:r w:rsidRPr="00170BBE">
        <w:t xml:space="preserve">At </w:t>
      </w:r>
      <w:proofErr w:type="spellStart"/>
      <w:r w:rsidRPr="00170BBE">
        <w:t>Technivara</w:t>
      </w:r>
      <w:proofErr w:type="spellEnd"/>
      <w:r w:rsidRPr="00170BBE">
        <w:t>, the Six Thinking Hats could be applied when evaluating new projects, designing policies or resolving operational challenges. For example, when assessing whether to introduce a new digital platform, the White Hat would focus on data such as cost and performance metrics, while the Black Hat would highlight risks. The Green Hat would generate innovative alternatives, and the Red Hat would capture intuitive reactions from staff. This structured exploration reduces conflict, promotes balanced analysis and ensures that decisions reflect both rational and human factors. As recent organisational behaviour research suggests, multi</w:t>
      </w:r>
      <w:r w:rsidRPr="00170BBE">
        <w:noBreakHyphen/>
        <w:t>perspective thinking improves creativity and decision quality in fast</w:t>
      </w:r>
      <w:r w:rsidRPr="00170BBE">
        <w:noBreakHyphen/>
        <w:t>changing environments (Grant, 2021).</w:t>
      </w:r>
    </w:p>
    <w:p w14:paraId="1AF5428B" w14:textId="77777777" w:rsidR="00170BBE" w:rsidRPr="00170BBE" w:rsidRDefault="00170BBE" w:rsidP="00170BBE"/>
    <w:p w14:paraId="27E199F2" w14:textId="77777777" w:rsidR="00170BBE" w:rsidRDefault="00170BBE" w:rsidP="00170BBE">
      <w:r w:rsidRPr="00170BBE">
        <w:t>The Kepner</w:t>
      </w:r>
      <w:r w:rsidRPr="00170BBE">
        <w:noBreakHyphen/>
        <w:t>Tregoe (KT) method is a rational, analytical approach that guides individuals through four stages: situation appraisal, problem analysis, decision analysis and potential problem analysis (Kepner &amp; Tregoe, 2013). CIPD emphasises the value of such systematic models in helping professionals break down complex issues, evaluate alternatives and make evidence</w:t>
      </w:r>
      <w:r w:rsidRPr="00170BBE">
        <w:noBreakHyphen/>
        <w:t>based decisions (CIPD, 2020).</w:t>
      </w:r>
    </w:p>
    <w:p w14:paraId="6B95350A" w14:textId="77777777" w:rsidR="00170BBE" w:rsidRPr="00170BBE" w:rsidRDefault="00170BBE" w:rsidP="00170BBE"/>
    <w:p w14:paraId="14DBB18F" w14:textId="77777777" w:rsidR="00170BBE" w:rsidRDefault="00170BBE" w:rsidP="00170BBE">
      <w:r w:rsidRPr="00170BBE">
        <w:t xml:space="preserve">For </w:t>
      </w:r>
      <w:proofErr w:type="spellStart"/>
      <w:r w:rsidRPr="00170BBE">
        <w:t>Technivara</w:t>
      </w:r>
      <w:proofErr w:type="spellEnd"/>
      <w:r w:rsidRPr="00170BBE">
        <w:t>, the KT method is particularly useful when decisions involve multiple variables or significant risk. For instance, when selecting a new supplier, the KT process would help identify decision criteria, weigh their importance, evaluate options objectively and anticipate potential implementation challenges. This reduces the influence of cognitive biases highlighted by Kahneman (2011), such as anchoring or overconfidence, and ensures that decisions are transparent and defensible. The KT method also supports organisational learning by documenting reasoning processes, which is valuable for continuous improvement.</w:t>
      </w:r>
    </w:p>
    <w:p w14:paraId="3F53BD5B" w14:textId="77777777" w:rsidR="00170BBE" w:rsidRPr="00170BBE" w:rsidRDefault="00170BBE" w:rsidP="00170BBE"/>
    <w:p w14:paraId="27E4C529" w14:textId="77777777" w:rsidR="00170BBE" w:rsidRDefault="00170BBE" w:rsidP="00170BBE">
      <w:r w:rsidRPr="00170BBE">
        <w:t>Both De Bono’s Six Thinking Hats and the Kepner</w:t>
      </w:r>
      <w:r w:rsidRPr="00170BBE">
        <w:noBreakHyphen/>
        <w:t>Tregoe method offer structured, evidence</w:t>
      </w:r>
      <w:r w:rsidRPr="00170BBE">
        <w:noBreakHyphen/>
        <w:t>informed approaches that can significantly enhance decision</w:t>
      </w:r>
      <w:r w:rsidRPr="00170BBE">
        <w:noBreakHyphen/>
        <w:t xml:space="preserve">making at </w:t>
      </w:r>
      <w:proofErr w:type="spellStart"/>
      <w:r w:rsidRPr="00170BBE">
        <w:t>Technivara</w:t>
      </w:r>
      <w:proofErr w:type="spellEnd"/>
      <w:r w:rsidRPr="00170BBE">
        <w:t>. The Six Thinking Hats encourages creativity, emotional awareness and balanced analysis, while the KT method provides a rigorous, step</w:t>
      </w:r>
      <w:r w:rsidRPr="00170BBE">
        <w:noBreakHyphen/>
        <w:t>by</w:t>
      </w:r>
      <w:r w:rsidRPr="00170BBE">
        <w:noBreakHyphen/>
        <w:t xml:space="preserve">step framework for evaluating complex decisions. Together, these processes support </w:t>
      </w:r>
      <w:proofErr w:type="spellStart"/>
      <w:r w:rsidRPr="00170BBE">
        <w:t>Technivara</w:t>
      </w:r>
      <w:proofErr w:type="spellEnd"/>
      <w:r w:rsidRPr="00170BBE">
        <w:t xml:space="preserve"> in achieving effective, rational and well</w:t>
      </w:r>
      <w:r w:rsidRPr="00170BBE">
        <w:noBreakHyphen/>
        <w:t>justified outcomes.</w:t>
      </w:r>
    </w:p>
    <w:p w14:paraId="6E81F11D" w14:textId="77777777" w:rsidR="00170BBE" w:rsidRDefault="00170BBE" w:rsidP="00170BBE"/>
    <w:p w14:paraId="057C3535" w14:textId="4761E5B4" w:rsidR="00170BBE" w:rsidRPr="00170BBE" w:rsidRDefault="00170BBE" w:rsidP="00170BBE">
      <w:r>
        <w:t>AC 1.5</w:t>
      </w:r>
    </w:p>
    <w:p w14:paraId="5D5EA59A" w14:textId="77777777" w:rsidR="00051AA7" w:rsidRDefault="00051AA7"/>
    <w:p w14:paraId="6D253911" w14:textId="77777777" w:rsidR="00170BBE" w:rsidRPr="00170BBE" w:rsidRDefault="00170BBE" w:rsidP="00170BBE">
      <w:r w:rsidRPr="00170BBE">
        <w:t>Ethical decision</w:t>
      </w:r>
      <w:r w:rsidRPr="00170BBE">
        <w:noBreakHyphen/>
        <w:t>making is essential for building trust, fairness and organisational integrity. The CIPD emphasises that ethical practice requires professionals to act with fairness, transparency and respect, ensuring that decisions are grounded in consistent moral principles (CIPD, 2021). Two ethical perspectives that can support effective decision</w:t>
      </w:r>
      <w:r w:rsidRPr="00170BBE">
        <w:noBreakHyphen/>
        <w:t xml:space="preserve">making at </w:t>
      </w:r>
      <w:proofErr w:type="spellStart"/>
      <w:r w:rsidRPr="00170BBE">
        <w:t>Technivara</w:t>
      </w:r>
      <w:proofErr w:type="spellEnd"/>
      <w:r w:rsidRPr="00170BBE">
        <w:t xml:space="preserve"> are </w:t>
      </w:r>
      <w:r w:rsidRPr="00170BBE">
        <w:rPr>
          <w:b/>
          <w:bCs/>
        </w:rPr>
        <w:t>Equity Theory</w:t>
      </w:r>
      <w:r w:rsidRPr="00170BBE">
        <w:t xml:space="preserve"> and </w:t>
      </w:r>
      <w:r w:rsidRPr="00170BBE">
        <w:rPr>
          <w:b/>
          <w:bCs/>
        </w:rPr>
        <w:t>Deontological Ethics</w:t>
      </w:r>
      <w:r w:rsidRPr="00170BBE">
        <w:t>. Each offers a distinct lens through which decisions can be evaluated and justified.</w:t>
      </w:r>
    </w:p>
    <w:p w14:paraId="742DAB62" w14:textId="77777777" w:rsidR="00170BBE" w:rsidRDefault="00170BBE" w:rsidP="00170BBE">
      <w:pPr>
        <w:rPr>
          <w:b/>
          <w:bCs/>
        </w:rPr>
      </w:pPr>
    </w:p>
    <w:p w14:paraId="7156D7B3" w14:textId="6AEF2A11" w:rsidR="00170BBE" w:rsidRDefault="00170BBE" w:rsidP="00170BBE">
      <w:r w:rsidRPr="00170BBE">
        <w:t>Equity Theory, developed by Adams (1965), argues that individuals assess fairness by comparing their inputs (effort, skills, experience) and outcomes (pay, recognition, opportunities) with those of others. Perceived inequity can lead to dissatisfaction, reduced motivation or withdrawal behaviours. CIPD highlights fairness and consistency as core components of ethical people practice, noting that employees are more engaged when they believe decisions are equitable (CIPD, 2021).</w:t>
      </w:r>
    </w:p>
    <w:p w14:paraId="4B0DC945" w14:textId="77777777" w:rsidR="00170BBE" w:rsidRPr="00170BBE" w:rsidRDefault="00170BBE" w:rsidP="00170BBE"/>
    <w:p w14:paraId="2B9DD8BA" w14:textId="77777777" w:rsidR="00170BBE" w:rsidRDefault="00170BBE" w:rsidP="00170BBE">
      <w:r w:rsidRPr="00170BBE">
        <w:t xml:space="preserve">At </w:t>
      </w:r>
      <w:proofErr w:type="spellStart"/>
      <w:r w:rsidRPr="00170BBE">
        <w:t>Technivara</w:t>
      </w:r>
      <w:proofErr w:type="spellEnd"/>
      <w:r w:rsidRPr="00170BBE">
        <w:t xml:space="preserve">, Equity Theory can guide decisions related to reward, performance management and workload distribution. For example, when allocating bonuses or promotions, managers can assess whether criteria are applied consistently and whether employees perceive outcomes as proportionate to their contributions. This approach helps </w:t>
      </w:r>
      <w:r w:rsidRPr="00170BBE">
        <w:lastRenderedPageBreak/>
        <w:t>prevent favouritism, unconscious bias and morale issues. Recent organisational behaviour research also shows that fairness perceptions strongly influence employee commitment and retention (Colquitt et al., 2021). By embedding equity considerations into decision</w:t>
      </w:r>
      <w:r w:rsidRPr="00170BBE">
        <w:noBreakHyphen/>
        <w:t xml:space="preserve">making, </w:t>
      </w:r>
      <w:proofErr w:type="spellStart"/>
      <w:r w:rsidRPr="00170BBE">
        <w:t>Technivara</w:t>
      </w:r>
      <w:proofErr w:type="spellEnd"/>
      <w:r w:rsidRPr="00170BBE">
        <w:t xml:space="preserve"> can strengthen trust and ensure that outcomes are both ethical and strategically effective.</w:t>
      </w:r>
    </w:p>
    <w:p w14:paraId="07D1FF5B" w14:textId="77777777" w:rsidR="00170BBE" w:rsidRPr="00170BBE" w:rsidRDefault="00170BBE" w:rsidP="00170BBE"/>
    <w:p w14:paraId="71CA7193" w14:textId="77777777" w:rsidR="00170BBE" w:rsidRDefault="00170BBE" w:rsidP="00170BBE">
      <w:r w:rsidRPr="00170BBE">
        <w:t>Deontological ethics, associated with Kant, focuses on duties, rules and moral principles rather than consequences. Decisions are considered ethical when they align with universal moral obligations such as honesty, respect and fairness (Kant, 1785). CIPD reinforces this principle by stating that ethical practitioners must act with integrity and uphold professional standards, even when doing so is difficult or unpopular (CIPD, 2021).</w:t>
      </w:r>
    </w:p>
    <w:p w14:paraId="1FC539CE" w14:textId="77777777" w:rsidR="00170BBE" w:rsidRPr="00170BBE" w:rsidRDefault="00170BBE" w:rsidP="00170BBE"/>
    <w:p w14:paraId="7E74108E" w14:textId="77777777" w:rsidR="00170BBE" w:rsidRPr="00170BBE" w:rsidRDefault="00170BBE" w:rsidP="00170BBE">
      <w:r w:rsidRPr="00170BBE">
        <w:t xml:space="preserve">At </w:t>
      </w:r>
      <w:proofErr w:type="spellStart"/>
      <w:r w:rsidRPr="00170BBE">
        <w:t>Technivara</w:t>
      </w:r>
      <w:proofErr w:type="spellEnd"/>
      <w:r w:rsidRPr="00170BBE">
        <w:t xml:space="preserve">, a deontological approach can guide decisions involving confidentiality, employee rights, compliance and organisational values. For instance, if a manager discovers a data breach, a deontological perspective </w:t>
      </w:r>
      <w:proofErr w:type="gramStart"/>
      <w:r w:rsidRPr="00170BBE">
        <w:t>would</w:t>
      </w:r>
      <w:proofErr w:type="gramEnd"/>
      <w:r w:rsidRPr="00170BBE">
        <w:t xml:space="preserve"> prioritise transparency and duty of care over concerns about reputational damage. Similarly, when addressing misconduct, decisions would be based on consistent application of policies rather than personal relationships or potential short</w:t>
      </w:r>
      <w:r w:rsidRPr="00170BBE">
        <w:noBreakHyphen/>
        <w:t>term gains. Contemporary ethics scholars argue that rule</w:t>
      </w:r>
      <w:r w:rsidRPr="00170BBE">
        <w:noBreakHyphen/>
        <w:t>based approaches help organisations maintain credibility and avoid ethical drift in high</w:t>
      </w:r>
      <w:r w:rsidRPr="00170BBE">
        <w:noBreakHyphen/>
        <w:t>pressure environments (Crane &amp; Matten, 2020).</w:t>
      </w:r>
    </w:p>
    <w:p w14:paraId="45AC170A" w14:textId="50D998D3" w:rsidR="00170BBE" w:rsidRPr="00170BBE" w:rsidRDefault="00170BBE" w:rsidP="00170BBE">
      <w:pPr>
        <w:rPr>
          <w:b/>
          <w:bCs/>
        </w:rPr>
      </w:pPr>
    </w:p>
    <w:p w14:paraId="75FCB36B" w14:textId="77777777" w:rsidR="00170BBE" w:rsidRPr="00170BBE" w:rsidRDefault="00170BBE" w:rsidP="00170BBE">
      <w:r w:rsidRPr="00170BBE">
        <w:t>Equity Theory and Deontological Ethics offer valuable frameworks for ethical decision</w:t>
      </w:r>
      <w:r w:rsidRPr="00170BBE">
        <w:noBreakHyphen/>
        <w:t xml:space="preserve">making at </w:t>
      </w:r>
      <w:proofErr w:type="spellStart"/>
      <w:r w:rsidRPr="00170BBE">
        <w:t>Technivara</w:t>
      </w:r>
      <w:proofErr w:type="spellEnd"/>
      <w:r w:rsidRPr="00170BBE">
        <w:t>. Equity Theory promotes fairness and employee engagement by ensuring that outcomes are proportionate and transparent, while deontological ethics ensures that decisions align with moral duties and organisational values. Together, these perspectives support ethical, consistent and trustworthy decision</w:t>
      </w:r>
      <w:r w:rsidRPr="00170BBE">
        <w:noBreakHyphen/>
        <w:t>making across the organisation.</w:t>
      </w:r>
    </w:p>
    <w:p w14:paraId="1A5DAA77" w14:textId="77777777" w:rsidR="00051AA7" w:rsidRDefault="00051AA7"/>
    <w:p w14:paraId="2EEBC2E0" w14:textId="77777777" w:rsidR="00051AA7" w:rsidRDefault="00051AA7"/>
    <w:p w14:paraId="7DC83316" w14:textId="77777777" w:rsidR="00051AA7" w:rsidRDefault="00051AA7"/>
    <w:p w14:paraId="3B990EEE" w14:textId="5D0CE1D4" w:rsidR="00051AA7" w:rsidRDefault="00170BBE">
      <w:r>
        <w:t xml:space="preserve">AC </w:t>
      </w:r>
      <w:r w:rsidR="00811D0E">
        <w:t>3.1</w:t>
      </w:r>
    </w:p>
    <w:p w14:paraId="1782E762" w14:textId="77777777" w:rsidR="00811D0E" w:rsidRDefault="00811D0E" w:rsidP="00811D0E">
      <w:pPr>
        <w:rPr>
          <w:b/>
          <w:bCs/>
        </w:rPr>
      </w:pPr>
    </w:p>
    <w:p w14:paraId="1FD67D84" w14:textId="7F05AB20" w:rsidR="00811D0E" w:rsidRPr="00811D0E" w:rsidRDefault="00811D0E" w:rsidP="00811D0E">
      <w:r w:rsidRPr="00811D0E">
        <w:t xml:space="preserve">Measuring organisational performance is essential for </w:t>
      </w:r>
      <w:proofErr w:type="spellStart"/>
      <w:r w:rsidRPr="00811D0E">
        <w:t>Technivara</w:t>
      </w:r>
      <w:proofErr w:type="spellEnd"/>
      <w:r w:rsidRPr="00811D0E">
        <w:t xml:space="preserve"> to make informed decisions, allocate resources effectively and ensure long</w:t>
      </w:r>
      <w:r w:rsidRPr="00811D0E">
        <w:noBreakHyphen/>
        <w:t>term sustainability. The CIPD emphasises that organisations should use a balanced set of financial and non</w:t>
      </w:r>
      <w:r w:rsidRPr="00811D0E">
        <w:noBreakHyphen/>
        <w:t>financial indicators to gain a comprehensive understanding of performance and avoid over</w:t>
      </w:r>
      <w:r w:rsidRPr="00811D0E">
        <w:noBreakHyphen/>
        <w:t xml:space="preserve">reliance on purely monetary measures (CIPD, 2020). This essay appraises two such approaches: </w:t>
      </w:r>
      <w:r w:rsidRPr="00811D0E">
        <w:rPr>
          <w:b/>
          <w:bCs/>
        </w:rPr>
        <w:t>operating profit</w:t>
      </w:r>
      <w:r w:rsidRPr="00811D0E">
        <w:t xml:space="preserve"> as a financial measure and </w:t>
      </w:r>
      <w:r w:rsidRPr="00811D0E">
        <w:rPr>
          <w:b/>
          <w:bCs/>
        </w:rPr>
        <w:t>employee turnover rate</w:t>
      </w:r>
      <w:r w:rsidRPr="00811D0E">
        <w:t xml:space="preserve"> as a non</w:t>
      </w:r>
      <w:r w:rsidRPr="00811D0E">
        <w:noBreakHyphen/>
        <w:t xml:space="preserve">financial measure, each illustrated with an example relevant to </w:t>
      </w:r>
      <w:proofErr w:type="spellStart"/>
      <w:r w:rsidRPr="00811D0E">
        <w:t>Technivara</w:t>
      </w:r>
      <w:proofErr w:type="spellEnd"/>
      <w:r w:rsidRPr="00811D0E">
        <w:t>.</w:t>
      </w:r>
    </w:p>
    <w:p w14:paraId="1A11E8B0" w14:textId="77777777" w:rsidR="00811D0E" w:rsidRPr="00811D0E" w:rsidRDefault="00811D0E" w:rsidP="00811D0E">
      <w:pPr>
        <w:rPr>
          <w:b/>
          <w:bCs/>
        </w:rPr>
      </w:pPr>
    </w:p>
    <w:p w14:paraId="695DCDC5" w14:textId="77777777" w:rsidR="00811D0E" w:rsidRPr="00811D0E" w:rsidRDefault="00811D0E" w:rsidP="00811D0E">
      <w:r w:rsidRPr="00811D0E">
        <w:t>Operating profit is a key financial indicator that reflects the profitability of an organisation’s core activities before interest and tax. It provides insight into operational efficiency, cost management and the effectiveness of revenue</w:t>
      </w:r>
      <w:r w:rsidRPr="00811D0E">
        <w:noBreakHyphen/>
        <w:t>generating activities. Drury (2021) notes that operating profit is particularly valuable because it isolates performance from external financial factors, allowing leaders to assess how well the business model itself is functioning.</w:t>
      </w:r>
    </w:p>
    <w:p w14:paraId="4EABFB66" w14:textId="77777777" w:rsidR="00811D0E" w:rsidRPr="00811D0E" w:rsidRDefault="00811D0E" w:rsidP="00811D0E">
      <w:r w:rsidRPr="00811D0E">
        <w:t xml:space="preserve">For </w:t>
      </w:r>
      <w:proofErr w:type="spellStart"/>
      <w:r w:rsidRPr="00811D0E">
        <w:t>Technivara</w:t>
      </w:r>
      <w:proofErr w:type="spellEnd"/>
      <w:r w:rsidRPr="00811D0E">
        <w:t xml:space="preserve">, monitoring operating profit could help evaluate the financial performance of different service lines, such as software development, consultancy or technical support. For example, if </w:t>
      </w:r>
      <w:proofErr w:type="spellStart"/>
      <w:r w:rsidRPr="00811D0E">
        <w:t>Technivara</w:t>
      </w:r>
      <w:proofErr w:type="spellEnd"/>
      <w:r w:rsidRPr="00811D0E">
        <w:t xml:space="preserve"> launches a new cloud</w:t>
      </w:r>
      <w:r w:rsidRPr="00811D0E">
        <w:noBreakHyphen/>
        <w:t>based service, tracking its operating profit over the first 12 months would reveal whether the service is generating sufficient revenue to cover staffing, infrastructure and development costs. CIPD highlights that financial metrics like operating profit support evidence</w:t>
      </w:r>
      <w:r w:rsidRPr="00811D0E">
        <w:noBreakHyphen/>
        <w:t>based decision</w:t>
      </w:r>
      <w:r w:rsidRPr="00811D0E">
        <w:noBreakHyphen/>
        <w:t xml:space="preserve">making by providing objective data that can guide investment, pricing and resource allocation (CIPD, 2020). This ensures that </w:t>
      </w:r>
      <w:proofErr w:type="spellStart"/>
      <w:r w:rsidRPr="00811D0E">
        <w:t>Technivara</w:t>
      </w:r>
      <w:proofErr w:type="spellEnd"/>
      <w:r w:rsidRPr="00811D0E">
        <w:t xml:space="preserve"> remains financially resilient while pursuing innovation.</w:t>
      </w:r>
    </w:p>
    <w:p w14:paraId="112978A2" w14:textId="77777777" w:rsidR="00811D0E" w:rsidRPr="00811D0E" w:rsidRDefault="00811D0E" w:rsidP="00811D0E">
      <w:pPr>
        <w:rPr>
          <w:b/>
          <w:bCs/>
        </w:rPr>
      </w:pPr>
    </w:p>
    <w:p w14:paraId="2503E1C5" w14:textId="77777777" w:rsidR="00811D0E" w:rsidRDefault="00811D0E" w:rsidP="00811D0E">
      <w:r w:rsidRPr="00811D0E">
        <w:t>Non</w:t>
      </w:r>
      <w:r w:rsidRPr="00811D0E">
        <w:noBreakHyphen/>
        <w:t xml:space="preserve">financial indicators capture qualitative aspects of organisational performance that </w:t>
      </w:r>
      <w:r w:rsidRPr="00811D0E">
        <w:lastRenderedPageBreak/>
        <w:t>influence long</w:t>
      </w:r>
      <w:r w:rsidRPr="00811D0E">
        <w:noBreakHyphen/>
        <w:t>term success. Employee turnover rate is a critical measure of workforce stability, organisational culture and employee satisfaction. High turnover can signal issues such as poor leadership, inadequate development opportunities or excessive workload. CIPD stresses that monitoring people</w:t>
      </w:r>
      <w:r w:rsidRPr="00811D0E">
        <w:noBreakHyphen/>
        <w:t>related metrics is essential for understanding organisational health and improving performance outcomes (CIPD, 2021).</w:t>
      </w:r>
    </w:p>
    <w:p w14:paraId="29E0AC62" w14:textId="77777777" w:rsidR="00811D0E" w:rsidRPr="00811D0E" w:rsidRDefault="00811D0E" w:rsidP="00811D0E"/>
    <w:p w14:paraId="20F900C2" w14:textId="4D15BF70" w:rsidR="00811D0E" w:rsidRDefault="00811D0E" w:rsidP="00811D0E">
      <w:proofErr w:type="spellStart"/>
      <w:r w:rsidRPr="00811D0E">
        <w:t>Technivara</w:t>
      </w:r>
      <w:proofErr w:type="spellEnd"/>
      <w:r w:rsidRPr="00811D0E">
        <w:t xml:space="preserve"> could measure turnover by calculating the percentage of employees who leave within a given period and analysing patterns across departments or job roles. For example, if turnover among software engineers rises significantly, this may indicate competitive market pressures or internal issues such as limited career progression. Research by Armstrong and Taylor (2023) shows that reducing turnover improves productivity, reduces recruitment costs and strengthens organisational capability. By acting on turnover insights—such as enhancing development pathways or improving workload balance—</w:t>
      </w:r>
      <w:proofErr w:type="spellStart"/>
      <w:r w:rsidRPr="00811D0E">
        <w:t>Technivara</w:t>
      </w:r>
      <w:proofErr w:type="spellEnd"/>
      <w:r w:rsidRPr="00811D0E">
        <w:t xml:space="preserve"> can strengthen retention and maintain a skilled, motivated </w:t>
      </w:r>
      <w:proofErr w:type="gramStart"/>
      <w:r w:rsidRPr="00811D0E">
        <w:t>workforce.</w:t>
      </w:r>
      <w:r>
        <w:t>#</w:t>
      </w:r>
      <w:proofErr w:type="gramEnd"/>
    </w:p>
    <w:p w14:paraId="6EFB89BD" w14:textId="77777777" w:rsidR="00811D0E" w:rsidRPr="00811D0E" w:rsidRDefault="00811D0E" w:rsidP="00811D0E"/>
    <w:p w14:paraId="697E00E0" w14:textId="77777777" w:rsidR="00811D0E" w:rsidRPr="00811D0E" w:rsidRDefault="00811D0E" w:rsidP="00811D0E">
      <w:r w:rsidRPr="00811D0E">
        <w:t>Using both financial and non</w:t>
      </w:r>
      <w:r w:rsidRPr="00811D0E">
        <w:noBreakHyphen/>
        <w:t xml:space="preserve">financial performance measures enables </w:t>
      </w:r>
      <w:proofErr w:type="spellStart"/>
      <w:r w:rsidRPr="00811D0E">
        <w:t>Technivara</w:t>
      </w:r>
      <w:proofErr w:type="spellEnd"/>
      <w:r w:rsidRPr="00811D0E">
        <w:t xml:space="preserve"> to build a balanced and accurate picture of organisational effectiveness. Operating profit provides essential insight into financial efficiency and the viability of core services, while employee turnover rate highlights people</w:t>
      </w:r>
      <w:r w:rsidRPr="00811D0E">
        <w:noBreakHyphen/>
        <w:t>related factors that influence long</w:t>
      </w:r>
      <w:r w:rsidRPr="00811D0E">
        <w:noBreakHyphen/>
        <w:t>term performance. Together, these measures support evidence</w:t>
      </w:r>
      <w:r w:rsidRPr="00811D0E">
        <w:noBreakHyphen/>
        <w:t>based decision</w:t>
      </w:r>
      <w:r w:rsidRPr="00811D0E">
        <w:noBreakHyphen/>
        <w:t xml:space="preserve">making and help </w:t>
      </w:r>
      <w:proofErr w:type="spellStart"/>
      <w:r w:rsidRPr="00811D0E">
        <w:t>Technivara</w:t>
      </w:r>
      <w:proofErr w:type="spellEnd"/>
      <w:r w:rsidRPr="00811D0E">
        <w:t xml:space="preserve"> achieve sustainable organisational success.</w:t>
      </w:r>
    </w:p>
    <w:p w14:paraId="285B2963" w14:textId="77777777" w:rsidR="00811D0E" w:rsidRDefault="00811D0E"/>
    <w:p w14:paraId="0AA34BA3" w14:textId="1A653BF7" w:rsidR="00811D0E" w:rsidRDefault="00811D0E">
      <w:r>
        <w:t>AC 3.2</w:t>
      </w:r>
    </w:p>
    <w:p w14:paraId="1DA8D2EE" w14:textId="77777777" w:rsidR="00811D0E" w:rsidRDefault="00811D0E"/>
    <w:p w14:paraId="32FB6A10" w14:textId="77777777" w:rsidR="00811D0E" w:rsidRDefault="00811D0E" w:rsidP="00811D0E">
      <w:r w:rsidRPr="00811D0E">
        <w:t xml:space="preserve">Effective people practices are central to organisational success, and </w:t>
      </w:r>
      <w:proofErr w:type="spellStart"/>
      <w:r w:rsidRPr="00811D0E">
        <w:t>Technivara</w:t>
      </w:r>
      <w:proofErr w:type="spellEnd"/>
      <w:r w:rsidRPr="00811D0E">
        <w:t xml:space="preserve"> can gain significant value by investing in approaches that enhance capability, engagement and performance. The CIPD emphasises that people practices contribute to organisational value by improving productivity, strengthening culture and supporting long</w:t>
      </w:r>
      <w:r w:rsidRPr="00811D0E">
        <w:noBreakHyphen/>
        <w:t xml:space="preserve">term sustainability (CIPD, 2021). By aligning people initiatives with business goals, </w:t>
      </w:r>
      <w:proofErr w:type="spellStart"/>
      <w:r w:rsidRPr="00811D0E">
        <w:t>Technivara</w:t>
      </w:r>
      <w:proofErr w:type="spellEnd"/>
      <w:r w:rsidRPr="00811D0E">
        <w:t xml:space="preserve"> can create a workforce that is skilled, motivated and adaptable.</w:t>
      </w:r>
    </w:p>
    <w:p w14:paraId="056F156A" w14:textId="77777777" w:rsidR="00811D0E" w:rsidRPr="00811D0E" w:rsidRDefault="00811D0E" w:rsidP="00811D0E"/>
    <w:p w14:paraId="7220BDAD" w14:textId="77777777" w:rsidR="00811D0E" w:rsidRDefault="00811D0E" w:rsidP="00811D0E">
      <w:r w:rsidRPr="00811D0E">
        <w:t xml:space="preserve">One </w:t>
      </w:r>
      <w:proofErr w:type="gramStart"/>
      <w:r w:rsidRPr="00811D0E">
        <w:t>key way</w:t>
      </w:r>
      <w:proofErr w:type="gramEnd"/>
      <w:r w:rsidRPr="00811D0E">
        <w:t xml:space="preserve"> people practices add value is through </w:t>
      </w:r>
      <w:r w:rsidRPr="00811D0E">
        <w:rPr>
          <w:b/>
          <w:bCs/>
        </w:rPr>
        <w:t>talent development</w:t>
      </w:r>
      <w:r w:rsidRPr="00811D0E">
        <w:t xml:space="preserve">. Providing structured learning opportunities, coaching and career pathways helps employees build the skills needed to meet evolving business demands. Armstrong and Taylor (2023) argue that organisations that prioritise development experience higher performance and stronger retention because employees feel supported and valued. For </w:t>
      </w:r>
      <w:proofErr w:type="spellStart"/>
      <w:r w:rsidRPr="00811D0E">
        <w:t>Technivara</w:t>
      </w:r>
      <w:proofErr w:type="spellEnd"/>
      <w:r w:rsidRPr="00811D0E">
        <w:t>, investing in digital skills training or leadership development programmes would not only enhance capability but also support innovation and service quality. This contributes directly to competitive advantage in a technology</w:t>
      </w:r>
      <w:r w:rsidRPr="00811D0E">
        <w:noBreakHyphen/>
        <w:t>driven environment.</w:t>
      </w:r>
    </w:p>
    <w:p w14:paraId="22012F07" w14:textId="77777777" w:rsidR="00811D0E" w:rsidRPr="00811D0E" w:rsidRDefault="00811D0E" w:rsidP="00811D0E"/>
    <w:p w14:paraId="6D199C31" w14:textId="77777777" w:rsidR="00811D0E" w:rsidRDefault="00811D0E" w:rsidP="00811D0E">
      <w:r w:rsidRPr="00811D0E">
        <w:t xml:space="preserve">Another way people practices add value is through </w:t>
      </w:r>
      <w:r w:rsidRPr="00811D0E">
        <w:rPr>
          <w:b/>
          <w:bCs/>
        </w:rPr>
        <w:t>employee engagement initiatives</w:t>
      </w:r>
      <w:r w:rsidRPr="00811D0E">
        <w:t xml:space="preserve">. Engagement is strongly linked to discretionary effort, customer satisfaction and organisational performance. CIPD highlights that engaged employees are more committed, productive and resilient, making engagement a critical driver of organisational success (CIPD, 2021). At </w:t>
      </w:r>
      <w:proofErr w:type="spellStart"/>
      <w:r w:rsidRPr="00811D0E">
        <w:t>Technivara</w:t>
      </w:r>
      <w:proofErr w:type="spellEnd"/>
      <w:r w:rsidRPr="00811D0E">
        <w:t>, practices such as recognition schemes, wellbeing support and inclusive communication channels can strengthen engagement and create a positive working environment. Research by Saks (2019) reinforces that engagement initiatives reduce turnover and improve organisational citizenship behaviours, both of which add measurable value.</w:t>
      </w:r>
    </w:p>
    <w:p w14:paraId="1B7DAD0B" w14:textId="77777777" w:rsidR="00811D0E" w:rsidRPr="00811D0E" w:rsidRDefault="00811D0E" w:rsidP="00811D0E"/>
    <w:p w14:paraId="0A89F7DE" w14:textId="77777777" w:rsidR="00811D0E" w:rsidRDefault="00811D0E" w:rsidP="00811D0E">
      <w:r w:rsidRPr="00811D0E">
        <w:t xml:space="preserve">To ensure these people practices are effective, </w:t>
      </w:r>
      <w:proofErr w:type="spellStart"/>
      <w:r w:rsidRPr="00811D0E">
        <w:t>Technivara</w:t>
      </w:r>
      <w:proofErr w:type="spellEnd"/>
      <w:r w:rsidRPr="00811D0E">
        <w:t xml:space="preserve"> must measure their impact using reliable methods. One useful method is </w:t>
      </w:r>
      <w:r w:rsidRPr="00811D0E">
        <w:rPr>
          <w:b/>
          <w:bCs/>
        </w:rPr>
        <w:t>employee engagement surveys</w:t>
      </w:r>
      <w:r w:rsidRPr="00811D0E">
        <w:t>. These provide quantitative and qualitative data on how employees feel about their work, leadership and organisational culture. CIPD notes that engagement surveys help organisations identify strengths and areas for improvement, enabling evidence</w:t>
      </w:r>
      <w:r w:rsidRPr="00811D0E">
        <w:noBreakHyphen/>
        <w:t xml:space="preserve">based decisions about people </w:t>
      </w:r>
      <w:r w:rsidRPr="00811D0E">
        <w:lastRenderedPageBreak/>
        <w:t xml:space="preserve">practices (CIPD, 2020). For example, if </w:t>
      </w:r>
      <w:proofErr w:type="spellStart"/>
      <w:r w:rsidRPr="00811D0E">
        <w:t>Technivara</w:t>
      </w:r>
      <w:proofErr w:type="spellEnd"/>
      <w:r w:rsidRPr="00811D0E">
        <w:t xml:space="preserve"> introduces a new wellbeing programme, engagement survey results can reveal whether employees feel more supported and whether morale has improved.</w:t>
      </w:r>
    </w:p>
    <w:p w14:paraId="26126D14" w14:textId="77777777" w:rsidR="00811D0E" w:rsidRPr="00811D0E" w:rsidRDefault="00811D0E" w:rsidP="00811D0E"/>
    <w:p w14:paraId="3A594C3E" w14:textId="2C6B6D16" w:rsidR="00811D0E" w:rsidRDefault="00811D0E" w:rsidP="00811D0E">
      <w:r w:rsidRPr="00811D0E">
        <w:t xml:space="preserve">A second method is </w:t>
      </w:r>
      <w:r w:rsidRPr="00811D0E">
        <w:rPr>
          <w:b/>
          <w:bCs/>
        </w:rPr>
        <w:t>performance metrics linked to learning and development</w:t>
      </w:r>
      <w:r w:rsidRPr="00811D0E">
        <w:t xml:space="preserve">, such as tracking improvements in productivity, quality or skills acquisition following training interventions. According to Gold, Thorpe and Mumford (2019), evaluating learning outcomes is essential for determining whether development activities translate into improved performance. </w:t>
      </w:r>
      <w:proofErr w:type="spellStart"/>
      <w:r w:rsidRPr="00811D0E">
        <w:t>Technivara</w:t>
      </w:r>
      <w:proofErr w:type="spellEnd"/>
      <w:r w:rsidRPr="00811D0E">
        <w:t xml:space="preserve"> could measure the impact of a technical training programme by assessing error rates, project delivery times or customer satisfaction before and after the intervention. This provides clear evidence of whether people practices are contributing to operational effectiveness.</w:t>
      </w:r>
    </w:p>
    <w:p w14:paraId="54C4CC4E" w14:textId="77777777" w:rsidR="00811D0E" w:rsidRPr="00811D0E" w:rsidRDefault="00811D0E" w:rsidP="00811D0E"/>
    <w:p w14:paraId="0ECEC0AA" w14:textId="77777777" w:rsidR="00811D0E" w:rsidRPr="00811D0E" w:rsidRDefault="00811D0E" w:rsidP="00811D0E">
      <w:r w:rsidRPr="00811D0E">
        <w:t xml:space="preserve">People practices add value at </w:t>
      </w:r>
      <w:proofErr w:type="spellStart"/>
      <w:r w:rsidRPr="00811D0E">
        <w:t>Technivara</w:t>
      </w:r>
      <w:proofErr w:type="spellEnd"/>
      <w:r w:rsidRPr="00811D0E">
        <w:t xml:space="preserve"> by enhancing capability, strengthening engagement and supporting organisational performance. By measuring their impact through engagement surveys and performance</w:t>
      </w:r>
      <w:r w:rsidRPr="00811D0E">
        <w:noBreakHyphen/>
        <w:t xml:space="preserve">related learning metrics, </w:t>
      </w:r>
      <w:proofErr w:type="spellStart"/>
      <w:r w:rsidRPr="00811D0E">
        <w:t>Technivara</w:t>
      </w:r>
      <w:proofErr w:type="spellEnd"/>
      <w:r w:rsidRPr="00811D0E">
        <w:t xml:space="preserve"> can ensure that its people initiatives are evidence</w:t>
      </w:r>
      <w:r w:rsidRPr="00811D0E">
        <w:noBreakHyphen/>
        <w:t>based, strategically aligned and delivering meaningful value.</w:t>
      </w:r>
    </w:p>
    <w:p w14:paraId="5A949730" w14:textId="77777777" w:rsidR="00811D0E" w:rsidRDefault="00811D0E"/>
    <w:p w14:paraId="5AE71938" w14:textId="77777777" w:rsidR="00811D0E" w:rsidRDefault="00811D0E"/>
    <w:p w14:paraId="3C9F26FB" w14:textId="77777777" w:rsidR="00811D0E" w:rsidRDefault="00811D0E"/>
    <w:p w14:paraId="69B02637" w14:textId="77777777" w:rsidR="00051AA7" w:rsidRDefault="00051AA7"/>
    <w:p w14:paraId="76E5E093" w14:textId="77777777" w:rsidR="00051AA7" w:rsidRDefault="00051AA7"/>
    <w:p w14:paraId="5B31B224" w14:textId="77777777" w:rsidR="00051AA7" w:rsidRDefault="00051AA7"/>
    <w:p w14:paraId="01624C30" w14:textId="6BE56A73" w:rsidR="00051AA7" w:rsidRPr="00051AA7" w:rsidRDefault="00051AA7" w:rsidP="00051AA7">
      <w:pPr>
        <w:jc w:val="center"/>
        <w:rPr>
          <w:u w:val="single"/>
        </w:rPr>
      </w:pPr>
      <w:r w:rsidRPr="00051AA7">
        <w:rPr>
          <w:u w:val="single"/>
        </w:rPr>
        <w:t>Task 2</w:t>
      </w:r>
    </w:p>
    <w:p w14:paraId="0639E261" w14:textId="77777777" w:rsidR="00051AA7" w:rsidRPr="00051AA7" w:rsidRDefault="00051AA7">
      <w:pPr>
        <w:rPr>
          <w:u w:val="single"/>
        </w:rPr>
      </w:pPr>
    </w:p>
    <w:p w14:paraId="3A137942" w14:textId="17417B16" w:rsidR="00051AA7" w:rsidRPr="00051AA7" w:rsidRDefault="00051AA7">
      <w:pPr>
        <w:rPr>
          <w:u w:val="single"/>
        </w:rPr>
      </w:pPr>
      <w:r w:rsidRPr="00051AA7">
        <w:rPr>
          <w:u w:val="single"/>
        </w:rPr>
        <w:t>AC 2.</w:t>
      </w:r>
      <w:r w:rsidR="00693302">
        <w:rPr>
          <w:u w:val="single"/>
        </w:rPr>
        <w:t>1</w:t>
      </w:r>
    </w:p>
    <w:p w14:paraId="4D3D88C8" w14:textId="77777777" w:rsidR="00051AA7" w:rsidRDefault="00051AA7"/>
    <w:p w14:paraId="5EC2F51E" w14:textId="0BF2885D" w:rsidR="00051AA7" w:rsidRDefault="00051AA7">
      <w:r w:rsidRPr="00051AA7">
        <w:rPr>
          <w:noProof/>
        </w:rPr>
        <w:drawing>
          <wp:inline distT="0" distB="0" distL="0" distR="0" wp14:anchorId="726614D9" wp14:editId="564ABD06">
            <wp:extent cx="5403850" cy="3570886"/>
            <wp:effectExtent l="0" t="0" r="6350" b="0"/>
            <wp:docPr id="1775802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02055" name=""/>
                    <pic:cNvPicPr/>
                  </pic:nvPicPr>
                  <pic:blipFill>
                    <a:blip r:embed="rId5"/>
                    <a:stretch>
                      <a:fillRect/>
                    </a:stretch>
                  </pic:blipFill>
                  <pic:spPr>
                    <a:xfrm>
                      <a:off x="0" y="0"/>
                      <a:ext cx="5412428" cy="3576554"/>
                    </a:xfrm>
                    <a:prstGeom prst="rect">
                      <a:avLst/>
                    </a:prstGeom>
                  </pic:spPr>
                </pic:pic>
              </a:graphicData>
            </a:graphic>
          </wp:inline>
        </w:drawing>
      </w:r>
    </w:p>
    <w:p w14:paraId="6CD34A12" w14:textId="77777777" w:rsidR="0025539C" w:rsidRDefault="0025539C"/>
    <w:p w14:paraId="677469ED" w14:textId="77777777" w:rsidR="0025539C" w:rsidRDefault="0025539C"/>
    <w:p w14:paraId="2E548B07" w14:textId="77777777" w:rsidR="00693302" w:rsidRDefault="00693302">
      <w:pPr>
        <w:rPr>
          <w:u w:val="single"/>
        </w:rPr>
      </w:pPr>
    </w:p>
    <w:p w14:paraId="7C0A97C6" w14:textId="77777777" w:rsidR="00693302" w:rsidRDefault="00693302">
      <w:pPr>
        <w:rPr>
          <w:u w:val="single"/>
        </w:rPr>
      </w:pPr>
    </w:p>
    <w:p w14:paraId="30AC3E16" w14:textId="7C664FA6" w:rsidR="0025539C" w:rsidRPr="00693302" w:rsidRDefault="00693302">
      <w:pPr>
        <w:rPr>
          <w:u w:val="single"/>
        </w:rPr>
      </w:pPr>
      <w:r w:rsidRPr="00693302">
        <w:rPr>
          <w:u w:val="single"/>
        </w:rPr>
        <w:lastRenderedPageBreak/>
        <w:t>AC 2.2</w:t>
      </w:r>
    </w:p>
    <w:p w14:paraId="76E16F30" w14:textId="77777777" w:rsidR="0025539C" w:rsidRDefault="0025539C"/>
    <w:p w14:paraId="070DA0D4" w14:textId="4EA32C4A" w:rsidR="0025539C" w:rsidRDefault="0025539C">
      <w:r w:rsidRPr="0025539C">
        <w:rPr>
          <w:noProof/>
        </w:rPr>
        <w:drawing>
          <wp:inline distT="0" distB="0" distL="0" distR="0" wp14:anchorId="64E6EAEC" wp14:editId="09CF49FC">
            <wp:extent cx="4902452" cy="2533780"/>
            <wp:effectExtent l="0" t="0" r="0" b="0"/>
            <wp:docPr id="941116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16568" name=""/>
                    <pic:cNvPicPr/>
                  </pic:nvPicPr>
                  <pic:blipFill>
                    <a:blip r:embed="rId6"/>
                    <a:stretch>
                      <a:fillRect/>
                    </a:stretch>
                  </pic:blipFill>
                  <pic:spPr>
                    <a:xfrm>
                      <a:off x="0" y="0"/>
                      <a:ext cx="4902452" cy="2533780"/>
                    </a:xfrm>
                    <a:prstGeom prst="rect">
                      <a:avLst/>
                    </a:prstGeom>
                  </pic:spPr>
                </pic:pic>
              </a:graphicData>
            </a:graphic>
          </wp:inline>
        </w:drawing>
      </w:r>
    </w:p>
    <w:p w14:paraId="30F3DE59" w14:textId="77777777" w:rsidR="0025539C" w:rsidRDefault="0025539C"/>
    <w:p w14:paraId="7224B284" w14:textId="77777777" w:rsidR="0025539C" w:rsidRDefault="0025539C"/>
    <w:p w14:paraId="57F67980" w14:textId="77777777" w:rsidR="0025539C" w:rsidRDefault="0025539C"/>
    <w:p w14:paraId="08CC017E" w14:textId="1919110D" w:rsidR="0025539C" w:rsidRDefault="00693302">
      <w:r w:rsidRPr="00693302">
        <w:rPr>
          <w:noProof/>
        </w:rPr>
        <w:drawing>
          <wp:inline distT="0" distB="0" distL="0" distR="0" wp14:anchorId="71AFF091" wp14:editId="05ACEA82">
            <wp:extent cx="5372376" cy="3016405"/>
            <wp:effectExtent l="0" t="0" r="0" b="0"/>
            <wp:docPr id="329297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97917" name=""/>
                    <pic:cNvPicPr/>
                  </pic:nvPicPr>
                  <pic:blipFill>
                    <a:blip r:embed="rId7"/>
                    <a:stretch>
                      <a:fillRect/>
                    </a:stretch>
                  </pic:blipFill>
                  <pic:spPr>
                    <a:xfrm>
                      <a:off x="0" y="0"/>
                      <a:ext cx="5372376" cy="3016405"/>
                    </a:xfrm>
                    <a:prstGeom prst="rect">
                      <a:avLst/>
                    </a:prstGeom>
                  </pic:spPr>
                </pic:pic>
              </a:graphicData>
            </a:graphic>
          </wp:inline>
        </w:drawing>
      </w:r>
    </w:p>
    <w:p w14:paraId="6F85C2D2" w14:textId="77777777" w:rsidR="00693302" w:rsidRDefault="00693302"/>
    <w:p w14:paraId="1F150307" w14:textId="77777777" w:rsidR="00693302" w:rsidRDefault="00693302"/>
    <w:p w14:paraId="231FD706" w14:textId="77777777" w:rsidR="00693302" w:rsidRDefault="00693302"/>
    <w:p w14:paraId="736D585B" w14:textId="1F4834D1" w:rsidR="00693302" w:rsidRDefault="00693302">
      <w:r w:rsidRPr="00693302">
        <w:rPr>
          <w:noProof/>
        </w:rPr>
        <w:lastRenderedPageBreak/>
        <w:drawing>
          <wp:inline distT="0" distB="0" distL="0" distR="0" wp14:anchorId="301EF0E5" wp14:editId="2E0C5929">
            <wp:extent cx="5207268" cy="2457576"/>
            <wp:effectExtent l="0" t="0" r="0" b="0"/>
            <wp:docPr id="1726769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769341" name=""/>
                    <pic:cNvPicPr/>
                  </pic:nvPicPr>
                  <pic:blipFill>
                    <a:blip r:embed="rId8"/>
                    <a:stretch>
                      <a:fillRect/>
                    </a:stretch>
                  </pic:blipFill>
                  <pic:spPr>
                    <a:xfrm>
                      <a:off x="0" y="0"/>
                      <a:ext cx="5207268" cy="2457576"/>
                    </a:xfrm>
                    <a:prstGeom prst="rect">
                      <a:avLst/>
                    </a:prstGeom>
                  </pic:spPr>
                </pic:pic>
              </a:graphicData>
            </a:graphic>
          </wp:inline>
        </w:drawing>
      </w:r>
    </w:p>
    <w:p w14:paraId="6773FD3D" w14:textId="77777777" w:rsidR="00256D46" w:rsidRDefault="00256D46"/>
    <w:p w14:paraId="594D267C" w14:textId="77777777" w:rsidR="00256D46" w:rsidRDefault="00256D46"/>
    <w:p w14:paraId="0C6F0390" w14:textId="77777777" w:rsidR="00256D46" w:rsidRDefault="00256D46"/>
    <w:p w14:paraId="038631AE" w14:textId="77777777" w:rsidR="00256D46" w:rsidRDefault="00256D46"/>
    <w:p w14:paraId="1C7E7764" w14:textId="77777777" w:rsidR="00256D46" w:rsidRDefault="00256D46"/>
    <w:sectPr w:rsidR="00256D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2338B"/>
    <w:multiLevelType w:val="multilevel"/>
    <w:tmpl w:val="5262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842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FCB"/>
    <w:rsid w:val="00051AA7"/>
    <w:rsid w:val="000A410A"/>
    <w:rsid w:val="000D3106"/>
    <w:rsid w:val="00170BBE"/>
    <w:rsid w:val="001876DF"/>
    <w:rsid w:val="001907DB"/>
    <w:rsid w:val="0025539C"/>
    <w:rsid w:val="00256D46"/>
    <w:rsid w:val="002F2715"/>
    <w:rsid w:val="00320F45"/>
    <w:rsid w:val="0033350E"/>
    <w:rsid w:val="00453FCB"/>
    <w:rsid w:val="00535CE2"/>
    <w:rsid w:val="006415D1"/>
    <w:rsid w:val="00693302"/>
    <w:rsid w:val="006B6FA4"/>
    <w:rsid w:val="00811D0E"/>
    <w:rsid w:val="00822E1E"/>
    <w:rsid w:val="00B57519"/>
    <w:rsid w:val="00BE6764"/>
    <w:rsid w:val="00E00CDA"/>
    <w:rsid w:val="00F36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B0DBD"/>
  <w15:chartTrackingRefBased/>
  <w15:docId w15:val="{D18E448A-1373-4288-B6C9-FB9AD5B2F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FCB"/>
    <w:pPr>
      <w:widowControl w:val="0"/>
      <w:autoSpaceDE w:val="0"/>
      <w:autoSpaceDN w:val="0"/>
      <w:spacing w:after="0" w:line="240"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453FCB"/>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53FCB"/>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53FCB"/>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53FCB"/>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53FCB"/>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53FCB"/>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53FCB"/>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53FCB"/>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53FCB"/>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F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F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F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F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F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FCB"/>
    <w:rPr>
      <w:rFonts w:eastAsiaTheme="majorEastAsia" w:cstheme="majorBidi"/>
      <w:color w:val="272727" w:themeColor="text1" w:themeTint="D8"/>
    </w:rPr>
  </w:style>
  <w:style w:type="paragraph" w:styleId="Title">
    <w:name w:val="Title"/>
    <w:basedOn w:val="Normal"/>
    <w:next w:val="Normal"/>
    <w:link w:val="TitleChar"/>
    <w:uiPriority w:val="10"/>
    <w:qFormat/>
    <w:rsid w:val="00453FCB"/>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53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FCB"/>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53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FCB"/>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53FCB"/>
    <w:rPr>
      <w:i/>
      <w:iCs/>
      <w:color w:val="404040" w:themeColor="text1" w:themeTint="BF"/>
    </w:rPr>
  </w:style>
  <w:style w:type="paragraph" w:styleId="ListParagraph">
    <w:name w:val="List Paragraph"/>
    <w:basedOn w:val="Normal"/>
    <w:uiPriority w:val="34"/>
    <w:qFormat/>
    <w:rsid w:val="00453FCB"/>
    <w:pPr>
      <w:widowControl/>
      <w:autoSpaceDE/>
      <w:autoSpaceDN/>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453FCB"/>
    <w:rPr>
      <w:i/>
      <w:iCs/>
      <w:color w:val="0F4761" w:themeColor="accent1" w:themeShade="BF"/>
    </w:rPr>
  </w:style>
  <w:style w:type="paragraph" w:styleId="IntenseQuote">
    <w:name w:val="Intense Quote"/>
    <w:basedOn w:val="Normal"/>
    <w:next w:val="Normal"/>
    <w:link w:val="IntenseQuoteChar"/>
    <w:uiPriority w:val="30"/>
    <w:qFormat/>
    <w:rsid w:val="00453FCB"/>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53FCB"/>
    <w:rPr>
      <w:i/>
      <w:iCs/>
      <w:color w:val="0F4761" w:themeColor="accent1" w:themeShade="BF"/>
    </w:rPr>
  </w:style>
  <w:style w:type="character" w:styleId="IntenseReference">
    <w:name w:val="Intense Reference"/>
    <w:basedOn w:val="DefaultParagraphFont"/>
    <w:uiPriority w:val="32"/>
    <w:qFormat/>
    <w:rsid w:val="00453FCB"/>
    <w:rPr>
      <w:b/>
      <w:bCs/>
      <w:smallCaps/>
      <w:color w:val="0F4761" w:themeColor="accent1" w:themeShade="BF"/>
      <w:spacing w:val="5"/>
    </w:rPr>
  </w:style>
  <w:style w:type="paragraph" w:styleId="NormalWeb">
    <w:name w:val="Normal (Web)"/>
    <w:basedOn w:val="Normal"/>
    <w:uiPriority w:val="99"/>
    <w:semiHidden/>
    <w:unhideWhenUsed/>
    <w:rsid w:val="000D310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1409</TotalTime>
  <Pages>9</Pages>
  <Words>3464</Words>
  <Characters>19746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Morgan (Hywel Dda UHB - Medical Workforce Assistant)</dc:creator>
  <cp:keywords/>
  <dc:description/>
  <cp:lastModifiedBy>Rhian Morgan (Hywel Dda UHB - Medical Workforce Assistant)</cp:lastModifiedBy>
  <cp:revision>3</cp:revision>
  <dcterms:created xsi:type="dcterms:W3CDTF">2026-01-30T16:37:00Z</dcterms:created>
  <dcterms:modified xsi:type="dcterms:W3CDTF">2026-02-01T15:22:00Z</dcterms:modified>
</cp:coreProperties>
</file>