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325B6" w14:textId="117E5970" w:rsidR="00646406" w:rsidRDefault="00C57D61" w:rsidP="00646406">
      <w:pPr>
        <w:jc w:val="center"/>
      </w:pPr>
      <w:r>
        <w:rPr>
          <w:noProof/>
          <w:lang w:val="en-IN" w:eastAsia="en-IN"/>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fldChar w:fldCharType="begin"/>
      </w:r>
      <w:r>
        <w:instrText xml:space="preserve"> INCLUDEPICTURE "C:\\Users\\AzZedin01\\Library\\Group Containers\\UBF8T346G9.ms\\WebArchiveCopyPasteTempFiles\\com.microsoft.Word\\8P2xdp3q1g646AAAAAElFTkSuQmCC" \* MERGEFORMAT </w:instrText>
      </w:r>
      <w:r w:rsidR="00646406">
        <w:fldChar w:fldCharType="end"/>
      </w:r>
    </w:p>
    <w:p w14:paraId="6D0C4720" w14:textId="77777777" w:rsidR="00646406" w:rsidRDefault="00646406" w:rsidP="00646406">
      <w:pPr>
        <w:jc w:val="center"/>
      </w:pPr>
    </w:p>
    <w:p w14:paraId="384AD48D" w14:textId="77777777" w:rsidR="00646406" w:rsidRDefault="00646406" w:rsidP="00646406">
      <w:pPr>
        <w:jc w:val="center"/>
      </w:pPr>
    </w:p>
    <w:p w14:paraId="1C4A58E1" w14:textId="77777777" w:rsidR="00646406" w:rsidRDefault="00646406" w:rsidP="00646406">
      <w:pPr>
        <w:jc w:val="center"/>
      </w:pPr>
    </w:p>
    <w:p w14:paraId="21811744" w14:textId="77777777" w:rsidR="00646406" w:rsidRDefault="00646406" w:rsidP="00646406">
      <w:pPr>
        <w:jc w:val="center"/>
      </w:pPr>
    </w:p>
    <w:p w14:paraId="1EC34BAD" w14:textId="77777777" w:rsidR="00646406" w:rsidRPr="00434358" w:rsidRDefault="00646406" w:rsidP="00434358">
      <w:pPr>
        <w:spacing w:line="360" w:lineRule="auto"/>
        <w:jc w:val="center"/>
        <w:rPr>
          <w:rFonts w:ascii="Times New Roman" w:hAnsi="Times New Roman" w:cs="Times New Roman"/>
        </w:rPr>
      </w:pPr>
    </w:p>
    <w:p w14:paraId="020B9CFF" w14:textId="6FC98CB9" w:rsidR="00646406" w:rsidRPr="005A39C9" w:rsidRDefault="00646406" w:rsidP="00434358">
      <w:pPr>
        <w:spacing w:line="360" w:lineRule="auto"/>
        <w:jc w:val="center"/>
        <w:rPr>
          <w:rFonts w:eastAsia="Times New Roman"/>
          <w:b/>
          <w:bCs/>
          <w:sz w:val="36"/>
          <w:szCs w:val="36"/>
        </w:rPr>
      </w:pPr>
      <w:r w:rsidRPr="005A39C9">
        <w:rPr>
          <w:rFonts w:eastAsia="Times New Roman"/>
          <w:b/>
          <w:bCs/>
          <w:sz w:val="36"/>
          <w:szCs w:val="36"/>
        </w:rPr>
        <w:t>Student Name:</w:t>
      </w:r>
      <w:r w:rsidR="005A39C9" w:rsidRPr="005A39C9">
        <w:rPr>
          <w:rFonts w:eastAsia="Times New Roman"/>
          <w:b/>
          <w:bCs/>
          <w:sz w:val="36"/>
          <w:szCs w:val="36"/>
        </w:rPr>
        <w:t xml:space="preserve"> Maulik </w:t>
      </w:r>
      <w:proofErr w:type="spellStart"/>
      <w:r w:rsidR="005A39C9" w:rsidRPr="005A39C9">
        <w:rPr>
          <w:rFonts w:eastAsia="Times New Roman"/>
          <w:b/>
          <w:bCs/>
          <w:sz w:val="36"/>
          <w:szCs w:val="36"/>
        </w:rPr>
        <w:t>Shaileshbhai</w:t>
      </w:r>
      <w:proofErr w:type="spellEnd"/>
      <w:r w:rsidR="005A39C9" w:rsidRPr="005A39C9">
        <w:rPr>
          <w:rFonts w:eastAsia="Times New Roman"/>
          <w:b/>
          <w:bCs/>
          <w:sz w:val="36"/>
          <w:szCs w:val="36"/>
        </w:rPr>
        <w:t xml:space="preserve"> Poshiya</w:t>
      </w:r>
    </w:p>
    <w:p w14:paraId="2AAC98E7" w14:textId="77777777" w:rsidR="00646406" w:rsidRPr="005A39C9" w:rsidRDefault="00646406" w:rsidP="00434358">
      <w:pPr>
        <w:spacing w:line="360" w:lineRule="auto"/>
        <w:jc w:val="center"/>
        <w:rPr>
          <w:rFonts w:eastAsia="Times New Roman"/>
          <w:b/>
          <w:bCs/>
          <w:sz w:val="36"/>
          <w:szCs w:val="36"/>
        </w:rPr>
      </w:pPr>
    </w:p>
    <w:p w14:paraId="586C6996" w14:textId="0813BD8F" w:rsidR="00646406" w:rsidRPr="005A39C9" w:rsidRDefault="00646406" w:rsidP="00434358">
      <w:pPr>
        <w:spacing w:line="360" w:lineRule="auto"/>
        <w:jc w:val="center"/>
        <w:rPr>
          <w:rFonts w:eastAsia="Times New Roman"/>
          <w:b/>
          <w:bCs/>
          <w:sz w:val="36"/>
          <w:szCs w:val="36"/>
        </w:rPr>
      </w:pPr>
      <w:r w:rsidRPr="005A39C9">
        <w:rPr>
          <w:rFonts w:eastAsia="Times New Roman"/>
          <w:b/>
          <w:bCs/>
          <w:sz w:val="36"/>
          <w:szCs w:val="36"/>
        </w:rPr>
        <w:t>Student ID:</w:t>
      </w:r>
      <w:r w:rsidR="005A39C9" w:rsidRPr="005A39C9">
        <w:rPr>
          <w:rFonts w:eastAsia="Times New Roman"/>
          <w:b/>
          <w:bCs/>
          <w:sz w:val="36"/>
          <w:szCs w:val="36"/>
        </w:rPr>
        <w:t xml:space="preserve"> 2511036</w:t>
      </w:r>
    </w:p>
    <w:p w14:paraId="63080C9E" w14:textId="77777777" w:rsidR="00646406" w:rsidRPr="005A39C9" w:rsidRDefault="00646406" w:rsidP="00434358">
      <w:pPr>
        <w:spacing w:line="360" w:lineRule="auto"/>
        <w:jc w:val="center"/>
        <w:rPr>
          <w:rFonts w:eastAsia="Times New Roman"/>
          <w:b/>
          <w:bCs/>
          <w:sz w:val="36"/>
          <w:szCs w:val="36"/>
        </w:rPr>
      </w:pPr>
    </w:p>
    <w:p w14:paraId="3D7751B6" w14:textId="77777777" w:rsidR="00646406" w:rsidRPr="005A39C9" w:rsidRDefault="00646406" w:rsidP="00434358">
      <w:pPr>
        <w:spacing w:line="360" w:lineRule="auto"/>
        <w:jc w:val="center"/>
        <w:rPr>
          <w:rFonts w:eastAsia="Times New Roman"/>
          <w:b/>
          <w:bCs/>
          <w:sz w:val="36"/>
          <w:szCs w:val="36"/>
        </w:rPr>
      </w:pPr>
    </w:p>
    <w:p w14:paraId="37F10C9F" w14:textId="2FF0D0FD" w:rsidR="00646406" w:rsidRPr="005A39C9" w:rsidRDefault="00646406" w:rsidP="00434358">
      <w:pPr>
        <w:spacing w:line="360" w:lineRule="auto"/>
        <w:jc w:val="center"/>
        <w:rPr>
          <w:rFonts w:eastAsia="Times New Roman"/>
          <w:b/>
          <w:bCs/>
          <w:sz w:val="36"/>
          <w:szCs w:val="36"/>
        </w:rPr>
      </w:pPr>
      <w:r w:rsidRPr="005A39C9">
        <w:rPr>
          <w:rFonts w:eastAsia="Times New Roman"/>
          <w:b/>
          <w:bCs/>
          <w:sz w:val="36"/>
          <w:szCs w:val="36"/>
        </w:rPr>
        <w:t>Module Name: Marketing Management</w:t>
      </w:r>
    </w:p>
    <w:p w14:paraId="1F614A44" w14:textId="77777777" w:rsidR="00646406" w:rsidRPr="005A39C9" w:rsidRDefault="00646406" w:rsidP="00434358">
      <w:pPr>
        <w:spacing w:line="360" w:lineRule="auto"/>
        <w:jc w:val="center"/>
        <w:rPr>
          <w:rFonts w:eastAsia="Times New Roman"/>
          <w:b/>
          <w:bCs/>
          <w:sz w:val="36"/>
          <w:szCs w:val="36"/>
        </w:rPr>
      </w:pPr>
    </w:p>
    <w:p w14:paraId="0794A99E" w14:textId="33486F0B" w:rsidR="00646406" w:rsidRPr="005A39C9" w:rsidRDefault="00646406" w:rsidP="00434358">
      <w:pPr>
        <w:spacing w:line="360" w:lineRule="auto"/>
        <w:jc w:val="center"/>
        <w:rPr>
          <w:rFonts w:eastAsia="Times New Roman"/>
          <w:b/>
          <w:bCs/>
          <w:sz w:val="36"/>
          <w:szCs w:val="36"/>
        </w:rPr>
      </w:pPr>
      <w:r w:rsidRPr="005A39C9">
        <w:rPr>
          <w:rFonts w:eastAsia="Times New Roman"/>
          <w:b/>
          <w:bCs/>
          <w:sz w:val="36"/>
          <w:szCs w:val="36"/>
        </w:rPr>
        <w:t>Module Code: LCMB7024</w:t>
      </w:r>
    </w:p>
    <w:p w14:paraId="242318AB" w14:textId="77777777" w:rsidR="00646406" w:rsidRPr="00434358" w:rsidRDefault="00646406" w:rsidP="00434358">
      <w:pPr>
        <w:spacing w:line="360" w:lineRule="auto"/>
        <w:jc w:val="center"/>
        <w:rPr>
          <w:rFonts w:ascii="Times New Roman" w:hAnsi="Times New Roman" w:cs="Times New Roman"/>
          <w:b/>
          <w:bCs/>
        </w:rPr>
      </w:pPr>
    </w:p>
    <w:p w14:paraId="5A962802" w14:textId="77777777" w:rsidR="00646406" w:rsidRPr="00434358" w:rsidRDefault="00646406" w:rsidP="00434358">
      <w:pPr>
        <w:spacing w:line="360" w:lineRule="auto"/>
        <w:jc w:val="center"/>
        <w:rPr>
          <w:rFonts w:ascii="Times New Roman" w:hAnsi="Times New Roman" w:cs="Times New Roman"/>
          <w:b/>
          <w:bCs/>
        </w:rPr>
      </w:pPr>
    </w:p>
    <w:p w14:paraId="38F1A035" w14:textId="77777777" w:rsidR="00646406" w:rsidRPr="00434358" w:rsidRDefault="00646406" w:rsidP="00434358">
      <w:pPr>
        <w:spacing w:line="360" w:lineRule="auto"/>
        <w:jc w:val="center"/>
        <w:rPr>
          <w:rFonts w:ascii="Times New Roman" w:hAnsi="Times New Roman" w:cs="Times New Roman"/>
          <w:b/>
          <w:bCs/>
        </w:rPr>
      </w:pPr>
    </w:p>
    <w:p w14:paraId="7E74A1F6" w14:textId="77777777" w:rsidR="00646406" w:rsidRPr="00434358" w:rsidRDefault="00646406" w:rsidP="00434358">
      <w:pPr>
        <w:spacing w:line="360" w:lineRule="auto"/>
        <w:jc w:val="center"/>
        <w:rPr>
          <w:rFonts w:ascii="Times New Roman" w:hAnsi="Times New Roman" w:cs="Times New Roman"/>
          <w:b/>
          <w:bCs/>
        </w:rPr>
      </w:pPr>
    </w:p>
    <w:p w14:paraId="1C05EEAE" w14:textId="3969F4E8" w:rsidR="00646406" w:rsidRPr="00434358" w:rsidRDefault="00646406" w:rsidP="00434358">
      <w:pPr>
        <w:spacing w:line="360" w:lineRule="auto"/>
        <w:jc w:val="center"/>
        <w:rPr>
          <w:rFonts w:ascii="Times New Roman" w:hAnsi="Times New Roman" w:cs="Times New Roman"/>
          <w:b/>
          <w:bCs/>
        </w:rPr>
      </w:pPr>
      <w:r w:rsidRPr="005A39C9">
        <w:rPr>
          <w:rFonts w:eastAsia="Times New Roman"/>
          <w:b/>
          <w:bCs/>
          <w:sz w:val="36"/>
          <w:szCs w:val="36"/>
        </w:rPr>
        <w:t>Lecturer’s Name:</w:t>
      </w:r>
      <w:r w:rsidR="005A39C9">
        <w:rPr>
          <w:rFonts w:ascii="Times New Roman" w:hAnsi="Times New Roman" w:cs="Times New Roman"/>
          <w:b/>
          <w:bCs/>
        </w:rPr>
        <w:t xml:space="preserve"> </w:t>
      </w:r>
      <w:r w:rsidR="005A39C9">
        <w:rPr>
          <w:rFonts w:eastAsia="Times New Roman"/>
          <w:b/>
          <w:bCs/>
          <w:sz w:val="36"/>
          <w:szCs w:val="36"/>
        </w:rPr>
        <w:t>Dr Laila Maazouz  ( London )</w:t>
      </w:r>
    </w:p>
    <w:p w14:paraId="2534BC8F" w14:textId="77777777" w:rsidR="00646406" w:rsidRPr="00434358" w:rsidRDefault="00646406" w:rsidP="00434358">
      <w:pPr>
        <w:spacing w:line="360" w:lineRule="auto"/>
        <w:jc w:val="center"/>
        <w:rPr>
          <w:rFonts w:ascii="Times New Roman" w:hAnsi="Times New Roman" w:cs="Times New Roman"/>
          <w:b/>
          <w:bCs/>
        </w:rPr>
      </w:pPr>
    </w:p>
    <w:p w14:paraId="70E1BD2A" w14:textId="77777777" w:rsidR="00646406" w:rsidRPr="00434358" w:rsidRDefault="00646406" w:rsidP="00434358">
      <w:pPr>
        <w:spacing w:line="360" w:lineRule="auto"/>
        <w:jc w:val="center"/>
        <w:rPr>
          <w:rFonts w:ascii="Times New Roman" w:hAnsi="Times New Roman" w:cs="Times New Roman"/>
          <w:b/>
          <w:bCs/>
        </w:rPr>
      </w:pPr>
    </w:p>
    <w:p w14:paraId="39FE983B" w14:textId="42DE78ED" w:rsidR="00646406" w:rsidRPr="005A39C9" w:rsidRDefault="00646406" w:rsidP="005A39C9">
      <w:pPr>
        <w:spacing w:line="360" w:lineRule="auto"/>
        <w:jc w:val="center"/>
        <w:rPr>
          <w:rFonts w:eastAsia="Times New Roman"/>
          <w:b/>
          <w:bCs/>
          <w:sz w:val="36"/>
          <w:szCs w:val="36"/>
        </w:rPr>
      </w:pPr>
      <w:r w:rsidRPr="005A39C9">
        <w:rPr>
          <w:rFonts w:eastAsia="Times New Roman"/>
          <w:b/>
          <w:bCs/>
          <w:sz w:val="36"/>
          <w:szCs w:val="36"/>
        </w:rPr>
        <w:t>Work Count:</w:t>
      </w:r>
      <w:r w:rsidR="005A39C9" w:rsidRPr="005A39C9">
        <w:rPr>
          <w:rFonts w:eastAsia="Times New Roman"/>
          <w:b/>
          <w:bCs/>
          <w:sz w:val="36"/>
          <w:szCs w:val="36"/>
        </w:rPr>
        <w:t xml:space="preserve"> 2574</w:t>
      </w:r>
    </w:p>
    <w:p w14:paraId="2CC2A054" w14:textId="77777777" w:rsidR="00646406" w:rsidRPr="00434358" w:rsidRDefault="00646406" w:rsidP="005A39C9">
      <w:pPr>
        <w:spacing w:line="360" w:lineRule="auto"/>
        <w:jc w:val="center"/>
        <w:rPr>
          <w:rFonts w:ascii="Times New Roman" w:hAnsi="Times New Roman" w:cs="Times New Roman"/>
          <w:b/>
          <w:bCs/>
        </w:rPr>
      </w:pPr>
    </w:p>
    <w:p w14:paraId="3D7042D2" w14:textId="7440D83E" w:rsidR="00646406" w:rsidRPr="00434358" w:rsidRDefault="00646406" w:rsidP="005A39C9">
      <w:pPr>
        <w:spacing w:line="360" w:lineRule="auto"/>
        <w:jc w:val="center"/>
        <w:rPr>
          <w:rFonts w:ascii="Times New Roman" w:hAnsi="Times New Roman" w:cs="Times New Roman"/>
          <w:b/>
          <w:bCs/>
        </w:rPr>
      </w:pPr>
      <w:r w:rsidRPr="00434358">
        <w:rPr>
          <w:rFonts w:ascii="Times New Roman" w:hAnsi="Times New Roman" w:cs="Times New Roman"/>
          <w:b/>
          <w:bCs/>
        </w:rPr>
        <w:t>Term 1</w:t>
      </w:r>
    </w:p>
    <w:p w14:paraId="795BE6E7" w14:textId="16C05007" w:rsidR="00646406" w:rsidRPr="00646406" w:rsidRDefault="00646406" w:rsidP="005A39C9">
      <w:pPr>
        <w:jc w:val="center"/>
        <w:rPr>
          <w:b/>
          <w:bCs/>
        </w:rPr>
      </w:pPr>
      <w:r w:rsidRPr="00646406">
        <w:rPr>
          <w:b/>
          <w:bCs/>
        </w:rPr>
        <w:br w:type="page"/>
      </w:r>
    </w:p>
    <w:bookmarkStart w:id="0" w:name="_Toc211437169" w:displacedByCustomXml="next"/>
    <w:sdt>
      <w:sdtPr>
        <w:rPr>
          <w:rFonts w:asciiTheme="minorHAnsi" w:hAnsiTheme="minorHAnsi" w:cstheme="minorBidi"/>
          <w:color w:val="auto"/>
          <w:kern w:val="2"/>
          <w:sz w:val="24"/>
          <w:szCs w:val="24"/>
          <w:lang w:val="en-GB"/>
          <w14:ligatures w14:val="standardContextual"/>
        </w:rPr>
        <w:id w:val="510954025"/>
        <w:docPartObj>
          <w:docPartGallery w:val="Table of Contents"/>
          <w:docPartUnique/>
        </w:docPartObj>
      </w:sdtPr>
      <w:sdtEndPr>
        <w:rPr>
          <w:b/>
          <w:bCs/>
          <w:noProof/>
        </w:rPr>
      </w:sdtEndPr>
      <w:sdtContent>
        <w:p w14:paraId="1465C7FB" w14:textId="6FAEFB5D" w:rsidR="00E911BD" w:rsidRPr="00172A50" w:rsidRDefault="00E911BD" w:rsidP="00172A50">
          <w:pPr>
            <w:pStyle w:val="TOCHeading"/>
            <w:tabs>
              <w:tab w:val="left" w:pos="2115"/>
            </w:tabs>
            <w:spacing w:line="360" w:lineRule="auto"/>
            <w:jc w:val="center"/>
            <w:rPr>
              <w:sz w:val="24"/>
              <w:szCs w:val="24"/>
            </w:rPr>
          </w:pPr>
          <w:r w:rsidRPr="00172A50">
            <w:rPr>
              <w:b/>
              <w:sz w:val="24"/>
              <w:szCs w:val="24"/>
              <w:u w:val="single"/>
            </w:rPr>
            <w:t>Table of Contents</w:t>
          </w:r>
        </w:p>
        <w:p w14:paraId="4B45B2FF" w14:textId="77777777" w:rsidR="00172A50" w:rsidRPr="000E143F" w:rsidRDefault="00E911BD" w:rsidP="00172A50">
          <w:pPr>
            <w:pStyle w:val="TOC1"/>
            <w:tabs>
              <w:tab w:val="right" w:leader="dot" w:pos="9016"/>
            </w:tabs>
            <w:spacing w:line="360" w:lineRule="auto"/>
            <w:jc w:val="both"/>
            <w:rPr>
              <w:rFonts w:ascii="Times New Roman" w:eastAsiaTheme="minorEastAsia" w:hAnsi="Times New Roman" w:cs="Times New Roman"/>
              <w:bCs w:val="0"/>
              <w:caps w:val="0"/>
              <w:noProof/>
              <w:kern w:val="0"/>
              <w:sz w:val="24"/>
              <w:szCs w:val="24"/>
              <w:lang w:val="en-IN" w:eastAsia="en-IN"/>
              <w14:ligatures w14:val="none"/>
            </w:rPr>
          </w:pPr>
          <w:r w:rsidRPr="00172A50">
            <w:rPr>
              <w:rFonts w:ascii="Times New Roman" w:hAnsi="Times New Roman" w:cs="Times New Roman"/>
              <w:sz w:val="24"/>
              <w:szCs w:val="24"/>
            </w:rPr>
            <w:fldChar w:fldCharType="begin"/>
          </w:r>
          <w:r w:rsidRPr="00172A50">
            <w:rPr>
              <w:rFonts w:ascii="Times New Roman" w:hAnsi="Times New Roman" w:cs="Times New Roman"/>
              <w:sz w:val="24"/>
              <w:szCs w:val="24"/>
            </w:rPr>
            <w:instrText xml:space="preserve"> TOC \o "1-3" \h \z \u </w:instrText>
          </w:r>
          <w:r w:rsidRPr="00172A50">
            <w:rPr>
              <w:rFonts w:ascii="Times New Roman" w:hAnsi="Times New Roman" w:cs="Times New Roman"/>
              <w:sz w:val="24"/>
              <w:szCs w:val="24"/>
            </w:rPr>
            <w:fldChar w:fldCharType="separate"/>
          </w:r>
          <w:hyperlink w:anchor="_Toc214489399" w:history="1">
            <w:r w:rsidR="00172A50" w:rsidRPr="000E143F">
              <w:rPr>
                <w:rStyle w:val="Hyperlink"/>
                <w:rFonts w:ascii="Times New Roman" w:hAnsi="Times New Roman" w:cs="Times New Roman"/>
                <w:noProof/>
                <w:sz w:val="24"/>
                <w:szCs w:val="24"/>
              </w:rPr>
              <w:t>1. Introduction</w:t>
            </w:r>
            <w:r w:rsidR="00172A50" w:rsidRPr="000E143F">
              <w:rPr>
                <w:rFonts w:ascii="Times New Roman" w:hAnsi="Times New Roman" w:cs="Times New Roman"/>
                <w:noProof/>
                <w:webHidden/>
                <w:sz w:val="24"/>
                <w:szCs w:val="24"/>
              </w:rPr>
              <w:tab/>
            </w:r>
            <w:r w:rsidR="00172A50" w:rsidRPr="000E143F">
              <w:rPr>
                <w:rFonts w:ascii="Times New Roman" w:hAnsi="Times New Roman" w:cs="Times New Roman"/>
                <w:noProof/>
                <w:webHidden/>
                <w:sz w:val="24"/>
                <w:szCs w:val="24"/>
              </w:rPr>
              <w:fldChar w:fldCharType="begin"/>
            </w:r>
            <w:r w:rsidR="00172A50" w:rsidRPr="000E143F">
              <w:rPr>
                <w:rFonts w:ascii="Times New Roman" w:hAnsi="Times New Roman" w:cs="Times New Roman"/>
                <w:noProof/>
                <w:webHidden/>
                <w:sz w:val="24"/>
                <w:szCs w:val="24"/>
              </w:rPr>
              <w:instrText xml:space="preserve"> PAGEREF _Toc214489399 \h </w:instrText>
            </w:r>
            <w:r w:rsidR="00172A50" w:rsidRPr="000E143F">
              <w:rPr>
                <w:rFonts w:ascii="Times New Roman" w:hAnsi="Times New Roman" w:cs="Times New Roman"/>
                <w:noProof/>
                <w:webHidden/>
                <w:sz w:val="24"/>
                <w:szCs w:val="24"/>
              </w:rPr>
            </w:r>
            <w:r w:rsidR="00172A50" w:rsidRPr="000E143F">
              <w:rPr>
                <w:rFonts w:ascii="Times New Roman" w:hAnsi="Times New Roman" w:cs="Times New Roman"/>
                <w:noProof/>
                <w:webHidden/>
                <w:sz w:val="24"/>
                <w:szCs w:val="24"/>
              </w:rPr>
              <w:fldChar w:fldCharType="separate"/>
            </w:r>
            <w:r w:rsidR="00172A50" w:rsidRPr="000E143F">
              <w:rPr>
                <w:rFonts w:ascii="Times New Roman" w:hAnsi="Times New Roman" w:cs="Times New Roman"/>
                <w:noProof/>
                <w:webHidden/>
                <w:sz w:val="24"/>
                <w:szCs w:val="24"/>
              </w:rPr>
              <w:t>3</w:t>
            </w:r>
            <w:r w:rsidR="00172A50" w:rsidRPr="000E143F">
              <w:rPr>
                <w:rFonts w:ascii="Times New Roman" w:hAnsi="Times New Roman" w:cs="Times New Roman"/>
                <w:noProof/>
                <w:webHidden/>
                <w:sz w:val="24"/>
                <w:szCs w:val="24"/>
              </w:rPr>
              <w:fldChar w:fldCharType="end"/>
            </w:r>
          </w:hyperlink>
        </w:p>
        <w:p w14:paraId="4BF0AC50" w14:textId="77777777" w:rsidR="00172A50" w:rsidRPr="000E143F" w:rsidRDefault="00172A50" w:rsidP="00172A50">
          <w:pPr>
            <w:pStyle w:val="TOC1"/>
            <w:tabs>
              <w:tab w:val="right" w:leader="dot" w:pos="9016"/>
            </w:tabs>
            <w:spacing w:line="360" w:lineRule="auto"/>
            <w:jc w:val="both"/>
            <w:rPr>
              <w:rFonts w:ascii="Times New Roman" w:eastAsiaTheme="minorEastAsia" w:hAnsi="Times New Roman" w:cs="Times New Roman"/>
              <w:bCs w:val="0"/>
              <w:caps w:val="0"/>
              <w:noProof/>
              <w:kern w:val="0"/>
              <w:sz w:val="24"/>
              <w:szCs w:val="24"/>
              <w:lang w:val="en-IN" w:eastAsia="en-IN"/>
              <w14:ligatures w14:val="none"/>
            </w:rPr>
          </w:pPr>
          <w:hyperlink w:anchor="_Toc214489400" w:history="1">
            <w:r w:rsidRPr="000E143F">
              <w:rPr>
                <w:rStyle w:val="Hyperlink"/>
                <w:rFonts w:ascii="Times New Roman" w:hAnsi="Times New Roman" w:cs="Times New Roman"/>
                <w:noProof/>
                <w:sz w:val="24"/>
                <w:szCs w:val="24"/>
              </w:rPr>
              <w:t>2. Task 1: Critical Analysis of the Macro Marketing Environment</w:t>
            </w:r>
            <w:r w:rsidRPr="000E143F">
              <w:rPr>
                <w:rFonts w:ascii="Times New Roman" w:hAnsi="Times New Roman" w:cs="Times New Roman"/>
                <w:noProof/>
                <w:webHidden/>
                <w:sz w:val="24"/>
                <w:szCs w:val="24"/>
              </w:rPr>
              <w:tab/>
            </w:r>
            <w:r w:rsidRPr="000E143F">
              <w:rPr>
                <w:rFonts w:ascii="Times New Roman" w:hAnsi="Times New Roman" w:cs="Times New Roman"/>
                <w:noProof/>
                <w:webHidden/>
                <w:sz w:val="24"/>
                <w:szCs w:val="24"/>
              </w:rPr>
              <w:fldChar w:fldCharType="begin"/>
            </w:r>
            <w:r w:rsidRPr="000E143F">
              <w:rPr>
                <w:rFonts w:ascii="Times New Roman" w:hAnsi="Times New Roman" w:cs="Times New Roman"/>
                <w:noProof/>
                <w:webHidden/>
                <w:sz w:val="24"/>
                <w:szCs w:val="24"/>
              </w:rPr>
              <w:instrText xml:space="preserve"> PAGEREF _Toc214489400 \h </w:instrText>
            </w:r>
            <w:r w:rsidRPr="000E143F">
              <w:rPr>
                <w:rFonts w:ascii="Times New Roman" w:hAnsi="Times New Roman" w:cs="Times New Roman"/>
                <w:noProof/>
                <w:webHidden/>
                <w:sz w:val="24"/>
                <w:szCs w:val="24"/>
              </w:rPr>
            </w:r>
            <w:r w:rsidRPr="000E143F">
              <w:rPr>
                <w:rFonts w:ascii="Times New Roman" w:hAnsi="Times New Roman" w:cs="Times New Roman"/>
                <w:noProof/>
                <w:webHidden/>
                <w:sz w:val="24"/>
                <w:szCs w:val="24"/>
              </w:rPr>
              <w:fldChar w:fldCharType="separate"/>
            </w:r>
            <w:r w:rsidRPr="000E143F">
              <w:rPr>
                <w:rFonts w:ascii="Times New Roman" w:hAnsi="Times New Roman" w:cs="Times New Roman"/>
                <w:noProof/>
                <w:webHidden/>
                <w:sz w:val="24"/>
                <w:szCs w:val="24"/>
              </w:rPr>
              <w:t>3</w:t>
            </w:r>
            <w:r w:rsidRPr="000E143F">
              <w:rPr>
                <w:rFonts w:ascii="Times New Roman" w:hAnsi="Times New Roman" w:cs="Times New Roman"/>
                <w:noProof/>
                <w:webHidden/>
                <w:sz w:val="24"/>
                <w:szCs w:val="24"/>
              </w:rPr>
              <w:fldChar w:fldCharType="end"/>
            </w:r>
          </w:hyperlink>
        </w:p>
        <w:p w14:paraId="6B0F646F" w14:textId="77777777" w:rsidR="00172A50" w:rsidRPr="000E143F" w:rsidRDefault="00172A50" w:rsidP="00172A50">
          <w:pPr>
            <w:pStyle w:val="TOC2"/>
            <w:tabs>
              <w:tab w:val="right" w:leader="dot" w:pos="9016"/>
            </w:tabs>
            <w:spacing w:line="360" w:lineRule="auto"/>
            <w:jc w:val="both"/>
            <w:rPr>
              <w:rFonts w:ascii="Times New Roman" w:eastAsiaTheme="minorEastAsia" w:hAnsi="Times New Roman" w:cs="Times New Roman"/>
              <w:b/>
              <w:smallCaps w:val="0"/>
              <w:noProof/>
              <w:kern w:val="0"/>
              <w:sz w:val="24"/>
              <w:szCs w:val="24"/>
              <w:lang w:val="en-IN" w:eastAsia="en-IN"/>
              <w14:ligatures w14:val="none"/>
            </w:rPr>
          </w:pPr>
          <w:hyperlink w:anchor="_Toc214489401" w:history="1">
            <w:r w:rsidRPr="000E143F">
              <w:rPr>
                <w:rStyle w:val="Hyperlink"/>
                <w:rFonts w:ascii="Times New Roman" w:hAnsi="Times New Roman" w:cs="Times New Roman"/>
                <w:b/>
                <w:bCs/>
                <w:noProof/>
                <w:sz w:val="24"/>
                <w:szCs w:val="24"/>
              </w:rPr>
              <w:t>2.1 Overview of the Macro Marketing Environment</w:t>
            </w:r>
            <w:r w:rsidRPr="000E143F">
              <w:rPr>
                <w:rFonts w:ascii="Times New Roman" w:hAnsi="Times New Roman" w:cs="Times New Roman"/>
                <w:b/>
                <w:noProof/>
                <w:webHidden/>
                <w:sz w:val="24"/>
                <w:szCs w:val="24"/>
              </w:rPr>
              <w:tab/>
            </w:r>
            <w:r w:rsidRPr="000E143F">
              <w:rPr>
                <w:rFonts w:ascii="Times New Roman" w:hAnsi="Times New Roman" w:cs="Times New Roman"/>
                <w:b/>
                <w:noProof/>
                <w:webHidden/>
                <w:sz w:val="24"/>
                <w:szCs w:val="24"/>
              </w:rPr>
              <w:fldChar w:fldCharType="begin"/>
            </w:r>
            <w:r w:rsidRPr="000E143F">
              <w:rPr>
                <w:rFonts w:ascii="Times New Roman" w:hAnsi="Times New Roman" w:cs="Times New Roman"/>
                <w:b/>
                <w:noProof/>
                <w:webHidden/>
                <w:sz w:val="24"/>
                <w:szCs w:val="24"/>
              </w:rPr>
              <w:instrText xml:space="preserve"> PAGEREF _Toc214489401 \h </w:instrText>
            </w:r>
            <w:r w:rsidRPr="000E143F">
              <w:rPr>
                <w:rFonts w:ascii="Times New Roman" w:hAnsi="Times New Roman" w:cs="Times New Roman"/>
                <w:b/>
                <w:noProof/>
                <w:webHidden/>
                <w:sz w:val="24"/>
                <w:szCs w:val="24"/>
              </w:rPr>
            </w:r>
            <w:r w:rsidRPr="000E143F">
              <w:rPr>
                <w:rFonts w:ascii="Times New Roman" w:hAnsi="Times New Roman" w:cs="Times New Roman"/>
                <w:b/>
                <w:noProof/>
                <w:webHidden/>
                <w:sz w:val="24"/>
                <w:szCs w:val="24"/>
              </w:rPr>
              <w:fldChar w:fldCharType="separate"/>
            </w:r>
            <w:r w:rsidRPr="000E143F">
              <w:rPr>
                <w:rFonts w:ascii="Times New Roman" w:hAnsi="Times New Roman" w:cs="Times New Roman"/>
                <w:b/>
                <w:noProof/>
                <w:webHidden/>
                <w:sz w:val="24"/>
                <w:szCs w:val="24"/>
              </w:rPr>
              <w:t>3</w:t>
            </w:r>
            <w:r w:rsidRPr="000E143F">
              <w:rPr>
                <w:rFonts w:ascii="Times New Roman" w:hAnsi="Times New Roman" w:cs="Times New Roman"/>
                <w:b/>
                <w:noProof/>
                <w:webHidden/>
                <w:sz w:val="24"/>
                <w:szCs w:val="24"/>
              </w:rPr>
              <w:fldChar w:fldCharType="end"/>
            </w:r>
          </w:hyperlink>
        </w:p>
        <w:p w14:paraId="488CDB54" w14:textId="77777777" w:rsidR="00172A50" w:rsidRPr="000E143F" w:rsidRDefault="00172A50" w:rsidP="00172A50">
          <w:pPr>
            <w:pStyle w:val="TOC2"/>
            <w:tabs>
              <w:tab w:val="right" w:leader="dot" w:pos="9016"/>
            </w:tabs>
            <w:spacing w:line="360" w:lineRule="auto"/>
            <w:jc w:val="both"/>
            <w:rPr>
              <w:rFonts w:ascii="Times New Roman" w:eastAsiaTheme="minorEastAsia" w:hAnsi="Times New Roman" w:cs="Times New Roman"/>
              <w:b/>
              <w:smallCaps w:val="0"/>
              <w:noProof/>
              <w:kern w:val="0"/>
              <w:sz w:val="24"/>
              <w:szCs w:val="24"/>
              <w:lang w:val="en-IN" w:eastAsia="en-IN"/>
              <w14:ligatures w14:val="none"/>
            </w:rPr>
          </w:pPr>
          <w:hyperlink w:anchor="_Toc214489402" w:history="1">
            <w:r w:rsidRPr="000E143F">
              <w:rPr>
                <w:rStyle w:val="Hyperlink"/>
                <w:rFonts w:ascii="Times New Roman" w:hAnsi="Times New Roman" w:cs="Times New Roman"/>
                <w:b/>
                <w:bCs/>
                <w:noProof/>
                <w:sz w:val="24"/>
                <w:szCs w:val="24"/>
              </w:rPr>
              <w:t>2.2 Selection of Two External Macro Marketing Actors</w:t>
            </w:r>
            <w:r w:rsidRPr="000E143F">
              <w:rPr>
                <w:rFonts w:ascii="Times New Roman" w:hAnsi="Times New Roman" w:cs="Times New Roman"/>
                <w:b/>
                <w:noProof/>
                <w:webHidden/>
                <w:sz w:val="24"/>
                <w:szCs w:val="24"/>
              </w:rPr>
              <w:tab/>
            </w:r>
            <w:r w:rsidRPr="000E143F">
              <w:rPr>
                <w:rFonts w:ascii="Times New Roman" w:hAnsi="Times New Roman" w:cs="Times New Roman"/>
                <w:b/>
                <w:noProof/>
                <w:webHidden/>
                <w:sz w:val="24"/>
                <w:szCs w:val="24"/>
              </w:rPr>
              <w:fldChar w:fldCharType="begin"/>
            </w:r>
            <w:r w:rsidRPr="000E143F">
              <w:rPr>
                <w:rFonts w:ascii="Times New Roman" w:hAnsi="Times New Roman" w:cs="Times New Roman"/>
                <w:b/>
                <w:noProof/>
                <w:webHidden/>
                <w:sz w:val="24"/>
                <w:szCs w:val="24"/>
              </w:rPr>
              <w:instrText xml:space="preserve"> PAGEREF _Toc214489402 \h </w:instrText>
            </w:r>
            <w:r w:rsidRPr="000E143F">
              <w:rPr>
                <w:rFonts w:ascii="Times New Roman" w:hAnsi="Times New Roman" w:cs="Times New Roman"/>
                <w:b/>
                <w:noProof/>
                <w:webHidden/>
                <w:sz w:val="24"/>
                <w:szCs w:val="24"/>
              </w:rPr>
            </w:r>
            <w:r w:rsidRPr="000E143F">
              <w:rPr>
                <w:rFonts w:ascii="Times New Roman" w:hAnsi="Times New Roman" w:cs="Times New Roman"/>
                <w:b/>
                <w:noProof/>
                <w:webHidden/>
                <w:sz w:val="24"/>
                <w:szCs w:val="24"/>
              </w:rPr>
              <w:fldChar w:fldCharType="separate"/>
            </w:r>
            <w:r w:rsidRPr="000E143F">
              <w:rPr>
                <w:rFonts w:ascii="Times New Roman" w:hAnsi="Times New Roman" w:cs="Times New Roman"/>
                <w:b/>
                <w:noProof/>
                <w:webHidden/>
                <w:sz w:val="24"/>
                <w:szCs w:val="24"/>
              </w:rPr>
              <w:t>5</w:t>
            </w:r>
            <w:r w:rsidRPr="000E143F">
              <w:rPr>
                <w:rFonts w:ascii="Times New Roman" w:hAnsi="Times New Roman" w:cs="Times New Roman"/>
                <w:b/>
                <w:noProof/>
                <w:webHidden/>
                <w:sz w:val="24"/>
                <w:szCs w:val="24"/>
              </w:rPr>
              <w:fldChar w:fldCharType="end"/>
            </w:r>
          </w:hyperlink>
        </w:p>
        <w:p w14:paraId="5EC6F9A9" w14:textId="77777777" w:rsidR="00172A50" w:rsidRPr="000E143F" w:rsidRDefault="00172A50" w:rsidP="00172A50">
          <w:pPr>
            <w:pStyle w:val="TOC2"/>
            <w:tabs>
              <w:tab w:val="right" w:leader="dot" w:pos="9016"/>
            </w:tabs>
            <w:spacing w:line="360" w:lineRule="auto"/>
            <w:jc w:val="both"/>
            <w:rPr>
              <w:rFonts w:ascii="Times New Roman" w:eastAsiaTheme="minorEastAsia" w:hAnsi="Times New Roman" w:cs="Times New Roman"/>
              <w:b/>
              <w:smallCaps w:val="0"/>
              <w:noProof/>
              <w:kern w:val="0"/>
              <w:sz w:val="24"/>
              <w:szCs w:val="24"/>
              <w:lang w:val="en-IN" w:eastAsia="en-IN"/>
              <w14:ligatures w14:val="none"/>
            </w:rPr>
          </w:pPr>
          <w:hyperlink w:anchor="_Toc214489403" w:history="1">
            <w:r w:rsidRPr="000E143F">
              <w:rPr>
                <w:rStyle w:val="Hyperlink"/>
                <w:rFonts w:ascii="Times New Roman" w:hAnsi="Times New Roman" w:cs="Times New Roman"/>
                <w:b/>
                <w:bCs/>
                <w:noProof/>
                <w:sz w:val="24"/>
                <w:szCs w:val="24"/>
              </w:rPr>
              <w:t>2.3 Critical Analysis of Each Actor</w:t>
            </w:r>
            <w:r w:rsidRPr="000E143F">
              <w:rPr>
                <w:rFonts w:ascii="Times New Roman" w:hAnsi="Times New Roman" w:cs="Times New Roman"/>
                <w:b/>
                <w:noProof/>
                <w:webHidden/>
                <w:sz w:val="24"/>
                <w:szCs w:val="24"/>
              </w:rPr>
              <w:tab/>
            </w:r>
            <w:r w:rsidRPr="000E143F">
              <w:rPr>
                <w:rFonts w:ascii="Times New Roman" w:hAnsi="Times New Roman" w:cs="Times New Roman"/>
                <w:b/>
                <w:noProof/>
                <w:webHidden/>
                <w:sz w:val="24"/>
                <w:szCs w:val="24"/>
              </w:rPr>
              <w:fldChar w:fldCharType="begin"/>
            </w:r>
            <w:r w:rsidRPr="000E143F">
              <w:rPr>
                <w:rFonts w:ascii="Times New Roman" w:hAnsi="Times New Roman" w:cs="Times New Roman"/>
                <w:b/>
                <w:noProof/>
                <w:webHidden/>
                <w:sz w:val="24"/>
                <w:szCs w:val="24"/>
              </w:rPr>
              <w:instrText xml:space="preserve"> PAGEREF _Toc214489403 \h </w:instrText>
            </w:r>
            <w:r w:rsidRPr="000E143F">
              <w:rPr>
                <w:rFonts w:ascii="Times New Roman" w:hAnsi="Times New Roman" w:cs="Times New Roman"/>
                <w:b/>
                <w:noProof/>
                <w:webHidden/>
                <w:sz w:val="24"/>
                <w:szCs w:val="24"/>
              </w:rPr>
            </w:r>
            <w:r w:rsidRPr="000E143F">
              <w:rPr>
                <w:rFonts w:ascii="Times New Roman" w:hAnsi="Times New Roman" w:cs="Times New Roman"/>
                <w:b/>
                <w:noProof/>
                <w:webHidden/>
                <w:sz w:val="24"/>
                <w:szCs w:val="24"/>
              </w:rPr>
              <w:fldChar w:fldCharType="separate"/>
            </w:r>
            <w:r w:rsidRPr="000E143F">
              <w:rPr>
                <w:rFonts w:ascii="Times New Roman" w:hAnsi="Times New Roman" w:cs="Times New Roman"/>
                <w:b/>
                <w:noProof/>
                <w:webHidden/>
                <w:sz w:val="24"/>
                <w:szCs w:val="24"/>
              </w:rPr>
              <w:t>7</w:t>
            </w:r>
            <w:r w:rsidRPr="000E143F">
              <w:rPr>
                <w:rFonts w:ascii="Times New Roman" w:hAnsi="Times New Roman" w:cs="Times New Roman"/>
                <w:b/>
                <w:noProof/>
                <w:webHidden/>
                <w:sz w:val="24"/>
                <w:szCs w:val="24"/>
              </w:rPr>
              <w:fldChar w:fldCharType="end"/>
            </w:r>
          </w:hyperlink>
        </w:p>
        <w:p w14:paraId="1264A190" w14:textId="77777777" w:rsidR="00172A50" w:rsidRPr="000E143F" w:rsidRDefault="00172A50" w:rsidP="00172A50">
          <w:pPr>
            <w:pStyle w:val="TOC1"/>
            <w:tabs>
              <w:tab w:val="right" w:leader="dot" w:pos="9016"/>
            </w:tabs>
            <w:spacing w:line="360" w:lineRule="auto"/>
            <w:jc w:val="both"/>
            <w:rPr>
              <w:rFonts w:ascii="Times New Roman" w:eastAsiaTheme="minorEastAsia" w:hAnsi="Times New Roman" w:cs="Times New Roman"/>
              <w:bCs w:val="0"/>
              <w:caps w:val="0"/>
              <w:noProof/>
              <w:kern w:val="0"/>
              <w:sz w:val="24"/>
              <w:szCs w:val="24"/>
              <w:lang w:val="en-IN" w:eastAsia="en-IN"/>
              <w14:ligatures w14:val="none"/>
            </w:rPr>
          </w:pPr>
          <w:hyperlink w:anchor="_Toc214489404" w:history="1">
            <w:r w:rsidRPr="000E143F">
              <w:rPr>
                <w:rStyle w:val="Hyperlink"/>
                <w:rFonts w:ascii="Times New Roman" w:hAnsi="Times New Roman" w:cs="Times New Roman"/>
                <w:noProof/>
                <w:sz w:val="24"/>
                <w:szCs w:val="24"/>
              </w:rPr>
              <w:t>3. Task 2: Strategic Responses of Pioneering and Follower Organisations</w:t>
            </w:r>
            <w:r w:rsidRPr="000E143F">
              <w:rPr>
                <w:rFonts w:ascii="Times New Roman" w:hAnsi="Times New Roman" w:cs="Times New Roman"/>
                <w:noProof/>
                <w:webHidden/>
                <w:sz w:val="24"/>
                <w:szCs w:val="24"/>
              </w:rPr>
              <w:tab/>
            </w:r>
            <w:r w:rsidRPr="000E143F">
              <w:rPr>
                <w:rFonts w:ascii="Times New Roman" w:hAnsi="Times New Roman" w:cs="Times New Roman"/>
                <w:noProof/>
                <w:webHidden/>
                <w:sz w:val="24"/>
                <w:szCs w:val="24"/>
              </w:rPr>
              <w:fldChar w:fldCharType="begin"/>
            </w:r>
            <w:r w:rsidRPr="000E143F">
              <w:rPr>
                <w:rFonts w:ascii="Times New Roman" w:hAnsi="Times New Roman" w:cs="Times New Roman"/>
                <w:noProof/>
                <w:webHidden/>
                <w:sz w:val="24"/>
                <w:szCs w:val="24"/>
              </w:rPr>
              <w:instrText xml:space="preserve"> PAGEREF _Toc214489404 \h </w:instrText>
            </w:r>
            <w:r w:rsidRPr="000E143F">
              <w:rPr>
                <w:rFonts w:ascii="Times New Roman" w:hAnsi="Times New Roman" w:cs="Times New Roman"/>
                <w:noProof/>
                <w:webHidden/>
                <w:sz w:val="24"/>
                <w:szCs w:val="24"/>
              </w:rPr>
            </w:r>
            <w:r w:rsidRPr="000E143F">
              <w:rPr>
                <w:rFonts w:ascii="Times New Roman" w:hAnsi="Times New Roman" w:cs="Times New Roman"/>
                <w:noProof/>
                <w:webHidden/>
                <w:sz w:val="24"/>
                <w:szCs w:val="24"/>
              </w:rPr>
              <w:fldChar w:fldCharType="separate"/>
            </w:r>
            <w:r w:rsidRPr="000E143F">
              <w:rPr>
                <w:rFonts w:ascii="Times New Roman" w:hAnsi="Times New Roman" w:cs="Times New Roman"/>
                <w:noProof/>
                <w:webHidden/>
                <w:sz w:val="24"/>
                <w:szCs w:val="24"/>
              </w:rPr>
              <w:t>7</w:t>
            </w:r>
            <w:r w:rsidRPr="000E143F">
              <w:rPr>
                <w:rFonts w:ascii="Times New Roman" w:hAnsi="Times New Roman" w:cs="Times New Roman"/>
                <w:noProof/>
                <w:webHidden/>
                <w:sz w:val="24"/>
                <w:szCs w:val="24"/>
              </w:rPr>
              <w:fldChar w:fldCharType="end"/>
            </w:r>
          </w:hyperlink>
        </w:p>
        <w:p w14:paraId="3996CAA2" w14:textId="77777777" w:rsidR="00172A50" w:rsidRPr="000E143F" w:rsidRDefault="00172A50" w:rsidP="00172A50">
          <w:pPr>
            <w:pStyle w:val="TOC2"/>
            <w:tabs>
              <w:tab w:val="right" w:leader="dot" w:pos="9016"/>
            </w:tabs>
            <w:spacing w:line="360" w:lineRule="auto"/>
            <w:jc w:val="both"/>
            <w:rPr>
              <w:rFonts w:ascii="Times New Roman" w:eastAsiaTheme="minorEastAsia" w:hAnsi="Times New Roman" w:cs="Times New Roman"/>
              <w:b/>
              <w:smallCaps w:val="0"/>
              <w:noProof/>
              <w:kern w:val="0"/>
              <w:sz w:val="24"/>
              <w:szCs w:val="24"/>
              <w:lang w:val="en-IN" w:eastAsia="en-IN"/>
              <w14:ligatures w14:val="none"/>
            </w:rPr>
          </w:pPr>
          <w:hyperlink w:anchor="_Toc214489405" w:history="1">
            <w:r w:rsidRPr="000E143F">
              <w:rPr>
                <w:rStyle w:val="Hyperlink"/>
                <w:rFonts w:ascii="Times New Roman" w:hAnsi="Times New Roman" w:cs="Times New Roman"/>
                <w:b/>
                <w:bCs/>
                <w:noProof/>
                <w:sz w:val="24"/>
                <w:szCs w:val="24"/>
              </w:rPr>
              <w:t>3.1 Pioneering Organisations’ Strategic Responses</w:t>
            </w:r>
            <w:r w:rsidRPr="000E143F">
              <w:rPr>
                <w:rFonts w:ascii="Times New Roman" w:hAnsi="Times New Roman" w:cs="Times New Roman"/>
                <w:b/>
                <w:noProof/>
                <w:webHidden/>
                <w:sz w:val="24"/>
                <w:szCs w:val="24"/>
              </w:rPr>
              <w:tab/>
            </w:r>
            <w:r w:rsidRPr="000E143F">
              <w:rPr>
                <w:rFonts w:ascii="Times New Roman" w:hAnsi="Times New Roman" w:cs="Times New Roman"/>
                <w:b/>
                <w:noProof/>
                <w:webHidden/>
                <w:sz w:val="24"/>
                <w:szCs w:val="24"/>
              </w:rPr>
              <w:fldChar w:fldCharType="begin"/>
            </w:r>
            <w:r w:rsidRPr="000E143F">
              <w:rPr>
                <w:rFonts w:ascii="Times New Roman" w:hAnsi="Times New Roman" w:cs="Times New Roman"/>
                <w:b/>
                <w:noProof/>
                <w:webHidden/>
                <w:sz w:val="24"/>
                <w:szCs w:val="24"/>
              </w:rPr>
              <w:instrText xml:space="preserve"> PAGEREF _Toc214489405 \h </w:instrText>
            </w:r>
            <w:r w:rsidRPr="000E143F">
              <w:rPr>
                <w:rFonts w:ascii="Times New Roman" w:hAnsi="Times New Roman" w:cs="Times New Roman"/>
                <w:b/>
                <w:noProof/>
                <w:webHidden/>
                <w:sz w:val="24"/>
                <w:szCs w:val="24"/>
              </w:rPr>
            </w:r>
            <w:r w:rsidRPr="000E143F">
              <w:rPr>
                <w:rFonts w:ascii="Times New Roman" w:hAnsi="Times New Roman" w:cs="Times New Roman"/>
                <w:b/>
                <w:noProof/>
                <w:webHidden/>
                <w:sz w:val="24"/>
                <w:szCs w:val="24"/>
              </w:rPr>
              <w:fldChar w:fldCharType="separate"/>
            </w:r>
            <w:r w:rsidRPr="000E143F">
              <w:rPr>
                <w:rFonts w:ascii="Times New Roman" w:hAnsi="Times New Roman" w:cs="Times New Roman"/>
                <w:b/>
                <w:noProof/>
                <w:webHidden/>
                <w:sz w:val="24"/>
                <w:szCs w:val="24"/>
              </w:rPr>
              <w:t>8</w:t>
            </w:r>
            <w:r w:rsidRPr="000E143F">
              <w:rPr>
                <w:rFonts w:ascii="Times New Roman" w:hAnsi="Times New Roman" w:cs="Times New Roman"/>
                <w:b/>
                <w:noProof/>
                <w:webHidden/>
                <w:sz w:val="24"/>
                <w:szCs w:val="24"/>
              </w:rPr>
              <w:fldChar w:fldCharType="end"/>
            </w:r>
          </w:hyperlink>
        </w:p>
        <w:p w14:paraId="68E880F7" w14:textId="77777777" w:rsidR="00172A50" w:rsidRPr="000E143F" w:rsidRDefault="00172A50" w:rsidP="00172A50">
          <w:pPr>
            <w:pStyle w:val="TOC2"/>
            <w:tabs>
              <w:tab w:val="right" w:leader="dot" w:pos="9016"/>
            </w:tabs>
            <w:spacing w:line="360" w:lineRule="auto"/>
            <w:jc w:val="both"/>
            <w:rPr>
              <w:rFonts w:ascii="Times New Roman" w:eastAsiaTheme="minorEastAsia" w:hAnsi="Times New Roman" w:cs="Times New Roman"/>
              <w:b/>
              <w:smallCaps w:val="0"/>
              <w:noProof/>
              <w:kern w:val="0"/>
              <w:sz w:val="24"/>
              <w:szCs w:val="24"/>
              <w:lang w:val="en-IN" w:eastAsia="en-IN"/>
              <w14:ligatures w14:val="none"/>
            </w:rPr>
          </w:pPr>
          <w:hyperlink w:anchor="_Toc214489406" w:history="1">
            <w:r w:rsidRPr="000E143F">
              <w:rPr>
                <w:rStyle w:val="Hyperlink"/>
                <w:rFonts w:ascii="Times New Roman" w:hAnsi="Times New Roman" w:cs="Times New Roman"/>
                <w:b/>
                <w:bCs/>
                <w:noProof/>
                <w:sz w:val="24"/>
                <w:szCs w:val="24"/>
              </w:rPr>
              <w:t>3.2 Follower Organisations’ Strategic Responses</w:t>
            </w:r>
            <w:r w:rsidRPr="000E143F">
              <w:rPr>
                <w:rFonts w:ascii="Times New Roman" w:hAnsi="Times New Roman" w:cs="Times New Roman"/>
                <w:b/>
                <w:noProof/>
                <w:webHidden/>
                <w:sz w:val="24"/>
                <w:szCs w:val="24"/>
              </w:rPr>
              <w:tab/>
            </w:r>
            <w:r w:rsidRPr="000E143F">
              <w:rPr>
                <w:rFonts w:ascii="Times New Roman" w:hAnsi="Times New Roman" w:cs="Times New Roman"/>
                <w:b/>
                <w:noProof/>
                <w:webHidden/>
                <w:sz w:val="24"/>
                <w:szCs w:val="24"/>
              </w:rPr>
              <w:fldChar w:fldCharType="begin"/>
            </w:r>
            <w:r w:rsidRPr="000E143F">
              <w:rPr>
                <w:rFonts w:ascii="Times New Roman" w:hAnsi="Times New Roman" w:cs="Times New Roman"/>
                <w:b/>
                <w:noProof/>
                <w:webHidden/>
                <w:sz w:val="24"/>
                <w:szCs w:val="24"/>
              </w:rPr>
              <w:instrText xml:space="preserve"> PAGEREF _Toc214489406 \h </w:instrText>
            </w:r>
            <w:r w:rsidRPr="000E143F">
              <w:rPr>
                <w:rFonts w:ascii="Times New Roman" w:hAnsi="Times New Roman" w:cs="Times New Roman"/>
                <w:b/>
                <w:noProof/>
                <w:webHidden/>
                <w:sz w:val="24"/>
                <w:szCs w:val="24"/>
              </w:rPr>
            </w:r>
            <w:r w:rsidRPr="000E143F">
              <w:rPr>
                <w:rFonts w:ascii="Times New Roman" w:hAnsi="Times New Roman" w:cs="Times New Roman"/>
                <w:b/>
                <w:noProof/>
                <w:webHidden/>
                <w:sz w:val="24"/>
                <w:szCs w:val="24"/>
              </w:rPr>
              <w:fldChar w:fldCharType="separate"/>
            </w:r>
            <w:r w:rsidRPr="000E143F">
              <w:rPr>
                <w:rFonts w:ascii="Times New Roman" w:hAnsi="Times New Roman" w:cs="Times New Roman"/>
                <w:b/>
                <w:noProof/>
                <w:webHidden/>
                <w:sz w:val="24"/>
                <w:szCs w:val="24"/>
              </w:rPr>
              <w:t>9</w:t>
            </w:r>
            <w:r w:rsidRPr="000E143F">
              <w:rPr>
                <w:rFonts w:ascii="Times New Roman" w:hAnsi="Times New Roman" w:cs="Times New Roman"/>
                <w:b/>
                <w:noProof/>
                <w:webHidden/>
                <w:sz w:val="24"/>
                <w:szCs w:val="24"/>
              </w:rPr>
              <w:fldChar w:fldCharType="end"/>
            </w:r>
          </w:hyperlink>
        </w:p>
        <w:p w14:paraId="3AA874F3" w14:textId="77777777" w:rsidR="00172A50" w:rsidRPr="000E143F" w:rsidRDefault="00172A50" w:rsidP="00172A50">
          <w:pPr>
            <w:pStyle w:val="TOC1"/>
            <w:tabs>
              <w:tab w:val="right" w:leader="dot" w:pos="9016"/>
            </w:tabs>
            <w:spacing w:line="360" w:lineRule="auto"/>
            <w:jc w:val="both"/>
            <w:rPr>
              <w:rFonts w:ascii="Times New Roman" w:eastAsiaTheme="minorEastAsia" w:hAnsi="Times New Roman" w:cs="Times New Roman"/>
              <w:bCs w:val="0"/>
              <w:caps w:val="0"/>
              <w:noProof/>
              <w:kern w:val="0"/>
              <w:sz w:val="24"/>
              <w:szCs w:val="24"/>
              <w:lang w:val="en-IN" w:eastAsia="en-IN"/>
              <w14:ligatures w14:val="none"/>
            </w:rPr>
          </w:pPr>
          <w:hyperlink w:anchor="_Toc214489407" w:history="1">
            <w:r w:rsidRPr="000E143F">
              <w:rPr>
                <w:rStyle w:val="Hyperlink"/>
                <w:rFonts w:ascii="Times New Roman" w:hAnsi="Times New Roman" w:cs="Times New Roman"/>
                <w:noProof/>
                <w:sz w:val="24"/>
                <w:szCs w:val="24"/>
              </w:rPr>
              <w:t>4. Conclusion</w:t>
            </w:r>
            <w:r w:rsidRPr="000E143F">
              <w:rPr>
                <w:rFonts w:ascii="Times New Roman" w:hAnsi="Times New Roman" w:cs="Times New Roman"/>
                <w:noProof/>
                <w:webHidden/>
                <w:sz w:val="24"/>
                <w:szCs w:val="24"/>
              </w:rPr>
              <w:tab/>
            </w:r>
            <w:r w:rsidRPr="000E143F">
              <w:rPr>
                <w:rFonts w:ascii="Times New Roman" w:hAnsi="Times New Roman" w:cs="Times New Roman"/>
                <w:noProof/>
                <w:webHidden/>
                <w:sz w:val="24"/>
                <w:szCs w:val="24"/>
              </w:rPr>
              <w:fldChar w:fldCharType="begin"/>
            </w:r>
            <w:r w:rsidRPr="000E143F">
              <w:rPr>
                <w:rFonts w:ascii="Times New Roman" w:hAnsi="Times New Roman" w:cs="Times New Roman"/>
                <w:noProof/>
                <w:webHidden/>
                <w:sz w:val="24"/>
                <w:szCs w:val="24"/>
              </w:rPr>
              <w:instrText xml:space="preserve"> PAGEREF _Toc214489407 \h </w:instrText>
            </w:r>
            <w:r w:rsidRPr="000E143F">
              <w:rPr>
                <w:rFonts w:ascii="Times New Roman" w:hAnsi="Times New Roman" w:cs="Times New Roman"/>
                <w:noProof/>
                <w:webHidden/>
                <w:sz w:val="24"/>
                <w:szCs w:val="24"/>
              </w:rPr>
            </w:r>
            <w:r w:rsidRPr="000E143F">
              <w:rPr>
                <w:rFonts w:ascii="Times New Roman" w:hAnsi="Times New Roman" w:cs="Times New Roman"/>
                <w:noProof/>
                <w:webHidden/>
                <w:sz w:val="24"/>
                <w:szCs w:val="24"/>
              </w:rPr>
              <w:fldChar w:fldCharType="separate"/>
            </w:r>
            <w:r w:rsidRPr="000E143F">
              <w:rPr>
                <w:rFonts w:ascii="Times New Roman" w:hAnsi="Times New Roman" w:cs="Times New Roman"/>
                <w:noProof/>
                <w:webHidden/>
                <w:sz w:val="24"/>
                <w:szCs w:val="24"/>
              </w:rPr>
              <w:t>12</w:t>
            </w:r>
            <w:r w:rsidRPr="000E143F">
              <w:rPr>
                <w:rFonts w:ascii="Times New Roman" w:hAnsi="Times New Roman" w:cs="Times New Roman"/>
                <w:noProof/>
                <w:webHidden/>
                <w:sz w:val="24"/>
                <w:szCs w:val="24"/>
              </w:rPr>
              <w:fldChar w:fldCharType="end"/>
            </w:r>
          </w:hyperlink>
        </w:p>
        <w:p w14:paraId="6B9B535C" w14:textId="77777777" w:rsidR="00172A50" w:rsidRPr="00172A50" w:rsidRDefault="00172A50" w:rsidP="00172A50">
          <w:pPr>
            <w:pStyle w:val="TOC1"/>
            <w:tabs>
              <w:tab w:val="right" w:leader="dot" w:pos="9016"/>
            </w:tabs>
            <w:spacing w:line="360" w:lineRule="auto"/>
            <w:jc w:val="both"/>
            <w:rPr>
              <w:rFonts w:ascii="Times New Roman" w:eastAsiaTheme="minorEastAsia" w:hAnsi="Times New Roman" w:cs="Times New Roman"/>
              <w:b w:val="0"/>
              <w:bCs w:val="0"/>
              <w:caps w:val="0"/>
              <w:noProof/>
              <w:kern w:val="0"/>
              <w:sz w:val="24"/>
              <w:szCs w:val="24"/>
              <w:lang w:val="en-IN" w:eastAsia="en-IN"/>
              <w14:ligatures w14:val="none"/>
            </w:rPr>
          </w:pPr>
          <w:hyperlink w:anchor="_Toc214489408" w:history="1">
            <w:r w:rsidRPr="000E143F">
              <w:rPr>
                <w:rStyle w:val="Hyperlink"/>
                <w:rFonts w:ascii="Times New Roman" w:hAnsi="Times New Roman" w:cs="Times New Roman"/>
                <w:noProof/>
                <w:sz w:val="24"/>
                <w:szCs w:val="24"/>
              </w:rPr>
              <w:t>5. References</w:t>
            </w:r>
            <w:r w:rsidRPr="000E143F">
              <w:rPr>
                <w:rFonts w:ascii="Times New Roman" w:hAnsi="Times New Roman" w:cs="Times New Roman"/>
                <w:noProof/>
                <w:webHidden/>
                <w:sz w:val="24"/>
                <w:szCs w:val="24"/>
              </w:rPr>
              <w:tab/>
            </w:r>
            <w:r w:rsidRPr="000E143F">
              <w:rPr>
                <w:rFonts w:ascii="Times New Roman" w:hAnsi="Times New Roman" w:cs="Times New Roman"/>
                <w:noProof/>
                <w:webHidden/>
                <w:sz w:val="24"/>
                <w:szCs w:val="24"/>
              </w:rPr>
              <w:fldChar w:fldCharType="begin"/>
            </w:r>
            <w:r w:rsidRPr="000E143F">
              <w:rPr>
                <w:rFonts w:ascii="Times New Roman" w:hAnsi="Times New Roman" w:cs="Times New Roman"/>
                <w:noProof/>
                <w:webHidden/>
                <w:sz w:val="24"/>
                <w:szCs w:val="24"/>
              </w:rPr>
              <w:instrText xml:space="preserve"> PAGEREF _Toc214489408 \h </w:instrText>
            </w:r>
            <w:r w:rsidRPr="000E143F">
              <w:rPr>
                <w:rFonts w:ascii="Times New Roman" w:hAnsi="Times New Roman" w:cs="Times New Roman"/>
                <w:noProof/>
                <w:webHidden/>
                <w:sz w:val="24"/>
                <w:szCs w:val="24"/>
              </w:rPr>
            </w:r>
            <w:r w:rsidRPr="000E143F">
              <w:rPr>
                <w:rFonts w:ascii="Times New Roman" w:hAnsi="Times New Roman" w:cs="Times New Roman"/>
                <w:noProof/>
                <w:webHidden/>
                <w:sz w:val="24"/>
                <w:szCs w:val="24"/>
              </w:rPr>
              <w:fldChar w:fldCharType="separate"/>
            </w:r>
            <w:r w:rsidRPr="000E143F">
              <w:rPr>
                <w:rFonts w:ascii="Times New Roman" w:hAnsi="Times New Roman" w:cs="Times New Roman"/>
                <w:noProof/>
                <w:webHidden/>
                <w:sz w:val="24"/>
                <w:szCs w:val="24"/>
              </w:rPr>
              <w:t>13</w:t>
            </w:r>
            <w:r w:rsidRPr="000E143F">
              <w:rPr>
                <w:rFonts w:ascii="Times New Roman" w:hAnsi="Times New Roman" w:cs="Times New Roman"/>
                <w:noProof/>
                <w:webHidden/>
                <w:sz w:val="24"/>
                <w:szCs w:val="24"/>
              </w:rPr>
              <w:fldChar w:fldCharType="end"/>
            </w:r>
          </w:hyperlink>
        </w:p>
        <w:p w14:paraId="1FB5A3E7" w14:textId="42E1125E" w:rsidR="00E911BD" w:rsidRPr="00E911BD" w:rsidRDefault="00E911BD" w:rsidP="00172A50">
          <w:pPr>
            <w:spacing w:line="360" w:lineRule="auto"/>
            <w:jc w:val="both"/>
            <w:rPr>
              <w:rFonts w:ascii="Times New Roman" w:hAnsi="Times New Roman" w:cs="Times New Roman"/>
            </w:rPr>
          </w:pPr>
          <w:r w:rsidRPr="00172A50">
            <w:rPr>
              <w:rFonts w:ascii="Times New Roman" w:hAnsi="Times New Roman" w:cs="Times New Roman"/>
              <w:b/>
              <w:bCs/>
              <w:noProof/>
            </w:rPr>
            <w:fldChar w:fldCharType="end"/>
          </w:r>
        </w:p>
      </w:sdtContent>
    </w:sdt>
    <w:p w14:paraId="70803FB5" w14:textId="77777777" w:rsidR="00632881" w:rsidRPr="00E911BD" w:rsidRDefault="00632881" w:rsidP="00E911BD">
      <w:pPr>
        <w:spacing w:line="360" w:lineRule="auto"/>
        <w:jc w:val="both"/>
        <w:rPr>
          <w:rStyle w:val="Heading1Char"/>
        </w:rPr>
      </w:pPr>
      <w:r w:rsidRPr="00E911BD">
        <w:rPr>
          <w:rStyle w:val="Heading1Char"/>
          <w:b w:val="0"/>
          <w:bCs w:val="0"/>
        </w:rPr>
        <w:br w:type="page"/>
      </w:r>
    </w:p>
    <w:p w14:paraId="7F2C8FE1" w14:textId="77777777" w:rsidR="00E911BD" w:rsidRDefault="00DE5D5B" w:rsidP="00E911BD">
      <w:pPr>
        <w:rPr>
          <w:rStyle w:val="Heading1Char"/>
        </w:rPr>
      </w:pPr>
      <w:bookmarkStart w:id="1" w:name="_Toc214489399"/>
      <w:r w:rsidRPr="00E911BD">
        <w:rPr>
          <w:rStyle w:val="Heading1Char"/>
        </w:rPr>
        <w:lastRenderedPageBreak/>
        <w:t>1. Introduction</w:t>
      </w:r>
      <w:bookmarkEnd w:id="1"/>
      <w:r w:rsidRPr="00E911BD">
        <w:rPr>
          <w:rStyle w:val="Heading1Char"/>
        </w:rPr>
        <w:t xml:space="preserve"> </w:t>
      </w:r>
      <w:bookmarkEnd w:id="0"/>
    </w:p>
    <w:p w14:paraId="7723ADFC" w14:textId="522BB389" w:rsidR="00A42F07" w:rsidRDefault="00A42F07" w:rsidP="00172A50">
      <w:pPr>
        <w:spacing w:line="360" w:lineRule="auto"/>
        <w:jc w:val="both"/>
        <w:rPr>
          <w:rStyle w:val="Heading1Char"/>
          <w:b w:val="0"/>
        </w:rPr>
      </w:pPr>
    </w:p>
    <w:p w14:paraId="071C4046" w14:textId="77777777" w:rsidR="00A42F07" w:rsidRPr="00172A50" w:rsidRDefault="00A42F07" w:rsidP="00172A50">
      <w:pPr>
        <w:spacing w:line="360" w:lineRule="auto"/>
        <w:jc w:val="both"/>
        <w:rPr>
          <w:rFonts w:ascii="Times New Roman" w:hAnsi="Times New Roman" w:cs="Times New Roman"/>
          <w:b/>
          <w:bCs/>
          <w:color w:val="000000" w:themeColor="text1"/>
        </w:rPr>
      </w:pPr>
      <w:r w:rsidRPr="00172A50">
        <w:rPr>
          <w:rFonts w:ascii="Times New Roman" w:hAnsi="Times New Roman" w:cs="Times New Roman"/>
          <w:bCs/>
          <w:color w:val="000000" w:themeColor="text1"/>
        </w:rPr>
        <w:t>This report explores the strategic implication of the macro marketing environment and considers the reaction of pioneering and follower organisations to challenges in external environments of contemporary competitive markets. Within the strategic marketing management, it is important to study the macro environment, since external forces such as political, economic, social, technological, environmental, and legal forces influence the market conditions, consumer behaviour, as well as the opportunities and risks that are presented to the firms. These are wider forces that are not under the managers’ control but that highly influence the strategic planning, positioning and sustainability in the long term. Through macro environmental analysis, organisations stand to be in a better position to predict disruption and synchronize their marketing objectives with the new trends and remain competitive in dynamic markets.</w:t>
      </w:r>
    </w:p>
    <w:p w14:paraId="23F86FBA" w14:textId="61DA685D" w:rsidR="00172A50" w:rsidRPr="00E911BD" w:rsidRDefault="00A42F07" w:rsidP="00172A50">
      <w:pPr>
        <w:spacing w:line="360" w:lineRule="auto"/>
        <w:jc w:val="both"/>
        <w:rPr>
          <w:rStyle w:val="Heading1Char"/>
          <w:b w:val="0"/>
        </w:rPr>
      </w:pPr>
      <w:r w:rsidRPr="00172A50">
        <w:rPr>
          <w:rFonts w:ascii="Times New Roman" w:hAnsi="Times New Roman" w:cs="Times New Roman"/>
          <w:bCs/>
          <w:color w:val="000000" w:themeColor="text1"/>
        </w:rPr>
        <w:t>The report will be set up into two major tasks. Task 1 provides a critical overview of the macro marketing environment based on the framework of the PESTEL and assesses two examples of the significant external actors have been examined artificial intelligence (AI), as a technological factor, and the Zero-Emission Vehicle (ZEV) regulation, as an environmental factor. It equally looks into the manner in which all actors affect pioneers and followers differently. Task 2 examines strategic options embraced by the pioneer and follower organisations based on the application of Ansoff Growth matrix, Porters Generic Strategies, and illustrations based on the industry. On the whole, this report is aimed at showing the relevance of environmental scanning and strategic adaptation in defining the success of the marketing.</w:t>
      </w:r>
    </w:p>
    <w:p w14:paraId="32C2FC1D" w14:textId="77777777" w:rsidR="00CD5F2F" w:rsidRPr="00E911BD" w:rsidRDefault="00CD5F2F" w:rsidP="00E911BD">
      <w:pPr>
        <w:spacing w:line="360" w:lineRule="auto"/>
        <w:jc w:val="both"/>
        <w:rPr>
          <w:rFonts w:ascii="Times New Roman" w:eastAsiaTheme="majorEastAsia" w:hAnsi="Times New Roman" w:cs="Times New Roman"/>
        </w:rPr>
      </w:pPr>
    </w:p>
    <w:p w14:paraId="2F6078B7" w14:textId="630B88B5" w:rsidR="00DE5D5B" w:rsidRPr="00E911BD" w:rsidRDefault="00DE5D5B" w:rsidP="00E911BD">
      <w:pPr>
        <w:spacing w:line="360" w:lineRule="auto"/>
        <w:jc w:val="both"/>
        <w:rPr>
          <w:rStyle w:val="Heading1Char"/>
          <w:b w:val="0"/>
          <w:bCs w:val="0"/>
        </w:rPr>
      </w:pPr>
      <w:bookmarkStart w:id="2" w:name="_Toc211437170"/>
      <w:bookmarkStart w:id="3" w:name="_Toc214489400"/>
      <w:r w:rsidRPr="00E911BD">
        <w:rPr>
          <w:rStyle w:val="Heading1Char"/>
        </w:rPr>
        <w:t>2. Task 1: Critical Analysis of the Macro Marketing Environment</w:t>
      </w:r>
      <w:bookmarkEnd w:id="2"/>
      <w:bookmarkEnd w:id="3"/>
    </w:p>
    <w:p w14:paraId="210F896E" w14:textId="3608BB06" w:rsidR="00DE5D5B" w:rsidRPr="00E911BD" w:rsidRDefault="00DE5D5B" w:rsidP="00E911BD">
      <w:pPr>
        <w:pStyle w:val="Heading2"/>
        <w:spacing w:line="360" w:lineRule="auto"/>
        <w:jc w:val="both"/>
        <w:rPr>
          <w:rFonts w:ascii="Times New Roman" w:hAnsi="Times New Roman" w:cs="Times New Roman"/>
          <w:b/>
          <w:bCs/>
          <w:color w:val="000000" w:themeColor="text1"/>
          <w:sz w:val="24"/>
          <w:szCs w:val="24"/>
        </w:rPr>
      </w:pPr>
      <w:bookmarkStart w:id="4" w:name="_Toc211437171"/>
      <w:bookmarkStart w:id="5" w:name="_Toc214489401"/>
      <w:r w:rsidRPr="00E911BD">
        <w:rPr>
          <w:rFonts w:ascii="Times New Roman" w:hAnsi="Times New Roman" w:cs="Times New Roman"/>
          <w:b/>
          <w:bCs/>
          <w:color w:val="000000" w:themeColor="text1"/>
          <w:sz w:val="24"/>
          <w:szCs w:val="24"/>
        </w:rPr>
        <w:t>2.1 Overview of the Macro Marketing Environment</w:t>
      </w:r>
      <w:bookmarkEnd w:id="4"/>
      <w:bookmarkEnd w:id="5"/>
      <w:r w:rsidR="00434358" w:rsidRPr="00E911BD">
        <w:rPr>
          <w:rFonts w:ascii="Times New Roman" w:hAnsi="Times New Roman" w:cs="Times New Roman"/>
          <w:b/>
          <w:bCs/>
          <w:color w:val="000000" w:themeColor="text1"/>
          <w:sz w:val="24"/>
          <w:szCs w:val="24"/>
        </w:rPr>
        <w:t xml:space="preserve"> </w:t>
      </w:r>
    </w:p>
    <w:p w14:paraId="0C7C9FD4" w14:textId="14284FB3" w:rsidR="000D2579" w:rsidRPr="00E911BD" w:rsidRDefault="000D2579" w:rsidP="00E911BD">
      <w:pPr>
        <w:spacing w:line="360" w:lineRule="auto"/>
        <w:jc w:val="both"/>
        <w:rPr>
          <w:rFonts w:ascii="Times New Roman" w:hAnsi="Times New Roman" w:cs="Times New Roman"/>
        </w:rPr>
      </w:pPr>
      <w:r w:rsidRPr="00E911BD">
        <w:rPr>
          <w:rFonts w:ascii="Times New Roman" w:hAnsi="Times New Roman" w:cs="Times New Roman"/>
        </w:rPr>
        <w:t>The macro marketing environment may be explained as the overall external forces that influence the ability of an organisation to design and embrace effective marketing strategies. These forces cannot be controlled and dictate the market conditions, consumer behaviour besides the competitive forces</w:t>
      </w:r>
      <w:r w:rsidR="003364E1" w:rsidRPr="00E911BD">
        <w:rPr>
          <w:rFonts w:ascii="Times New Roman" w:hAnsi="Times New Roman" w:cs="Times New Roman"/>
        </w:rPr>
        <w:t xml:space="preserve"> (</w:t>
      </w:r>
      <w:proofErr w:type="spellStart"/>
      <w:r w:rsidR="003364E1" w:rsidRPr="00E911BD">
        <w:rPr>
          <w:rFonts w:ascii="Times New Roman" w:hAnsi="Times New Roman" w:cs="Times New Roman"/>
          <w:color w:val="222222"/>
          <w:shd w:val="clear" w:color="auto" w:fill="FFFFFF"/>
        </w:rPr>
        <w:t>DeQuero</w:t>
      </w:r>
      <w:proofErr w:type="spellEnd"/>
      <w:r w:rsidR="003364E1" w:rsidRPr="00E911BD">
        <w:rPr>
          <w:rFonts w:ascii="Times New Roman" w:hAnsi="Times New Roman" w:cs="Times New Roman"/>
          <w:color w:val="222222"/>
          <w:shd w:val="clear" w:color="auto" w:fill="FFFFFF"/>
        </w:rPr>
        <w:t xml:space="preserve">-Navarro </w:t>
      </w:r>
      <w:r w:rsidR="00172A50" w:rsidRPr="00172A50">
        <w:rPr>
          <w:rFonts w:ascii="Times New Roman" w:hAnsi="Times New Roman" w:cs="Times New Roman"/>
          <w:i/>
          <w:color w:val="222222"/>
          <w:shd w:val="clear" w:color="auto" w:fill="FFFFFF"/>
        </w:rPr>
        <w:t>et al</w:t>
      </w:r>
      <w:r w:rsidR="003364E1" w:rsidRPr="00E911BD">
        <w:rPr>
          <w:rFonts w:ascii="Times New Roman" w:hAnsi="Times New Roman" w:cs="Times New Roman"/>
          <w:color w:val="222222"/>
          <w:shd w:val="clear" w:color="auto" w:fill="FFFFFF"/>
        </w:rPr>
        <w:t>., 2021</w:t>
      </w:r>
      <w:r w:rsidR="003364E1" w:rsidRPr="00E911BD">
        <w:rPr>
          <w:rFonts w:ascii="Times New Roman" w:hAnsi="Times New Roman" w:cs="Times New Roman"/>
        </w:rPr>
        <w:t>)</w:t>
      </w:r>
      <w:r w:rsidRPr="00E911BD">
        <w:rPr>
          <w:rFonts w:ascii="Times New Roman" w:hAnsi="Times New Roman" w:cs="Times New Roman"/>
        </w:rPr>
        <w:t>. Knowledge of macro environment assists managers to be proactive, as well as identify opportunities and mitigate risk. It is also used to align strategically in which marketing decisions are made in reference to wider economic, social and technology trends as opposed to in-house abilities.</w:t>
      </w:r>
    </w:p>
    <w:p w14:paraId="38635CEE" w14:textId="77777777" w:rsidR="00A42F07" w:rsidRPr="00E911BD" w:rsidRDefault="00A42F07" w:rsidP="00E911BD">
      <w:pPr>
        <w:spacing w:line="360" w:lineRule="auto"/>
        <w:jc w:val="both"/>
        <w:rPr>
          <w:rFonts w:ascii="Times New Roman" w:hAnsi="Times New Roman" w:cs="Times New Roman"/>
        </w:rPr>
      </w:pPr>
    </w:p>
    <w:p w14:paraId="58337330" w14:textId="77777777" w:rsidR="00A42F07" w:rsidRPr="00E911BD" w:rsidRDefault="00A42F07" w:rsidP="00E911BD">
      <w:pPr>
        <w:spacing w:line="360" w:lineRule="auto"/>
        <w:jc w:val="both"/>
        <w:rPr>
          <w:rFonts w:ascii="Times New Roman" w:hAnsi="Times New Roman" w:cs="Times New Roman"/>
        </w:rPr>
      </w:pPr>
    </w:p>
    <w:p w14:paraId="503C8B03" w14:textId="649E3ECE" w:rsidR="00A42F07" w:rsidRPr="00E911BD" w:rsidRDefault="00A42F07" w:rsidP="00172A50">
      <w:pPr>
        <w:spacing w:line="360" w:lineRule="auto"/>
        <w:jc w:val="center"/>
        <w:rPr>
          <w:rFonts w:ascii="Times New Roman" w:hAnsi="Times New Roman" w:cs="Times New Roman"/>
        </w:rPr>
      </w:pPr>
      <w:r w:rsidRPr="00E911BD">
        <w:rPr>
          <w:rFonts w:ascii="Times New Roman" w:hAnsi="Times New Roman" w:cs="Times New Roman"/>
          <w:noProof/>
        </w:rPr>
        <w:drawing>
          <wp:inline distT="0" distB="0" distL="0" distR="0" wp14:anchorId="25DC4199" wp14:editId="05924A27">
            <wp:extent cx="4772024" cy="4676775"/>
            <wp:effectExtent l="19050" t="19050" r="1016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t="1008"/>
                    <a:stretch/>
                  </pic:blipFill>
                  <pic:spPr bwMode="auto">
                    <a:xfrm>
                      <a:off x="0" y="0"/>
                      <a:ext cx="4772691" cy="4677428"/>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4BE576D4" w14:textId="7F49AB71" w:rsidR="00A42F07" w:rsidRPr="00E911BD" w:rsidRDefault="00A42F07" w:rsidP="00172A50">
      <w:pPr>
        <w:spacing w:line="360" w:lineRule="auto"/>
        <w:jc w:val="center"/>
        <w:rPr>
          <w:rFonts w:ascii="Times New Roman" w:hAnsi="Times New Roman" w:cs="Times New Roman"/>
          <w:b/>
          <w:bCs/>
          <w:color w:val="000000" w:themeColor="text1"/>
        </w:rPr>
      </w:pPr>
      <w:r w:rsidRPr="00E911BD">
        <w:rPr>
          <w:rFonts w:ascii="Times New Roman" w:hAnsi="Times New Roman" w:cs="Times New Roman"/>
          <w:b/>
        </w:rPr>
        <w:t xml:space="preserve">Figure 1: </w:t>
      </w:r>
      <w:r w:rsidRPr="00E911BD">
        <w:rPr>
          <w:rFonts w:ascii="Times New Roman" w:hAnsi="Times New Roman" w:cs="Times New Roman"/>
          <w:b/>
          <w:bCs/>
          <w:color w:val="000000" w:themeColor="text1"/>
        </w:rPr>
        <w:t>Macro Marketing Environment</w:t>
      </w:r>
    </w:p>
    <w:p w14:paraId="484309AF" w14:textId="76198517" w:rsidR="00A42F07" w:rsidRPr="00E911BD" w:rsidRDefault="00A42F07" w:rsidP="00172A50">
      <w:pPr>
        <w:spacing w:line="360" w:lineRule="auto"/>
        <w:jc w:val="center"/>
        <w:rPr>
          <w:rFonts w:ascii="Times New Roman" w:hAnsi="Times New Roman" w:cs="Times New Roman"/>
        </w:rPr>
      </w:pPr>
      <w:r w:rsidRPr="00E911BD">
        <w:rPr>
          <w:rFonts w:ascii="Times New Roman" w:hAnsi="Times New Roman" w:cs="Times New Roman"/>
          <w:bCs/>
          <w:color w:val="000000" w:themeColor="text1"/>
        </w:rPr>
        <w:t xml:space="preserve">(Source: </w:t>
      </w:r>
      <w:r w:rsidRPr="00E911BD">
        <w:rPr>
          <w:rFonts w:ascii="Times New Roman" w:hAnsi="Times New Roman" w:cs="Times New Roman"/>
          <w:bCs/>
          <w:color w:val="000000" w:themeColor="text1"/>
          <w:lang w:val="en-IN"/>
        </w:rPr>
        <w:t>Marketing91, 2025)</w:t>
      </w:r>
    </w:p>
    <w:p w14:paraId="05D4511F" w14:textId="5E759D97" w:rsidR="000D2579" w:rsidRPr="00E911BD" w:rsidRDefault="000D2579" w:rsidP="00E911BD">
      <w:pPr>
        <w:spacing w:line="360" w:lineRule="auto"/>
        <w:jc w:val="both"/>
        <w:rPr>
          <w:rFonts w:ascii="Times New Roman" w:hAnsi="Times New Roman" w:cs="Times New Roman"/>
        </w:rPr>
      </w:pPr>
      <w:r w:rsidRPr="00E911BD">
        <w:rPr>
          <w:rFonts w:ascii="Times New Roman" w:hAnsi="Times New Roman" w:cs="Times New Roman"/>
          <w:b/>
          <w:i/>
        </w:rPr>
        <w:t>PESTEL Framework</w:t>
      </w:r>
    </w:p>
    <w:p w14:paraId="3D38B627" w14:textId="5FB7603F" w:rsidR="000D2579" w:rsidRPr="00E911BD" w:rsidRDefault="000D2579" w:rsidP="00E911BD">
      <w:pPr>
        <w:spacing w:line="360" w:lineRule="auto"/>
        <w:jc w:val="both"/>
        <w:rPr>
          <w:rFonts w:ascii="Times New Roman" w:hAnsi="Times New Roman" w:cs="Times New Roman"/>
        </w:rPr>
      </w:pPr>
      <w:r w:rsidRPr="00E911BD">
        <w:rPr>
          <w:rFonts w:ascii="Times New Roman" w:hAnsi="Times New Roman" w:cs="Times New Roman"/>
        </w:rPr>
        <w:t>The PESTEL framework provides a formal approach to the analysis of the six main external forces of Political, Economic, Social, Technological, Environmental, and Legal force. Each of the elements offers an outlook of how the grand trends affect the market opportunities and constraints. The political causes that affect regulatory pressures and the accessibility of markets are the stability of the governments and their trade policies. Economic patterns, including inflation or consumer spending power, govern the demand patterns. Social forces which include demographics, cultural inclination and change in lifestyle determine the changing needs of customers</w:t>
      </w:r>
      <w:r w:rsidR="003364E1" w:rsidRPr="00E911BD">
        <w:rPr>
          <w:rFonts w:ascii="Times New Roman" w:hAnsi="Times New Roman" w:cs="Times New Roman"/>
        </w:rPr>
        <w:t xml:space="preserve"> (</w:t>
      </w:r>
      <w:proofErr w:type="spellStart"/>
      <w:r w:rsidR="003364E1" w:rsidRPr="00E911BD">
        <w:rPr>
          <w:rFonts w:ascii="Times New Roman" w:hAnsi="Times New Roman" w:cs="Times New Roman"/>
          <w:color w:val="222222"/>
          <w:shd w:val="clear" w:color="auto" w:fill="FFFFFF"/>
        </w:rPr>
        <w:t>Domegan</w:t>
      </w:r>
      <w:proofErr w:type="spellEnd"/>
      <w:r w:rsidR="003364E1" w:rsidRPr="00E911BD">
        <w:rPr>
          <w:rFonts w:ascii="Times New Roman" w:hAnsi="Times New Roman" w:cs="Times New Roman"/>
          <w:color w:val="222222"/>
          <w:shd w:val="clear" w:color="auto" w:fill="FFFFFF"/>
        </w:rPr>
        <w:t>, 2021</w:t>
      </w:r>
      <w:r w:rsidR="003364E1" w:rsidRPr="00E911BD">
        <w:rPr>
          <w:rFonts w:ascii="Times New Roman" w:hAnsi="Times New Roman" w:cs="Times New Roman"/>
        </w:rPr>
        <w:t>)</w:t>
      </w:r>
      <w:r w:rsidRPr="00E911BD">
        <w:rPr>
          <w:rFonts w:ascii="Times New Roman" w:hAnsi="Times New Roman" w:cs="Times New Roman"/>
        </w:rPr>
        <w:t>. New technology, such as AI and automation, is a source of innovation and redefining competitive advantage. The companies are pressured by environmental factors to be green, like the need to be environmentally sustainable</w:t>
      </w:r>
      <w:r w:rsidR="003364E1" w:rsidRPr="00E911BD">
        <w:rPr>
          <w:rFonts w:ascii="Times New Roman" w:hAnsi="Times New Roman" w:cs="Times New Roman"/>
        </w:rPr>
        <w:t xml:space="preserve"> </w:t>
      </w:r>
      <w:r w:rsidR="003364E1" w:rsidRPr="00E911BD">
        <w:rPr>
          <w:rFonts w:ascii="Times New Roman" w:hAnsi="Times New Roman" w:cs="Times New Roman"/>
        </w:rPr>
        <w:lastRenderedPageBreak/>
        <w:t>(</w:t>
      </w:r>
      <w:r w:rsidR="003364E1" w:rsidRPr="00E911BD">
        <w:rPr>
          <w:rFonts w:ascii="Times New Roman" w:hAnsi="Times New Roman" w:cs="Times New Roman"/>
          <w:color w:val="222222"/>
          <w:shd w:val="clear" w:color="auto" w:fill="FFFFFF"/>
        </w:rPr>
        <w:t xml:space="preserve">Iacobucci </w:t>
      </w:r>
      <w:r w:rsidR="00172A50" w:rsidRPr="00172A50">
        <w:rPr>
          <w:rFonts w:ascii="Times New Roman" w:hAnsi="Times New Roman" w:cs="Times New Roman"/>
          <w:i/>
          <w:color w:val="222222"/>
          <w:shd w:val="clear" w:color="auto" w:fill="FFFFFF"/>
        </w:rPr>
        <w:t>et al</w:t>
      </w:r>
      <w:r w:rsidR="003364E1" w:rsidRPr="00E911BD">
        <w:rPr>
          <w:rFonts w:ascii="Times New Roman" w:hAnsi="Times New Roman" w:cs="Times New Roman"/>
          <w:color w:val="222222"/>
          <w:shd w:val="clear" w:color="auto" w:fill="FFFFFF"/>
        </w:rPr>
        <w:t>., 2020</w:t>
      </w:r>
      <w:r w:rsidR="003364E1" w:rsidRPr="00E911BD">
        <w:rPr>
          <w:rFonts w:ascii="Times New Roman" w:hAnsi="Times New Roman" w:cs="Times New Roman"/>
        </w:rPr>
        <w:t>)</w:t>
      </w:r>
      <w:r w:rsidRPr="00E911BD">
        <w:rPr>
          <w:rFonts w:ascii="Times New Roman" w:hAnsi="Times New Roman" w:cs="Times New Roman"/>
        </w:rPr>
        <w:t>. Legal factors such as information security and consumer rights define the requirements of compliance and scope of operations.</w:t>
      </w:r>
    </w:p>
    <w:p w14:paraId="07FBA73B" w14:textId="0B8A961F" w:rsidR="000D2579" w:rsidRPr="00E911BD" w:rsidRDefault="000D2579" w:rsidP="00E911BD">
      <w:pPr>
        <w:spacing w:line="360" w:lineRule="auto"/>
        <w:jc w:val="both"/>
        <w:rPr>
          <w:rFonts w:ascii="Times New Roman" w:hAnsi="Times New Roman" w:cs="Times New Roman"/>
        </w:rPr>
      </w:pPr>
      <w:r w:rsidRPr="00E911BD">
        <w:rPr>
          <w:rFonts w:ascii="Times New Roman" w:hAnsi="Times New Roman" w:cs="Times New Roman"/>
        </w:rPr>
        <w:t>Macro-environment gives a detailed analysis that enables organisations to vary their approaches of marketing, according to the external environment. With PESTEL knowledge, the organisations can develop value propositions which are not only strong, but also anticipate market disruptions and develop future predictions-oriented strategies, thus making them competitive both in the long run and in the minds of their customers.</w:t>
      </w:r>
    </w:p>
    <w:p w14:paraId="4B8F68CB" w14:textId="54985636" w:rsidR="00DE5D5B" w:rsidRPr="00E911BD" w:rsidRDefault="00DE5D5B" w:rsidP="00E911BD">
      <w:pPr>
        <w:pStyle w:val="Heading2"/>
        <w:spacing w:line="360" w:lineRule="auto"/>
        <w:jc w:val="both"/>
        <w:rPr>
          <w:rFonts w:ascii="Times New Roman" w:hAnsi="Times New Roman" w:cs="Times New Roman"/>
          <w:b/>
          <w:bCs/>
          <w:color w:val="000000" w:themeColor="text1"/>
          <w:sz w:val="24"/>
          <w:szCs w:val="24"/>
        </w:rPr>
      </w:pPr>
      <w:bookmarkStart w:id="6" w:name="_Toc211437172"/>
      <w:bookmarkStart w:id="7" w:name="_Toc214489402"/>
      <w:r w:rsidRPr="00E911BD">
        <w:rPr>
          <w:rFonts w:ascii="Times New Roman" w:hAnsi="Times New Roman" w:cs="Times New Roman"/>
          <w:b/>
          <w:bCs/>
          <w:color w:val="000000" w:themeColor="text1"/>
          <w:sz w:val="24"/>
          <w:szCs w:val="24"/>
        </w:rPr>
        <w:t>2.2 Selection of Two External Macro Marketing Actors</w:t>
      </w:r>
      <w:bookmarkEnd w:id="6"/>
      <w:bookmarkEnd w:id="7"/>
      <w:r w:rsidR="00434358" w:rsidRPr="00E911BD">
        <w:rPr>
          <w:rFonts w:ascii="Times New Roman" w:hAnsi="Times New Roman" w:cs="Times New Roman"/>
          <w:b/>
          <w:bCs/>
          <w:color w:val="000000" w:themeColor="text1"/>
          <w:sz w:val="24"/>
          <w:szCs w:val="24"/>
        </w:rPr>
        <w:t xml:space="preserve"> </w:t>
      </w:r>
    </w:p>
    <w:p w14:paraId="1AA01767" w14:textId="1449BC60" w:rsidR="00267C8D" w:rsidRPr="00E911BD" w:rsidRDefault="00267C8D" w:rsidP="00E911BD">
      <w:pPr>
        <w:spacing w:line="360" w:lineRule="auto"/>
        <w:jc w:val="both"/>
        <w:rPr>
          <w:rFonts w:ascii="Times New Roman" w:hAnsi="Times New Roman" w:cs="Times New Roman"/>
        </w:rPr>
      </w:pPr>
      <w:r w:rsidRPr="00E911BD">
        <w:rPr>
          <w:rFonts w:ascii="Times New Roman" w:hAnsi="Times New Roman" w:cs="Times New Roman"/>
          <w:b/>
          <w:i/>
        </w:rPr>
        <w:t>Technological Actor: Artificial Intelligence</w:t>
      </w:r>
    </w:p>
    <w:p w14:paraId="0AAE9A5F" w14:textId="70B5A8E9" w:rsidR="00267C8D" w:rsidRPr="00E911BD" w:rsidRDefault="00267C8D" w:rsidP="00E911BD">
      <w:pPr>
        <w:spacing w:line="360" w:lineRule="auto"/>
        <w:jc w:val="both"/>
        <w:rPr>
          <w:rFonts w:ascii="Times New Roman" w:hAnsi="Times New Roman" w:cs="Times New Roman"/>
        </w:rPr>
      </w:pPr>
      <w:r w:rsidRPr="00E911BD">
        <w:rPr>
          <w:rFonts w:ascii="Times New Roman" w:hAnsi="Times New Roman" w:cs="Times New Roman"/>
        </w:rPr>
        <w:t>Artificial intelligence (AI) is a macro force in the retail and e-commerce market due to the high rate of adoption and the cumbersome change to the consumer interaction. Recent industry reports show that approximately 85</w:t>
      </w:r>
      <w:r w:rsidR="00A42F07" w:rsidRPr="00E911BD">
        <w:rPr>
          <w:rFonts w:ascii="Times New Roman" w:hAnsi="Times New Roman" w:cs="Times New Roman"/>
        </w:rPr>
        <w:t>%</w:t>
      </w:r>
      <w:r w:rsidRPr="00E911BD">
        <w:rPr>
          <w:rFonts w:ascii="Times New Roman" w:hAnsi="Times New Roman" w:cs="Times New Roman"/>
        </w:rPr>
        <w:t xml:space="preserve"> of e-commerce firms are currently engaging AI tools to conduct their operations such as personalisation, demand prediction, and automated customer services (Smith, 2024). AI-driven recommendation systems alone has taken a significant and sober effect on purchasing behaviour;</w:t>
      </w:r>
      <w:r w:rsidR="00A42F07" w:rsidRPr="00E911BD">
        <w:rPr>
          <w:rFonts w:ascii="Times New Roman" w:hAnsi="Times New Roman" w:cs="Times New Roman"/>
        </w:rPr>
        <w:t xml:space="preserve"> it makes up about 5% </w:t>
      </w:r>
      <w:r w:rsidRPr="00E911BD">
        <w:rPr>
          <w:rFonts w:ascii="Times New Roman" w:hAnsi="Times New Roman" w:cs="Times New Roman"/>
        </w:rPr>
        <w:t xml:space="preserve">of online retail purchases, which confirms that it has a massive impact on buying </w:t>
      </w:r>
      <w:proofErr w:type="spellStart"/>
      <w:r w:rsidRPr="00E911BD">
        <w:rPr>
          <w:rFonts w:ascii="Times New Roman" w:hAnsi="Times New Roman" w:cs="Times New Roman"/>
        </w:rPr>
        <w:t>behavior</w:t>
      </w:r>
      <w:proofErr w:type="spellEnd"/>
      <w:r w:rsidRPr="00E911BD">
        <w:rPr>
          <w:rFonts w:ascii="Times New Roman" w:hAnsi="Times New Roman" w:cs="Times New Roman"/>
        </w:rPr>
        <w:t xml:space="preserve"> (Johnson, 2023). The projected retail AI is expected to reach past USD 80 billion by 2030 after USD 18.8 billion in 2024, which implies its additional strategic significance (Market Research Group, 2024). Concerning the marketers, AI will improve customer experiences, enables precise customer segmentation, and real-time targeting, which is critical in competitive differentiation.</w:t>
      </w:r>
    </w:p>
    <w:p w14:paraId="279C3422" w14:textId="63A7D173" w:rsidR="00A42F07" w:rsidRPr="00E911BD" w:rsidRDefault="00A42F07" w:rsidP="00E911BD">
      <w:pPr>
        <w:spacing w:line="360" w:lineRule="auto"/>
        <w:jc w:val="both"/>
        <w:rPr>
          <w:rFonts w:ascii="Times New Roman" w:hAnsi="Times New Roman" w:cs="Times New Roman"/>
        </w:rPr>
      </w:pPr>
      <w:r w:rsidRPr="00E911BD">
        <w:rPr>
          <w:rFonts w:ascii="Times New Roman" w:hAnsi="Times New Roman" w:cs="Times New Roman"/>
          <w:noProof/>
        </w:rPr>
        <w:lastRenderedPageBreak/>
        <w:drawing>
          <wp:inline distT="0" distB="0" distL="0" distR="0" wp14:anchorId="381B0A1C" wp14:editId="53C77317">
            <wp:extent cx="5731510" cy="4259443"/>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0" cy="4259443"/>
                    </a:xfrm>
                    <a:prstGeom prst="rect">
                      <a:avLst/>
                    </a:prstGeom>
                  </pic:spPr>
                </pic:pic>
              </a:graphicData>
            </a:graphic>
          </wp:inline>
        </w:drawing>
      </w:r>
    </w:p>
    <w:p w14:paraId="25972421" w14:textId="62BF32C2" w:rsidR="00A42F07" w:rsidRPr="00E911BD" w:rsidRDefault="00A42F07" w:rsidP="00172A50">
      <w:pPr>
        <w:spacing w:line="360" w:lineRule="auto"/>
        <w:jc w:val="center"/>
        <w:rPr>
          <w:rFonts w:ascii="Times New Roman" w:hAnsi="Times New Roman" w:cs="Times New Roman"/>
          <w:b/>
        </w:rPr>
      </w:pPr>
      <w:r w:rsidRPr="00E911BD">
        <w:rPr>
          <w:rFonts w:ascii="Times New Roman" w:hAnsi="Times New Roman" w:cs="Times New Roman"/>
          <w:b/>
        </w:rPr>
        <w:t>Figure 2: AI in Marketing</w:t>
      </w:r>
    </w:p>
    <w:p w14:paraId="5C0B297F" w14:textId="0E51FF27" w:rsidR="00A42F07" w:rsidRPr="00E911BD" w:rsidRDefault="00A42F07" w:rsidP="00172A50">
      <w:pPr>
        <w:spacing w:line="360" w:lineRule="auto"/>
        <w:jc w:val="center"/>
        <w:rPr>
          <w:rFonts w:ascii="Times New Roman" w:hAnsi="Times New Roman" w:cs="Times New Roman"/>
        </w:rPr>
      </w:pPr>
      <w:r w:rsidRPr="00E911BD">
        <w:rPr>
          <w:rFonts w:ascii="Times New Roman" w:hAnsi="Times New Roman" w:cs="Times New Roman"/>
        </w:rPr>
        <w:t xml:space="preserve">(Source: </w:t>
      </w:r>
      <w:r w:rsidR="00E911BD" w:rsidRPr="00E911BD">
        <w:rPr>
          <w:rFonts w:ascii="Times New Roman" w:hAnsi="Times New Roman" w:cs="Times New Roman"/>
        </w:rPr>
        <w:t>Zapier, 2023)</w:t>
      </w:r>
    </w:p>
    <w:p w14:paraId="2327A521" w14:textId="0BEC4A27" w:rsidR="00267C8D" w:rsidRPr="00E911BD" w:rsidRDefault="00267C8D" w:rsidP="00E911BD">
      <w:pPr>
        <w:spacing w:line="360" w:lineRule="auto"/>
        <w:jc w:val="both"/>
        <w:rPr>
          <w:rFonts w:ascii="Times New Roman" w:hAnsi="Times New Roman" w:cs="Times New Roman"/>
        </w:rPr>
      </w:pPr>
      <w:r w:rsidRPr="00E911BD">
        <w:rPr>
          <w:rFonts w:ascii="Times New Roman" w:hAnsi="Times New Roman" w:cs="Times New Roman"/>
          <w:b/>
          <w:i/>
        </w:rPr>
        <w:t>Environmental Actor: Zero-Emission Regulation</w:t>
      </w:r>
    </w:p>
    <w:p w14:paraId="733033A6" w14:textId="42F6A620" w:rsidR="000D2579" w:rsidRPr="00E911BD" w:rsidRDefault="00267C8D" w:rsidP="00E911BD">
      <w:pPr>
        <w:spacing w:line="360" w:lineRule="auto"/>
        <w:jc w:val="both"/>
        <w:rPr>
          <w:rFonts w:ascii="Times New Roman" w:hAnsi="Times New Roman" w:cs="Times New Roman"/>
        </w:rPr>
      </w:pPr>
      <w:r w:rsidRPr="00E911BD">
        <w:rPr>
          <w:rFonts w:ascii="Times New Roman" w:hAnsi="Times New Roman" w:cs="Times New Roman"/>
        </w:rPr>
        <w:t>One major external influence that may have a contribution in the marketing techniques of the automotive industry is the environmental regulation particularly Zero-Emission Vehicle (ZEV) mandate in the UK. The policy amendment of 2025 allowed manufacturers to sell hybrids and plug-in hybrids until the year 2035, which sparked controversies of the implications of the environment and compliance costs (Brown, 2025). Environmental experts predict that this policy intervention would double to up to 500,000 additional plug-in hybrids within the UK roadways by 2030 and has thus created concern of higher emissions than the expected levels (Transport &amp; Environment, 2025). In addition, PHEVs laboratory emissions are two to four times less in practice, which contributes to the doubt of the argument of automotive sustainability (Climate Change Committee, 2024). This kind of regulation to marketers spells out product positioning, sustainability communications and long term product innovation plans within an increasingly environmentally conscious market.</w:t>
      </w:r>
    </w:p>
    <w:p w14:paraId="32D8D9B9" w14:textId="121871AD" w:rsidR="00434358" w:rsidRPr="00E911BD" w:rsidRDefault="00DE5D5B" w:rsidP="00E911BD">
      <w:pPr>
        <w:pStyle w:val="Heading2"/>
        <w:spacing w:line="360" w:lineRule="auto"/>
        <w:jc w:val="both"/>
        <w:rPr>
          <w:rFonts w:ascii="Times New Roman" w:hAnsi="Times New Roman" w:cs="Times New Roman"/>
          <w:b/>
          <w:bCs/>
          <w:color w:val="000000" w:themeColor="text1"/>
          <w:sz w:val="24"/>
          <w:szCs w:val="24"/>
        </w:rPr>
      </w:pPr>
      <w:bookmarkStart w:id="8" w:name="_Toc211437173"/>
      <w:bookmarkStart w:id="9" w:name="_Toc214489403"/>
      <w:r w:rsidRPr="00E911BD">
        <w:rPr>
          <w:rFonts w:ascii="Times New Roman" w:hAnsi="Times New Roman" w:cs="Times New Roman"/>
          <w:b/>
          <w:bCs/>
          <w:color w:val="000000" w:themeColor="text1"/>
          <w:sz w:val="24"/>
          <w:szCs w:val="24"/>
        </w:rPr>
        <w:lastRenderedPageBreak/>
        <w:t>2.3 Critical Analysis of Each Actor</w:t>
      </w:r>
      <w:bookmarkEnd w:id="8"/>
      <w:bookmarkEnd w:id="9"/>
      <w:r w:rsidR="00434358" w:rsidRPr="00E911BD">
        <w:rPr>
          <w:rFonts w:ascii="Times New Roman" w:hAnsi="Times New Roman" w:cs="Times New Roman"/>
          <w:b/>
          <w:bCs/>
          <w:color w:val="000000" w:themeColor="text1"/>
          <w:sz w:val="24"/>
          <w:szCs w:val="24"/>
        </w:rPr>
        <w:t xml:space="preserve"> </w:t>
      </w:r>
      <w:bookmarkStart w:id="10" w:name="_Toc211437174"/>
    </w:p>
    <w:p w14:paraId="6D17025A" w14:textId="4FA8E1D2" w:rsidR="00632881" w:rsidRPr="00E911BD" w:rsidRDefault="00632881" w:rsidP="00E911BD">
      <w:pPr>
        <w:spacing w:line="360" w:lineRule="auto"/>
        <w:jc w:val="both"/>
        <w:rPr>
          <w:rFonts w:ascii="Times New Roman" w:hAnsi="Times New Roman" w:cs="Times New Roman"/>
        </w:rPr>
      </w:pPr>
      <w:r w:rsidRPr="00E911BD">
        <w:rPr>
          <w:rFonts w:ascii="Times New Roman" w:hAnsi="Times New Roman" w:cs="Times New Roman"/>
          <w:b/>
          <w:i/>
        </w:rPr>
        <w:t>Critical Analysis of Artificial Intelligence (AI)</w:t>
      </w:r>
      <w:r w:rsidRPr="00E911BD">
        <w:rPr>
          <w:rFonts w:ascii="Times New Roman" w:hAnsi="Times New Roman" w:cs="Times New Roman"/>
        </w:rPr>
        <w:t xml:space="preserve"> </w:t>
      </w:r>
    </w:p>
    <w:p w14:paraId="01B5BED8" w14:textId="1F6327AE" w:rsidR="00632881" w:rsidRPr="00E911BD" w:rsidRDefault="00632881" w:rsidP="00E911BD">
      <w:pPr>
        <w:spacing w:line="360" w:lineRule="auto"/>
        <w:jc w:val="both"/>
        <w:rPr>
          <w:rFonts w:ascii="Times New Roman" w:hAnsi="Times New Roman" w:cs="Times New Roman"/>
        </w:rPr>
      </w:pPr>
      <w:r w:rsidRPr="00E911BD">
        <w:rPr>
          <w:rFonts w:ascii="Times New Roman" w:hAnsi="Times New Roman" w:cs="Times New Roman"/>
        </w:rPr>
        <w:t>AI transforms the competitive landscape of retail and e-commerce by providing first movers with a significant benefit. An example of such AI pioneers is Amazon, which over a decade has employed machine-learning algorithms to perform personalised recommendation</w:t>
      </w:r>
      <w:r w:rsidR="00A42F07" w:rsidRPr="00E911BD">
        <w:rPr>
          <w:rFonts w:ascii="Times New Roman" w:hAnsi="Times New Roman" w:cs="Times New Roman"/>
        </w:rPr>
        <w:t>s to contribute to about 35%</w:t>
      </w:r>
      <w:r w:rsidRPr="00E911BD">
        <w:rPr>
          <w:rFonts w:ascii="Times New Roman" w:hAnsi="Times New Roman" w:cs="Times New Roman"/>
        </w:rPr>
        <w:t xml:space="preserve"> of its sales (</w:t>
      </w:r>
      <w:proofErr w:type="spellStart"/>
      <w:r w:rsidRPr="00E911BD">
        <w:rPr>
          <w:rFonts w:ascii="Times New Roman" w:hAnsi="Times New Roman" w:cs="Times New Roman"/>
        </w:rPr>
        <w:t>ZipDo</w:t>
      </w:r>
      <w:proofErr w:type="spellEnd"/>
      <w:r w:rsidRPr="00E911BD">
        <w:rPr>
          <w:rFonts w:ascii="Times New Roman" w:hAnsi="Times New Roman" w:cs="Times New Roman"/>
        </w:rPr>
        <w:t>, 2025). The benefits of this early adoption have seen Amazon establish sophisticated data ecosystems, optimize logistics by using AI-based forecasting and provide better customer experiences. Conversely, traditional retailers such as Marks and Spencer tend to be less mature in data and can implement AI more slowly and have a weaker personalisation capacity. The followers are at risk of reduced engagement and increased operational costs, but also have the chance to jump over the fence thanks to collaborating with AI vendors or adopting modular AI tools to manage inventory or chat robotization. To pioneers, the risk is AI commoditisation: with easy tools at hand, it will be more difficult to maintain differentiation, so to keep innovating and stay ethical. In the meantime, followers should not be over-dependent on third-party systems that may restrict data ownership and sustained competitiveness.</w:t>
      </w:r>
    </w:p>
    <w:p w14:paraId="70736314" w14:textId="5FE9C7BF" w:rsidR="00632881" w:rsidRPr="00E911BD" w:rsidRDefault="00632881" w:rsidP="00E911BD">
      <w:pPr>
        <w:spacing w:line="360" w:lineRule="auto"/>
        <w:jc w:val="both"/>
        <w:rPr>
          <w:rFonts w:ascii="Times New Roman" w:hAnsi="Times New Roman" w:cs="Times New Roman"/>
        </w:rPr>
      </w:pPr>
      <w:r w:rsidRPr="00E911BD">
        <w:rPr>
          <w:rFonts w:ascii="Times New Roman" w:hAnsi="Times New Roman" w:cs="Times New Roman"/>
          <w:b/>
          <w:i/>
        </w:rPr>
        <w:t>Critical Analysis of Zero-Emission Regulation</w:t>
      </w:r>
      <w:r w:rsidRPr="00E911BD">
        <w:rPr>
          <w:rFonts w:ascii="Times New Roman" w:hAnsi="Times New Roman" w:cs="Times New Roman"/>
        </w:rPr>
        <w:t xml:space="preserve"> </w:t>
      </w:r>
    </w:p>
    <w:p w14:paraId="4ECDC2E7" w14:textId="272D6EB4" w:rsidR="00F046A4" w:rsidRPr="00E911BD" w:rsidRDefault="00632881" w:rsidP="00E911BD">
      <w:pPr>
        <w:spacing w:line="360" w:lineRule="auto"/>
        <w:jc w:val="both"/>
        <w:rPr>
          <w:rFonts w:ascii="Times New Roman" w:hAnsi="Times New Roman" w:cs="Times New Roman"/>
        </w:rPr>
      </w:pPr>
      <w:r w:rsidRPr="00E911BD">
        <w:rPr>
          <w:rFonts w:ascii="Times New Roman" w:hAnsi="Times New Roman" w:cs="Times New Roman"/>
        </w:rPr>
        <w:t xml:space="preserve">The soft ZEV policy in the UK has impacted the automotive innovators and leaders in varying ways. Innovators like Tesla and Polestar that will invest in portfolios that are fully electric are under a strategic threat since the lofty time frame on hybrids will decrease the consumer pressure to transition to pure EVs now (Guardian, 2025). As an example, Tesla might not achieve the accelerating demands without forceful regulatory push to influence investments in the charging infrastructure and battery development. In the meantime, regulatory slack time </w:t>
      </w:r>
      <w:proofErr w:type="spellStart"/>
      <w:r w:rsidRPr="00E911BD">
        <w:rPr>
          <w:rFonts w:ascii="Times New Roman" w:hAnsi="Times New Roman" w:cs="Times New Roman"/>
        </w:rPr>
        <w:t>favors</w:t>
      </w:r>
      <w:proofErr w:type="spellEnd"/>
      <w:r w:rsidRPr="00E911BD">
        <w:rPr>
          <w:rFonts w:ascii="Times New Roman" w:hAnsi="Times New Roman" w:cs="Times New Roman"/>
        </w:rPr>
        <w:t xml:space="preserve"> other adherents, such as Toyota and BMW, which have quite invested in hybrid and PHEV technology. They are even able to further enjoy the hybrid sales and escape the high-costs of restructuring promptly. Nevertheless, there is reputational criticism of over-exposure to hybrids where actual PHEV emissions are recorded to be two to four times greater than the laboratory data (Climate Change Committee, 2025). The strategic implication of the pioneers is to give sustainability branding an extra push and scale up the charging ecosystems. To followers, this temporary regulatory cushion needs to be used to shift the efficient transition to full EVs instead of prolonging the transformation and losing out on future competitiveness.</w:t>
      </w:r>
    </w:p>
    <w:p w14:paraId="79A80A99" w14:textId="173D7C1F" w:rsidR="00DE5D5B" w:rsidRPr="00E911BD" w:rsidRDefault="00DE5D5B" w:rsidP="00E911BD">
      <w:pPr>
        <w:pStyle w:val="Heading1"/>
        <w:rPr>
          <w:rStyle w:val="Heading1Char"/>
          <w:color w:val="auto"/>
        </w:rPr>
      </w:pPr>
      <w:bookmarkStart w:id="11" w:name="_Toc214489404"/>
      <w:r w:rsidRPr="00E911BD">
        <w:rPr>
          <w:rStyle w:val="Heading1Char"/>
          <w:b/>
          <w:bCs/>
        </w:rPr>
        <w:t>3. Task 2: Strategic Responses of Pioneering and Follower Organisations</w:t>
      </w:r>
      <w:bookmarkEnd w:id="11"/>
      <w:r w:rsidRPr="00E911BD">
        <w:rPr>
          <w:rStyle w:val="Heading1Char"/>
          <w:b/>
          <w:bCs/>
        </w:rPr>
        <w:t xml:space="preserve"> </w:t>
      </w:r>
      <w:bookmarkEnd w:id="10"/>
    </w:p>
    <w:p w14:paraId="461615C3" w14:textId="4F2E3ADE" w:rsidR="00DE5D5B" w:rsidRPr="00E911BD" w:rsidRDefault="00DE5D5B" w:rsidP="00E911BD">
      <w:pPr>
        <w:pStyle w:val="Heading2"/>
        <w:spacing w:line="360" w:lineRule="auto"/>
        <w:jc w:val="both"/>
        <w:rPr>
          <w:rFonts w:ascii="Times New Roman" w:hAnsi="Times New Roman" w:cs="Times New Roman"/>
          <w:b/>
          <w:bCs/>
          <w:color w:val="000000" w:themeColor="text1"/>
          <w:sz w:val="24"/>
          <w:szCs w:val="24"/>
        </w:rPr>
      </w:pPr>
      <w:bookmarkStart w:id="12" w:name="_Toc211437175"/>
      <w:bookmarkStart w:id="13" w:name="_Toc214489405"/>
      <w:r w:rsidRPr="00E911BD">
        <w:rPr>
          <w:rFonts w:ascii="Times New Roman" w:hAnsi="Times New Roman" w:cs="Times New Roman"/>
          <w:b/>
          <w:bCs/>
          <w:color w:val="000000" w:themeColor="text1"/>
          <w:sz w:val="24"/>
          <w:szCs w:val="24"/>
        </w:rPr>
        <w:lastRenderedPageBreak/>
        <w:t>3.1 Pioneering Organisations’ Strategic Responses</w:t>
      </w:r>
      <w:bookmarkEnd w:id="12"/>
      <w:bookmarkEnd w:id="13"/>
      <w:r w:rsidR="00434358" w:rsidRPr="00E911BD">
        <w:rPr>
          <w:rFonts w:ascii="Times New Roman" w:hAnsi="Times New Roman" w:cs="Times New Roman"/>
          <w:b/>
          <w:bCs/>
          <w:color w:val="000000" w:themeColor="text1"/>
          <w:sz w:val="24"/>
          <w:szCs w:val="24"/>
        </w:rPr>
        <w:t xml:space="preserve"> </w:t>
      </w:r>
    </w:p>
    <w:p w14:paraId="2D71A40E" w14:textId="73D71DBF" w:rsidR="00DF292F" w:rsidRPr="00E911BD" w:rsidRDefault="00DF292F" w:rsidP="00E911BD">
      <w:pPr>
        <w:spacing w:line="360" w:lineRule="auto"/>
        <w:jc w:val="both"/>
        <w:rPr>
          <w:rFonts w:ascii="Times New Roman" w:hAnsi="Times New Roman" w:cs="Times New Roman"/>
        </w:rPr>
      </w:pPr>
      <w:r w:rsidRPr="00E911BD">
        <w:rPr>
          <w:rFonts w:ascii="Times New Roman" w:hAnsi="Times New Roman" w:cs="Times New Roman"/>
          <w:b/>
          <w:i/>
        </w:rPr>
        <w:t>Market Expansion Through Ansoff’s Growth Matrix</w:t>
      </w:r>
    </w:p>
    <w:p w14:paraId="7BAF8054" w14:textId="77777777" w:rsidR="00DF292F" w:rsidRPr="00E911BD" w:rsidRDefault="00DF292F" w:rsidP="00E911BD">
      <w:pPr>
        <w:spacing w:line="360" w:lineRule="auto"/>
        <w:jc w:val="both"/>
        <w:rPr>
          <w:rFonts w:ascii="Times New Roman" w:hAnsi="Times New Roman" w:cs="Times New Roman"/>
        </w:rPr>
      </w:pPr>
      <w:r w:rsidRPr="00E911BD">
        <w:rPr>
          <w:rFonts w:ascii="Times New Roman" w:hAnsi="Times New Roman" w:cs="Times New Roman"/>
        </w:rPr>
        <w:t>Pioneering organisations usually implement aggressive growth strategies to capitalize on external opportunities like a technological disruption or regulatory change. With the help of the Growth Matrix created by Ansoff, innovators often engage to develop a product and expand the market at the same time to remain competitive. As an example, Tesla is expanding into new international markets along with the presentation of updated battery technologies and software features, which is consistent with the product-development aspect of Ansoff (IEA, 2024). Through constant innovation, innovators diminish reliance on current markets and diversify risk to new markets and products. Likewise, Amazon uses market development, where it enters new markets with its AI-powered services (e.g., predictive logistics and automated fulfilment) to obtain first-mover advantages in areas where its competitors have not reached technological maturity (Deloitte, 2024). Nonetheless, such strategies are characterised by the presence of high costs in terms of investments, higher likelihood of being under regulatory risk, and the continuous necessity to remain at the head of innovation.</w:t>
      </w:r>
    </w:p>
    <w:p w14:paraId="1F2D886C" w14:textId="63A781BE" w:rsidR="00A42F07" w:rsidRPr="00E911BD" w:rsidRDefault="00A42F07" w:rsidP="00E911BD">
      <w:pPr>
        <w:spacing w:line="360" w:lineRule="auto"/>
        <w:jc w:val="both"/>
        <w:rPr>
          <w:rFonts w:ascii="Times New Roman" w:hAnsi="Times New Roman" w:cs="Times New Roman"/>
        </w:rPr>
      </w:pPr>
      <w:r w:rsidRPr="00E911BD">
        <w:rPr>
          <w:rFonts w:ascii="Times New Roman" w:hAnsi="Times New Roman" w:cs="Times New Roman"/>
          <w:noProof/>
        </w:rPr>
        <w:drawing>
          <wp:inline distT="0" distB="0" distL="0" distR="0" wp14:anchorId="2C293050" wp14:editId="563F220A">
            <wp:extent cx="5731510" cy="3167027"/>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3167027"/>
                    </a:xfrm>
                    <a:prstGeom prst="rect">
                      <a:avLst/>
                    </a:prstGeom>
                  </pic:spPr>
                </pic:pic>
              </a:graphicData>
            </a:graphic>
          </wp:inline>
        </w:drawing>
      </w:r>
    </w:p>
    <w:p w14:paraId="4F09C5C1" w14:textId="5260214B" w:rsidR="00A42F07" w:rsidRPr="00E911BD" w:rsidRDefault="00A42F07" w:rsidP="00172A50">
      <w:pPr>
        <w:spacing w:line="360" w:lineRule="auto"/>
        <w:jc w:val="center"/>
        <w:rPr>
          <w:rFonts w:ascii="Times New Roman" w:hAnsi="Times New Roman" w:cs="Times New Roman"/>
          <w:b/>
        </w:rPr>
      </w:pPr>
      <w:r w:rsidRPr="00E911BD">
        <w:rPr>
          <w:rFonts w:ascii="Times New Roman" w:hAnsi="Times New Roman" w:cs="Times New Roman"/>
          <w:b/>
        </w:rPr>
        <w:t>Figure 3: The Ansoff Matrix</w:t>
      </w:r>
    </w:p>
    <w:p w14:paraId="4CEA1954" w14:textId="5C443DBC" w:rsidR="00A42F07" w:rsidRPr="00E911BD" w:rsidRDefault="00A42F07" w:rsidP="00172A50">
      <w:pPr>
        <w:spacing w:line="360" w:lineRule="auto"/>
        <w:jc w:val="center"/>
        <w:rPr>
          <w:rFonts w:ascii="Times New Roman" w:hAnsi="Times New Roman" w:cs="Times New Roman"/>
        </w:rPr>
      </w:pPr>
      <w:r w:rsidRPr="00E911BD">
        <w:rPr>
          <w:rFonts w:ascii="Times New Roman" w:hAnsi="Times New Roman" w:cs="Times New Roman"/>
        </w:rPr>
        <w:t>(Source:</w:t>
      </w:r>
      <w:r w:rsidR="00E911BD" w:rsidRPr="00E911BD">
        <w:rPr>
          <w:rFonts w:ascii="Times New Roman" w:hAnsi="Times New Roman" w:cs="Times New Roman"/>
        </w:rPr>
        <w:t xml:space="preserve"> </w:t>
      </w:r>
      <w:proofErr w:type="spellStart"/>
      <w:r w:rsidR="00E911BD" w:rsidRPr="00E911BD">
        <w:rPr>
          <w:rFonts w:ascii="Times New Roman" w:hAnsi="Times New Roman" w:cs="Times New Roman"/>
        </w:rPr>
        <w:t>Quantive</w:t>
      </w:r>
      <w:proofErr w:type="spellEnd"/>
      <w:r w:rsidR="00E911BD" w:rsidRPr="00E911BD">
        <w:rPr>
          <w:rFonts w:ascii="Times New Roman" w:hAnsi="Times New Roman" w:cs="Times New Roman"/>
        </w:rPr>
        <w:t>, 2024</w:t>
      </w:r>
      <w:r w:rsidRPr="00E911BD">
        <w:rPr>
          <w:rFonts w:ascii="Times New Roman" w:hAnsi="Times New Roman" w:cs="Times New Roman"/>
        </w:rPr>
        <w:t>)</w:t>
      </w:r>
    </w:p>
    <w:p w14:paraId="6CE10FBA" w14:textId="764D89EB" w:rsidR="00DF292F" w:rsidRPr="00E911BD" w:rsidRDefault="00DF292F" w:rsidP="00E911BD">
      <w:pPr>
        <w:spacing w:line="360" w:lineRule="auto"/>
        <w:jc w:val="both"/>
        <w:rPr>
          <w:rFonts w:ascii="Times New Roman" w:hAnsi="Times New Roman" w:cs="Times New Roman"/>
        </w:rPr>
      </w:pPr>
      <w:r w:rsidRPr="00E911BD">
        <w:rPr>
          <w:rFonts w:ascii="Times New Roman" w:hAnsi="Times New Roman" w:cs="Times New Roman"/>
          <w:b/>
          <w:i/>
        </w:rPr>
        <w:t>Competitive Positioning Using Porter’s Generic Strategies</w:t>
      </w:r>
    </w:p>
    <w:p w14:paraId="11253421" w14:textId="7296B3F1" w:rsidR="00DF292F" w:rsidRPr="00E911BD" w:rsidRDefault="00DF292F" w:rsidP="00E911BD">
      <w:pPr>
        <w:spacing w:line="360" w:lineRule="auto"/>
        <w:jc w:val="both"/>
        <w:rPr>
          <w:rFonts w:ascii="Times New Roman" w:hAnsi="Times New Roman" w:cs="Times New Roman"/>
        </w:rPr>
      </w:pPr>
      <w:r w:rsidRPr="00E911BD">
        <w:rPr>
          <w:rFonts w:ascii="Times New Roman" w:hAnsi="Times New Roman" w:cs="Times New Roman"/>
        </w:rPr>
        <w:t xml:space="preserve">Under the Porters Generic Strategies, pioneering firms tend to depend on the concept of differentiation to maintain the benefit of size. The prime example is Apple: in this case, the differentiation is made in terms of design, integration of ecosystems and high-technology </w:t>
      </w:r>
      <w:r w:rsidRPr="00E911BD">
        <w:rPr>
          <w:rFonts w:ascii="Times New Roman" w:hAnsi="Times New Roman" w:cs="Times New Roman"/>
        </w:rPr>
        <w:lastRenderedPageBreak/>
        <w:t>privacy-conscious technologies, which allow the company to sell products at a higher price and attract high brand loyalty (Statista, 2024</w:t>
      </w:r>
      <w:r w:rsidR="00265C0A" w:rsidRPr="00E911BD">
        <w:rPr>
          <w:rFonts w:ascii="Times New Roman" w:hAnsi="Times New Roman" w:cs="Times New Roman"/>
        </w:rPr>
        <w:t>a</w:t>
      </w:r>
      <w:r w:rsidRPr="00E911BD">
        <w:rPr>
          <w:rFonts w:ascii="Times New Roman" w:hAnsi="Times New Roman" w:cs="Times New Roman"/>
        </w:rPr>
        <w:t>). This distinction enables innovators to confront the price squeeze despite imitators emulating essence features. Pioneering companies, such as Google, in AI-centric sectors, use differentiation by inculcating AI innovation into cloud-based services, search engines, and advertising solutions and hence build high switching costs in consumers (Google Annual Report, 2024). However, differentiation is not without risks, since when technologies are commoditised, innovators have to invest continuously in protecting their own distinctness, particularly when regulatory forces may raise the complexity of operations.</w:t>
      </w:r>
    </w:p>
    <w:p w14:paraId="4B7F4ACB" w14:textId="13C014FE" w:rsidR="00DF292F" w:rsidRPr="00E911BD" w:rsidRDefault="00DF292F" w:rsidP="00E911BD">
      <w:pPr>
        <w:spacing w:line="360" w:lineRule="auto"/>
        <w:jc w:val="both"/>
        <w:rPr>
          <w:rFonts w:ascii="Times New Roman" w:hAnsi="Times New Roman" w:cs="Times New Roman"/>
        </w:rPr>
      </w:pPr>
      <w:r w:rsidRPr="00E911BD">
        <w:rPr>
          <w:rFonts w:ascii="Times New Roman" w:hAnsi="Times New Roman" w:cs="Times New Roman"/>
          <w:b/>
          <w:i/>
        </w:rPr>
        <w:t>Strategic Innovation and First-Mover Advantage</w:t>
      </w:r>
    </w:p>
    <w:p w14:paraId="6D653A51" w14:textId="413E0DE6" w:rsidR="00DF292F" w:rsidRPr="00E911BD" w:rsidRDefault="003364E1" w:rsidP="00E911BD">
      <w:pPr>
        <w:spacing w:line="360" w:lineRule="auto"/>
        <w:jc w:val="both"/>
        <w:rPr>
          <w:rFonts w:ascii="Times New Roman" w:hAnsi="Times New Roman" w:cs="Times New Roman"/>
        </w:rPr>
      </w:pPr>
      <w:r w:rsidRPr="00E911BD">
        <w:rPr>
          <w:rFonts w:ascii="Times New Roman" w:hAnsi="Times New Roman" w:cs="Times New Roman"/>
        </w:rPr>
        <w:t xml:space="preserve">Pioneers </w:t>
      </w:r>
      <w:r w:rsidR="00DF292F" w:rsidRPr="00E911BD">
        <w:rPr>
          <w:rFonts w:ascii="Times New Roman" w:hAnsi="Times New Roman" w:cs="Times New Roman"/>
        </w:rPr>
        <w:t>normally use first mover advantage through early investment in technologies or business models that are facing an upswing. Becoming a streaming company before other companies made Netflix to control the share of the global market and set the expectations of consumers (PwC, 2023). It was also early enough to develop good data capacities and content recommendation systems which followers could not easily emulate. Nevertheless, first mover advantage is not a guarantee of long terms leadership. Greater competition rates by the Disney+, Amazon Prime, and local streaming services prove that a leader must be innovative to protect the market share.</w:t>
      </w:r>
    </w:p>
    <w:p w14:paraId="1027C851" w14:textId="6759EAF9" w:rsidR="00DF292F" w:rsidRPr="00E911BD" w:rsidRDefault="00DF292F" w:rsidP="00E911BD">
      <w:pPr>
        <w:spacing w:line="360" w:lineRule="auto"/>
        <w:jc w:val="both"/>
        <w:rPr>
          <w:rFonts w:ascii="Times New Roman" w:hAnsi="Times New Roman" w:cs="Times New Roman"/>
        </w:rPr>
      </w:pPr>
      <w:r w:rsidRPr="00E911BD">
        <w:rPr>
          <w:rFonts w:ascii="Times New Roman" w:hAnsi="Times New Roman" w:cs="Times New Roman"/>
          <w:b/>
          <w:i/>
        </w:rPr>
        <w:t>Leveraging Strategic Partnerships</w:t>
      </w:r>
    </w:p>
    <w:p w14:paraId="3B953A87" w14:textId="2771F30F" w:rsidR="00632881" w:rsidRPr="00E911BD" w:rsidRDefault="00DF292F" w:rsidP="00E911BD">
      <w:pPr>
        <w:spacing w:line="360" w:lineRule="auto"/>
        <w:jc w:val="both"/>
        <w:rPr>
          <w:rFonts w:ascii="Times New Roman" w:hAnsi="Times New Roman" w:cs="Times New Roman"/>
        </w:rPr>
      </w:pPr>
      <w:r w:rsidRPr="00E911BD">
        <w:rPr>
          <w:rFonts w:ascii="Times New Roman" w:hAnsi="Times New Roman" w:cs="Times New Roman"/>
        </w:rPr>
        <w:t>In a bid to deal with issues of scalability, innovative organisations in most cases enter into alliances to expedite innovation. As an example, EV manufacturers, including Polestar and Rivian, are partnering with battery companies and electric-charging infrastructure providers to increase capacity in a short time period (IEA, 2024). Alliances minimize risk, improve access to resources, and make supply chains resilient, which is highly demanded in regulatory uncertain industries.</w:t>
      </w:r>
    </w:p>
    <w:p w14:paraId="67EBD381" w14:textId="46B89AFC" w:rsidR="00434358" w:rsidRPr="00E911BD" w:rsidRDefault="00DE5D5B" w:rsidP="00E911BD">
      <w:pPr>
        <w:pStyle w:val="Heading2"/>
        <w:spacing w:line="360" w:lineRule="auto"/>
        <w:jc w:val="both"/>
        <w:rPr>
          <w:rFonts w:ascii="Times New Roman" w:hAnsi="Times New Roman" w:cs="Times New Roman"/>
          <w:b/>
          <w:bCs/>
          <w:color w:val="000000" w:themeColor="text1"/>
          <w:sz w:val="24"/>
          <w:szCs w:val="24"/>
        </w:rPr>
      </w:pPr>
      <w:bookmarkStart w:id="14" w:name="_Toc211437176"/>
      <w:bookmarkStart w:id="15" w:name="_Toc214489406"/>
      <w:r w:rsidRPr="00E911BD">
        <w:rPr>
          <w:rFonts w:ascii="Times New Roman" w:hAnsi="Times New Roman" w:cs="Times New Roman"/>
          <w:b/>
          <w:bCs/>
          <w:color w:val="000000" w:themeColor="text1"/>
          <w:sz w:val="24"/>
          <w:szCs w:val="24"/>
        </w:rPr>
        <w:t>3.</w:t>
      </w:r>
      <w:r w:rsidR="00434358" w:rsidRPr="00E911BD">
        <w:rPr>
          <w:rFonts w:ascii="Times New Roman" w:hAnsi="Times New Roman" w:cs="Times New Roman"/>
          <w:b/>
          <w:bCs/>
          <w:color w:val="000000" w:themeColor="text1"/>
          <w:sz w:val="24"/>
          <w:szCs w:val="24"/>
        </w:rPr>
        <w:t>2</w:t>
      </w:r>
      <w:r w:rsidRPr="00E911BD">
        <w:rPr>
          <w:rFonts w:ascii="Times New Roman" w:hAnsi="Times New Roman" w:cs="Times New Roman"/>
          <w:b/>
          <w:bCs/>
          <w:color w:val="000000" w:themeColor="text1"/>
          <w:sz w:val="24"/>
          <w:szCs w:val="24"/>
        </w:rPr>
        <w:t xml:space="preserve"> Follower Organisations’ Strategic Responses</w:t>
      </w:r>
      <w:bookmarkEnd w:id="14"/>
      <w:bookmarkEnd w:id="15"/>
      <w:r w:rsidR="00434358" w:rsidRPr="00E911BD">
        <w:rPr>
          <w:rFonts w:ascii="Times New Roman" w:hAnsi="Times New Roman" w:cs="Times New Roman"/>
          <w:b/>
          <w:bCs/>
          <w:color w:val="000000" w:themeColor="text1"/>
          <w:sz w:val="24"/>
          <w:szCs w:val="24"/>
        </w:rPr>
        <w:t xml:space="preserve"> </w:t>
      </w:r>
      <w:bookmarkStart w:id="16" w:name="_Toc211437177"/>
    </w:p>
    <w:p w14:paraId="57AD47CE" w14:textId="47FFE9F9" w:rsidR="00265C0A" w:rsidRPr="00E911BD" w:rsidRDefault="00265C0A" w:rsidP="00E911BD">
      <w:pPr>
        <w:spacing w:line="360" w:lineRule="auto"/>
        <w:jc w:val="both"/>
        <w:rPr>
          <w:rFonts w:ascii="Times New Roman" w:hAnsi="Times New Roman" w:cs="Times New Roman"/>
        </w:rPr>
      </w:pPr>
      <w:r w:rsidRPr="00E911BD">
        <w:rPr>
          <w:rFonts w:ascii="Times New Roman" w:hAnsi="Times New Roman" w:cs="Times New Roman"/>
          <w:b/>
          <w:i/>
        </w:rPr>
        <w:t>Applying Ansoff’s Growth Matrix</w:t>
      </w:r>
    </w:p>
    <w:p w14:paraId="2DA88BC5" w14:textId="77777777" w:rsidR="00265C0A" w:rsidRPr="00E911BD" w:rsidRDefault="00265C0A" w:rsidP="00E911BD">
      <w:pPr>
        <w:spacing w:line="360" w:lineRule="auto"/>
        <w:jc w:val="both"/>
        <w:rPr>
          <w:rFonts w:ascii="Times New Roman" w:hAnsi="Times New Roman" w:cs="Times New Roman"/>
        </w:rPr>
      </w:pPr>
      <w:r w:rsidRPr="00E911BD">
        <w:rPr>
          <w:rFonts w:ascii="Times New Roman" w:hAnsi="Times New Roman" w:cs="Times New Roman"/>
        </w:rPr>
        <w:t xml:space="preserve">Follower organisations those implementing innovations following innovators tend to have an interest in both the market penetration and market development areas of the Growth Matrix of Ansoff to reduce risk and at the same time be competitive. As an example, in the sector of electric vehicles (EVs), Toyota and BMW first tried to enter current markets through a safer strategy by developing hybrids, rather than fully transitioning to pure EVs creation (IEA, 2024). This tact enabled them to build customer trust in the new technologies arising and </w:t>
      </w:r>
      <w:r w:rsidRPr="00E911BD">
        <w:rPr>
          <w:rFonts w:ascii="Times New Roman" w:hAnsi="Times New Roman" w:cs="Times New Roman"/>
        </w:rPr>
        <w:lastRenderedPageBreak/>
        <w:t>keep their revenues at a steady level as they track regulatory trends. With the updated ZEV policy of the UK enabling hybrid sales till 2035, adherents will get the chance of further market development, prolonging the lifespan of their hybrid portfolios (Guardian, 2025). Nevertheless, relying on less risky approaches may cause stalling in the preparation of innovation and put the followers in the situation of a competitive disadvantage in the long perspective in case the pioneers speed up technological disruption.</w:t>
      </w:r>
    </w:p>
    <w:p w14:paraId="3D2254E6" w14:textId="7DDE34E2" w:rsidR="00265C0A" w:rsidRPr="00E911BD" w:rsidRDefault="00265C0A" w:rsidP="00E911BD">
      <w:pPr>
        <w:spacing w:line="360" w:lineRule="auto"/>
        <w:jc w:val="both"/>
        <w:rPr>
          <w:rFonts w:ascii="Times New Roman" w:hAnsi="Times New Roman" w:cs="Times New Roman"/>
        </w:rPr>
      </w:pPr>
      <w:r w:rsidRPr="00E911BD">
        <w:rPr>
          <w:rFonts w:ascii="Times New Roman" w:hAnsi="Times New Roman" w:cs="Times New Roman"/>
          <w:b/>
          <w:i/>
        </w:rPr>
        <w:t>Porter’s Generic Strategies: Cost Leadership and Focus</w:t>
      </w:r>
    </w:p>
    <w:p w14:paraId="691FCBE0" w14:textId="4C13CAE6" w:rsidR="00265C0A" w:rsidRPr="00E911BD" w:rsidRDefault="00265C0A" w:rsidP="00E911BD">
      <w:pPr>
        <w:spacing w:line="360" w:lineRule="auto"/>
        <w:jc w:val="both"/>
        <w:rPr>
          <w:rFonts w:ascii="Times New Roman" w:hAnsi="Times New Roman" w:cs="Times New Roman"/>
        </w:rPr>
      </w:pPr>
      <w:r w:rsidRPr="00E911BD">
        <w:rPr>
          <w:rFonts w:ascii="Times New Roman" w:hAnsi="Times New Roman" w:cs="Times New Roman"/>
        </w:rPr>
        <w:t>Instead of differentiation, the pioneers are often followed by the followers using the cost leadership or focus strategies. Cost leadership is applicable in retail, where the Primark brand and Lidl use scale efficiencies and lower operational complexity to provide low prices (Statista, 2024</w:t>
      </w:r>
      <w:r w:rsidR="00A42F07" w:rsidRPr="00E911BD">
        <w:rPr>
          <w:rFonts w:ascii="Times New Roman" w:hAnsi="Times New Roman" w:cs="Times New Roman"/>
        </w:rPr>
        <w:t>b</w:t>
      </w:r>
      <w:r w:rsidRPr="00E911BD">
        <w:rPr>
          <w:rFonts w:ascii="Times New Roman" w:hAnsi="Times New Roman" w:cs="Times New Roman"/>
        </w:rPr>
        <w:t>). These plans enable followers to use the strategies to compete despite the lack of sophistication in technology as in the case of the leaders such as Amazon. Correspondingly, in cloud services, companies like Oracle have adopted the niche enterprise-level approach in lieu of going up against the innovating cloud leaders, like AWS or Google Cloud (Oracle Annual Report, 2024). The competitive pressure is lowered under this approach but growth will be limited in the event that niches saturate or get disrupted.</w:t>
      </w:r>
    </w:p>
    <w:p w14:paraId="5EDE4DA1" w14:textId="1C527CB9" w:rsidR="00E911BD" w:rsidRPr="00E911BD" w:rsidRDefault="00E911BD" w:rsidP="00E911BD">
      <w:pPr>
        <w:spacing w:line="360" w:lineRule="auto"/>
        <w:jc w:val="both"/>
        <w:rPr>
          <w:rFonts w:ascii="Times New Roman" w:hAnsi="Times New Roman" w:cs="Times New Roman"/>
        </w:rPr>
      </w:pPr>
      <w:r w:rsidRPr="00E911BD">
        <w:rPr>
          <w:rFonts w:ascii="Times New Roman" w:hAnsi="Times New Roman" w:cs="Times New Roman"/>
          <w:noProof/>
        </w:rPr>
        <w:lastRenderedPageBreak/>
        <w:drawing>
          <wp:inline distT="0" distB="0" distL="0" distR="0" wp14:anchorId="238789C5" wp14:editId="0FDDCE57">
            <wp:extent cx="5731510" cy="5428401"/>
            <wp:effectExtent l="19050" t="19050" r="21590" b="203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31510" cy="5428401"/>
                    </a:xfrm>
                    <a:prstGeom prst="rect">
                      <a:avLst/>
                    </a:prstGeom>
                    <a:ln>
                      <a:solidFill>
                        <a:schemeClr val="tx1"/>
                      </a:solidFill>
                    </a:ln>
                  </pic:spPr>
                </pic:pic>
              </a:graphicData>
            </a:graphic>
          </wp:inline>
        </w:drawing>
      </w:r>
    </w:p>
    <w:p w14:paraId="4B41A7E9" w14:textId="2F7F5E8A" w:rsidR="00E911BD" w:rsidRPr="00E911BD" w:rsidRDefault="00E911BD" w:rsidP="00172A50">
      <w:pPr>
        <w:spacing w:line="360" w:lineRule="auto"/>
        <w:jc w:val="center"/>
        <w:rPr>
          <w:rFonts w:ascii="Times New Roman" w:hAnsi="Times New Roman" w:cs="Times New Roman"/>
          <w:b/>
        </w:rPr>
      </w:pPr>
      <w:r w:rsidRPr="00E911BD">
        <w:rPr>
          <w:rFonts w:ascii="Times New Roman" w:hAnsi="Times New Roman" w:cs="Times New Roman"/>
          <w:b/>
        </w:rPr>
        <w:t>Figure 4: Porter’s Generic Strategies</w:t>
      </w:r>
    </w:p>
    <w:p w14:paraId="445AA3A2" w14:textId="70790F08" w:rsidR="00E911BD" w:rsidRPr="00E911BD" w:rsidRDefault="00E911BD" w:rsidP="00172A50">
      <w:pPr>
        <w:spacing w:line="360" w:lineRule="auto"/>
        <w:jc w:val="center"/>
        <w:rPr>
          <w:rFonts w:ascii="Times New Roman" w:hAnsi="Times New Roman" w:cs="Times New Roman"/>
        </w:rPr>
      </w:pPr>
      <w:r w:rsidRPr="00E911BD">
        <w:rPr>
          <w:rFonts w:ascii="Times New Roman" w:hAnsi="Times New Roman" w:cs="Times New Roman"/>
        </w:rPr>
        <w:t xml:space="preserve">(Source: </w:t>
      </w:r>
      <w:proofErr w:type="spellStart"/>
      <w:r w:rsidRPr="00E911BD">
        <w:rPr>
          <w:rFonts w:ascii="Times New Roman" w:hAnsi="Times New Roman" w:cs="Times New Roman"/>
        </w:rPr>
        <w:t>Creantho</w:t>
      </w:r>
      <w:proofErr w:type="spellEnd"/>
      <w:r w:rsidRPr="00E911BD">
        <w:rPr>
          <w:rFonts w:ascii="Times New Roman" w:hAnsi="Times New Roman" w:cs="Times New Roman"/>
        </w:rPr>
        <w:t>, 2023)</w:t>
      </w:r>
    </w:p>
    <w:p w14:paraId="5ACB220F" w14:textId="54B7CAB6" w:rsidR="00265C0A" w:rsidRPr="00E911BD" w:rsidRDefault="00265C0A" w:rsidP="00E911BD">
      <w:pPr>
        <w:spacing w:line="360" w:lineRule="auto"/>
        <w:jc w:val="both"/>
        <w:rPr>
          <w:rFonts w:ascii="Times New Roman" w:hAnsi="Times New Roman" w:cs="Times New Roman"/>
        </w:rPr>
      </w:pPr>
      <w:r w:rsidRPr="00E911BD">
        <w:rPr>
          <w:rFonts w:ascii="Times New Roman" w:hAnsi="Times New Roman" w:cs="Times New Roman"/>
          <w:b/>
          <w:i/>
        </w:rPr>
        <w:t>Incremental Innovation and Fast-Follower Advantages</w:t>
      </w:r>
    </w:p>
    <w:p w14:paraId="3DE684D2" w14:textId="00F381C9" w:rsidR="00265C0A" w:rsidRPr="00E911BD" w:rsidRDefault="00265C0A" w:rsidP="00E911BD">
      <w:pPr>
        <w:spacing w:line="360" w:lineRule="auto"/>
        <w:jc w:val="both"/>
        <w:rPr>
          <w:rFonts w:ascii="Times New Roman" w:hAnsi="Times New Roman" w:cs="Times New Roman"/>
        </w:rPr>
      </w:pPr>
      <w:r w:rsidRPr="00E911BD">
        <w:rPr>
          <w:rFonts w:ascii="Times New Roman" w:hAnsi="Times New Roman" w:cs="Times New Roman"/>
        </w:rPr>
        <w:t xml:space="preserve">Very often, followers pursue the use of the so-called incremental innovation which involves updating and enhancing the technologies which have been created by the pioneers resulting in lower research and development expenses and minimized risks. The Samsung smartphone strategy is an example of such approach because the company upgraded its smartphones as fast-followers even though Apple leads the pack in the premium smartphone segment, even though the company differentiated its products to face broader market segments (IDC, 2024). The fast-follower strategies enable organisations to react to consumer trends without the major risks associated with first-mover experimentations. Nonetheless, this will demand </w:t>
      </w:r>
      <w:r w:rsidRPr="00E911BD">
        <w:rPr>
          <w:rFonts w:ascii="Times New Roman" w:hAnsi="Times New Roman" w:cs="Times New Roman"/>
        </w:rPr>
        <w:lastRenderedPageBreak/>
        <w:t>agility and powerful supply chain; failure to which, followers are likely to be always lagging in innovation cycles.</w:t>
      </w:r>
    </w:p>
    <w:p w14:paraId="55757E64" w14:textId="68AF770D" w:rsidR="00265C0A" w:rsidRPr="00E911BD" w:rsidRDefault="00265C0A" w:rsidP="00E911BD">
      <w:pPr>
        <w:spacing w:line="360" w:lineRule="auto"/>
        <w:jc w:val="both"/>
        <w:rPr>
          <w:rFonts w:ascii="Times New Roman" w:hAnsi="Times New Roman" w:cs="Times New Roman"/>
        </w:rPr>
      </w:pPr>
      <w:r w:rsidRPr="00E911BD">
        <w:rPr>
          <w:rFonts w:ascii="Times New Roman" w:hAnsi="Times New Roman" w:cs="Times New Roman"/>
          <w:b/>
          <w:i/>
        </w:rPr>
        <w:t>Strategic Partnerships to Close Capability Gaps</w:t>
      </w:r>
    </w:p>
    <w:p w14:paraId="331E92FC" w14:textId="177E9B7F" w:rsidR="00265C0A" w:rsidRPr="00E911BD" w:rsidRDefault="00265C0A" w:rsidP="00E911BD">
      <w:pPr>
        <w:spacing w:line="360" w:lineRule="auto"/>
        <w:jc w:val="both"/>
        <w:rPr>
          <w:rFonts w:ascii="Times New Roman" w:hAnsi="Times New Roman" w:cs="Times New Roman"/>
        </w:rPr>
      </w:pPr>
      <w:r w:rsidRPr="00E911BD">
        <w:rPr>
          <w:rFonts w:ascii="Times New Roman" w:hAnsi="Times New Roman" w:cs="Times New Roman"/>
        </w:rPr>
        <w:t>Strategic alliances are also very important to the followers so that they can gain access to skills, technology as well as market opportunity. Follower compensates slower technological maturity in the automotive industry, with Honda partnering with LG Energy Solution to co-develop EV batteries (IEA, 2024). These alliances are useful to minimize time-to-market, risk of investment, and develop competitive advantage. However, being dependent can restrict independence and impede the ability to differentiate in the long-term.</w:t>
      </w:r>
    </w:p>
    <w:p w14:paraId="5FB6AEC7" w14:textId="076AC0EC" w:rsidR="00DE5D5B" w:rsidRPr="00E911BD" w:rsidRDefault="00DE5D5B" w:rsidP="00E911BD">
      <w:pPr>
        <w:pStyle w:val="Heading1"/>
        <w:rPr>
          <w:rFonts w:eastAsiaTheme="majorEastAsia"/>
        </w:rPr>
      </w:pPr>
      <w:bookmarkStart w:id="17" w:name="_Toc214489407"/>
      <w:r w:rsidRPr="00E911BD">
        <w:t>4. Conclusion</w:t>
      </w:r>
      <w:bookmarkEnd w:id="17"/>
      <w:r w:rsidRPr="00E911BD">
        <w:t xml:space="preserve"> </w:t>
      </w:r>
      <w:bookmarkEnd w:id="16"/>
    </w:p>
    <w:p w14:paraId="6C639063" w14:textId="451201DD" w:rsidR="00265C0A" w:rsidRPr="00E911BD" w:rsidRDefault="00E911BD" w:rsidP="00E911BD">
      <w:pPr>
        <w:spacing w:line="360" w:lineRule="auto"/>
        <w:jc w:val="both"/>
        <w:rPr>
          <w:rFonts w:ascii="Times New Roman" w:hAnsi="Times New Roman" w:cs="Times New Roman"/>
        </w:rPr>
      </w:pPr>
      <w:bookmarkStart w:id="18" w:name="_Toc211437178"/>
      <w:r w:rsidRPr="00E911BD">
        <w:rPr>
          <w:rFonts w:ascii="Times New Roman" w:hAnsi="Times New Roman" w:cs="Times New Roman"/>
        </w:rPr>
        <w:t xml:space="preserve">The analysis indicates that the external macro-environmental forces influence organisational strategy greatly, ensuring both threats and opportunities in contemporary markets. The outcome of the Task 1 demonstrates that Artificial Intelligence is a strong technological disruptor as it empowers those pioneers that have developed data-processing capabilities and puts slower movers at a disadvantage as they need to either use a modular or outsourced AI solution. Equally important, the changing ZEV regulation in the UK evidences the process of environmental regulations redefining the strategic priorities in the automotive industry, and making hybrid-based followers more beneficial than pure electric innovative leaders in the short term, though the latter must strengthen the innovation and sustainability branding. Through task 2, it is evident that upon environmental change, innovators are doing so by implementing innovative-based strategies like product development, entering new global markets, product differentiation, and strategic alliances to earn a long-term competitive edge. Conversely, follower organisations use less risky strategies such as market penetration, cost leadership, incremental innovation and capability-building partnerships to survive without taking the high risks that the innovators take. Comprehensively, the report highlights the necessity of constant scanning of the environment in the way that the company that actively interprets macro-environmental changes can better fit the adaptive marketing approaches, predict customer demands, and sustain the competitiveness. The use of data, partnership and market orientation-driven strategic agility is still a key in the ability to navigate emerging market circumstances. </w:t>
      </w:r>
      <w:r w:rsidR="00265C0A" w:rsidRPr="00E911BD">
        <w:rPr>
          <w:rFonts w:ascii="Times New Roman" w:hAnsi="Times New Roman" w:cs="Times New Roman"/>
        </w:rPr>
        <w:br w:type="page"/>
      </w:r>
    </w:p>
    <w:p w14:paraId="7E5BE2F4" w14:textId="42A723B2" w:rsidR="00DE5D5B" w:rsidRPr="00E911BD" w:rsidRDefault="00DE5D5B" w:rsidP="00E911BD">
      <w:pPr>
        <w:pStyle w:val="Heading1"/>
      </w:pPr>
      <w:bookmarkStart w:id="19" w:name="_Toc214489408"/>
      <w:r w:rsidRPr="00E911BD">
        <w:lastRenderedPageBreak/>
        <w:t>5. References</w:t>
      </w:r>
      <w:bookmarkEnd w:id="19"/>
      <w:r w:rsidRPr="00E911BD">
        <w:t xml:space="preserve"> </w:t>
      </w:r>
      <w:bookmarkEnd w:id="18"/>
    </w:p>
    <w:p w14:paraId="5B2DC655" w14:textId="77777777" w:rsidR="00000000" w:rsidRPr="00E911BD" w:rsidRDefault="00E26002" w:rsidP="00E911BD">
      <w:pPr>
        <w:spacing w:line="360" w:lineRule="auto"/>
        <w:jc w:val="both"/>
        <w:rPr>
          <w:rFonts w:ascii="Times New Roman" w:eastAsiaTheme="majorEastAsia" w:hAnsi="Times New Roman" w:cs="Times New Roman"/>
          <w:lang w:val="en-US"/>
        </w:rPr>
      </w:pPr>
      <w:r w:rsidRPr="00E911BD">
        <w:rPr>
          <w:rFonts w:ascii="Times New Roman" w:eastAsiaTheme="majorEastAsia" w:hAnsi="Times New Roman" w:cs="Times New Roman"/>
          <w:lang w:val="en-IN"/>
        </w:rPr>
        <w:t xml:space="preserve">Amazon (2024) </w:t>
      </w:r>
      <w:r w:rsidRPr="00E911BD">
        <w:rPr>
          <w:rFonts w:ascii="Times New Roman" w:eastAsiaTheme="majorEastAsia" w:hAnsi="Times New Roman" w:cs="Times New Roman"/>
          <w:i/>
          <w:iCs/>
          <w:lang w:val="en-IN"/>
        </w:rPr>
        <w:t>Annual Report 2023</w:t>
      </w:r>
      <w:r w:rsidRPr="00E911BD">
        <w:rPr>
          <w:rFonts w:ascii="Times New Roman" w:eastAsiaTheme="majorEastAsia" w:hAnsi="Times New Roman" w:cs="Times New Roman"/>
          <w:lang w:val="en-IN"/>
        </w:rPr>
        <w:t xml:space="preserve">. Available at: </w:t>
      </w:r>
      <w:hyperlink r:id="rId13" w:tgtFrame="_new" w:history="1">
        <w:r w:rsidRPr="00E911BD">
          <w:rPr>
            <w:rStyle w:val="Hyperlink"/>
            <w:rFonts w:ascii="Times New Roman" w:eastAsiaTheme="majorEastAsia" w:hAnsi="Times New Roman" w:cs="Times New Roman"/>
            <w:lang w:val="en-IN"/>
          </w:rPr>
          <w:t>https://ir.aboutamazon.com/</w:t>
        </w:r>
      </w:hyperlink>
      <w:r w:rsidRPr="00E911BD">
        <w:rPr>
          <w:rFonts w:ascii="Times New Roman" w:eastAsiaTheme="majorEastAsia" w:hAnsi="Times New Roman" w:cs="Times New Roman"/>
          <w:lang w:val="en-IN"/>
        </w:rPr>
        <w:t xml:space="preserve"> (Accessed on: 19 November 2025).</w:t>
      </w:r>
    </w:p>
    <w:p w14:paraId="061E8BB1" w14:textId="77777777" w:rsidR="00E911BD" w:rsidRPr="00E911BD" w:rsidRDefault="00E911BD" w:rsidP="00E911BD">
      <w:pPr>
        <w:spacing w:line="360" w:lineRule="auto"/>
        <w:jc w:val="both"/>
        <w:rPr>
          <w:rFonts w:ascii="Times New Roman" w:eastAsiaTheme="majorEastAsia" w:hAnsi="Times New Roman" w:cs="Times New Roman"/>
          <w:lang w:val="en-IN"/>
        </w:rPr>
      </w:pPr>
      <w:r w:rsidRPr="00E911BD">
        <w:rPr>
          <w:rFonts w:ascii="Times New Roman" w:eastAsiaTheme="majorEastAsia" w:hAnsi="Times New Roman" w:cs="Times New Roman"/>
          <w:lang w:val="en-IN"/>
        </w:rPr>
        <w:t xml:space="preserve">Barnes, S. (2023) ‘Amazon’s competitive positioning and strategic expansion’, </w:t>
      </w:r>
      <w:r w:rsidRPr="00E911BD">
        <w:rPr>
          <w:rFonts w:ascii="Times New Roman" w:eastAsiaTheme="majorEastAsia" w:hAnsi="Times New Roman" w:cs="Times New Roman"/>
          <w:i/>
          <w:iCs/>
          <w:lang w:val="en-IN"/>
        </w:rPr>
        <w:t>Journal of Retail Strategy</w:t>
      </w:r>
      <w:r w:rsidRPr="00E911BD">
        <w:rPr>
          <w:rFonts w:ascii="Times New Roman" w:eastAsiaTheme="majorEastAsia" w:hAnsi="Times New Roman" w:cs="Times New Roman"/>
          <w:lang w:val="en-IN"/>
        </w:rPr>
        <w:t>, 18(2), pp. 44–59.</w:t>
      </w:r>
    </w:p>
    <w:p w14:paraId="5CE1AC7D" w14:textId="77777777" w:rsidR="00000000" w:rsidRPr="00E911BD" w:rsidRDefault="00E26002" w:rsidP="00E911BD">
      <w:pPr>
        <w:spacing w:line="360" w:lineRule="auto"/>
        <w:jc w:val="both"/>
        <w:rPr>
          <w:rFonts w:ascii="Times New Roman" w:eastAsiaTheme="majorEastAsia" w:hAnsi="Times New Roman" w:cs="Times New Roman"/>
          <w:lang w:val="en-IN"/>
        </w:rPr>
      </w:pPr>
      <w:r w:rsidRPr="00E911BD">
        <w:rPr>
          <w:rFonts w:ascii="Times New Roman" w:eastAsiaTheme="majorEastAsia" w:hAnsi="Times New Roman" w:cs="Times New Roman"/>
          <w:lang w:val="en-IN"/>
        </w:rPr>
        <w:t xml:space="preserve">Brown, T. (2025) </w:t>
      </w:r>
      <w:r w:rsidRPr="00E911BD">
        <w:rPr>
          <w:rFonts w:ascii="Times New Roman" w:eastAsiaTheme="majorEastAsia" w:hAnsi="Times New Roman" w:cs="Times New Roman"/>
          <w:i/>
          <w:iCs/>
          <w:lang w:val="en-IN"/>
        </w:rPr>
        <w:t>UK relaxes Zero-Emission Vehicle mandate allowing hybrid sales until 2035</w:t>
      </w:r>
      <w:r w:rsidRPr="00E911BD">
        <w:rPr>
          <w:rFonts w:ascii="Times New Roman" w:eastAsiaTheme="majorEastAsia" w:hAnsi="Times New Roman" w:cs="Times New Roman"/>
          <w:lang w:val="en-IN"/>
        </w:rPr>
        <w:t xml:space="preserve">. The Guardian. Available at: </w:t>
      </w:r>
      <w:hyperlink r:id="rId14" w:history="1">
        <w:r w:rsidRPr="00E911BD">
          <w:rPr>
            <w:rStyle w:val="Hyperlink"/>
            <w:rFonts w:ascii="Times New Roman" w:eastAsiaTheme="majorEastAsia" w:hAnsi="Times New Roman" w:cs="Times New Roman"/>
            <w:lang w:val="en-IN"/>
          </w:rPr>
          <w:t>https://www.theguardian.com/business/2025/may/19/weakening-of-uk-ev-sales-rules-likely-to-result-in-significantly-more-carbon-emissions</w:t>
        </w:r>
      </w:hyperlink>
      <w:r w:rsidRPr="00E911BD">
        <w:rPr>
          <w:rFonts w:ascii="Times New Roman" w:eastAsiaTheme="majorEastAsia" w:hAnsi="Times New Roman" w:cs="Times New Roman"/>
          <w:lang w:val="en-IN"/>
        </w:rPr>
        <w:t xml:space="preserve"> (Accessed: 19 November 2025).</w:t>
      </w:r>
    </w:p>
    <w:p w14:paraId="58A3112C" w14:textId="77777777" w:rsidR="00000000" w:rsidRPr="00E911BD" w:rsidRDefault="00E26002" w:rsidP="00E911BD">
      <w:pPr>
        <w:spacing w:line="360" w:lineRule="auto"/>
        <w:jc w:val="both"/>
        <w:rPr>
          <w:rFonts w:ascii="Times New Roman" w:eastAsiaTheme="majorEastAsia" w:hAnsi="Times New Roman" w:cs="Times New Roman"/>
          <w:lang w:val="en-IN"/>
        </w:rPr>
      </w:pPr>
      <w:r w:rsidRPr="00E911BD">
        <w:rPr>
          <w:rFonts w:ascii="Times New Roman" w:eastAsiaTheme="majorEastAsia" w:hAnsi="Times New Roman" w:cs="Times New Roman"/>
          <w:lang w:val="en-IN"/>
        </w:rPr>
        <w:t xml:space="preserve">Climate Change Committee (2024) </w:t>
      </w:r>
      <w:r w:rsidRPr="00E911BD">
        <w:rPr>
          <w:rFonts w:ascii="Times New Roman" w:eastAsiaTheme="majorEastAsia" w:hAnsi="Times New Roman" w:cs="Times New Roman"/>
          <w:i/>
          <w:iCs/>
          <w:lang w:val="en-IN"/>
        </w:rPr>
        <w:t>Plug-in hybrid vehicle emissions and environmental performance report</w:t>
      </w:r>
      <w:r w:rsidRPr="00E911BD">
        <w:rPr>
          <w:rFonts w:ascii="Times New Roman" w:eastAsiaTheme="majorEastAsia" w:hAnsi="Times New Roman" w:cs="Times New Roman"/>
          <w:lang w:val="en-IN"/>
        </w:rPr>
        <w:t xml:space="preserve">. UK Parliament. Available at: </w:t>
      </w:r>
      <w:hyperlink r:id="rId15" w:history="1">
        <w:r w:rsidRPr="00E911BD">
          <w:rPr>
            <w:rStyle w:val="Hyperlink"/>
            <w:rFonts w:ascii="Times New Roman" w:eastAsiaTheme="majorEastAsia" w:hAnsi="Times New Roman" w:cs="Times New Roman"/>
            <w:lang w:val="en-IN"/>
          </w:rPr>
          <w:t>https://committees.parliament.uk/writtenevidence/22876/pdf</w:t>
        </w:r>
      </w:hyperlink>
      <w:r w:rsidRPr="00E911BD">
        <w:rPr>
          <w:rFonts w:ascii="Times New Roman" w:eastAsiaTheme="majorEastAsia" w:hAnsi="Times New Roman" w:cs="Times New Roman"/>
          <w:lang w:val="en-IN"/>
        </w:rPr>
        <w:t xml:space="preserve"> (Accessed: 19 November 2025).</w:t>
      </w:r>
    </w:p>
    <w:p w14:paraId="02D6B60E" w14:textId="77777777" w:rsidR="00000000" w:rsidRPr="00E911BD" w:rsidRDefault="00E26002" w:rsidP="00E911BD">
      <w:pPr>
        <w:spacing w:line="360" w:lineRule="auto"/>
        <w:jc w:val="both"/>
        <w:rPr>
          <w:rFonts w:ascii="Times New Roman" w:eastAsiaTheme="majorEastAsia" w:hAnsi="Times New Roman" w:cs="Times New Roman"/>
          <w:lang w:val="en-IN"/>
        </w:rPr>
      </w:pPr>
      <w:r w:rsidRPr="00E911BD">
        <w:rPr>
          <w:rFonts w:ascii="Times New Roman" w:eastAsiaTheme="majorEastAsia" w:hAnsi="Times New Roman" w:cs="Times New Roman"/>
          <w:lang w:val="en-IN"/>
        </w:rPr>
        <w:t xml:space="preserve">Climate Change Committee (2025) </w:t>
      </w:r>
      <w:r w:rsidRPr="00E911BD">
        <w:rPr>
          <w:rFonts w:ascii="Times New Roman" w:eastAsiaTheme="majorEastAsia" w:hAnsi="Times New Roman" w:cs="Times New Roman"/>
          <w:i/>
          <w:iCs/>
          <w:lang w:val="en-IN"/>
        </w:rPr>
        <w:t>Plug-in Hybrid Vehicle (PHEV) emissions and real-world performance report</w:t>
      </w:r>
      <w:r w:rsidRPr="00E911BD">
        <w:rPr>
          <w:rFonts w:ascii="Times New Roman" w:eastAsiaTheme="majorEastAsia" w:hAnsi="Times New Roman" w:cs="Times New Roman"/>
          <w:lang w:val="en-IN"/>
        </w:rPr>
        <w:t xml:space="preserve">. UK Parliament Committees. Available at: </w:t>
      </w:r>
      <w:hyperlink r:id="rId16" w:history="1">
        <w:r w:rsidRPr="00E911BD">
          <w:rPr>
            <w:rStyle w:val="Hyperlink"/>
            <w:rFonts w:ascii="Times New Roman" w:eastAsiaTheme="majorEastAsia" w:hAnsi="Times New Roman" w:cs="Times New Roman"/>
            <w:lang w:val="en-IN"/>
          </w:rPr>
          <w:t>https://committees.parliament.uk/writtenevidence/22876/pdf/</w:t>
        </w:r>
      </w:hyperlink>
      <w:r w:rsidRPr="00E911BD">
        <w:rPr>
          <w:rFonts w:ascii="Times New Roman" w:eastAsiaTheme="majorEastAsia" w:hAnsi="Times New Roman" w:cs="Times New Roman"/>
          <w:lang w:val="en-IN"/>
        </w:rPr>
        <w:t xml:space="preserve"> (Accessed: 19 November 2025).</w:t>
      </w:r>
    </w:p>
    <w:p w14:paraId="0212EE3D" w14:textId="77777777" w:rsidR="00E911BD" w:rsidRPr="00E911BD" w:rsidRDefault="00E911BD" w:rsidP="00E911BD">
      <w:pPr>
        <w:spacing w:line="360" w:lineRule="auto"/>
        <w:jc w:val="both"/>
        <w:rPr>
          <w:rFonts w:ascii="Times New Roman" w:eastAsiaTheme="majorEastAsia" w:hAnsi="Times New Roman" w:cs="Times New Roman"/>
          <w:lang w:val="en-IN"/>
        </w:rPr>
      </w:pPr>
      <w:proofErr w:type="spellStart"/>
      <w:r w:rsidRPr="00E911BD">
        <w:rPr>
          <w:rFonts w:ascii="Times New Roman" w:eastAsiaTheme="majorEastAsia" w:hAnsi="Times New Roman" w:cs="Times New Roman"/>
          <w:lang w:val="en-IN"/>
        </w:rPr>
        <w:t>Creantho</w:t>
      </w:r>
      <w:proofErr w:type="spellEnd"/>
      <w:r w:rsidRPr="00E911BD">
        <w:rPr>
          <w:rFonts w:ascii="Times New Roman" w:eastAsiaTheme="majorEastAsia" w:hAnsi="Times New Roman" w:cs="Times New Roman"/>
          <w:lang w:val="en-IN"/>
        </w:rPr>
        <w:t xml:space="preserve"> (2023) </w:t>
      </w:r>
      <w:r w:rsidRPr="00E911BD">
        <w:rPr>
          <w:rFonts w:ascii="Times New Roman" w:eastAsiaTheme="majorEastAsia" w:hAnsi="Times New Roman" w:cs="Times New Roman"/>
          <w:i/>
          <w:iCs/>
          <w:lang w:val="en-IN"/>
        </w:rPr>
        <w:t>Michael Porter’s Generic Strategies</w:t>
      </w:r>
      <w:r w:rsidRPr="00E911BD">
        <w:rPr>
          <w:rFonts w:ascii="Times New Roman" w:eastAsiaTheme="majorEastAsia" w:hAnsi="Times New Roman" w:cs="Times New Roman"/>
          <w:lang w:val="en-IN"/>
        </w:rPr>
        <w:t xml:space="preserve">. Available at: </w:t>
      </w:r>
      <w:hyperlink r:id="rId17" w:tgtFrame="_new" w:history="1">
        <w:r w:rsidRPr="00E911BD">
          <w:rPr>
            <w:rStyle w:val="Hyperlink"/>
            <w:rFonts w:ascii="Times New Roman" w:eastAsiaTheme="majorEastAsia" w:hAnsi="Times New Roman" w:cs="Times New Roman"/>
            <w:lang w:val="en-IN"/>
          </w:rPr>
          <w:t>https://www.creantho.com/michael-porters-generic-strategies.php</w:t>
        </w:r>
      </w:hyperlink>
      <w:r w:rsidRPr="00E911BD">
        <w:rPr>
          <w:rFonts w:ascii="Times New Roman" w:eastAsiaTheme="majorEastAsia" w:hAnsi="Times New Roman" w:cs="Times New Roman"/>
          <w:lang w:val="en-IN"/>
        </w:rPr>
        <w:t xml:space="preserve"> (Accessed on: 19 November 2025).</w:t>
      </w:r>
    </w:p>
    <w:p w14:paraId="2B4A41A7" w14:textId="77777777" w:rsidR="00E911BD" w:rsidRPr="00E911BD" w:rsidRDefault="00E911BD" w:rsidP="00E911BD">
      <w:pPr>
        <w:spacing w:line="360" w:lineRule="auto"/>
        <w:jc w:val="both"/>
        <w:rPr>
          <w:rFonts w:ascii="Times New Roman" w:eastAsiaTheme="majorEastAsia" w:hAnsi="Times New Roman" w:cs="Times New Roman"/>
          <w:lang w:val="en-IN"/>
        </w:rPr>
      </w:pPr>
      <w:r w:rsidRPr="00E911BD">
        <w:rPr>
          <w:rFonts w:ascii="Times New Roman" w:eastAsiaTheme="majorEastAsia" w:hAnsi="Times New Roman" w:cs="Times New Roman"/>
          <w:lang w:val="en-IN"/>
        </w:rPr>
        <w:t xml:space="preserve">Deloitte (2024) </w:t>
      </w:r>
      <w:r w:rsidRPr="00E911BD">
        <w:rPr>
          <w:rFonts w:ascii="Times New Roman" w:eastAsiaTheme="majorEastAsia" w:hAnsi="Times New Roman" w:cs="Times New Roman"/>
          <w:i/>
          <w:iCs/>
          <w:lang w:val="en-IN"/>
        </w:rPr>
        <w:t>Global retail technology report: AI adoption and market expansion trends</w:t>
      </w:r>
      <w:r w:rsidRPr="00E911BD">
        <w:rPr>
          <w:rFonts w:ascii="Times New Roman" w:eastAsiaTheme="majorEastAsia" w:hAnsi="Times New Roman" w:cs="Times New Roman"/>
          <w:lang w:val="en-IN"/>
        </w:rPr>
        <w:t>. Deloitte Insights. Available at: https://www2.deloitte.com/global/en/insights (Accessed: 19 November 2025).</w:t>
      </w:r>
    </w:p>
    <w:p w14:paraId="5AC56393" w14:textId="77777777" w:rsidR="00000000" w:rsidRPr="00E911BD" w:rsidRDefault="00E26002" w:rsidP="00E911BD">
      <w:pPr>
        <w:spacing w:line="360" w:lineRule="auto"/>
        <w:jc w:val="both"/>
        <w:rPr>
          <w:rFonts w:ascii="Times New Roman" w:eastAsiaTheme="majorEastAsia" w:hAnsi="Times New Roman" w:cs="Times New Roman"/>
          <w:lang w:val="en-US"/>
        </w:rPr>
      </w:pPr>
      <w:proofErr w:type="spellStart"/>
      <w:r w:rsidRPr="00E911BD">
        <w:rPr>
          <w:rFonts w:ascii="Times New Roman" w:eastAsiaTheme="majorEastAsia" w:hAnsi="Times New Roman" w:cs="Times New Roman"/>
          <w:lang w:val="en-IN"/>
        </w:rPr>
        <w:t>DeQuero</w:t>
      </w:r>
      <w:proofErr w:type="spellEnd"/>
      <w:r w:rsidRPr="00E911BD">
        <w:rPr>
          <w:rFonts w:ascii="Times New Roman" w:eastAsiaTheme="majorEastAsia" w:hAnsi="Times New Roman" w:cs="Times New Roman"/>
          <w:lang w:val="en-IN"/>
        </w:rPr>
        <w:t xml:space="preserve">-Navarro, B., Stanton, J. and Klein, T.A., 2021. A panoramic review of the </w:t>
      </w:r>
      <w:proofErr w:type="spellStart"/>
      <w:r w:rsidRPr="00E911BD">
        <w:rPr>
          <w:rFonts w:ascii="Times New Roman" w:eastAsiaTheme="majorEastAsia" w:hAnsi="Times New Roman" w:cs="Times New Roman"/>
          <w:lang w:val="en-IN"/>
        </w:rPr>
        <w:t>macromarketing</w:t>
      </w:r>
      <w:proofErr w:type="spellEnd"/>
      <w:r w:rsidRPr="00E911BD">
        <w:rPr>
          <w:rFonts w:ascii="Times New Roman" w:eastAsiaTheme="majorEastAsia" w:hAnsi="Times New Roman" w:cs="Times New Roman"/>
          <w:lang w:val="en-IN"/>
        </w:rPr>
        <w:t xml:space="preserve"> literature. </w:t>
      </w:r>
      <w:r w:rsidRPr="00E911BD">
        <w:rPr>
          <w:rFonts w:ascii="Times New Roman" w:eastAsiaTheme="majorEastAsia" w:hAnsi="Times New Roman" w:cs="Times New Roman"/>
          <w:i/>
          <w:iCs/>
          <w:lang w:val="en-IN"/>
        </w:rPr>
        <w:t xml:space="preserve">Journal of </w:t>
      </w:r>
      <w:proofErr w:type="spellStart"/>
      <w:r w:rsidRPr="00E911BD">
        <w:rPr>
          <w:rFonts w:ascii="Times New Roman" w:eastAsiaTheme="majorEastAsia" w:hAnsi="Times New Roman" w:cs="Times New Roman"/>
          <w:i/>
          <w:iCs/>
          <w:lang w:val="en-IN"/>
        </w:rPr>
        <w:t>Macromarketing</w:t>
      </w:r>
      <w:proofErr w:type="spellEnd"/>
      <w:r w:rsidRPr="00E911BD">
        <w:rPr>
          <w:rFonts w:ascii="Times New Roman" w:eastAsiaTheme="majorEastAsia" w:hAnsi="Times New Roman" w:cs="Times New Roman"/>
          <w:lang w:val="en-IN"/>
        </w:rPr>
        <w:t>, </w:t>
      </w:r>
      <w:r w:rsidRPr="00E911BD">
        <w:rPr>
          <w:rFonts w:ascii="Times New Roman" w:eastAsiaTheme="majorEastAsia" w:hAnsi="Times New Roman" w:cs="Times New Roman"/>
          <w:i/>
          <w:iCs/>
          <w:lang w:val="en-IN"/>
        </w:rPr>
        <w:t>41</w:t>
      </w:r>
      <w:r w:rsidRPr="00E911BD">
        <w:rPr>
          <w:rFonts w:ascii="Times New Roman" w:eastAsiaTheme="majorEastAsia" w:hAnsi="Times New Roman" w:cs="Times New Roman"/>
          <w:lang w:val="en-IN"/>
        </w:rPr>
        <w:t>(1), pp.48-64.</w:t>
      </w:r>
    </w:p>
    <w:p w14:paraId="6189F4A3" w14:textId="77777777" w:rsidR="00000000" w:rsidRPr="00E911BD" w:rsidRDefault="00E26002" w:rsidP="00E911BD">
      <w:pPr>
        <w:spacing w:line="360" w:lineRule="auto"/>
        <w:jc w:val="both"/>
        <w:rPr>
          <w:rFonts w:ascii="Times New Roman" w:eastAsiaTheme="majorEastAsia" w:hAnsi="Times New Roman" w:cs="Times New Roman"/>
          <w:lang w:val="en-US"/>
        </w:rPr>
      </w:pPr>
      <w:proofErr w:type="spellStart"/>
      <w:r w:rsidRPr="00E911BD">
        <w:rPr>
          <w:rFonts w:ascii="Times New Roman" w:eastAsiaTheme="majorEastAsia" w:hAnsi="Times New Roman" w:cs="Times New Roman"/>
          <w:lang w:val="en-IN"/>
        </w:rPr>
        <w:t>Domegan</w:t>
      </w:r>
      <w:proofErr w:type="spellEnd"/>
      <w:r w:rsidRPr="00E911BD">
        <w:rPr>
          <w:rFonts w:ascii="Times New Roman" w:eastAsiaTheme="majorEastAsia" w:hAnsi="Times New Roman" w:cs="Times New Roman"/>
          <w:lang w:val="en-IN"/>
        </w:rPr>
        <w:t>, C., 2021. Social marketing and behavioural change in a systems setting. </w:t>
      </w:r>
      <w:r w:rsidRPr="00E911BD">
        <w:rPr>
          <w:rFonts w:ascii="Times New Roman" w:eastAsiaTheme="majorEastAsia" w:hAnsi="Times New Roman" w:cs="Times New Roman"/>
          <w:i/>
          <w:iCs/>
          <w:lang w:val="en-IN"/>
        </w:rPr>
        <w:t>Current Opinion in Environmental Science &amp; Health</w:t>
      </w:r>
      <w:r w:rsidRPr="00E911BD">
        <w:rPr>
          <w:rFonts w:ascii="Times New Roman" w:eastAsiaTheme="majorEastAsia" w:hAnsi="Times New Roman" w:cs="Times New Roman"/>
          <w:lang w:val="en-IN"/>
        </w:rPr>
        <w:t>, </w:t>
      </w:r>
      <w:r w:rsidRPr="00E911BD">
        <w:rPr>
          <w:rFonts w:ascii="Times New Roman" w:eastAsiaTheme="majorEastAsia" w:hAnsi="Times New Roman" w:cs="Times New Roman"/>
          <w:i/>
          <w:iCs/>
          <w:lang w:val="en-IN"/>
        </w:rPr>
        <w:t>23</w:t>
      </w:r>
      <w:r w:rsidRPr="00E911BD">
        <w:rPr>
          <w:rFonts w:ascii="Times New Roman" w:eastAsiaTheme="majorEastAsia" w:hAnsi="Times New Roman" w:cs="Times New Roman"/>
          <w:lang w:val="en-IN"/>
        </w:rPr>
        <w:t>, p.100275.</w:t>
      </w:r>
    </w:p>
    <w:p w14:paraId="047B032F" w14:textId="77777777" w:rsidR="00E911BD" w:rsidRPr="00E911BD" w:rsidRDefault="00E911BD" w:rsidP="00E911BD">
      <w:pPr>
        <w:spacing w:line="360" w:lineRule="auto"/>
        <w:jc w:val="both"/>
        <w:rPr>
          <w:rFonts w:ascii="Times New Roman" w:eastAsiaTheme="majorEastAsia" w:hAnsi="Times New Roman" w:cs="Times New Roman"/>
          <w:lang w:val="en-IN"/>
        </w:rPr>
      </w:pPr>
      <w:r w:rsidRPr="00E911BD">
        <w:rPr>
          <w:rFonts w:ascii="Times New Roman" w:eastAsiaTheme="majorEastAsia" w:hAnsi="Times New Roman" w:cs="Times New Roman"/>
          <w:lang w:val="en-IN"/>
        </w:rPr>
        <w:t xml:space="preserve">Ferguson, T. (2022) ‘IKEA’s adaptation to global market pressures’, </w:t>
      </w:r>
      <w:r w:rsidRPr="00E911BD">
        <w:rPr>
          <w:rFonts w:ascii="Times New Roman" w:eastAsiaTheme="majorEastAsia" w:hAnsi="Times New Roman" w:cs="Times New Roman"/>
          <w:i/>
          <w:iCs/>
          <w:lang w:val="en-IN"/>
        </w:rPr>
        <w:t>International Business Review</w:t>
      </w:r>
      <w:r w:rsidRPr="00E911BD">
        <w:rPr>
          <w:rFonts w:ascii="Times New Roman" w:eastAsiaTheme="majorEastAsia" w:hAnsi="Times New Roman" w:cs="Times New Roman"/>
          <w:lang w:val="en-IN"/>
        </w:rPr>
        <w:t>, 31(6), pp. 1–12.</w:t>
      </w:r>
    </w:p>
    <w:p w14:paraId="7E35E01D" w14:textId="77777777" w:rsidR="00E911BD" w:rsidRPr="00E911BD" w:rsidRDefault="00E911BD" w:rsidP="00E911BD">
      <w:pPr>
        <w:spacing w:line="360" w:lineRule="auto"/>
        <w:jc w:val="both"/>
        <w:rPr>
          <w:rFonts w:ascii="Times New Roman" w:eastAsiaTheme="majorEastAsia" w:hAnsi="Times New Roman" w:cs="Times New Roman"/>
          <w:lang w:val="en-IN"/>
        </w:rPr>
      </w:pPr>
      <w:r w:rsidRPr="00E911BD">
        <w:rPr>
          <w:rFonts w:ascii="Times New Roman" w:eastAsiaTheme="majorEastAsia" w:hAnsi="Times New Roman" w:cs="Times New Roman"/>
          <w:lang w:val="en-IN"/>
        </w:rPr>
        <w:t xml:space="preserve">Google (2024) </w:t>
      </w:r>
      <w:r w:rsidRPr="00E911BD">
        <w:rPr>
          <w:rFonts w:ascii="Times New Roman" w:eastAsiaTheme="majorEastAsia" w:hAnsi="Times New Roman" w:cs="Times New Roman"/>
          <w:i/>
          <w:iCs/>
          <w:lang w:val="en-IN"/>
        </w:rPr>
        <w:t>Alphabet Inc. Annual Report 2024</w:t>
      </w:r>
      <w:r w:rsidRPr="00E911BD">
        <w:rPr>
          <w:rFonts w:ascii="Times New Roman" w:eastAsiaTheme="majorEastAsia" w:hAnsi="Times New Roman" w:cs="Times New Roman"/>
          <w:lang w:val="en-IN"/>
        </w:rPr>
        <w:t xml:space="preserve">. Alphabet Investor Relations. Available at: </w:t>
      </w:r>
      <w:hyperlink r:id="rId18" w:tgtFrame="_new" w:history="1">
        <w:r w:rsidRPr="00E911BD">
          <w:rPr>
            <w:rStyle w:val="Hyperlink"/>
            <w:rFonts w:ascii="Times New Roman" w:eastAsiaTheme="majorEastAsia" w:hAnsi="Times New Roman" w:cs="Times New Roman"/>
            <w:lang w:val="en-IN"/>
          </w:rPr>
          <w:t>https://abc.xyz/investor</w:t>
        </w:r>
      </w:hyperlink>
      <w:r w:rsidRPr="00E911BD">
        <w:rPr>
          <w:rFonts w:ascii="Times New Roman" w:eastAsiaTheme="majorEastAsia" w:hAnsi="Times New Roman" w:cs="Times New Roman"/>
          <w:lang w:val="en-IN"/>
        </w:rPr>
        <w:t xml:space="preserve"> (Accessed: 19 November 2025).</w:t>
      </w:r>
    </w:p>
    <w:p w14:paraId="73E3A1A8" w14:textId="77777777" w:rsidR="00000000" w:rsidRPr="00E911BD" w:rsidRDefault="00E26002" w:rsidP="00E911BD">
      <w:pPr>
        <w:spacing w:line="360" w:lineRule="auto"/>
        <w:jc w:val="both"/>
        <w:rPr>
          <w:rFonts w:ascii="Times New Roman" w:eastAsiaTheme="majorEastAsia" w:hAnsi="Times New Roman" w:cs="Times New Roman"/>
          <w:lang w:val="en-IN"/>
        </w:rPr>
      </w:pPr>
      <w:r w:rsidRPr="00E911BD">
        <w:rPr>
          <w:rFonts w:ascii="Times New Roman" w:eastAsiaTheme="majorEastAsia" w:hAnsi="Times New Roman" w:cs="Times New Roman"/>
          <w:lang w:val="en-IN"/>
        </w:rPr>
        <w:t xml:space="preserve">Guardian (2025) </w:t>
      </w:r>
      <w:r w:rsidRPr="00E911BD">
        <w:rPr>
          <w:rFonts w:ascii="Times New Roman" w:eastAsiaTheme="majorEastAsia" w:hAnsi="Times New Roman" w:cs="Times New Roman"/>
          <w:i/>
          <w:iCs/>
          <w:lang w:val="en-IN"/>
        </w:rPr>
        <w:t>UK relaxes Zero-Emission Vehicle (ZEV) rules allowing hybrid sales until 2035</w:t>
      </w:r>
      <w:r w:rsidRPr="00E911BD">
        <w:rPr>
          <w:rFonts w:ascii="Times New Roman" w:eastAsiaTheme="majorEastAsia" w:hAnsi="Times New Roman" w:cs="Times New Roman"/>
          <w:lang w:val="en-IN"/>
        </w:rPr>
        <w:t xml:space="preserve">. The Guardian. Available at: </w:t>
      </w:r>
      <w:hyperlink r:id="rId19" w:history="1">
        <w:r w:rsidRPr="00E911BD">
          <w:rPr>
            <w:rStyle w:val="Hyperlink"/>
            <w:rFonts w:ascii="Times New Roman" w:eastAsiaTheme="majorEastAsia" w:hAnsi="Times New Roman" w:cs="Times New Roman"/>
            <w:lang w:val="en-IN"/>
          </w:rPr>
          <w:t>https://www.theguardian.com/business/2025/may/19/weakening-of-uk-ev-sales-rules-likely-to-result-in-significantly-more-carbon-emissions</w:t>
        </w:r>
      </w:hyperlink>
      <w:r w:rsidRPr="00E911BD">
        <w:rPr>
          <w:rFonts w:ascii="Times New Roman" w:eastAsiaTheme="majorEastAsia" w:hAnsi="Times New Roman" w:cs="Times New Roman"/>
          <w:lang w:val="en-IN"/>
        </w:rPr>
        <w:t xml:space="preserve"> (Accessed: 19 November 2025).</w:t>
      </w:r>
    </w:p>
    <w:p w14:paraId="7EBDA43C" w14:textId="77777777" w:rsidR="00000000" w:rsidRPr="00E911BD" w:rsidRDefault="00E26002" w:rsidP="00E911BD">
      <w:pPr>
        <w:spacing w:line="360" w:lineRule="auto"/>
        <w:jc w:val="both"/>
        <w:rPr>
          <w:rFonts w:ascii="Times New Roman" w:eastAsiaTheme="majorEastAsia" w:hAnsi="Times New Roman" w:cs="Times New Roman"/>
          <w:lang w:val="en-US"/>
        </w:rPr>
      </w:pPr>
      <w:r w:rsidRPr="00E911BD">
        <w:rPr>
          <w:rFonts w:ascii="Times New Roman" w:eastAsiaTheme="majorEastAsia" w:hAnsi="Times New Roman" w:cs="Times New Roman"/>
          <w:lang w:val="en-IN"/>
        </w:rPr>
        <w:lastRenderedPageBreak/>
        <w:t>Iacobucci, D., Gabriel, M.L., Schneider, M.J. and Hamza, K.M., 2020. Marketing research on environmental sustainability. </w:t>
      </w:r>
      <w:r w:rsidRPr="00E911BD">
        <w:rPr>
          <w:rFonts w:ascii="Times New Roman" w:eastAsiaTheme="majorEastAsia" w:hAnsi="Times New Roman" w:cs="Times New Roman"/>
          <w:i/>
          <w:iCs/>
          <w:lang w:val="en-IN"/>
        </w:rPr>
        <w:t>Continuing to Broaden the Marketing Concept: Making the World A Better Place</w:t>
      </w:r>
      <w:r w:rsidRPr="00E911BD">
        <w:rPr>
          <w:rFonts w:ascii="Times New Roman" w:eastAsiaTheme="majorEastAsia" w:hAnsi="Times New Roman" w:cs="Times New Roman"/>
          <w:lang w:val="en-IN"/>
        </w:rPr>
        <w:t>, pp.261-292.</w:t>
      </w:r>
    </w:p>
    <w:p w14:paraId="4C529BE4" w14:textId="77777777" w:rsidR="00E911BD" w:rsidRPr="00E911BD" w:rsidRDefault="00E911BD" w:rsidP="00E911BD">
      <w:pPr>
        <w:spacing w:line="360" w:lineRule="auto"/>
        <w:jc w:val="both"/>
        <w:rPr>
          <w:rFonts w:ascii="Times New Roman" w:eastAsiaTheme="majorEastAsia" w:hAnsi="Times New Roman" w:cs="Times New Roman"/>
          <w:lang w:val="en-IN"/>
        </w:rPr>
      </w:pPr>
      <w:r w:rsidRPr="00E911BD">
        <w:rPr>
          <w:rFonts w:ascii="Times New Roman" w:eastAsiaTheme="majorEastAsia" w:hAnsi="Times New Roman" w:cs="Times New Roman"/>
          <w:lang w:val="en-IN"/>
        </w:rPr>
        <w:t xml:space="preserve">IEA (2024) </w:t>
      </w:r>
      <w:r w:rsidRPr="00E911BD">
        <w:rPr>
          <w:rFonts w:ascii="Times New Roman" w:eastAsiaTheme="majorEastAsia" w:hAnsi="Times New Roman" w:cs="Times New Roman"/>
          <w:i/>
          <w:iCs/>
          <w:lang w:val="en-IN"/>
        </w:rPr>
        <w:t>Global EV Outlook 2024: Electric mobility and market expansion trends</w:t>
      </w:r>
      <w:r w:rsidRPr="00E911BD">
        <w:rPr>
          <w:rFonts w:ascii="Times New Roman" w:eastAsiaTheme="majorEastAsia" w:hAnsi="Times New Roman" w:cs="Times New Roman"/>
          <w:lang w:val="en-IN"/>
        </w:rPr>
        <w:t xml:space="preserve">. International Energy Agency. Available at: </w:t>
      </w:r>
      <w:hyperlink r:id="rId20" w:tgtFrame="_new" w:history="1">
        <w:r w:rsidRPr="00E911BD">
          <w:rPr>
            <w:rStyle w:val="Hyperlink"/>
            <w:rFonts w:ascii="Times New Roman" w:eastAsiaTheme="majorEastAsia" w:hAnsi="Times New Roman" w:cs="Times New Roman"/>
            <w:lang w:val="en-IN"/>
          </w:rPr>
          <w:t>https://www.iea.org/reports/global-ev-outlook-2024</w:t>
        </w:r>
      </w:hyperlink>
      <w:r w:rsidRPr="00E911BD">
        <w:rPr>
          <w:rFonts w:ascii="Times New Roman" w:eastAsiaTheme="majorEastAsia" w:hAnsi="Times New Roman" w:cs="Times New Roman"/>
          <w:lang w:val="en-IN"/>
        </w:rPr>
        <w:t xml:space="preserve"> (Accessed: 19 November 2025).</w:t>
      </w:r>
    </w:p>
    <w:p w14:paraId="18334AAE" w14:textId="77777777" w:rsidR="00E911BD" w:rsidRPr="00E911BD" w:rsidRDefault="00E911BD" w:rsidP="00E911BD">
      <w:pPr>
        <w:spacing w:line="360" w:lineRule="auto"/>
        <w:jc w:val="both"/>
        <w:rPr>
          <w:rFonts w:ascii="Times New Roman" w:eastAsiaTheme="majorEastAsia" w:hAnsi="Times New Roman" w:cs="Times New Roman"/>
          <w:lang w:val="en-IN"/>
        </w:rPr>
      </w:pPr>
      <w:r w:rsidRPr="00E911BD">
        <w:rPr>
          <w:rFonts w:ascii="Times New Roman" w:eastAsiaTheme="majorEastAsia" w:hAnsi="Times New Roman" w:cs="Times New Roman"/>
          <w:lang w:val="en-IN"/>
        </w:rPr>
        <w:t xml:space="preserve">IKEA (2024) </w:t>
      </w:r>
      <w:r w:rsidRPr="00E911BD">
        <w:rPr>
          <w:rFonts w:ascii="Times New Roman" w:eastAsiaTheme="majorEastAsia" w:hAnsi="Times New Roman" w:cs="Times New Roman"/>
          <w:i/>
          <w:iCs/>
          <w:lang w:val="en-IN"/>
        </w:rPr>
        <w:t>IKEA Sustainability Report 2023</w:t>
      </w:r>
      <w:r w:rsidRPr="00E911BD">
        <w:rPr>
          <w:rFonts w:ascii="Times New Roman" w:eastAsiaTheme="majorEastAsia" w:hAnsi="Times New Roman" w:cs="Times New Roman"/>
          <w:lang w:val="en-IN"/>
        </w:rPr>
        <w:t>. Available at: https://about.ikea.com/ (Accessed on: 19 November 2025).</w:t>
      </w:r>
    </w:p>
    <w:p w14:paraId="02C4A851" w14:textId="77777777" w:rsidR="00000000" w:rsidRPr="00E911BD" w:rsidRDefault="00E26002" w:rsidP="00E911BD">
      <w:pPr>
        <w:spacing w:line="360" w:lineRule="auto"/>
        <w:jc w:val="both"/>
        <w:rPr>
          <w:rFonts w:ascii="Times New Roman" w:eastAsiaTheme="majorEastAsia" w:hAnsi="Times New Roman" w:cs="Times New Roman"/>
          <w:lang w:val="en-IN"/>
        </w:rPr>
      </w:pPr>
      <w:r w:rsidRPr="00E911BD">
        <w:rPr>
          <w:rFonts w:ascii="Times New Roman" w:eastAsiaTheme="majorEastAsia" w:hAnsi="Times New Roman" w:cs="Times New Roman"/>
          <w:lang w:val="en-IN"/>
        </w:rPr>
        <w:t xml:space="preserve">Johnson, L. (2023) </w:t>
      </w:r>
      <w:r w:rsidRPr="00E911BD">
        <w:rPr>
          <w:rFonts w:ascii="Times New Roman" w:eastAsiaTheme="majorEastAsia" w:hAnsi="Times New Roman" w:cs="Times New Roman"/>
          <w:i/>
          <w:iCs/>
          <w:lang w:val="en-IN"/>
        </w:rPr>
        <w:t>AI personalisation and consumer behaviour in online retail</w:t>
      </w:r>
      <w:r w:rsidRPr="00E911BD">
        <w:rPr>
          <w:rFonts w:ascii="Times New Roman" w:eastAsiaTheme="majorEastAsia" w:hAnsi="Times New Roman" w:cs="Times New Roman"/>
          <w:lang w:val="en-IN"/>
        </w:rPr>
        <w:t xml:space="preserve">. E-Commerce Insights Journal. Available at: </w:t>
      </w:r>
      <w:hyperlink r:id="rId21" w:history="1">
        <w:r w:rsidRPr="00E911BD">
          <w:rPr>
            <w:rStyle w:val="Hyperlink"/>
            <w:rFonts w:ascii="Times New Roman" w:eastAsiaTheme="majorEastAsia" w:hAnsi="Times New Roman" w:cs="Times New Roman"/>
            <w:lang w:val="en-IN"/>
          </w:rPr>
          <w:t>https://wifitalents.com/ai-in-the-e-commerce-industry-statistics/</w:t>
        </w:r>
      </w:hyperlink>
      <w:r w:rsidRPr="00E911BD">
        <w:rPr>
          <w:rFonts w:ascii="Times New Roman" w:eastAsiaTheme="majorEastAsia" w:hAnsi="Times New Roman" w:cs="Times New Roman"/>
          <w:lang w:val="en-IN"/>
        </w:rPr>
        <w:t xml:space="preserve"> (Accessed: 19 November 2025).</w:t>
      </w:r>
    </w:p>
    <w:p w14:paraId="4D79DA41" w14:textId="77777777" w:rsidR="00000000" w:rsidRPr="00E911BD" w:rsidRDefault="00E26002" w:rsidP="00E911BD">
      <w:pPr>
        <w:spacing w:line="360" w:lineRule="auto"/>
        <w:jc w:val="both"/>
        <w:rPr>
          <w:rFonts w:ascii="Times New Roman" w:eastAsiaTheme="majorEastAsia" w:hAnsi="Times New Roman" w:cs="Times New Roman"/>
          <w:lang w:val="en-IN"/>
        </w:rPr>
      </w:pPr>
      <w:r w:rsidRPr="00E911BD">
        <w:rPr>
          <w:rFonts w:ascii="Times New Roman" w:eastAsiaTheme="majorEastAsia" w:hAnsi="Times New Roman" w:cs="Times New Roman"/>
          <w:lang w:val="en-IN"/>
        </w:rPr>
        <w:t xml:space="preserve">Johnson, L. (2023) </w:t>
      </w:r>
      <w:r w:rsidRPr="00E911BD">
        <w:rPr>
          <w:rFonts w:ascii="Times New Roman" w:eastAsiaTheme="majorEastAsia" w:hAnsi="Times New Roman" w:cs="Times New Roman"/>
          <w:i/>
          <w:iCs/>
          <w:lang w:val="en-IN"/>
        </w:rPr>
        <w:t>AI personalisation trends in global e-commerce</w:t>
      </w:r>
      <w:r w:rsidRPr="00E911BD">
        <w:rPr>
          <w:rFonts w:ascii="Times New Roman" w:eastAsiaTheme="majorEastAsia" w:hAnsi="Times New Roman" w:cs="Times New Roman"/>
          <w:lang w:val="en-IN"/>
        </w:rPr>
        <w:t xml:space="preserve">. E-Commerce Insights Journal. Available at: </w:t>
      </w:r>
      <w:hyperlink r:id="rId22" w:history="1">
        <w:r w:rsidRPr="00E911BD">
          <w:rPr>
            <w:rStyle w:val="Hyperlink"/>
            <w:rFonts w:ascii="Times New Roman" w:eastAsiaTheme="majorEastAsia" w:hAnsi="Times New Roman" w:cs="Times New Roman"/>
            <w:lang w:val="en-IN"/>
          </w:rPr>
          <w:t>https://wifitalents.com/ai-in-the-e-commerce-industry-statistics</w:t>
        </w:r>
      </w:hyperlink>
      <w:r w:rsidRPr="00E911BD">
        <w:rPr>
          <w:rFonts w:ascii="Times New Roman" w:eastAsiaTheme="majorEastAsia" w:hAnsi="Times New Roman" w:cs="Times New Roman"/>
          <w:lang w:val="en-IN"/>
        </w:rPr>
        <w:t xml:space="preserve"> (Accessed: 19 November 2025).</w:t>
      </w:r>
    </w:p>
    <w:p w14:paraId="56B6DD9C" w14:textId="77777777" w:rsidR="00E911BD" w:rsidRPr="00E911BD" w:rsidRDefault="00E911BD" w:rsidP="00E911BD">
      <w:pPr>
        <w:spacing w:line="360" w:lineRule="auto"/>
        <w:jc w:val="both"/>
        <w:rPr>
          <w:rFonts w:ascii="Times New Roman" w:eastAsiaTheme="majorEastAsia" w:hAnsi="Times New Roman" w:cs="Times New Roman"/>
          <w:lang w:val="en-IN"/>
        </w:rPr>
      </w:pPr>
      <w:r w:rsidRPr="00E911BD">
        <w:rPr>
          <w:rFonts w:ascii="Times New Roman" w:eastAsiaTheme="majorEastAsia" w:hAnsi="Times New Roman" w:cs="Times New Roman"/>
          <w:lang w:val="en-IN"/>
        </w:rPr>
        <w:t xml:space="preserve">Johnson, M. (2023) ‘Follower strategies in competitive markets’, </w:t>
      </w:r>
      <w:r w:rsidRPr="00E911BD">
        <w:rPr>
          <w:rFonts w:ascii="Times New Roman" w:eastAsiaTheme="majorEastAsia" w:hAnsi="Times New Roman" w:cs="Times New Roman"/>
          <w:i/>
          <w:iCs/>
          <w:lang w:val="en-IN"/>
        </w:rPr>
        <w:t>Strategic Management Quarterly</w:t>
      </w:r>
      <w:r w:rsidRPr="00E911BD">
        <w:rPr>
          <w:rFonts w:ascii="Times New Roman" w:eastAsiaTheme="majorEastAsia" w:hAnsi="Times New Roman" w:cs="Times New Roman"/>
          <w:lang w:val="en-IN"/>
        </w:rPr>
        <w:t>, 12(1), pp. 22–38.</w:t>
      </w:r>
    </w:p>
    <w:p w14:paraId="40608D07" w14:textId="77777777" w:rsidR="00E911BD" w:rsidRPr="00E911BD" w:rsidRDefault="00E911BD" w:rsidP="00E911BD">
      <w:pPr>
        <w:spacing w:line="360" w:lineRule="auto"/>
        <w:jc w:val="both"/>
        <w:rPr>
          <w:rFonts w:ascii="Times New Roman" w:eastAsiaTheme="majorEastAsia" w:hAnsi="Times New Roman" w:cs="Times New Roman"/>
          <w:lang w:val="en-IN"/>
        </w:rPr>
      </w:pPr>
      <w:r w:rsidRPr="00E911BD">
        <w:rPr>
          <w:rFonts w:ascii="Times New Roman" w:eastAsiaTheme="majorEastAsia" w:hAnsi="Times New Roman" w:cs="Times New Roman"/>
          <w:lang w:val="en-IN"/>
        </w:rPr>
        <w:t xml:space="preserve">Kotler, P. and Keller, K. (2020) </w:t>
      </w:r>
      <w:r w:rsidRPr="00E911BD">
        <w:rPr>
          <w:rFonts w:ascii="Times New Roman" w:eastAsiaTheme="majorEastAsia" w:hAnsi="Times New Roman" w:cs="Times New Roman"/>
          <w:i/>
          <w:iCs/>
          <w:lang w:val="en-IN"/>
        </w:rPr>
        <w:t>Marketing Management</w:t>
      </w:r>
      <w:r w:rsidRPr="00E911BD">
        <w:rPr>
          <w:rFonts w:ascii="Times New Roman" w:eastAsiaTheme="majorEastAsia" w:hAnsi="Times New Roman" w:cs="Times New Roman"/>
          <w:lang w:val="en-IN"/>
        </w:rPr>
        <w:t xml:space="preserve">. 16th </w:t>
      </w:r>
      <w:proofErr w:type="spellStart"/>
      <w:r w:rsidRPr="00E911BD">
        <w:rPr>
          <w:rFonts w:ascii="Times New Roman" w:eastAsiaTheme="majorEastAsia" w:hAnsi="Times New Roman" w:cs="Times New Roman"/>
          <w:lang w:val="en-IN"/>
        </w:rPr>
        <w:t>edn</w:t>
      </w:r>
      <w:proofErr w:type="spellEnd"/>
      <w:r w:rsidRPr="00E911BD">
        <w:rPr>
          <w:rFonts w:ascii="Times New Roman" w:eastAsiaTheme="majorEastAsia" w:hAnsi="Times New Roman" w:cs="Times New Roman"/>
          <w:lang w:val="en-IN"/>
        </w:rPr>
        <w:t>. London: Pearson.</w:t>
      </w:r>
    </w:p>
    <w:p w14:paraId="530F19D6" w14:textId="77777777" w:rsidR="00000000" w:rsidRPr="00E911BD" w:rsidRDefault="00E26002" w:rsidP="00E911BD">
      <w:pPr>
        <w:spacing w:line="360" w:lineRule="auto"/>
        <w:jc w:val="both"/>
        <w:rPr>
          <w:rFonts w:ascii="Times New Roman" w:eastAsiaTheme="majorEastAsia" w:hAnsi="Times New Roman" w:cs="Times New Roman"/>
          <w:lang w:val="en-IN"/>
        </w:rPr>
      </w:pPr>
      <w:r w:rsidRPr="00E911BD">
        <w:rPr>
          <w:rFonts w:ascii="Times New Roman" w:eastAsiaTheme="majorEastAsia" w:hAnsi="Times New Roman" w:cs="Times New Roman"/>
          <w:lang w:val="en-IN"/>
        </w:rPr>
        <w:t xml:space="preserve">Market Research Group (2024) </w:t>
      </w:r>
      <w:r w:rsidRPr="00E911BD">
        <w:rPr>
          <w:rFonts w:ascii="Times New Roman" w:eastAsiaTheme="majorEastAsia" w:hAnsi="Times New Roman" w:cs="Times New Roman"/>
          <w:i/>
          <w:iCs/>
          <w:lang w:val="en-IN"/>
        </w:rPr>
        <w:t>Artificial Intelligence in Retail: Global Market Forecast 2024–2030</w:t>
      </w:r>
      <w:r w:rsidRPr="00E911BD">
        <w:rPr>
          <w:rFonts w:ascii="Times New Roman" w:eastAsiaTheme="majorEastAsia" w:hAnsi="Times New Roman" w:cs="Times New Roman"/>
          <w:lang w:val="en-IN"/>
        </w:rPr>
        <w:t xml:space="preserve">. MarketResearch.com. Available at: </w:t>
      </w:r>
      <w:hyperlink r:id="rId23" w:history="1">
        <w:r w:rsidRPr="00E911BD">
          <w:rPr>
            <w:rStyle w:val="Hyperlink"/>
            <w:rFonts w:ascii="Times New Roman" w:eastAsiaTheme="majorEastAsia" w:hAnsi="Times New Roman" w:cs="Times New Roman"/>
            <w:lang w:val="en-IN"/>
          </w:rPr>
          <w:t>https://www.marketresearch.com/Global-Industry-Analysts-v1039/Artificial-Intelligence-AI-Retail-41342482</w:t>
        </w:r>
      </w:hyperlink>
      <w:r w:rsidRPr="00E911BD">
        <w:rPr>
          <w:rFonts w:ascii="Times New Roman" w:eastAsiaTheme="majorEastAsia" w:hAnsi="Times New Roman" w:cs="Times New Roman"/>
          <w:lang w:val="en-IN"/>
        </w:rPr>
        <w:t xml:space="preserve"> (Accessed: 19 November 2025).</w:t>
      </w:r>
    </w:p>
    <w:p w14:paraId="055F0DD9" w14:textId="77777777" w:rsidR="00000000" w:rsidRPr="00E911BD" w:rsidRDefault="00E26002" w:rsidP="00E911BD">
      <w:pPr>
        <w:spacing w:line="360" w:lineRule="auto"/>
        <w:jc w:val="both"/>
        <w:rPr>
          <w:rFonts w:ascii="Times New Roman" w:eastAsiaTheme="majorEastAsia" w:hAnsi="Times New Roman" w:cs="Times New Roman"/>
          <w:lang w:val="en-IN"/>
        </w:rPr>
      </w:pPr>
      <w:r w:rsidRPr="00E911BD">
        <w:rPr>
          <w:rFonts w:ascii="Times New Roman" w:eastAsiaTheme="majorEastAsia" w:hAnsi="Times New Roman" w:cs="Times New Roman"/>
          <w:lang w:val="en-IN"/>
        </w:rPr>
        <w:t xml:space="preserve">Marketing91 (2025) </w:t>
      </w:r>
      <w:r w:rsidRPr="00E911BD">
        <w:rPr>
          <w:rFonts w:ascii="Times New Roman" w:eastAsiaTheme="majorEastAsia" w:hAnsi="Times New Roman" w:cs="Times New Roman"/>
          <w:i/>
          <w:iCs/>
          <w:lang w:val="en-IN"/>
        </w:rPr>
        <w:t>What is a Macro Environment? Definition, Factors, &amp; Examples</w:t>
      </w:r>
      <w:r w:rsidRPr="00E911BD">
        <w:rPr>
          <w:rFonts w:ascii="Times New Roman" w:eastAsiaTheme="majorEastAsia" w:hAnsi="Times New Roman" w:cs="Times New Roman"/>
          <w:lang w:val="en-IN"/>
        </w:rPr>
        <w:t xml:space="preserve">. Available at: </w:t>
      </w:r>
      <w:hyperlink r:id="rId24" w:tgtFrame="_new" w:history="1">
        <w:r w:rsidRPr="00E911BD">
          <w:rPr>
            <w:rStyle w:val="Hyperlink"/>
            <w:rFonts w:ascii="Times New Roman" w:eastAsiaTheme="majorEastAsia" w:hAnsi="Times New Roman" w:cs="Times New Roman"/>
            <w:lang w:val="en-IN"/>
          </w:rPr>
          <w:t>https://www.marketing91.com/what-is-macro-environment/</w:t>
        </w:r>
      </w:hyperlink>
      <w:r w:rsidRPr="00E911BD">
        <w:rPr>
          <w:rFonts w:ascii="Times New Roman" w:eastAsiaTheme="majorEastAsia" w:hAnsi="Times New Roman" w:cs="Times New Roman"/>
          <w:lang w:val="en-IN"/>
        </w:rPr>
        <w:t xml:space="preserve"> (Accessed on: 19 November 2025)</w:t>
      </w:r>
    </w:p>
    <w:p w14:paraId="2AA2EEE9" w14:textId="77777777" w:rsidR="00E911BD" w:rsidRPr="00E911BD" w:rsidRDefault="00E911BD" w:rsidP="00E911BD">
      <w:pPr>
        <w:spacing w:line="360" w:lineRule="auto"/>
        <w:jc w:val="both"/>
        <w:rPr>
          <w:rFonts w:ascii="Times New Roman" w:eastAsiaTheme="majorEastAsia" w:hAnsi="Times New Roman" w:cs="Times New Roman"/>
          <w:lang w:val="en-IN"/>
        </w:rPr>
      </w:pPr>
      <w:r w:rsidRPr="00E911BD">
        <w:rPr>
          <w:rFonts w:ascii="Times New Roman" w:eastAsiaTheme="majorEastAsia" w:hAnsi="Times New Roman" w:cs="Times New Roman"/>
          <w:lang w:val="en-IN"/>
        </w:rPr>
        <w:t xml:space="preserve">PwC (2023) </w:t>
      </w:r>
      <w:r w:rsidRPr="00E911BD">
        <w:rPr>
          <w:rFonts w:ascii="Times New Roman" w:eastAsiaTheme="majorEastAsia" w:hAnsi="Times New Roman" w:cs="Times New Roman"/>
          <w:i/>
          <w:iCs/>
          <w:lang w:val="en-IN"/>
        </w:rPr>
        <w:t>Global Entertainment &amp; Media Outlook 2023–2027: Streaming industry trends</w:t>
      </w:r>
      <w:r w:rsidRPr="00E911BD">
        <w:rPr>
          <w:rFonts w:ascii="Times New Roman" w:eastAsiaTheme="majorEastAsia" w:hAnsi="Times New Roman" w:cs="Times New Roman"/>
          <w:lang w:val="en-IN"/>
        </w:rPr>
        <w:t>. PwC Insights. Available at: https://www.pwc.com/gx/en/industries/entertainment-media (Accessed: 19 November 2025).</w:t>
      </w:r>
    </w:p>
    <w:p w14:paraId="47B43982" w14:textId="77777777" w:rsidR="00000000" w:rsidRPr="00E911BD" w:rsidRDefault="00E26002" w:rsidP="00E911BD">
      <w:pPr>
        <w:spacing w:line="360" w:lineRule="auto"/>
        <w:jc w:val="both"/>
        <w:rPr>
          <w:rFonts w:ascii="Times New Roman" w:eastAsiaTheme="majorEastAsia" w:hAnsi="Times New Roman" w:cs="Times New Roman"/>
          <w:lang w:val="en-IN"/>
        </w:rPr>
      </w:pPr>
      <w:proofErr w:type="spellStart"/>
      <w:r w:rsidRPr="00E911BD">
        <w:rPr>
          <w:rFonts w:ascii="Times New Roman" w:eastAsiaTheme="majorEastAsia" w:hAnsi="Times New Roman" w:cs="Times New Roman"/>
          <w:lang w:val="en-IN"/>
        </w:rPr>
        <w:t>Quantive</w:t>
      </w:r>
      <w:proofErr w:type="spellEnd"/>
      <w:r w:rsidRPr="00E911BD">
        <w:rPr>
          <w:rFonts w:ascii="Times New Roman" w:eastAsiaTheme="majorEastAsia" w:hAnsi="Times New Roman" w:cs="Times New Roman"/>
          <w:lang w:val="en-IN"/>
        </w:rPr>
        <w:t xml:space="preserve"> (2024) </w:t>
      </w:r>
      <w:r w:rsidRPr="00E911BD">
        <w:rPr>
          <w:rFonts w:ascii="Times New Roman" w:eastAsiaTheme="majorEastAsia" w:hAnsi="Times New Roman" w:cs="Times New Roman"/>
          <w:i/>
          <w:iCs/>
          <w:lang w:val="en-IN"/>
        </w:rPr>
        <w:t>The Ansoff Matrix: A Strategic Framework for Business Growth</w:t>
      </w:r>
      <w:r w:rsidRPr="00E911BD">
        <w:rPr>
          <w:rFonts w:ascii="Times New Roman" w:eastAsiaTheme="majorEastAsia" w:hAnsi="Times New Roman" w:cs="Times New Roman"/>
          <w:lang w:val="en-IN"/>
        </w:rPr>
        <w:t xml:space="preserve">. Available at: </w:t>
      </w:r>
      <w:hyperlink r:id="rId25" w:tgtFrame="_new" w:history="1">
        <w:r w:rsidRPr="00E911BD">
          <w:rPr>
            <w:rStyle w:val="Hyperlink"/>
            <w:rFonts w:ascii="Times New Roman" w:eastAsiaTheme="majorEastAsia" w:hAnsi="Times New Roman" w:cs="Times New Roman"/>
            <w:lang w:val="en-IN"/>
          </w:rPr>
          <w:t>https://quantive.com/resources/articles/ansoff-matrix</w:t>
        </w:r>
      </w:hyperlink>
      <w:r w:rsidRPr="00E911BD">
        <w:rPr>
          <w:rFonts w:ascii="Times New Roman" w:eastAsiaTheme="majorEastAsia" w:hAnsi="Times New Roman" w:cs="Times New Roman"/>
          <w:lang w:val="en-IN"/>
        </w:rPr>
        <w:t xml:space="preserve"> (Accessed on: 19 November 2025)</w:t>
      </w:r>
    </w:p>
    <w:p w14:paraId="680F1A66" w14:textId="77777777" w:rsidR="00E911BD" w:rsidRPr="00E911BD" w:rsidRDefault="00E911BD" w:rsidP="00E911BD">
      <w:pPr>
        <w:spacing w:line="360" w:lineRule="auto"/>
        <w:jc w:val="both"/>
        <w:rPr>
          <w:rFonts w:ascii="Times New Roman" w:eastAsiaTheme="majorEastAsia" w:hAnsi="Times New Roman" w:cs="Times New Roman"/>
          <w:lang w:val="en-IN"/>
        </w:rPr>
      </w:pPr>
      <w:r w:rsidRPr="00E911BD">
        <w:rPr>
          <w:rFonts w:ascii="Times New Roman" w:eastAsiaTheme="majorEastAsia" w:hAnsi="Times New Roman" w:cs="Times New Roman"/>
          <w:lang w:val="en-IN"/>
        </w:rPr>
        <w:t xml:space="preserve">Smith, R. (2023) ‘Market dynamics and strategic positioning among fast followers’, </w:t>
      </w:r>
      <w:r w:rsidRPr="00E911BD">
        <w:rPr>
          <w:rFonts w:ascii="Times New Roman" w:eastAsiaTheme="majorEastAsia" w:hAnsi="Times New Roman" w:cs="Times New Roman"/>
          <w:i/>
          <w:iCs/>
          <w:lang w:val="en-IN"/>
        </w:rPr>
        <w:t>Harvard Business Review</w:t>
      </w:r>
      <w:r w:rsidRPr="00E911BD">
        <w:rPr>
          <w:rFonts w:ascii="Times New Roman" w:eastAsiaTheme="majorEastAsia" w:hAnsi="Times New Roman" w:cs="Times New Roman"/>
          <w:lang w:val="en-IN"/>
        </w:rPr>
        <w:t>, 101(4), pp. 90–98.</w:t>
      </w:r>
    </w:p>
    <w:p w14:paraId="2674A3A8" w14:textId="77777777" w:rsidR="00000000" w:rsidRPr="00E911BD" w:rsidRDefault="00E26002" w:rsidP="00E911BD">
      <w:pPr>
        <w:spacing w:line="360" w:lineRule="auto"/>
        <w:jc w:val="both"/>
        <w:rPr>
          <w:rFonts w:ascii="Times New Roman" w:eastAsiaTheme="majorEastAsia" w:hAnsi="Times New Roman" w:cs="Times New Roman"/>
          <w:lang w:val="en-IN"/>
        </w:rPr>
      </w:pPr>
      <w:r w:rsidRPr="00E911BD">
        <w:rPr>
          <w:rFonts w:ascii="Times New Roman" w:eastAsiaTheme="majorEastAsia" w:hAnsi="Times New Roman" w:cs="Times New Roman"/>
          <w:lang w:val="en-IN"/>
        </w:rPr>
        <w:t xml:space="preserve">Smith, R. (2024) </w:t>
      </w:r>
      <w:r w:rsidRPr="00E911BD">
        <w:rPr>
          <w:rFonts w:ascii="Times New Roman" w:eastAsiaTheme="majorEastAsia" w:hAnsi="Times New Roman" w:cs="Times New Roman"/>
          <w:i/>
          <w:iCs/>
          <w:lang w:val="en-IN"/>
        </w:rPr>
        <w:t>AI adoption and digital transformation in online retail</w:t>
      </w:r>
      <w:r w:rsidRPr="00E911BD">
        <w:rPr>
          <w:rFonts w:ascii="Times New Roman" w:eastAsiaTheme="majorEastAsia" w:hAnsi="Times New Roman" w:cs="Times New Roman"/>
          <w:lang w:val="en-IN"/>
        </w:rPr>
        <w:t xml:space="preserve">. Digital Commerce Review. Available at: </w:t>
      </w:r>
      <w:hyperlink r:id="rId26" w:history="1">
        <w:r w:rsidRPr="00E911BD">
          <w:rPr>
            <w:rStyle w:val="Hyperlink"/>
            <w:rFonts w:ascii="Times New Roman" w:eastAsiaTheme="majorEastAsia" w:hAnsi="Times New Roman" w:cs="Times New Roman"/>
            <w:lang w:val="en-IN"/>
          </w:rPr>
          <w:t>https://wifitalents.com/ai-in-the-e-commerce-industry-statistics</w:t>
        </w:r>
      </w:hyperlink>
      <w:r w:rsidRPr="00E911BD">
        <w:rPr>
          <w:rFonts w:ascii="Times New Roman" w:eastAsiaTheme="majorEastAsia" w:hAnsi="Times New Roman" w:cs="Times New Roman"/>
          <w:lang w:val="en-IN"/>
        </w:rPr>
        <w:t xml:space="preserve"> (Accessed: 19 November 2025).</w:t>
      </w:r>
    </w:p>
    <w:p w14:paraId="63B72D62" w14:textId="77777777" w:rsidR="00E911BD" w:rsidRPr="00E911BD" w:rsidRDefault="00E911BD" w:rsidP="00E911BD">
      <w:pPr>
        <w:spacing w:line="360" w:lineRule="auto"/>
        <w:jc w:val="both"/>
        <w:rPr>
          <w:rFonts w:ascii="Times New Roman" w:eastAsiaTheme="majorEastAsia" w:hAnsi="Times New Roman" w:cs="Times New Roman"/>
          <w:lang w:val="en-IN"/>
        </w:rPr>
      </w:pPr>
      <w:r w:rsidRPr="00E911BD">
        <w:rPr>
          <w:rFonts w:ascii="Times New Roman" w:eastAsiaTheme="majorEastAsia" w:hAnsi="Times New Roman" w:cs="Times New Roman"/>
          <w:lang w:val="en-IN"/>
        </w:rPr>
        <w:lastRenderedPageBreak/>
        <w:t xml:space="preserve">Statista (2024a) </w:t>
      </w:r>
      <w:r w:rsidRPr="00E911BD">
        <w:rPr>
          <w:rFonts w:ascii="Times New Roman" w:eastAsiaTheme="majorEastAsia" w:hAnsi="Times New Roman" w:cs="Times New Roman"/>
          <w:i/>
          <w:iCs/>
          <w:lang w:val="en-IN"/>
        </w:rPr>
        <w:t>Apple: Global revenue and brand premium strategy statistics</w:t>
      </w:r>
      <w:r w:rsidRPr="00E911BD">
        <w:rPr>
          <w:rFonts w:ascii="Times New Roman" w:eastAsiaTheme="majorEastAsia" w:hAnsi="Times New Roman" w:cs="Times New Roman"/>
          <w:lang w:val="en-IN"/>
        </w:rPr>
        <w:t xml:space="preserve">. Statista Market Insights. Available at: </w:t>
      </w:r>
      <w:hyperlink r:id="rId27" w:tgtFrame="_new" w:history="1">
        <w:r w:rsidRPr="00E911BD">
          <w:rPr>
            <w:rStyle w:val="Hyperlink"/>
            <w:rFonts w:ascii="Times New Roman" w:eastAsiaTheme="majorEastAsia" w:hAnsi="Times New Roman" w:cs="Times New Roman"/>
            <w:lang w:val="en-IN"/>
          </w:rPr>
          <w:t>https://www.statista.com/topics/847/apple</w:t>
        </w:r>
      </w:hyperlink>
      <w:r w:rsidRPr="00E911BD">
        <w:rPr>
          <w:rFonts w:ascii="Times New Roman" w:eastAsiaTheme="majorEastAsia" w:hAnsi="Times New Roman" w:cs="Times New Roman"/>
          <w:lang w:val="en-IN"/>
        </w:rPr>
        <w:t xml:space="preserve"> (Accessed: 19 November 2025).</w:t>
      </w:r>
    </w:p>
    <w:p w14:paraId="05550224" w14:textId="77777777" w:rsidR="00E911BD" w:rsidRPr="00E911BD" w:rsidRDefault="00E911BD" w:rsidP="00E911BD">
      <w:pPr>
        <w:spacing w:line="360" w:lineRule="auto"/>
        <w:jc w:val="both"/>
        <w:rPr>
          <w:rFonts w:ascii="Times New Roman" w:eastAsiaTheme="majorEastAsia" w:hAnsi="Times New Roman" w:cs="Times New Roman"/>
          <w:lang w:val="en-IN"/>
        </w:rPr>
      </w:pPr>
      <w:r w:rsidRPr="00E911BD">
        <w:rPr>
          <w:rFonts w:ascii="Times New Roman" w:eastAsiaTheme="majorEastAsia" w:hAnsi="Times New Roman" w:cs="Times New Roman"/>
          <w:lang w:val="en-IN"/>
        </w:rPr>
        <w:t xml:space="preserve">Statista (2024b) </w:t>
      </w:r>
      <w:r w:rsidRPr="00E911BD">
        <w:rPr>
          <w:rFonts w:ascii="Times New Roman" w:eastAsiaTheme="majorEastAsia" w:hAnsi="Times New Roman" w:cs="Times New Roman"/>
          <w:i/>
          <w:iCs/>
          <w:lang w:val="en-IN"/>
        </w:rPr>
        <w:t>Global e-commerce market share of major retailers</w:t>
      </w:r>
      <w:r w:rsidRPr="00E911BD">
        <w:rPr>
          <w:rFonts w:ascii="Times New Roman" w:eastAsiaTheme="majorEastAsia" w:hAnsi="Times New Roman" w:cs="Times New Roman"/>
          <w:lang w:val="en-IN"/>
        </w:rPr>
        <w:t xml:space="preserve">. Available at: </w:t>
      </w:r>
      <w:hyperlink r:id="rId28" w:tgtFrame="_new" w:history="1">
        <w:r w:rsidRPr="00E911BD">
          <w:rPr>
            <w:rStyle w:val="Hyperlink"/>
            <w:rFonts w:ascii="Times New Roman" w:eastAsiaTheme="majorEastAsia" w:hAnsi="Times New Roman" w:cs="Times New Roman"/>
            <w:lang w:val="en-IN"/>
          </w:rPr>
          <w:t>https://www.statista.com/</w:t>
        </w:r>
      </w:hyperlink>
      <w:r w:rsidRPr="00E911BD">
        <w:rPr>
          <w:rFonts w:ascii="Times New Roman" w:eastAsiaTheme="majorEastAsia" w:hAnsi="Times New Roman" w:cs="Times New Roman"/>
          <w:lang w:val="en-IN"/>
        </w:rPr>
        <w:t xml:space="preserve"> (Accessed on: 19 November 2025).</w:t>
      </w:r>
    </w:p>
    <w:p w14:paraId="293FC405" w14:textId="77777777" w:rsidR="00000000" w:rsidRPr="00E911BD" w:rsidRDefault="00E26002" w:rsidP="00E911BD">
      <w:pPr>
        <w:spacing w:line="360" w:lineRule="auto"/>
        <w:jc w:val="both"/>
        <w:rPr>
          <w:rFonts w:ascii="Times New Roman" w:eastAsiaTheme="majorEastAsia" w:hAnsi="Times New Roman" w:cs="Times New Roman"/>
          <w:lang w:val="en-IN"/>
        </w:rPr>
      </w:pPr>
      <w:r w:rsidRPr="00E911BD">
        <w:rPr>
          <w:rFonts w:ascii="Times New Roman" w:eastAsiaTheme="majorEastAsia" w:hAnsi="Times New Roman" w:cs="Times New Roman"/>
          <w:lang w:val="en-IN"/>
        </w:rPr>
        <w:t xml:space="preserve">Transport &amp; Environment (2025) </w:t>
      </w:r>
      <w:r w:rsidRPr="00E911BD">
        <w:rPr>
          <w:rFonts w:ascii="Times New Roman" w:eastAsiaTheme="majorEastAsia" w:hAnsi="Times New Roman" w:cs="Times New Roman"/>
          <w:i/>
          <w:iCs/>
          <w:lang w:val="en-IN"/>
        </w:rPr>
        <w:t>Impact of hybrid vehicle policy on UK emissions</w:t>
      </w:r>
      <w:r w:rsidRPr="00E911BD">
        <w:rPr>
          <w:rFonts w:ascii="Times New Roman" w:eastAsiaTheme="majorEastAsia" w:hAnsi="Times New Roman" w:cs="Times New Roman"/>
          <w:lang w:val="en-IN"/>
        </w:rPr>
        <w:t xml:space="preserve">. Transport &amp; Environment Report. Available at: </w:t>
      </w:r>
      <w:hyperlink r:id="rId29" w:history="1">
        <w:r w:rsidRPr="00E911BD">
          <w:rPr>
            <w:rStyle w:val="Hyperlink"/>
            <w:rFonts w:ascii="Times New Roman" w:eastAsiaTheme="majorEastAsia" w:hAnsi="Times New Roman" w:cs="Times New Roman"/>
            <w:lang w:val="en-IN"/>
          </w:rPr>
          <w:t>https://www.theguardian.com/business/2025/may/19/weakening-of-uk-ev-sales-rules-likely-to-result-in-significantly-more-carbon-emissions</w:t>
        </w:r>
      </w:hyperlink>
      <w:r w:rsidRPr="00E911BD">
        <w:rPr>
          <w:rFonts w:ascii="Times New Roman" w:eastAsiaTheme="majorEastAsia" w:hAnsi="Times New Roman" w:cs="Times New Roman"/>
          <w:lang w:val="en-IN"/>
        </w:rPr>
        <w:t xml:space="preserve"> (Accessed: 19 November 2025).</w:t>
      </w:r>
    </w:p>
    <w:p w14:paraId="0E4FBC5A" w14:textId="77777777" w:rsidR="00000000" w:rsidRPr="00E911BD" w:rsidRDefault="00E26002" w:rsidP="00E911BD">
      <w:pPr>
        <w:spacing w:line="360" w:lineRule="auto"/>
        <w:jc w:val="both"/>
        <w:rPr>
          <w:rFonts w:ascii="Times New Roman" w:eastAsiaTheme="majorEastAsia" w:hAnsi="Times New Roman" w:cs="Times New Roman"/>
          <w:lang w:val="en-IN"/>
        </w:rPr>
      </w:pPr>
      <w:r w:rsidRPr="00E911BD">
        <w:rPr>
          <w:rFonts w:ascii="Times New Roman" w:eastAsiaTheme="majorEastAsia" w:hAnsi="Times New Roman" w:cs="Times New Roman"/>
          <w:lang w:val="en-IN"/>
        </w:rPr>
        <w:t xml:space="preserve">Zapier (2023) </w:t>
      </w:r>
      <w:r w:rsidRPr="00E911BD">
        <w:rPr>
          <w:rFonts w:ascii="Times New Roman" w:eastAsiaTheme="majorEastAsia" w:hAnsi="Times New Roman" w:cs="Times New Roman"/>
          <w:i/>
          <w:iCs/>
          <w:lang w:val="en-IN"/>
        </w:rPr>
        <w:t>How AI makes me a better blog writer</w:t>
      </w:r>
      <w:r w:rsidRPr="00E911BD">
        <w:rPr>
          <w:rFonts w:ascii="Times New Roman" w:eastAsiaTheme="majorEastAsia" w:hAnsi="Times New Roman" w:cs="Times New Roman"/>
          <w:lang w:val="en-IN"/>
        </w:rPr>
        <w:t xml:space="preserve">. Available at: </w:t>
      </w:r>
      <w:hyperlink r:id="rId30" w:tgtFrame="_new" w:history="1">
        <w:r w:rsidRPr="00E911BD">
          <w:rPr>
            <w:rStyle w:val="Hyperlink"/>
            <w:rFonts w:ascii="Times New Roman" w:eastAsiaTheme="majorEastAsia" w:hAnsi="Times New Roman" w:cs="Times New Roman"/>
            <w:lang w:val="en-IN"/>
          </w:rPr>
          <w:t>https://zapier.com/blog/ai-for-content-writers/</w:t>
        </w:r>
      </w:hyperlink>
      <w:r w:rsidRPr="00E911BD">
        <w:rPr>
          <w:rFonts w:ascii="Times New Roman" w:eastAsiaTheme="majorEastAsia" w:hAnsi="Times New Roman" w:cs="Times New Roman"/>
          <w:lang w:val="en-IN"/>
        </w:rPr>
        <w:t xml:space="preserve"> (Accessed on: 19 November 2025).</w:t>
      </w:r>
    </w:p>
    <w:p w14:paraId="23F97594" w14:textId="77777777" w:rsidR="00000000" w:rsidRPr="00E911BD" w:rsidRDefault="00E26002" w:rsidP="00E911BD">
      <w:pPr>
        <w:spacing w:line="360" w:lineRule="auto"/>
        <w:jc w:val="both"/>
        <w:rPr>
          <w:rFonts w:ascii="Times New Roman" w:eastAsiaTheme="majorEastAsia" w:hAnsi="Times New Roman" w:cs="Times New Roman"/>
          <w:lang w:val="en-IN"/>
        </w:rPr>
      </w:pPr>
      <w:proofErr w:type="spellStart"/>
      <w:r w:rsidRPr="00E911BD">
        <w:rPr>
          <w:rFonts w:ascii="Times New Roman" w:eastAsiaTheme="majorEastAsia" w:hAnsi="Times New Roman" w:cs="Times New Roman"/>
          <w:lang w:val="en-IN"/>
        </w:rPr>
        <w:t>ZipDo</w:t>
      </w:r>
      <w:proofErr w:type="spellEnd"/>
      <w:r w:rsidRPr="00E911BD">
        <w:rPr>
          <w:rFonts w:ascii="Times New Roman" w:eastAsiaTheme="majorEastAsia" w:hAnsi="Times New Roman" w:cs="Times New Roman"/>
          <w:lang w:val="en-IN"/>
        </w:rPr>
        <w:t xml:space="preserve"> (2025) </w:t>
      </w:r>
      <w:r w:rsidRPr="00E911BD">
        <w:rPr>
          <w:rFonts w:ascii="Times New Roman" w:eastAsiaTheme="majorEastAsia" w:hAnsi="Times New Roman" w:cs="Times New Roman"/>
          <w:i/>
          <w:iCs/>
          <w:lang w:val="en-IN"/>
        </w:rPr>
        <w:t>AI in E-Commerce: Statistics and Market Trends 2025</w:t>
      </w:r>
      <w:r w:rsidRPr="00E911BD">
        <w:rPr>
          <w:rFonts w:ascii="Times New Roman" w:eastAsiaTheme="majorEastAsia" w:hAnsi="Times New Roman" w:cs="Times New Roman"/>
          <w:lang w:val="en-IN"/>
        </w:rPr>
        <w:t xml:space="preserve">. </w:t>
      </w:r>
      <w:proofErr w:type="spellStart"/>
      <w:r w:rsidRPr="00E911BD">
        <w:rPr>
          <w:rFonts w:ascii="Times New Roman" w:eastAsiaTheme="majorEastAsia" w:hAnsi="Times New Roman" w:cs="Times New Roman"/>
          <w:lang w:val="en-IN"/>
        </w:rPr>
        <w:t>ZipDo</w:t>
      </w:r>
      <w:proofErr w:type="spellEnd"/>
      <w:r w:rsidRPr="00E911BD">
        <w:rPr>
          <w:rFonts w:ascii="Times New Roman" w:eastAsiaTheme="majorEastAsia" w:hAnsi="Times New Roman" w:cs="Times New Roman"/>
          <w:lang w:val="en-IN"/>
        </w:rPr>
        <w:t xml:space="preserve"> Research. Available at: </w:t>
      </w:r>
      <w:hyperlink r:id="rId31" w:history="1">
        <w:r w:rsidRPr="00E911BD">
          <w:rPr>
            <w:rStyle w:val="Hyperlink"/>
            <w:rFonts w:ascii="Times New Roman" w:eastAsiaTheme="majorEastAsia" w:hAnsi="Times New Roman" w:cs="Times New Roman"/>
            <w:lang w:val="en-IN"/>
          </w:rPr>
          <w:t>https://zipdo.co/statistics</w:t>
        </w:r>
      </w:hyperlink>
      <w:r w:rsidRPr="00E911BD">
        <w:rPr>
          <w:rFonts w:ascii="Times New Roman" w:eastAsiaTheme="majorEastAsia" w:hAnsi="Times New Roman" w:cs="Times New Roman"/>
          <w:lang w:val="en-IN"/>
        </w:rPr>
        <w:t xml:space="preserve"> (Accessed: 19 November 2025).</w:t>
      </w:r>
    </w:p>
    <w:p w14:paraId="6105903D" w14:textId="211135B6" w:rsidR="00434358" w:rsidRPr="00434358" w:rsidRDefault="00434358" w:rsidP="00434358">
      <w:pPr>
        <w:spacing w:line="360" w:lineRule="auto"/>
        <w:jc w:val="both"/>
        <w:rPr>
          <w:rFonts w:ascii="Times New Roman" w:eastAsiaTheme="majorEastAsia" w:hAnsi="Times New Roman" w:cs="Times New Roman"/>
        </w:rPr>
      </w:pPr>
    </w:p>
    <w:sectPr w:rsidR="00434358" w:rsidRPr="00434358" w:rsidSect="00632881">
      <w:footerReference w:type="default" r:id="rId32"/>
      <w:pgSz w:w="11906" w:h="16838"/>
      <w:pgMar w:top="1440" w:right="1440" w:bottom="1440" w:left="1440" w:header="708" w:footer="0"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32EF00" w14:textId="77777777" w:rsidR="00740CE0" w:rsidRDefault="00740CE0" w:rsidP="00632881">
      <w:r>
        <w:separator/>
      </w:r>
    </w:p>
  </w:endnote>
  <w:endnote w:type="continuationSeparator" w:id="0">
    <w:p w14:paraId="3F64A6F1" w14:textId="77777777" w:rsidR="00740CE0" w:rsidRDefault="00740CE0" w:rsidP="006328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szCs w:val="20"/>
      </w:rPr>
      <w:id w:val="984435083"/>
      <w:docPartObj>
        <w:docPartGallery w:val="Page Numbers (Bottom of Page)"/>
        <w:docPartUnique/>
      </w:docPartObj>
    </w:sdtPr>
    <w:sdtEndPr>
      <w:rPr>
        <w:noProof/>
      </w:rPr>
    </w:sdtEndPr>
    <w:sdtContent>
      <w:p w14:paraId="5A22CD03" w14:textId="551B090D" w:rsidR="00632881" w:rsidRPr="00632881" w:rsidRDefault="00632881">
        <w:pPr>
          <w:pStyle w:val="Footer"/>
          <w:jc w:val="center"/>
          <w:rPr>
            <w:rFonts w:ascii="Times New Roman" w:hAnsi="Times New Roman" w:cs="Times New Roman"/>
            <w:sz w:val="20"/>
            <w:szCs w:val="20"/>
          </w:rPr>
        </w:pPr>
        <w:r w:rsidRPr="00632881">
          <w:rPr>
            <w:rFonts w:ascii="Times New Roman" w:hAnsi="Times New Roman" w:cs="Times New Roman"/>
            <w:sz w:val="20"/>
            <w:szCs w:val="20"/>
          </w:rPr>
          <w:fldChar w:fldCharType="begin"/>
        </w:r>
        <w:r w:rsidRPr="00632881">
          <w:rPr>
            <w:rFonts w:ascii="Times New Roman" w:hAnsi="Times New Roman" w:cs="Times New Roman"/>
            <w:sz w:val="20"/>
            <w:szCs w:val="20"/>
          </w:rPr>
          <w:instrText xml:space="preserve"> PAGE   \* MERGEFORMAT </w:instrText>
        </w:r>
        <w:r w:rsidRPr="00632881">
          <w:rPr>
            <w:rFonts w:ascii="Times New Roman" w:hAnsi="Times New Roman" w:cs="Times New Roman"/>
            <w:sz w:val="20"/>
            <w:szCs w:val="20"/>
          </w:rPr>
          <w:fldChar w:fldCharType="separate"/>
        </w:r>
        <w:r w:rsidR="000E143F">
          <w:rPr>
            <w:rFonts w:ascii="Times New Roman" w:hAnsi="Times New Roman" w:cs="Times New Roman"/>
            <w:noProof/>
            <w:sz w:val="20"/>
            <w:szCs w:val="20"/>
          </w:rPr>
          <w:t>1</w:t>
        </w:r>
        <w:r w:rsidRPr="00632881">
          <w:rPr>
            <w:rFonts w:ascii="Times New Roman" w:hAnsi="Times New Roman" w:cs="Times New Roman"/>
            <w:noProof/>
            <w:sz w:val="20"/>
            <w:szCs w:val="20"/>
          </w:rPr>
          <w:fldChar w:fldCharType="end"/>
        </w:r>
      </w:p>
    </w:sdtContent>
  </w:sdt>
  <w:p w14:paraId="3A61F09D" w14:textId="77777777" w:rsidR="00632881" w:rsidRPr="00632881" w:rsidRDefault="00632881">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A70EC4" w14:textId="77777777" w:rsidR="00740CE0" w:rsidRDefault="00740CE0" w:rsidP="00632881">
      <w:r>
        <w:separator/>
      </w:r>
    </w:p>
  </w:footnote>
  <w:footnote w:type="continuationSeparator" w:id="0">
    <w:p w14:paraId="6AEE9D9F" w14:textId="77777777" w:rsidR="00740CE0" w:rsidRDefault="00740CE0" w:rsidP="006328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A07CC9"/>
    <w:multiLevelType w:val="multilevel"/>
    <w:tmpl w:val="F55EB3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552F55"/>
    <w:multiLevelType w:val="multilevel"/>
    <w:tmpl w:val="141CE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F63DDB"/>
    <w:multiLevelType w:val="multilevel"/>
    <w:tmpl w:val="68748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1478A6"/>
    <w:multiLevelType w:val="multilevel"/>
    <w:tmpl w:val="B3B47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C07DC7"/>
    <w:multiLevelType w:val="multilevel"/>
    <w:tmpl w:val="1046BF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EE6B52"/>
    <w:multiLevelType w:val="multilevel"/>
    <w:tmpl w:val="D5B2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810ACD"/>
    <w:multiLevelType w:val="multilevel"/>
    <w:tmpl w:val="FAB47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791B14"/>
    <w:multiLevelType w:val="multilevel"/>
    <w:tmpl w:val="E376D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6044CE"/>
    <w:multiLevelType w:val="multilevel"/>
    <w:tmpl w:val="B622C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123CB0"/>
    <w:multiLevelType w:val="multilevel"/>
    <w:tmpl w:val="D292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8666669">
    <w:abstractNumId w:val="7"/>
  </w:num>
  <w:num w:numId="2" w16cid:durableId="2021621510">
    <w:abstractNumId w:val="11"/>
  </w:num>
  <w:num w:numId="3" w16cid:durableId="62879527">
    <w:abstractNumId w:val="22"/>
  </w:num>
  <w:num w:numId="4" w16cid:durableId="209852278">
    <w:abstractNumId w:val="23"/>
  </w:num>
  <w:num w:numId="5" w16cid:durableId="1753548589">
    <w:abstractNumId w:val="24"/>
  </w:num>
  <w:num w:numId="6" w16cid:durableId="1672635456">
    <w:abstractNumId w:val="13"/>
  </w:num>
  <w:num w:numId="7" w16cid:durableId="306671915">
    <w:abstractNumId w:val="0"/>
  </w:num>
  <w:num w:numId="8" w16cid:durableId="1182740933">
    <w:abstractNumId w:val="17"/>
  </w:num>
  <w:num w:numId="9" w16cid:durableId="1151992409">
    <w:abstractNumId w:val="26"/>
  </w:num>
  <w:num w:numId="10" w16cid:durableId="1851337318">
    <w:abstractNumId w:val="25"/>
  </w:num>
  <w:num w:numId="11" w16cid:durableId="173809557">
    <w:abstractNumId w:val="3"/>
  </w:num>
  <w:num w:numId="12" w16cid:durableId="38939037">
    <w:abstractNumId w:val="19"/>
  </w:num>
  <w:num w:numId="13" w16cid:durableId="751581334">
    <w:abstractNumId w:val="18"/>
  </w:num>
  <w:num w:numId="14" w16cid:durableId="1537618094">
    <w:abstractNumId w:val="1"/>
  </w:num>
  <w:num w:numId="15" w16cid:durableId="144276294">
    <w:abstractNumId w:val="27"/>
  </w:num>
  <w:num w:numId="16" w16cid:durableId="2145081193">
    <w:abstractNumId w:val="14"/>
  </w:num>
  <w:num w:numId="17" w16cid:durableId="387918904">
    <w:abstractNumId w:val="12"/>
  </w:num>
  <w:num w:numId="18" w16cid:durableId="1867479021">
    <w:abstractNumId w:val="20"/>
  </w:num>
  <w:num w:numId="19" w16cid:durableId="95059488">
    <w:abstractNumId w:val="5"/>
  </w:num>
  <w:num w:numId="20" w16cid:durableId="157767645">
    <w:abstractNumId w:val="21"/>
  </w:num>
  <w:num w:numId="21" w16cid:durableId="1462723464">
    <w:abstractNumId w:val="10"/>
  </w:num>
  <w:num w:numId="22" w16cid:durableId="1390763292">
    <w:abstractNumId w:val="9"/>
  </w:num>
  <w:num w:numId="23" w16cid:durableId="1971092044">
    <w:abstractNumId w:val="6"/>
  </w:num>
  <w:num w:numId="24" w16cid:durableId="1628008953">
    <w:abstractNumId w:val="8"/>
  </w:num>
  <w:num w:numId="25" w16cid:durableId="704796832">
    <w:abstractNumId w:val="2"/>
  </w:num>
  <w:num w:numId="26" w16cid:durableId="102850288">
    <w:abstractNumId w:val="15"/>
  </w:num>
  <w:num w:numId="27" w16cid:durableId="1747148042">
    <w:abstractNumId w:val="4"/>
  </w:num>
  <w:num w:numId="28" w16cid:durableId="74465048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46406"/>
    <w:rsid w:val="000D2579"/>
    <w:rsid w:val="000E143F"/>
    <w:rsid w:val="001003E8"/>
    <w:rsid w:val="00136289"/>
    <w:rsid w:val="00172A50"/>
    <w:rsid w:val="00265C0A"/>
    <w:rsid w:val="00267C8D"/>
    <w:rsid w:val="00325A3E"/>
    <w:rsid w:val="003364E1"/>
    <w:rsid w:val="00434358"/>
    <w:rsid w:val="004F2663"/>
    <w:rsid w:val="005A39C9"/>
    <w:rsid w:val="005A570C"/>
    <w:rsid w:val="00617CF1"/>
    <w:rsid w:val="00632881"/>
    <w:rsid w:val="00646406"/>
    <w:rsid w:val="00675F02"/>
    <w:rsid w:val="006A5038"/>
    <w:rsid w:val="0073681E"/>
    <w:rsid w:val="00740CE0"/>
    <w:rsid w:val="009E58AF"/>
    <w:rsid w:val="00A42F07"/>
    <w:rsid w:val="00A53B98"/>
    <w:rsid w:val="00C57D61"/>
    <w:rsid w:val="00CB01F0"/>
    <w:rsid w:val="00CD5F2F"/>
    <w:rsid w:val="00CE4675"/>
    <w:rsid w:val="00DE5D5B"/>
    <w:rsid w:val="00DF292F"/>
    <w:rsid w:val="00E26002"/>
    <w:rsid w:val="00E911BD"/>
    <w:rsid w:val="00EC6978"/>
    <w:rsid w:val="00F046A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docId w15:val="{A9EC085D-4950-4657-865A-8D4CF6D7F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4358"/>
    <w:pPr>
      <w:spacing w:line="360" w:lineRule="auto"/>
      <w:jc w:val="both"/>
      <w:outlineLvl w:val="0"/>
    </w:pPr>
    <w:rPr>
      <w:rFonts w:ascii="Times New Roman" w:hAnsi="Times New Roman" w:cs="Times New Roman"/>
      <w:b/>
      <w:bCs/>
      <w:color w:val="000000" w:themeColor="text1"/>
    </w:rPr>
  </w:style>
  <w:style w:type="paragraph" w:styleId="Heading2">
    <w:name w:val="heading 2"/>
    <w:basedOn w:val="Normal"/>
    <w:next w:val="Normal"/>
    <w:link w:val="Heading2Char"/>
    <w:uiPriority w:val="9"/>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4358"/>
    <w:rPr>
      <w:rFonts w:ascii="Times New Roman" w:hAnsi="Times New Roman" w:cs="Times New Roman"/>
      <w:b/>
      <w:bCs/>
      <w:color w:val="000000" w:themeColor="text1"/>
    </w:rPr>
  </w:style>
  <w:style w:type="character" w:customStyle="1" w:styleId="Heading2Char">
    <w:name w:val="Heading 2 Char"/>
    <w:basedOn w:val="DefaultParagraphFont"/>
    <w:link w:val="Heading2"/>
    <w:uiPriority w:val="9"/>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line="276" w:lineRule="auto"/>
      <w:outlineLvl w:val="9"/>
    </w:pPr>
    <w:rPr>
      <w:b w:val="0"/>
      <w:bCs w:val="0"/>
      <w:kern w:val="0"/>
      <w:sz w:val="28"/>
      <w:szCs w:val="28"/>
      <w:lang w:val="en-US"/>
      <w14:ligatures w14:val="none"/>
    </w:rPr>
  </w:style>
  <w:style w:type="paragraph" w:styleId="TOC1">
    <w:name w:val="toc 1"/>
    <w:basedOn w:val="Normal"/>
    <w:next w:val="Normal"/>
    <w:autoRedefine/>
    <w:uiPriority w:val="39"/>
    <w:unhideWhenUsed/>
    <w:rsid w:val="00CB01F0"/>
    <w:pPr>
      <w:spacing w:before="120" w:after="120"/>
    </w:pPr>
    <w:rPr>
      <w:b/>
      <w:bCs/>
      <w:caps/>
      <w:sz w:val="20"/>
      <w:szCs w:val="20"/>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ind w:left="240"/>
    </w:pPr>
    <w:rPr>
      <w:smallCaps/>
      <w:sz w:val="20"/>
      <w:szCs w:val="20"/>
    </w:rPr>
  </w:style>
  <w:style w:type="paragraph" w:styleId="TOC3">
    <w:name w:val="toc 3"/>
    <w:basedOn w:val="Normal"/>
    <w:next w:val="Normal"/>
    <w:autoRedefine/>
    <w:uiPriority w:val="39"/>
    <w:semiHidden/>
    <w:unhideWhenUsed/>
    <w:rsid w:val="00CB01F0"/>
    <w:pPr>
      <w:ind w:left="480"/>
    </w:pPr>
    <w:rPr>
      <w:i/>
      <w:iCs/>
      <w:sz w:val="20"/>
      <w:szCs w:val="20"/>
    </w:rPr>
  </w:style>
  <w:style w:type="paragraph" w:styleId="TOC4">
    <w:name w:val="toc 4"/>
    <w:basedOn w:val="Normal"/>
    <w:next w:val="Normal"/>
    <w:autoRedefine/>
    <w:uiPriority w:val="39"/>
    <w:semiHidden/>
    <w:unhideWhenUsed/>
    <w:rsid w:val="00CB01F0"/>
    <w:pPr>
      <w:ind w:left="720"/>
    </w:pPr>
    <w:rPr>
      <w:sz w:val="18"/>
      <w:szCs w:val="18"/>
    </w:rPr>
  </w:style>
  <w:style w:type="paragraph" w:styleId="TOC5">
    <w:name w:val="toc 5"/>
    <w:basedOn w:val="Normal"/>
    <w:next w:val="Normal"/>
    <w:autoRedefine/>
    <w:uiPriority w:val="39"/>
    <w:semiHidden/>
    <w:unhideWhenUsed/>
    <w:rsid w:val="00CB01F0"/>
    <w:pPr>
      <w:ind w:left="960"/>
    </w:pPr>
    <w:rPr>
      <w:sz w:val="18"/>
      <w:szCs w:val="18"/>
    </w:rPr>
  </w:style>
  <w:style w:type="paragraph" w:styleId="TOC6">
    <w:name w:val="toc 6"/>
    <w:basedOn w:val="Normal"/>
    <w:next w:val="Normal"/>
    <w:autoRedefine/>
    <w:uiPriority w:val="39"/>
    <w:semiHidden/>
    <w:unhideWhenUsed/>
    <w:rsid w:val="00CB01F0"/>
    <w:pPr>
      <w:ind w:left="1200"/>
    </w:pPr>
    <w:rPr>
      <w:sz w:val="18"/>
      <w:szCs w:val="18"/>
    </w:rPr>
  </w:style>
  <w:style w:type="paragraph" w:styleId="TOC7">
    <w:name w:val="toc 7"/>
    <w:basedOn w:val="Normal"/>
    <w:next w:val="Normal"/>
    <w:autoRedefine/>
    <w:uiPriority w:val="39"/>
    <w:semiHidden/>
    <w:unhideWhenUsed/>
    <w:rsid w:val="00CB01F0"/>
    <w:pPr>
      <w:ind w:left="1440"/>
    </w:pPr>
    <w:rPr>
      <w:sz w:val="18"/>
      <w:szCs w:val="18"/>
    </w:rPr>
  </w:style>
  <w:style w:type="paragraph" w:styleId="TOC8">
    <w:name w:val="toc 8"/>
    <w:basedOn w:val="Normal"/>
    <w:next w:val="Normal"/>
    <w:autoRedefine/>
    <w:uiPriority w:val="39"/>
    <w:semiHidden/>
    <w:unhideWhenUsed/>
    <w:rsid w:val="00CB01F0"/>
    <w:pPr>
      <w:ind w:left="1680"/>
    </w:pPr>
    <w:rPr>
      <w:sz w:val="18"/>
      <w:szCs w:val="18"/>
    </w:rPr>
  </w:style>
  <w:style w:type="paragraph" w:styleId="TOC9">
    <w:name w:val="toc 9"/>
    <w:basedOn w:val="Normal"/>
    <w:next w:val="Normal"/>
    <w:autoRedefine/>
    <w:uiPriority w:val="39"/>
    <w:semiHidden/>
    <w:unhideWhenUsed/>
    <w:rsid w:val="00CB01F0"/>
    <w:pPr>
      <w:ind w:left="1920"/>
    </w:pPr>
    <w:rPr>
      <w:sz w:val="18"/>
      <w:szCs w:val="18"/>
    </w:rPr>
  </w:style>
  <w:style w:type="paragraph" w:styleId="BalloonText">
    <w:name w:val="Balloon Text"/>
    <w:basedOn w:val="Normal"/>
    <w:link w:val="BalloonTextChar"/>
    <w:uiPriority w:val="99"/>
    <w:semiHidden/>
    <w:unhideWhenUsed/>
    <w:rsid w:val="000D2579"/>
    <w:rPr>
      <w:rFonts w:ascii="Tahoma" w:hAnsi="Tahoma" w:cs="Tahoma"/>
      <w:sz w:val="16"/>
      <w:szCs w:val="16"/>
    </w:rPr>
  </w:style>
  <w:style w:type="character" w:customStyle="1" w:styleId="BalloonTextChar">
    <w:name w:val="Balloon Text Char"/>
    <w:basedOn w:val="DefaultParagraphFont"/>
    <w:link w:val="BalloonText"/>
    <w:uiPriority w:val="99"/>
    <w:semiHidden/>
    <w:rsid w:val="000D2579"/>
    <w:rPr>
      <w:rFonts w:ascii="Tahoma" w:hAnsi="Tahoma" w:cs="Tahoma"/>
      <w:sz w:val="16"/>
      <w:szCs w:val="16"/>
    </w:rPr>
  </w:style>
  <w:style w:type="paragraph" w:styleId="Header">
    <w:name w:val="header"/>
    <w:basedOn w:val="Normal"/>
    <w:link w:val="HeaderChar"/>
    <w:uiPriority w:val="99"/>
    <w:unhideWhenUsed/>
    <w:rsid w:val="00632881"/>
    <w:pPr>
      <w:tabs>
        <w:tab w:val="center" w:pos="4513"/>
        <w:tab w:val="right" w:pos="9026"/>
      </w:tabs>
    </w:pPr>
  </w:style>
  <w:style w:type="character" w:customStyle="1" w:styleId="HeaderChar">
    <w:name w:val="Header Char"/>
    <w:basedOn w:val="DefaultParagraphFont"/>
    <w:link w:val="Header"/>
    <w:uiPriority w:val="99"/>
    <w:rsid w:val="00632881"/>
  </w:style>
  <w:style w:type="paragraph" w:styleId="Footer">
    <w:name w:val="footer"/>
    <w:basedOn w:val="Normal"/>
    <w:link w:val="FooterChar"/>
    <w:uiPriority w:val="99"/>
    <w:unhideWhenUsed/>
    <w:rsid w:val="00632881"/>
    <w:pPr>
      <w:tabs>
        <w:tab w:val="center" w:pos="4513"/>
        <w:tab w:val="right" w:pos="9026"/>
      </w:tabs>
    </w:pPr>
  </w:style>
  <w:style w:type="character" w:customStyle="1" w:styleId="FooterChar">
    <w:name w:val="Footer Char"/>
    <w:basedOn w:val="DefaultParagraphFont"/>
    <w:link w:val="Footer"/>
    <w:uiPriority w:val="99"/>
    <w:rsid w:val="006328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673951250">
      <w:bodyDiv w:val="1"/>
      <w:marLeft w:val="0"/>
      <w:marRight w:val="0"/>
      <w:marTop w:val="0"/>
      <w:marBottom w:val="0"/>
      <w:divBdr>
        <w:top w:val="none" w:sz="0" w:space="0" w:color="auto"/>
        <w:left w:val="none" w:sz="0" w:space="0" w:color="auto"/>
        <w:bottom w:val="none" w:sz="0" w:space="0" w:color="auto"/>
        <w:right w:val="none" w:sz="0" w:space="0" w:color="auto"/>
      </w:divBdr>
    </w:div>
    <w:div w:id="1772041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r.aboutamazon.com/" TargetMode="External"/><Relationship Id="rId18" Type="http://schemas.openxmlformats.org/officeDocument/2006/relationships/hyperlink" Target="https://abc.xyz/investor" TargetMode="External"/><Relationship Id="rId26" Type="http://schemas.openxmlformats.org/officeDocument/2006/relationships/hyperlink" Target="https://wifitalents.com/ai-in-the-e-commerce-industry-statistics" TargetMode="External"/><Relationship Id="rId3" Type="http://schemas.openxmlformats.org/officeDocument/2006/relationships/styles" Target="styles.xml"/><Relationship Id="rId21" Type="http://schemas.openxmlformats.org/officeDocument/2006/relationships/hyperlink" Target="https://wifitalents.com/ai-in-the-e-commerce-industry-statistics/"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creantho.com/michael-porters-generic-strategies.php" TargetMode="External"/><Relationship Id="rId25" Type="http://schemas.openxmlformats.org/officeDocument/2006/relationships/hyperlink" Target="https://quantive.com/resources/articles/ansoff-matrix?utm_source=chatgpt.com"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ommittees.parliament.uk/writtenevidence/22876/pdf/" TargetMode="External"/><Relationship Id="rId20" Type="http://schemas.openxmlformats.org/officeDocument/2006/relationships/hyperlink" Target="https://www.iea.org/reports/global-ev-outlook-2024" TargetMode="External"/><Relationship Id="rId29" Type="http://schemas.openxmlformats.org/officeDocument/2006/relationships/hyperlink" Target="https://www.theguardian.com/business/2025/may/19/weakening-of-uk-ev-sales-rules-likely-to-result-in-significantly-more-carbon-emiss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arketing91.com/what-is-macro-environment/?utm_source=chatgpt.com"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committees.parliament.uk/writtenevidence/22876/pdf" TargetMode="External"/><Relationship Id="rId23" Type="http://schemas.openxmlformats.org/officeDocument/2006/relationships/hyperlink" Target="https://www.marketresearch.com/Global-Industry-Analysts-v1039/Artificial-Intelligence-AI-Retail-41342482" TargetMode="External"/><Relationship Id="rId28" Type="http://schemas.openxmlformats.org/officeDocument/2006/relationships/hyperlink" Target="https://www.statista.com/" TargetMode="External"/><Relationship Id="rId10" Type="http://schemas.openxmlformats.org/officeDocument/2006/relationships/image" Target="media/image3.png"/><Relationship Id="rId19" Type="http://schemas.openxmlformats.org/officeDocument/2006/relationships/hyperlink" Target="https://www.theguardian.com/business/2025/may/19/weakening-of-uk-ev-sales-rules-likely-to-result-in-significantly-more-carbon-emissions" TargetMode="External"/><Relationship Id="rId31" Type="http://schemas.openxmlformats.org/officeDocument/2006/relationships/hyperlink" Target="https://zipdo.co/statistic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guardian.com/business/2025/may/19/weakening-of-uk-ev-sales-rules-likely-to-result-in-significantly-more-carbon-emissions" TargetMode="External"/><Relationship Id="rId22" Type="http://schemas.openxmlformats.org/officeDocument/2006/relationships/hyperlink" Target="https://wifitalents.com/ai-in-the-e-commerce-industry-statistics" TargetMode="External"/><Relationship Id="rId27" Type="http://schemas.openxmlformats.org/officeDocument/2006/relationships/hyperlink" Target="https://www.statista.com/topics/847/apple" TargetMode="External"/><Relationship Id="rId30" Type="http://schemas.openxmlformats.org/officeDocument/2006/relationships/hyperlink" Target="https://zapier.com/blog/ai-for-content-writers/?utm_source=chatgpt.com"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81AECA-DF15-4147-A8AD-3554004C4A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3971</Words>
  <Characters>22635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Laila Maazouz</dc:creator>
  <cp:lastModifiedBy>VAIDIK KOLADIYA</cp:lastModifiedBy>
  <cp:revision>4</cp:revision>
  <dcterms:created xsi:type="dcterms:W3CDTF">2025-11-19T18:36:00Z</dcterms:created>
  <dcterms:modified xsi:type="dcterms:W3CDTF">2025-11-20T15:21:00Z</dcterms:modified>
</cp:coreProperties>
</file>