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2D9AF" w14:textId="2FCEDBBF" w:rsidR="007F0776" w:rsidRDefault="007F0776">
      <w:pPr>
        <w:rPr>
          <w:b/>
          <w:bCs/>
        </w:rPr>
      </w:pPr>
      <w:r>
        <w:rPr>
          <w:b/>
          <w:bCs/>
          <w:noProof/>
        </w:rPr>
        <w:drawing>
          <wp:anchor distT="0" distB="0" distL="114300" distR="114300" simplePos="0" relativeHeight="251658240" behindDoc="1" locked="0" layoutInCell="1" allowOverlap="1" wp14:anchorId="5E0A3283" wp14:editId="5F7D7967">
            <wp:simplePos x="0" y="0"/>
            <wp:positionH relativeFrom="column">
              <wp:posOffset>2851150</wp:posOffset>
            </wp:positionH>
            <wp:positionV relativeFrom="paragraph">
              <wp:posOffset>6350</wp:posOffset>
            </wp:positionV>
            <wp:extent cx="2783205" cy="2603500"/>
            <wp:effectExtent l="0" t="0" r="0" b="6350"/>
            <wp:wrapNone/>
            <wp:docPr id="2" name="Picture 2" descr="A blue rock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rock on a white surface&#10;&#10;Description automatically generated with low confidence"/>
                    <pic:cNvPicPr/>
                  </pic:nvPicPr>
                  <pic:blipFill rotWithShape="1">
                    <a:blip r:embed="rId7" cstate="print">
                      <a:extLst>
                        <a:ext uri="{28A0092B-C50C-407E-A947-70E740481C1C}">
                          <a14:useLocalDpi xmlns:a14="http://schemas.microsoft.com/office/drawing/2010/main" val="0"/>
                        </a:ext>
                      </a:extLst>
                    </a:blip>
                    <a:srcRect l="17417" t="31125" r="11478" b="18965"/>
                    <a:stretch/>
                  </pic:blipFill>
                  <pic:spPr bwMode="auto">
                    <a:xfrm>
                      <a:off x="0" y="0"/>
                      <a:ext cx="2783205" cy="260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rPr>
        <w:drawing>
          <wp:inline distT="0" distB="0" distL="0" distR="0" wp14:anchorId="7A4F4988" wp14:editId="269A6F1A">
            <wp:extent cx="2559050" cy="2624543"/>
            <wp:effectExtent l="0" t="0" r="0" b="4445"/>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rotWithShape="1">
                    <a:blip r:embed="rId8" cstate="print">
                      <a:extLst>
                        <a:ext uri="{28A0092B-C50C-407E-A947-70E740481C1C}">
                          <a14:useLocalDpi xmlns:a14="http://schemas.microsoft.com/office/drawing/2010/main" val="0"/>
                        </a:ext>
                      </a:extLst>
                    </a:blip>
                    <a:srcRect t="23032"/>
                    <a:stretch/>
                  </pic:blipFill>
                  <pic:spPr bwMode="auto">
                    <a:xfrm>
                      <a:off x="0" y="0"/>
                      <a:ext cx="2568189" cy="2633916"/>
                    </a:xfrm>
                    <a:prstGeom prst="rect">
                      <a:avLst/>
                    </a:prstGeom>
                    <a:ln>
                      <a:noFill/>
                    </a:ln>
                    <a:extLst>
                      <a:ext uri="{53640926-AAD7-44D8-BBD7-CCE9431645EC}">
                        <a14:shadowObscured xmlns:a14="http://schemas.microsoft.com/office/drawing/2010/main"/>
                      </a:ext>
                    </a:extLst>
                  </pic:spPr>
                </pic:pic>
              </a:graphicData>
            </a:graphic>
          </wp:inline>
        </w:drawing>
      </w:r>
    </w:p>
    <w:p w14:paraId="0D316645" w14:textId="69912289" w:rsidR="007F0776" w:rsidRPr="007F0776" w:rsidRDefault="007F0776">
      <w:pPr>
        <w:rPr>
          <w:sz w:val="18"/>
          <w:szCs w:val="18"/>
        </w:rPr>
      </w:pPr>
      <w:r>
        <w:rPr>
          <w:sz w:val="18"/>
          <w:szCs w:val="18"/>
        </w:rPr>
        <w:t>Faience Kohl Container (images by Rebekah Carder)</w:t>
      </w:r>
    </w:p>
    <w:p w14:paraId="401BDD16" w14:textId="589F8D22" w:rsidR="00756103" w:rsidRDefault="00EF00A1">
      <w:pPr>
        <w:rPr>
          <w:b/>
          <w:bCs/>
        </w:rPr>
      </w:pPr>
      <w:r>
        <w:rPr>
          <w:b/>
          <w:bCs/>
        </w:rPr>
        <w:t>Faience Kohl Container</w:t>
      </w:r>
    </w:p>
    <w:p w14:paraId="257802B3" w14:textId="322CBD27" w:rsidR="00EF00A1" w:rsidRDefault="00EF00A1">
      <w:pPr>
        <w:rPr>
          <w:b/>
          <w:bCs/>
        </w:rPr>
      </w:pPr>
      <w:proofErr w:type="spellStart"/>
      <w:r>
        <w:rPr>
          <w:b/>
          <w:bCs/>
        </w:rPr>
        <w:t>Cyfarthfa</w:t>
      </w:r>
      <w:proofErr w:type="spellEnd"/>
      <w:r>
        <w:rPr>
          <w:b/>
          <w:bCs/>
        </w:rPr>
        <w:t xml:space="preserve"> Castle, Merthyr Tydfil    301.004</w:t>
      </w:r>
    </w:p>
    <w:p w14:paraId="45B39A16" w14:textId="39594BBC" w:rsidR="00EF00A1" w:rsidRPr="00EF00A1" w:rsidRDefault="00EF00A1">
      <w:r>
        <w:rPr>
          <w:b/>
          <w:bCs/>
        </w:rPr>
        <w:t>Object Type:</w:t>
      </w:r>
      <w:r>
        <w:t xml:space="preserve"> Kohl</w:t>
      </w:r>
      <w:r w:rsidR="00722C32">
        <w:t xml:space="preserve">-container </w:t>
      </w:r>
    </w:p>
    <w:p w14:paraId="5CC4F533" w14:textId="2B8959BF" w:rsidR="00EF00A1" w:rsidRPr="00EF00A1" w:rsidRDefault="00EF00A1">
      <w:r>
        <w:rPr>
          <w:b/>
          <w:bCs/>
        </w:rPr>
        <w:t xml:space="preserve">Material: </w:t>
      </w:r>
      <w:r>
        <w:t>Faience</w:t>
      </w:r>
    </w:p>
    <w:p w14:paraId="151EBD6F" w14:textId="4B771970" w:rsidR="00EF00A1" w:rsidRPr="00EF00A1" w:rsidRDefault="00EF00A1">
      <w:r>
        <w:rPr>
          <w:b/>
          <w:bCs/>
        </w:rPr>
        <w:t xml:space="preserve">Period: </w:t>
      </w:r>
      <w:r w:rsidR="00722C32">
        <w:t>Middle Kingdom – early New Kingdom (18</w:t>
      </w:r>
      <w:r w:rsidR="00722C32" w:rsidRPr="00722C32">
        <w:rPr>
          <w:vertAlign w:val="superscript"/>
        </w:rPr>
        <w:t>th</w:t>
      </w:r>
      <w:r w:rsidR="00722C32">
        <w:t>-19</w:t>
      </w:r>
      <w:r w:rsidR="00722C32" w:rsidRPr="00722C32">
        <w:rPr>
          <w:vertAlign w:val="superscript"/>
        </w:rPr>
        <w:t>th</w:t>
      </w:r>
      <w:r w:rsidR="00722C32">
        <w:t xml:space="preserve"> dynasty?)</w:t>
      </w:r>
    </w:p>
    <w:p w14:paraId="230AF1F2" w14:textId="6BE970BA" w:rsidR="00722C32" w:rsidRPr="00722C32" w:rsidRDefault="00EF00A1">
      <w:r>
        <w:rPr>
          <w:b/>
          <w:bCs/>
        </w:rPr>
        <w:t>Provenance:</w:t>
      </w:r>
      <w:r>
        <w:t xml:space="preserve"> Egypt</w:t>
      </w:r>
    </w:p>
    <w:p w14:paraId="0592D763" w14:textId="447C5BE9" w:rsidR="00EF00A1" w:rsidRPr="00EF00A1" w:rsidRDefault="00EF00A1">
      <w:r>
        <w:rPr>
          <w:b/>
          <w:bCs/>
        </w:rPr>
        <w:t>Dimensions:</w:t>
      </w:r>
      <w:r>
        <w:t xml:space="preserve"> </w:t>
      </w:r>
      <w:r w:rsidR="00722C32">
        <w:t>Width (rim) 4.6</w:t>
      </w:r>
      <w:r>
        <w:t xml:space="preserve"> /</w:t>
      </w:r>
      <w:r w:rsidR="00722C32">
        <w:t>Width (base) 3.6 /</w:t>
      </w:r>
      <w:r>
        <w:t>Height 4.7 cm</w:t>
      </w:r>
    </w:p>
    <w:p w14:paraId="0FFCBFEF" w14:textId="209482E3" w:rsidR="00EF00A1" w:rsidRPr="00EF00A1" w:rsidRDefault="00EF00A1">
      <w:pPr>
        <w:rPr>
          <w:b/>
          <w:bCs/>
        </w:rPr>
      </w:pPr>
      <w:r>
        <w:t xml:space="preserve">Object analysis by </w:t>
      </w:r>
      <w:r w:rsidR="00AA413B">
        <w:rPr>
          <w:b/>
          <w:bCs/>
        </w:rPr>
        <w:t>Rebekah Carder</w:t>
      </w:r>
    </w:p>
    <w:p w14:paraId="3D0A82CC" w14:textId="1FF58C55" w:rsidR="00EF00A1" w:rsidRDefault="00EF00A1">
      <w:pPr>
        <w:rPr>
          <w:b/>
          <w:bCs/>
        </w:rPr>
      </w:pPr>
    </w:p>
    <w:p w14:paraId="07D28094" w14:textId="22BFB95C" w:rsidR="00227B25" w:rsidRDefault="007B406F">
      <w:r>
        <w:t>From the abundance of kohl containers, of various shapes and sizes, found across Egypt, it is obvious that kohl pots were a necessary part of daily life in Egypt</w:t>
      </w:r>
      <w:r w:rsidR="00FB6F41">
        <w:t>.</w:t>
      </w:r>
      <w:r w:rsidR="00B61F69">
        <w:rPr>
          <w:rStyle w:val="FootnoteReference"/>
        </w:rPr>
        <w:footnoteReference w:id="1"/>
      </w:r>
      <w:r w:rsidR="00FB6F41">
        <w:t xml:space="preserve">  If such containers were such an vital part of life for Egyptians, they would also be needed in the afterlife and indeed are noted as “essential parts of their funerary equipment” by El-</w:t>
      </w:r>
      <w:proofErr w:type="spellStart"/>
      <w:r w:rsidR="00FB6F41">
        <w:t>Kilany</w:t>
      </w:r>
      <w:proofErr w:type="spellEnd"/>
      <w:r w:rsidR="00FB6F41">
        <w:t xml:space="preserve"> and </w:t>
      </w:r>
      <w:proofErr w:type="spellStart"/>
      <w:r w:rsidR="00FB6F41">
        <w:t>Raoof</w:t>
      </w:r>
      <w:proofErr w:type="spellEnd"/>
      <w:r w:rsidR="00FB6F41">
        <w:t>.</w:t>
      </w:r>
      <w:r w:rsidR="00B61F69">
        <w:rPr>
          <w:rStyle w:val="FootnoteReference"/>
        </w:rPr>
        <w:footnoteReference w:id="2"/>
      </w:r>
      <w:r w:rsidR="00FB6F41">
        <w:t xml:space="preserve">  </w:t>
      </w:r>
      <w:r w:rsidR="00C1221B">
        <w:t xml:space="preserve">Kohl, the eye </w:t>
      </w:r>
      <w:proofErr w:type="spellStart"/>
      <w:r w:rsidR="00C1221B">
        <w:t>make up</w:t>
      </w:r>
      <w:proofErr w:type="spellEnd"/>
      <w:r w:rsidR="00C1221B">
        <w:t xml:space="preserve"> mix which the pots were intended to hold, was used for practical and medical purposes, as well as aesthetic.</w:t>
      </w:r>
      <w:r w:rsidR="00446ABB">
        <w:rPr>
          <w:rStyle w:val="FootnoteReference"/>
        </w:rPr>
        <w:footnoteReference w:id="3"/>
      </w:r>
      <w:r w:rsidR="00C1221B">
        <w:t xml:space="preserve">  The kohl and thus containers like this faience pot, were used by both poor and rich, young children and elderly priests</w:t>
      </w:r>
      <w:r w:rsidR="00CC3DB6">
        <w:t xml:space="preserve"> alike.</w:t>
      </w:r>
      <w:r w:rsidR="00446ABB">
        <w:rPr>
          <w:rStyle w:val="FootnoteReference"/>
        </w:rPr>
        <w:footnoteReference w:id="4"/>
      </w:r>
      <w:r w:rsidR="00CC3DB6">
        <w:t xml:space="preserve">  Despite this universal use, by the Middle Kingdom the main ingredients –</w:t>
      </w:r>
      <w:r w:rsidR="00446ABB">
        <w:t xml:space="preserve"> </w:t>
      </w:r>
      <w:r w:rsidR="00446ABB">
        <w:lastRenderedPageBreak/>
        <w:t xml:space="preserve">Malachite </w:t>
      </w:r>
      <w:r w:rsidR="00CC3DB6">
        <w:t xml:space="preserve">for a green colour or </w:t>
      </w:r>
      <w:r w:rsidR="00446ABB">
        <w:t>Galena</w:t>
      </w:r>
      <w:r w:rsidR="00CC3DB6">
        <w:t xml:space="preserve"> for a black-grey – were both from Asia, a testament to Egypt’s influence and wealth.</w:t>
      </w:r>
      <w:r w:rsidR="00446ABB">
        <w:rPr>
          <w:rStyle w:val="FootnoteReference"/>
        </w:rPr>
        <w:footnoteReference w:id="5"/>
      </w:r>
      <w:r w:rsidR="00CC3DB6">
        <w:t xml:space="preserve">  </w:t>
      </w:r>
      <w:r w:rsidR="006F0340">
        <w:t>Kohl was used to reduce the glare of the blazing sun and to prevent flies buzzing into eyes.  There are also variations on the regular eyeliner which include fermented honey and nuts mentioned to help with a “build up of water”, and other variations were used in conjunction with spells to cure inflamed eyes and diseases.</w:t>
      </w:r>
      <w:r w:rsidR="009C4107">
        <w:t xml:space="preserve">  Kohl was closely tied to the ancient Egyptians’ concept of beauty, which was related to perfection and completeness, and so was painted on mummies and statues of deity, reaffirming the idea that the deceased would be a better version of themselves in the afterlife, closer to the divine.</w:t>
      </w:r>
      <w:r w:rsidR="003364C5">
        <w:rPr>
          <w:rStyle w:val="FootnoteReference"/>
        </w:rPr>
        <w:footnoteReference w:id="6"/>
      </w:r>
      <w:r w:rsidR="009C4107">
        <w:t xml:space="preserve"> </w:t>
      </w:r>
    </w:p>
    <w:p w14:paraId="6282B766" w14:textId="05340FF2" w:rsidR="009C4107" w:rsidRDefault="00F338CD">
      <w:r w:rsidRPr="00BA3FEE">
        <w:rPr>
          <w:b/>
          <w:bCs/>
          <w:noProof/>
        </w:rPr>
        <mc:AlternateContent>
          <mc:Choice Requires="wps">
            <w:drawing>
              <wp:anchor distT="45720" distB="45720" distL="114300" distR="114300" simplePos="0" relativeHeight="251664384" behindDoc="0" locked="0" layoutInCell="1" allowOverlap="1" wp14:anchorId="2B4A4A0C" wp14:editId="63DD535C">
                <wp:simplePos x="0" y="0"/>
                <wp:positionH relativeFrom="margin">
                  <wp:posOffset>3790950</wp:posOffset>
                </wp:positionH>
                <wp:positionV relativeFrom="paragraph">
                  <wp:posOffset>3569335</wp:posOffset>
                </wp:positionV>
                <wp:extent cx="2025650" cy="140462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5650" cy="1404620"/>
                        </a:xfrm>
                        <a:prstGeom prst="rect">
                          <a:avLst/>
                        </a:prstGeom>
                        <a:solidFill>
                          <a:srgbClr val="FFFFFF"/>
                        </a:solidFill>
                        <a:ln w="9525">
                          <a:solidFill>
                            <a:srgbClr val="000000"/>
                          </a:solidFill>
                          <a:miter lim="800000"/>
                          <a:headEnd/>
                          <a:tailEnd/>
                        </a:ln>
                      </wps:spPr>
                      <wps:txbx>
                        <w:txbxContent>
                          <w:p w14:paraId="12394C96" w14:textId="39CE182C" w:rsidR="00BA3FEE" w:rsidRPr="00F338CD" w:rsidRDefault="00BA3FEE" w:rsidP="00F338CD">
                            <w:pPr>
                              <w:spacing w:after="0" w:line="240" w:lineRule="auto"/>
                              <w:ind w:hanging="480"/>
                              <w:rPr>
                                <w:rFonts w:ascii="Times New Roman" w:eastAsia="Times New Roman" w:hAnsi="Times New Roman" w:cs="Times New Roman"/>
                                <w:sz w:val="24"/>
                                <w:szCs w:val="24"/>
                                <w:lang w:eastAsia="en-GB"/>
                              </w:rPr>
                            </w:pPr>
                            <w:r>
                              <w:t>Fi</w:t>
                            </w:r>
                            <w:r w:rsidR="00F338CD">
                              <w:t xml:space="preserve">      </w:t>
                            </w:r>
                            <w:r w:rsidR="00F338CD" w:rsidRPr="00F338CD">
                              <w:rPr>
                                <w:rFonts w:cstheme="minorHAnsi"/>
                                <w:sz w:val="18"/>
                                <w:szCs w:val="18"/>
                              </w:rPr>
                              <w:t>Fi</w:t>
                            </w:r>
                            <w:r w:rsidRPr="00F338CD">
                              <w:rPr>
                                <w:rFonts w:cstheme="minorHAnsi"/>
                                <w:sz w:val="18"/>
                                <w:szCs w:val="18"/>
                              </w:rPr>
                              <w:t>gure 1. 18</w:t>
                            </w:r>
                            <w:r w:rsidRPr="00F338CD">
                              <w:rPr>
                                <w:rFonts w:cstheme="minorHAnsi"/>
                                <w:sz w:val="18"/>
                                <w:szCs w:val="18"/>
                                <w:vertAlign w:val="superscript"/>
                              </w:rPr>
                              <w:t>th</w:t>
                            </w:r>
                            <w:r w:rsidRPr="00F338CD">
                              <w:rPr>
                                <w:rFonts w:cstheme="minorHAnsi"/>
                                <w:sz w:val="18"/>
                                <w:szCs w:val="18"/>
                              </w:rPr>
                              <w:t xml:space="preserve"> Dynasty</w:t>
                            </w:r>
                            <w:r w:rsidR="00F338CD" w:rsidRPr="00F338CD">
                              <w:rPr>
                                <w:rFonts w:cstheme="minorHAnsi"/>
                                <w:sz w:val="18"/>
                                <w:szCs w:val="18"/>
                              </w:rPr>
                              <w:t xml:space="preserve"> glass</w:t>
                            </w:r>
                            <w:r w:rsidRPr="00F338CD">
                              <w:rPr>
                                <w:rFonts w:cstheme="minorHAnsi"/>
                                <w:sz w:val="18"/>
                                <w:szCs w:val="18"/>
                              </w:rPr>
                              <w:t xml:space="preserve"> kohl container</w:t>
                            </w:r>
                            <w:r w:rsidR="00F338CD" w:rsidRPr="00F338CD">
                              <w:rPr>
                                <w:rFonts w:cstheme="minorHAnsi"/>
                                <w:sz w:val="18"/>
                                <w:szCs w:val="18"/>
                              </w:rPr>
                              <w:t xml:space="preserve"> from </w:t>
                            </w:r>
                            <w:r w:rsidR="00F338CD">
                              <w:rPr>
                                <w:rFonts w:cstheme="minorHAnsi"/>
                                <w:sz w:val="18"/>
                                <w:szCs w:val="18"/>
                              </w:rPr>
                              <w:t xml:space="preserve">                                                    </w:t>
                            </w:r>
                            <w:r w:rsidR="00F338CD" w:rsidRPr="00F338CD">
                              <w:rPr>
                                <w:rFonts w:eastAsia="Times New Roman" w:cstheme="minorHAnsi"/>
                                <w:sz w:val="18"/>
                                <w:szCs w:val="18"/>
                                <w:lang w:eastAsia="en-GB"/>
                              </w:rPr>
                              <w:t>&lt;</w:t>
                            </w:r>
                            <w:hyperlink r:id="rId9" w:history="1">
                              <w:r w:rsidR="00F338CD" w:rsidRPr="00A45BF4">
                                <w:rPr>
                                  <w:rStyle w:val="Hyperlink"/>
                                  <w:rFonts w:eastAsia="Times New Roman" w:cstheme="minorHAnsi"/>
                                  <w:sz w:val="18"/>
                                  <w:szCs w:val="18"/>
                                  <w:lang w:eastAsia="en-GB"/>
                                </w:rPr>
                                <w:t>https://www.britishmuseum.org/collection/egypt</w:t>
                              </w:r>
                            </w:hyperlink>
                            <w:r w:rsidR="00F338CD" w:rsidRPr="00F338CD">
                              <w:rPr>
                                <w:rFonts w:eastAsia="Times New Roman" w:cstheme="minorHAnsi"/>
                                <w:sz w:val="18"/>
                                <w:szCs w:val="18"/>
                                <w:lang w:eastAsia="en-GB"/>
                              </w:rPr>
                              <w:t xml:space="preserve"> &gt; [accessed 02/02/2023]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B4A4A0C" id="_x0000_t202" coordsize="21600,21600" o:spt="202" path="m,l,21600r21600,l21600,xe">
                <v:stroke joinstyle="miter"/>
                <v:path gradientshapeok="t" o:connecttype="rect"/>
              </v:shapetype>
              <v:shape id="Text Box 2" o:spid="_x0000_s1026" type="#_x0000_t202" style="position:absolute;margin-left:298.5pt;margin-top:281.05pt;width:159.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">
                <v:textbox style="mso-fit-shape-to-text:t">
                  <w:txbxContent>
                    <w:p w14:paraId="12394C96" w14:textId="39CE182C" w:rsidR="00BA3FEE" w:rsidRPr="00F338CD" w:rsidRDefault="00BA3FEE" w:rsidP="00F338CD">
                      <w:pPr>
                        <w:spacing w:after="0" w:line="240" w:lineRule="auto"/>
                        <w:ind w:hanging="480"/>
                        <w:rPr>
                          <w:rFonts w:ascii="Times New Roman" w:eastAsia="Times New Roman" w:hAnsi="Times New Roman" w:cs="Times New Roman"/>
                          <w:sz w:val="24"/>
                          <w:szCs w:val="24"/>
                          <w:lang w:eastAsia="en-GB"/>
                        </w:rPr>
                      </w:pPr>
                      <w:r>
                        <w:t>Fi</w:t>
                      </w:r>
                      <w:r w:rsidR="00F338CD">
                        <w:t xml:space="preserve">      </w:t>
                      </w:r>
                      <w:r w:rsidR="00F338CD" w:rsidRPr="00F338CD">
                        <w:rPr>
                          <w:rFonts w:cstheme="minorHAnsi"/>
                          <w:sz w:val="18"/>
                          <w:szCs w:val="18"/>
                        </w:rPr>
                        <w:t>Fi</w:t>
                      </w:r>
                      <w:r w:rsidRPr="00F338CD">
                        <w:rPr>
                          <w:rFonts w:cstheme="minorHAnsi"/>
                          <w:sz w:val="18"/>
                          <w:szCs w:val="18"/>
                        </w:rPr>
                        <w:t>gure 1. 18</w:t>
                      </w:r>
                      <w:r w:rsidRPr="00F338CD">
                        <w:rPr>
                          <w:rFonts w:cstheme="minorHAnsi"/>
                          <w:sz w:val="18"/>
                          <w:szCs w:val="18"/>
                          <w:vertAlign w:val="superscript"/>
                        </w:rPr>
                        <w:t>th</w:t>
                      </w:r>
                      <w:r w:rsidRPr="00F338CD">
                        <w:rPr>
                          <w:rFonts w:cstheme="minorHAnsi"/>
                          <w:sz w:val="18"/>
                          <w:szCs w:val="18"/>
                        </w:rPr>
                        <w:t xml:space="preserve"> Dynasty</w:t>
                      </w:r>
                      <w:r w:rsidR="00F338CD" w:rsidRPr="00F338CD">
                        <w:rPr>
                          <w:rFonts w:cstheme="minorHAnsi"/>
                          <w:sz w:val="18"/>
                          <w:szCs w:val="18"/>
                        </w:rPr>
                        <w:t xml:space="preserve"> glass</w:t>
                      </w:r>
                      <w:r w:rsidRPr="00F338CD">
                        <w:rPr>
                          <w:rFonts w:cstheme="minorHAnsi"/>
                          <w:sz w:val="18"/>
                          <w:szCs w:val="18"/>
                        </w:rPr>
                        <w:t xml:space="preserve"> kohl container</w:t>
                      </w:r>
                      <w:r w:rsidR="00F338CD" w:rsidRPr="00F338CD">
                        <w:rPr>
                          <w:rFonts w:cstheme="minorHAnsi"/>
                          <w:sz w:val="18"/>
                          <w:szCs w:val="18"/>
                        </w:rPr>
                        <w:t xml:space="preserve"> from </w:t>
                      </w:r>
                      <w:r w:rsidR="00F338CD">
                        <w:rPr>
                          <w:rFonts w:cstheme="minorHAnsi"/>
                          <w:sz w:val="18"/>
                          <w:szCs w:val="18"/>
                        </w:rPr>
                        <w:t xml:space="preserve">                                                    </w:t>
                      </w:r>
                      <w:r w:rsidR="00F338CD" w:rsidRPr="00F338CD">
                        <w:rPr>
                          <w:rFonts w:eastAsia="Times New Roman" w:cstheme="minorHAnsi"/>
                          <w:sz w:val="18"/>
                          <w:szCs w:val="18"/>
                          <w:lang w:eastAsia="en-GB"/>
                        </w:rPr>
                        <w:t>&lt;</w:t>
                      </w:r>
                      <w:hyperlink r:id="rId10" w:history="1">
                        <w:r w:rsidR="00F338CD" w:rsidRPr="00A45BF4">
                          <w:rPr>
                            <w:rStyle w:val="Hyperlink"/>
                            <w:rFonts w:eastAsia="Times New Roman" w:cstheme="minorHAnsi"/>
                            <w:sz w:val="18"/>
                            <w:szCs w:val="18"/>
                            <w:lang w:eastAsia="en-GB"/>
                          </w:rPr>
                          <w:t>https://www.britishmuseum.org/collection/egypt</w:t>
                        </w:r>
                      </w:hyperlink>
                      <w:r w:rsidR="00F338CD" w:rsidRPr="00F338CD">
                        <w:rPr>
                          <w:rFonts w:eastAsia="Times New Roman" w:cstheme="minorHAnsi"/>
                          <w:sz w:val="18"/>
                          <w:szCs w:val="18"/>
                          <w:lang w:eastAsia="en-GB"/>
                        </w:rPr>
                        <w:t xml:space="preserve"> &gt; [accessed 02/02/2023]</w:t>
                      </w:r>
                    </w:p>
                  </w:txbxContent>
                </v:textbox>
                <w10:wrap type="square" anchorx="margin"/>
              </v:shape>
            </w:pict>
          </mc:Fallback>
        </mc:AlternateContent>
      </w:r>
      <w:r w:rsidR="009A40E8">
        <w:t xml:space="preserve">It is difficult to determine if this </w:t>
      </w:r>
      <w:proofErr w:type="gramStart"/>
      <w:r w:rsidR="009A40E8">
        <w:t>particular kohl</w:t>
      </w:r>
      <w:proofErr w:type="gramEnd"/>
      <w:r w:rsidR="009A40E8">
        <w:t xml:space="preserve"> pot was ever used in daily life, or if it was created especially for a burial due to the somewhat vague records around its discovery and handling during the 1900’s.  On its rim is a chip which has been glued in place, and there are patches of discolouration on the rim, base and main body of the pot, which seem to be different faience.  This was probably added in the 1900’s to make the pot more sellable</w:t>
      </w:r>
      <w:r w:rsidR="00AA413B">
        <w:t>.</w:t>
      </w:r>
      <w:r w:rsidR="000332C1">
        <w:rPr>
          <w:rStyle w:val="FootnoteReference"/>
        </w:rPr>
        <w:footnoteReference w:id="7"/>
      </w:r>
      <w:r w:rsidR="00AA413B">
        <w:t xml:space="preserve">  </w:t>
      </w:r>
      <w:r w:rsidR="000332C1">
        <w:t>The pot</w:t>
      </w:r>
      <w:r w:rsidR="00AA413B">
        <w:t xml:space="preserve"> was likely made using a mould, as finger</w:t>
      </w:r>
      <w:r w:rsidR="00891E41">
        <w:t>-</w:t>
      </w:r>
      <w:r w:rsidR="00AA413B">
        <w:t xml:space="preserve">made </w:t>
      </w:r>
      <w:r w:rsidR="00891E41">
        <w:t>pots are generally decorated with paint or inscriptions.</w:t>
      </w:r>
      <w:r w:rsidR="00FF2393">
        <w:rPr>
          <w:rStyle w:val="FootnoteReference"/>
        </w:rPr>
        <w:footnoteReference w:id="8"/>
      </w:r>
      <w:r w:rsidR="00891E41">
        <w:t xml:space="preserve">  </w:t>
      </w:r>
      <w:r w:rsidR="00F02BA9">
        <w:t>Considering its material, it is also most likely part of a trend in the 18</w:t>
      </w:r>
      <w:r w:rsidR="00F02BA9" w:rsidRPr="00F02BA9">
        <w:rPr>
          <w:vertAlign w:val="superscript"/>
        </w:rPr>
        <w:t>th</w:t>
      </w:r>
      <w:r w:rsidR="00F02BA9">
        <w:t xml:space="preserve"> – 19</w:t>
      </w:r>
      <w:r w:rsidR="00F02BA9" w:rsidRPr="00F02BA9">
        <w:rPr>
          <w:vertAlign w:val="superscript"/>
        </w:rPr>
        <w:t>th</w:t>
      </w:r>
      <w:r w:rsidR="00F02BA9">
        <w:t xml:space="preserve"> century, when faience and core-formed glass were a more popular choice than the stone variations which were previously and later prolific.</w:t>
      </w:r>
      <w:r w:rsidR="006B0562">
        <w:rPr>
          <w:rStyle w:val="FootnoteReference"/>
        </w:rPr>
        <w:footnoteReference w:id="9"/>
      </w:r>
      <w:r w:rsidR="00F02BA9">
        <w:t xml:space="preserve">  </w:t>
      </w:r>
      <w:r w:rsidR="005C152C">
        <w:t xml:space="preserve">On the other hand, the shape of these pots tended to be more cylindrical as shown in figure </w:t>
      </w:r>
      <w:r>
        <w:t>1</w:t>
      </w:r>
      <w:r w:rsidR="005C152C">
        <w:t xml:space="preserve">. </w:t>
      </w:r>
      <w:r w:rsidR="007F0776">
        <w:t xml:space="preserve"> </w:t>
      </w:r>
      <w:r w:rsidR="00827ACE">
        <w:t xml:space="preserve"> </w:t>
      </w:r>
      <w:r w:rsidR="005C152C">
        <w:t xml:space="preserve">The design of the </w:t>
      </w:r>
      <w:r w:rsidR="007F0776">
        <w:rPr>
          <w:noProof/>
        </w:rPr>
        <w:drawing>
          <wp:anchor distT="0" distB="0" distL="114300" distR="114300" simplePos="0" relativeHeight="251660288" behindDoc="0" locked="0" layoutInCell="1" allowOverlap="1" wp14:anchorId="38451EBF" wp14:editId="4A02A06E">
            <wp:simplePos x="0" y="0"/>
            <wp:positionH relativeFrom="column">
              <wp:posOffset>4451350</wp:posOffset>
            </wp:positionH>
            <wp:positionV relativeFrom="paragraph">
              <wp:posOffset>1301750</wp:posOffset>
            </wp:positionV>
            <wp:extent cx="1386840" cy="2199005"/>
            <wp:effectExtent l="0" t="0" r="381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1316" r="33755"/>
                    <a:stretch/>
                  </pic:blipFill>
                  <pic:spPr bwMode="auto">
                    <a:xfrm>
                      <a:off x="0" y="0"/>
                      <a:ext cx="1386840" cy="2199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152C">
        <w:t>pot</w:t>
      </w:r>
      <w:r w:rsidR="00827ACE">
        <w:t xml:space="preserve"> also </w:t>
      </w:r>
      <w:r w:rsidR="00B469D8">
        <w:t>is close to</w:t>
      </w:r>
      <w:r w:rsidR="00827ACE">
        <w:t xml:space="preserve"> </w:t>
      </w:r>
      <w:r w:rsidR="005C152C">
        <w:t>the</w:t>
      </w:r>
      <w:r w:rsidR="00827ACE">
        <w:t xml:space="preserve"> fairly uniform </w:t>
      </w:r>
      <w:proofErr w:type="gramStart"/>
      <w:r w:rsidR="00827ACE">
        <w:t>shape</w:t>
      </w:r>
      <w:proofErr w:type="gramEnd"/>
      <w:r w:rsidR="00827ACE">
        <w:t xml:space="preserve"> which was established in the Middle Kingdom</w:t>
      </w:r>
      <w:r w:rsidR="005C152C">
        <w:t>,</w:t>
      </w:r>
      <w:r w:rsidR="00B469D8">
        <w:t xml:space="preserve"> further developed in the New Kingdom,</w:t>
      </w:r>
      <w:r w:rsidR="005C152C">
        <w:t xml:space="preserve"> with a base, round body and wide rim</w:t>
      </w:r>
      <w:r w:rsidR="00B469D8">
        <w:t xml:space="preserve"> (see figure </w:t>
      </w:r>
      <w:r>
        <w:t>2</w:t>
      </w:r>
      <w:r w:rsidR="00B469D8">
        <w:t xml:space="preserve"> and </w:t>
      </w:r>
      <w:r>
        <w:t>3</w:t>
      </w:r>
      <w:r w:rsidR="00B469D8">
        <w:t>)</w:t>
      </w:r>
      <w:r w:rsidR="005C152C">
        <w:t xml:space="preserve">.  It does however </w:t>
      </w:r>
      <w:r w:rsidR="00827ACE">
        <w:t>lack the lid which</w:t>
      </w:r>
      <w:r w:rsidR="00B469D8">
        <w:t xml:space="preserve"> is</w:t>
      </w:r>
      <w:r w:rsidR="00827ACE">
        <w:t xml:space="preserve"> </w:t>
      </w:r>
      <w:r w:rsidR="005C152C">
        <w:t>generally</w:t>
      </w:r>
      <w:r w:rsidR="00827ACE">
        <w:t xml:space="preserve"> associated with</w:t>
      </w:r>
      <w:r w:rsidR="005C152C">
        <w:t xml:space="preserve"> the</w:t>
      </w:r>
      <w:r w:rsidR="00B469D8">
        <w:t xml:space="preserve"> later</w:t>
      </w:r>
      <w:r w:rsidR="005C152C">
        <w:t xml:space="preserve"> style</w:t>
      </w:r>
      <w:r w:rsidR="00827ACE">
        <w:t>.</w:t>
      </w:r>
      <w:r w:rsidR="006B0562">
        <w:rPr>
          <w:rStyle w:val="FootnoteReference"/>
        </w:rPr>
        <w:footnoteReference w:id="10"/>
      </w:r>
      <w:r w:rsidR="00827ACE">
        <w:t xml:space="preserve">  We cannot be sure if this was by design, or if the lid was not found or</w:t>
      </w:r>
      <w:r w:rsidR="0006132A">
        <w:t xml:space="preserve"> simply</w:t>
      </w:r>
      <w:r w:rsidR="00827ACE">
        <w:t xml:space="preserve"> lost during handling.</w:t>
      </w:r>
      <w:r w:rsidR="00811DAD">
        <w:t xml:space="preserve">  If the former, there is an unlikely possibility that this was misidentified, and is an old kingdom water pot for scribes.</w:t>
      </w:r>
      <w:r w:rsidR="005C152C">
        <w:t xml:space="preserve">  </w:t>
      </w:r>
      <w:r w:rsidR="00811DAD">
        <w:t>T</w:t>
      </w:r>
      <w:r w:rsidR="005C152C">
        <w:t xml:space="preserve">he design and material of kohl pots varied throughout the ancient Egyptian period, with some containers from the old kingdom sharing </w:t>
      </w:r>
      <w:r w:rsidR="00811DAD">
        <w:t>similarities</w:t>
      </w:r>
      <w:r w:rsidR="005C152C">
        <w:t xml:space="preserve"> with those of the middle and new kingdom</w:t>
      </w:r>
      <w:r w:rsidR="00811DAD">
        <w:t xml:space="preserve"> whilst others would be considered wildly different.  However, it could be estimated that the kohl pot was produced at the end of the Middle Kingdom, or the very beginning of the </w:t>
      </w:r>
      <w:proofErr w:type="gramStart"/>
      <w:r w:rsidR="00811DAD">
        <w:t>New</w:t>
      </w:r>
      <w:proofErr w:type="gramEnd"/>
      <w:r w:rsidR="00811DAD">
        <w:t xml:space="preserve"> kingdom, as the trend in making kohl pots of faience was gaining momentum, but the wider transition to forming them into cylindrical containers had not yet become popular.</w:t>
      </w:r>
    </w:p>
    <w:p w14:paraId="5B488C8E" w14:textId="1E648556" w:rsidR="00B469D8" w:rsidRDefault="00F338CD">
      <w:r>
        <w:rPr>
          <w:noProof/>
        </w:rPr>
        <w:lastRenderedPageBreak/>
        <mc:AlternateContent>
          <mc:Choice Requires="wps">
            <w:drawing>
              <wp:anchor distT="45720" distB="45720" distL="114300" distR="114300" simplePos="0" relativeHeight="251666432" behindDoc="0" locked="0" layoutInCell="1" allowOverlap="1" wp14:anchorId="1D085DC0" wp14:editId="1DD5D371">
                <wp:simplePos x="0" y="0"/>
                <wp:positionH relativeFrom="margin">
                  <wp:align>left</wp:align>
                </wp:positionH>
                <wp:positionV relativeFrom="paragraph">
                  <wp:posOffset>2882900</wp:posOffset>
                </wp:positionV>
                <wp:extent cx="5372100" cy="406400"/>
                <wp:effectExtent l="0" t="0" r="1905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2100" cy="406400"/>
                        </a:xfrm>
                        <a:prstGeom prst="rect">
                          <a:avLst/>
                        </a:prstGeom>
                        <a:solidFill>
                          <a:srgbClr val="FFFFFF"/>
                        </a:solidFill>
                        <a:ln w="9525">
                          <a:solidFill>
                            <a:srgbClr val="000000"/>
                          </a:solidFill>
                          <a:miter lim="800000"/>
                          <a:headEnd/>
                          <a:tailEnd/>
                        </a:ln>
                      </wps:spPr>
                      <wps:txbx>
                        <w:txbxContent>
                          <w:p w14:paraId="6D83C158" w14:textId="6DDE66E6" w:rsidR="00F338CD" w:rsidRDefault="00F338CD" w:rsidP="00F338CD">
                            <w:pPr>
                              <w:spacing w:after="0" w:line="240" w:lineRule="auto"/>
                              <w:ind w:hanging="480"/>
                              <w:rPr>
                                <w:rFonts w:ascii="Times New Roman" w:eastAsia="Times New Roman" w:hAnsi="Times New Roman" w:cs="Times New Roman"/>
                                <w:sz w:val="24"/>
                                <w:szCs w:val="24"/>
                                <w:lang w:eastAsia="en-GB"/>
                              </w:rPr>
                            </w:pPr>
                            <w:r>
                              <w:rPr>
                                <w:sz w:val="18"/>
                                <w:szCs w:val="18"/>
                              </w:rPr>
                              <w:t xml:space="preserve">          </w:t>
                            </w:r>
                            <w:r w:rsidRPr="00F338CD">
                              <w:rPr>
                                <w:sz w:val="18"/>
                                <w:szCs w:val="18"/>
                              </w:rPr>
                              <w:t xml:space="preserve">Figure 2 (left) kohl container from Middle Kingdom and </w:t>
                            </w:r>
                            <w:r>
                              <w:rPr>
                                <w:sz w:val="18"/>
                                <w:szCs w:val="18"/>
                              </w:rPr>
                              <w:t>F</w:t>
                            </w:r>
                            <w:r w:rsidRPr="00F338CD">
                              <w:rPr>
                                <w:sz w:val="18"/>
                                <w:szCs w:val="18"/>
                              </w:rPr>
                              <w:t>igure 3 (right) Kohl container from new kingdom (18</w:t>
                            </w:r>
                            <w:r w:rsidRPr="00F338CD">
                              <w:rPr>
                                <w:sz w:val="18"/>
                                <w:szCs w:val="18"/>
                                <w:vertAlign w:val="superscript"/>
                              </w:rPr>
                              <w:t>th</w:t>
                            </w:r>
                            <w:r w:rsidRPr="00F338CD">
                              <w:rPr>
                                <w:sz w:val="18"/>
                                <w:szCs w:val="18"/>
                              </w:rPr>
                              <w:t xml:space="preserve"> dynasty)</w:t>
                            </w:r>
                            <w:r>
                              <w:rPr>
                                <w:sz w:val="18"/>
                                <w:szCs w:val="18"/>
                              </w:rPr>
                              <w:t xml:space="preserve"> from </w:t>
                            </w:r>
                            <w:r w:rsidRPr="00F338CD">
                              <w:rPr>
                                <w:rFonts w:eastAsia="Times New Roman" w:cstheme="minorHAnsi"/>
                                <w:sz w:val="18"/>
                                <w:szCs w:val="18"/>
                                <w:lang w:eastAsia="en-GB"/>
                              </w:rPr>
                              <w:t xml:space="preserve">&lt; </w:t>
                            </w:r>
                            <w:hyperlink r:id="rId12" w:history="1">
                              <w:r w:rsidRPr="00F338CD">
                                <w:rPr>
                                  <w:rStyle w:val="Hyperlink"/>
                                  <w:rFonts w:eastAsia="Times New Roman" w:cstheme="minorHAnsi"/>
                                  <w:sz w:val="18"/>
                                  <w:szCs w:val="18"/>
                                  <w:lang w:eastAsia="en-GB"/>
                                </w:rPr>
                                <w:t>https://www.metmuseum.org/art/the-collection</w:t>
                              </w:r>
                            </w:hyperlink>
                            <w:r w:rsidRPr="00F338CD">
                              <w:rPr>
                                <w:rFonts w:eastAsia="Times New Roman" w:cstheme="minorHAnsi"/>
                                <w:sz w:val="18"/>
                                <w:szCs w:val="18"/>
                                <w:lang w:eastAsia="en-GB"/>
                              </w:rPr>
                              <w:t xml:space="preserve"> &gt; [accessed 02/02/2023]</w:t>
                            </w:r>
                          </w:p>
                          <w:p w14:paraId="395457F5" w14:textId="729D33FF" w:rsidR="00F338CD" w:rsidRPr="00F338CD" w:rsidRDefault="00F338CD">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85DC0" id="_x0000_s1027" type="#_x0000_t202" style="position:absolute;margin-left:0;margin-top:227pt;width:423pt;height:32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">
                <v:textbox>
                  <w:txbxContent>
                    <w:p w14:paraId="6D83C158" w14:textId="6DDE66E6" w:rsidR="00F338CD" w:rsidRDefault="00F338CD" w:rsidP="00F338CD">
                      <w:pPr>
                        <w:spacing w:after="0" w:line="240" w:lineRule="auto"/>
                        <w:ind w:hanging="480"/>
                        <w:rPr>
                          <w:rFonts w:ascii="Times New Roman" w:eastAsia="Times New Roman" w:hAnsi="Times New Roman" w:cs="Times New Roman"/>
                          <w:sz w:val="24"/>
                          <w:szCs w:val="24"/>
                          <w:lang w:eastAsia="en-GB"/>
                        </w:rPr>
                      </w:pPr>
                      <w:r>
                        <w:rPr>
                          <w:sz w:val="18"/>
                          <w:szCs w:val="18"/>
                        </w:rPr>
                        <w:t xml:space="preserve">          </w:t>
                      </w:r>
                      <w:r w:rsidRPr="00F338CD">
                        <w:rPr>
                          <w:sz w:val="18"/>
                          <w:szCs w:val="18"/>
                        </w:rPr>
                        <w:t xml:space="preserve">Figure 2 (left) kohl container from Middle Kingdom and </w:t>
                      </w:r>
                      <w:r>
                        <w:rPr>
                          <w:sz w:val="18"/>
                          <w:szCs w:val="18"/>
                        </w:rPr>
                        <w:t>F</w:t>
                      </w:r>
                      <w:r w:rsidRPr="00F338CD">
                        <w:rPr>
                          <w:sz w:val="18"/>
                          <w:szCs w:val="18"/>
                        </w:rPr>
                        <w:t>igure 3 (right) Kohl container from new kingdom (18</w:t>
                      </w:r>
                      <w:r w:rsidRPr="00F338CD">
                        <w:rPr>
                          <w:sz w:val="18"/>
                          <w:szCs w:val="18"/>
                          <w:vertAlign w:val="superscript"/>
                        </w:rPr>
                        <w:t>th</w:t>
                      </w:r>
                      <w:r w:rsidRPr="00F338CD">
                        <w:rPr>
                          <w:sz w:val="18"/>
                          <w:szCs w:val="18"/>
                        </w:rPr>
                        <w:t xml:space="preserve"> dynasty)</w:t>
                      </w:r>
                      <w:r>
                        <w:rPr>
                          <w:sz w:val="18"/>
                          <w:szCs w:val="18"/>
                        </w:rPr>
                        <w:t xml:space="preserve"> from </w:t>
                      </w:r>
                      <w:r w:rsidRPr="00F338CD">
                        <w:rPr>
                          <w:rFonts w:eastAsia="Times New Roman" w:cstheme="minorHAnsi"/>
                          <w:sz w:val="18"/>
                          <w:szCs w:val="18"/>
                          <w:lang w:eastAsia="en-GB"/>
                        </w:rPr>
                        <w:t xml:space="preserve">&lt; </w:t>
                      </w:r>
                      <w:hyperlink r:id="rId13" w:history="1">
                        <w:r w:rsidRPr="00F338CD">
                          <w:rPr>
                            <w:rStyle w:val="Hyperlink"/>
                            <w:rFonts w:eastAsia="Times New Roman" w:cstheme="minorHAnsi"/>
                            <w:sz w:val="18"/>
                            <w:szCs w:val="18"/>
                            <w:lang w:eastAsia="en-GB"/>
                          </w:rPr>
                          <w:t>https://www.metmuseum.org/art/the-collection</w:t>
                        </w:r>
                      </w:hyperlink>
                      <w:r w:rsidRPr="00F338CD">
                        <w:rPr>
                          <w:rFonts w:eastAsia="Times New Roman" w:cstheme="minorHAnsi"/>
                          <w:sz w:val="18"/>
                          <w:szCs w:val="18"/>
                          <w:lang w:eastAsia="en-GB"/>
                        </w:rPr>
                        <w:t xml:space="preserve"> &gt; [accessed 02/02/2023]</w:t>
                      </w:r>
                    </w:p>
                    <w:p w14:paraId="395457F5" w14:textId="729D33FF" w:rsidR="00F338CD" w:rsidRPr="00F338CD" w:rsidRDefault="00F338CD">
                      <w:pPr>
                        <w:rPr>
                          <w:sz w:val="18"/>
                          <w:szCs w:val="18"/>
                        </w:rPr>
                      </w:pPr>
                    </w:p>
                  </w:txbxContent>
                </v:textbox>
                <w10:wrap type="square" anchorx="margin"/>
              </v:shape>
            </w:pict>
          </mc:Fallback>
        </mc:AlternateContent>
      </w:r>
      <w:r w:rsidR="00B469D8">
        <w:rPr>
          <w:noProof/>
        </w:rPr>
        <w:drawing>
          <wp:inline distT="0" distB="0" distL="0" distR="0" wp14:anchorId="58B01B3F" wp14:editId="22E4B267">
            <wp:extent cx="2204622" cy="2755900"/>
            <wp:effectExtent l="0" t="0" r="5715" b="6350"/>
            <wp:docPr id="3" name="Picture 3" descr="Kohl jar, Quar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hl jar, Quartz"/>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19659" cy="2774697"/>
                    </a:xfrm>
                    <a:prstGeom prst="rect">
                      <a:avLst/>
                    </a:prstGeom>
                    <a:noFill/>
                    <a:ln>
                      <a:noFill/>
                    </a:ln>
                  </pic:spPr>
                </pic:pic>
              </a:graphicData>
            </a:graphic>
          </wp:inline>
        </w:drawing>
      </w:r>
      <w:r w:rsidR="00B469D8">
        <w:t xml:space="preserve">    </w:t>
      </w:r>
      <w:r w:rsidR="00B469D8">
        <w:rPr>
          <w:noProof/>
        </w:rPr>
        <w:drawing>
          <wp:inline distT="0" distB="0" distL="0" distR="0" wp14:anchorId="017D7FFF" wp14:editId="051B31BB">
            <wp:extent cx="2203450" cy="2737102"/>
            <wp:effectExtent l="0" t="0" r="6350" b="6350"/>
            <wp:docPr id="4" name="Picture 4" descr="Kohl jar, Serpentini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hl jar, Serpentinit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16659" cy="2753511"/>
                    </a:xfrm>
                    <a:prstGeom prst="rect">
                      <a:avLst/>
                    </a:prstGeom>
                    <a:noFill/>
                    <a:ln>
                      <a:noFill/>
                    </a:ln>
                  </pic:spPr>
                </pic:pic>
              </a:graphicData>
            </a:graphic>
          </wp:inline>
        </w:drawing>
      </w:r>
    </w:p>
    <w:p w14:paraId="4548A439" w14:textId="62519E6A" w:rsidR="005C152C" w:rsidRDefault="00E70F72">
      <w:r>
        <w:t>A faience kohl pot’s presence in a burial provide</w:t>
      </w:r>
      <w:r w:rsidR="00574169">
        <w:t>s</w:t>
      </w:r>
      <w:r>
        <w:t xml:space="preserve"> </w:t>
      </w:r>
      <w:proofErr w:type="gramStart"/>
      <w:r>
        <w:t>particular insight</w:t>
      </w:r>
      <w:proofErr w:type="gramEnd"/>
      <w:r>
        <w:t xml:space="preserve"> into Egyptian beliefs in the afterlife.  The gleaming glaze used to make the pot was often associated with the shining sun and stars.</w:t>
      </w:r>
      <w:r w:rsidR="00105CA9">
        <w:rPr>
          <w:rStyle w:val="FootnoteReference"/>
        </w:rPr>
        <w:footnoteReference w:id="11"/>
      </w:r>
      <w:r>
        <w:t xml:space="preserve">  </w:t>
      </w:r>
      <w:r w:rsidR="00574169">
        <w:t>The make-up it was made to hold – through equation with the Eye of Horus – shared similar symbology.   An emblem of the sun reborn through the god it represented</w:t>
      </w:r>
      <w:r w:rsidR="00157FE7">
        <w:t xml:space="preserve"> and the moon through another belief that it was one of two eyes of the falcon which was the sky.  The belief that the dead would be resurrected with the sun, joining its cycle, was an essential component of Ancient Egyptian funerary beliefs.</w:t>
      </w:r>
      <w:r w:rsidR="00105CA9">
        <w:rPr>
          <w:rStyle w:val="FootnoteReference"/>
        </w:rPr>
        <w:footnoteReference w:id="12"/>
      </w:r>
      <w:r w:rsidR="00157FE7">
        <w:t xml:space="preserve">  The glaze’s presence in a tomb could point to a reemphasis of this, or of everything in the tomb being imbued with the spiritual energy to be used in the afterlife along with the rebirth of the person.  </w:t>
      </w:r>
      <w:r w:rsidR="005C152C">
        <w:t>Another layer to this link to resurrection through the kohl pot could be the similarities between the necessity to apply kohl daily, and the daily rising of the sun. The faience</w:t>
      </w:r>
      <w:r w:rsidR="00157FE7">
        <w:t xml:space="preserve"> also links to an older belief that the deceased would join the gods in the stars</w:t>
      </w:r>
      <w:r w:rsidR="005C152C">
        <w:t>; one of the reasons for the alignment and positioning of many early pyramids and temples.</w:t>
      </w:r>
      <w:r w:rsidR="00105CA9">
        <w:rPr>
          <w:rStyle w:val="FootnoteReference"/>
        </w:rPr>
        <w:footnoteReference w:id="13"/>
      </w:r>
      <w:r w:rsidR="00226A61">
        <w:t xml:space="preserve">  </w:t>
      </w:r>
      <w:r w:rsidR="009D01C8">
        <w:t>The faience of vivid blue and peppering of white reinforces the idea of the night sky present with the deceased, and the round design seems to echo the cyclical nature of life which the ancient Egyptians believed in.  A tangential insight into the funerary beliefs of the ancient Egyptians comes once more through the link to the Eye of Horus.  In ancient Egyptian anatomy, the Egyptians connected various senses to sections of the Eye.</w:t>
      </w:r>
      <w:r w:rsidR="00BA3FEE">
        <w:rPr>
          <w:rStyle w:val="FootnoteReference"/>
        </w:rPr>
        <w:footnoteReference w:id="14"/>
      </w:r>
      <w:r w:rsidR="009D01C8">
        <w:t xml:space="preserve">  Its presence in a tomb, as well as anything associated with it, could therefore also be a call to reawaken or repair the senses of the mummy, or to have them heightened to divine levels in their </w:t>
      </w:r>
      <w:r w:rsidR="009D01C8">
        <w:lastRenderedPageBreak/>
        <w:t>new life, a significant invocation if the deceased had deficient sight, hearing,</w:t>
      </w:r>
      <w:r w:rsidR="0006132A">
        <w:t xml:space="preserve"> or (perceived) </w:t>
      </w:r>
      <w:r w:rsidR="009D01C8">
        <w:t>intelligence</w:t>
      </w:r>
      <w:r w:rsidR="0006132A">
        <w:t>, among any other number of issues.</w:t>
      </w:r>
    </w:p>
    <w:p w14:paraId="27BFD5CE" w14:textId="4BDA3A37" w:rsidR="00226A61" w:rsidRDefault="00226A61">
      <w:r>
        <w:t xml:space="preserve">In general, kohl pots seemed to serve </w:t>
      </w:r>
      <w:proofErr w:type="gramStart"/>
      <w:r>
        <w:t>a number of</w:t>
      </w:r>
      <w:proofErr w:type="gramEnd"/>
      <w:r>
        <w:t xml:space="preserve"> symbolic functions in a tomb, largely as a practical necessity for the afterlife, but also through connection with rebirth in varied ways.  They </w:t>
      </w:r>
      <w:r w:rsidR="009D01C8">
        <w:t>were</w:t>
      </w:r>
      <w:r>
        <w:t xml:space="preserve"> often painted with lotus designs to emphasis this connection</w:t>
      </w:r>
      <w:r w:rsidR="0006132A">
        <w:t xml:space="preserve"> (see figure </w:t>
      </w:r>
      <w:r w:rsidR="00F338CD">
        <w:t>4</w:t>
      </w:r>
      <w:r w:rsidR="0006132A">
        <w:t>)</w:t>
      </w:r>
      <w:r w:rsidR="009D01C8">
        <w:t xml:space="preserve">.  There are also examples of kohl pots, indicating how important and personal the inclusion of these containers </w:t>
      </w:r>
      <w:proofErr w:type="gramStart"/>
      <w:r w:rsidR="009D01C8">
        <w:t>were</w:t>
      </w:r>
      <w:proofErr w:type="gramEnd"/>
      <w:r w:rsidR="0006132A">
        <w:t xml:space="preserve"> in a burial</w:t>
      </w:r>
      <w:r w:rsidR="009D01C8">
        <w:t>, w</w:t>
      </w:r>
      <w:r w:rsidR="0006132A">
        <w:t>hich have</w:t>
      </w:r>
      <w:r w:rsidR="009D01C8">
        <w:t xml:space="preserve"> the names of the deceased etched or painted on as seen in figure </w:t>
      </w:r>
      <w:r w:rsidR="00F338CD">
        <w:t>5</w:t>
      </w:r>
      <w:r w:rsidR="0006132A">
        <w:t>.</w:t>
      </w:r>
    </w:p>
    <w:p w14:paraId="65ACB720" w14:textId="36BF14A5" w:rsidR="00F34D78" w:rsidRDefault="00F34D78" w:rsidP="00F34D78">
      <w:r>
        <w:rPr>
          <w:noProof/>
        </w:rPr>
        <w:drawing>
          <wp:anchor distT="0" distB="0" distL="114300" distR="114300" simplePos="0" relativeHeight="251662336" behindDoc="0" locked="0" layoutInCell="1" allowOverlap="1" wp14:anchorId="36E1C062" wp14:editId="4E49AA82">
            <wp:simplePos x="0" y="0"/>
            <wp:positionH relativeFrom="margin">
              <wp:align>left</wp:align>
            </wp:positionH>
            <wp:positionV relativeFrom="paragraph">
              <wp:posOffset>287655</wp:posOffset>
            </wp:positionV>
            <wp:extent cx="2138680" cy="1924050"/>
            <wp:effectExtent l="0" t="0" r="0" b="0"/>
            <wp:wrapSquare wrapText="bothSides"/>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8401" t="14821" r="28737" b="11572"/>
                    <a:stretch/>
                  </pic:blipFill>
                  <pic:spPr bwMode="auto">
                    <a:xfrm>
                      <a:off x="0" y="0"/>
                      <a:ext cx="2138680" cy="19240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C1DB22" w14:textId="6C73BD09" w:rsidR="00F34D78" w:rsidRDefault="00A01CA8" w:rsidP="00F34D78">
      <w:r w:rsidRPr="00F338CD">
        <w:rPr>
          <w:rFonts w:cstheme="minorHAnsi"/>
          <w:noProof/>
        </w:rPr>
        <mc:AlternateContent>
          <mc:Choice Requires="wps">
            <w:drawing>
              <wp:anchor distT="45720" distB="45720" distL="114300" distR="114300" simplePos="0" relativeHeight="251668480" behindDoc="0" locked="0" layoutInCell="1" allowOverlap="1" wp14:anchorId="064518A2" wp14:editId="2A8F6954">
                <wp:simplePos x="0" y="0"/>
                <wp:positionH relativeFrom="column">
                  <wp:posOffset>176530</wp:posOffset>
                </wp:positionH>
                <wp:positionV relativeFrom="paragraph">
                  <wp:posOffset>1891665</wp:posOffset>
                </wp:positionV>
                <wp:extent cx="2360930" cy="723900"/>
                <wp:effectExtent l="0" t="0" r="1270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1001DC2E" w14:textId="5B297FBE" w:rsidR="00A01CA8" w:rsidRDefault="00A01CA8" w:rsidP="00A01CA8">
                            <w:pPr>
                              <w:spacing w:after="0" w:line="240" w:lineRule="auto"/>
                              <w:ind w:hanging="480"/>
                              <w:rPr>
                                <w:rFonts w:ascii="Times New Roman" w:eastAsia="Times New Roman" w:hAnsi="Times New Roman" w:cs="Times New Roman"/>
                                <w:sz w:val="24"/>
                                <w:szCs w:val="24"/>
                                <w:lang w:eastAsia="en-GB"/>
                              </w:rPr>
                            </w:pPr>
                            <w:r w:rsidRPr="00A01CA8">
                              <w:rPr>
                                <w:sz w:val="18"/>
                                <w:szCs w:val="18"/>
                              </w:rPr>
                              <w:t xml:space="preserve">          </w:t>
                            </w:r>
                            <w:r w:rsidR="00F338CD" w:rsidRPr="00A01CA8">
                              <w:rPr>
                                <w:sz w:val="18"/>
                                <w:szCs w:val="18"/>
                              </w:rPr>
                              <w:t xml:space="preserve">Figure 4. Kohl pot with black lotus </w:t>
                            </w:r>
                            <w:r w:rsidRPr="00A01CA8">
                              <w:rPr>
                                <w:sz w:val="18"/>
                                <w:szCs w:val="18"/>
                              </w:rPr>
                              <w:t xml:space="preserve">design from </w:t>
                            </w:r>
                            <w:r w:rsidRPr="00A01CA8">
                              <w:rPr>
                                <w:rFonts w:ascii="Times New Roman" w:eastAsia="Times New Roman" w:hAnsi="Times New Roman" w:cs="Times New Roman"/>
                                <w:sz w:val="18"/>
                                <w:szCs w:val="18"/>
                                <w:lang w:eastAsia="en-GB"/>
                              </w:rPr>
                              <w:t>&lt;</w:t>
                            </w:r>
                            <w:hyperlink r:id="rId17" w:history="1">
                              <w:r w:rsidRPr="00A45BF4">
                                <w:rPr>
                                  <w:rStyle w:val="Hyperlink"/>
                                  <w:rFonts w:eastAsia="Times New Roman" w:cstheme="minorHAnsi"/>
                                  <w:sz w:val="18"/>
                                  <w:szCs w:val="18"/>
                                  <w:lang w:eastAsia="en-GB"/>
                                </w:rPr>
                                <w:t>https://www.britishmuseum.org/collection/egypt</w:t>
                              </w:r>
                            </w:hyperlink>
                            <w:r w:rsidRPr="00A01CA8">
                              <w:rPr>
                                <w:rFonts w:eastAsia="Times New Roman" w:cstheme="minorHAnsi"/>
                                <w:sz w:val="18"/>
                                <w:szCs w:val="18"/>
                                <w:lang w:eastAsia="en-GB"/>
                              </w:rPr>
                              <w:t xml:space="preserve"> &gt; [accessed 02/02/2023]</w:t>
                            </w:r>
                          </w:p>
                          <w:p w14:paraId="0DF82268" w14:textId="32689618" w:rsidR="00F338CD" w:rsidRDefault="00F338C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64518A2" id="_x0000_s1028" type="#_x0000_t202" style="position:absolute;margin-left:13.9pt;margin-top:148.95pt;width:185.9pt;height:57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">
                <v:textbox>
                  <w:txbxContent>
                    <w:p w14:paraId="1001DC2E" w14:textId="5B297FBE" w:rsidR="00A01CA8" w:rsidRDefault="00A01CA8" w:rsidP="00A01CA8">
                      <w:pPr>
                        <w:spacing w:after="0" w:line="240" w:lineRule="auto"/>
                        <w:ind w:hanging="480"/>
                        <w:rPr>
                          <w:rFonts w:ascii="Times New Roman" w:eastAsia="Times New Roman" w:hAnsi="Times New Roman" w:cs="Times New Roman"/>
                          <w:sz w:val="24"/>
                          <w:szCs w:val="24"/>
                          <w:lang w:eastAsia="en-GB"/>
                        </w:rPr>
                      </w:pPr>
                      <w:r w:rsidRPr="00A01CA8">
                        <w:rPr>
                          <w:sz w:val="18"/>
                          <w:szCs w:val="18"/>
                        </w:rPr>
                        <w:t xml:space="preserve">          </w:t>
                      </w:r>
                      <w:r w:rsidR="00F338CD" w:rsidRPr="00A01CA8">
                        <w:rPr>
                          <w:sz w:val="18"/>
                          <w:szCs w:val="18"/>
                        </w:rPr>
                        <w:t xml:space="preserve">Figure 4. Kohl pot with black lotus </w:t>
                      </w:r>
                      <w:r w:rsidRPr="00A01CA8">
                        <w:rPr>
                          <w:sz w:val="18"/>
                          <w:szCs w:val="18"/>
                        </w:rPr>
                        <w:t xml:space="preserve">design from </w:t>
                      </w:r>
                      <w:r w:rsidRPr="00A01CA8">
                        <w:rPr>
                          <w:rFonts w:ascii="Times New Roman" w:eastAsia="Times New Roman" w:hAnsi="Times New Roman" w:cs="Times New Roman"/>
                          <w:sz w:val="18"/>
                          <w:szCs w:val="18"/>
                          <w:lang w:eastAsia="en-GB"/>
                        </w:rPr>
                        <w:t>&lt;</w:t>
                      </w:r>
                      <w:hyperlink r:id="rId18" w:history="1">
                        <w:r w:rsidRPr="00A45BF4">
                          <w:rPr>
                            <w:rStyle w:val="Hyperlink"/>
                            <w:rFonts w:eastAsia="Times New Roman" w:cstheme="minorHAnsi"/>
                            <w:sz w:val="18"/>
                            <w:szCs w:val="18"/>
                            <w:lang w:eastAsia="en-GB"/>
                          </w:rPr>
                          <w:t>https://www.britishmuseum.org/collection/egypt</w:t>
                        </w:r>
                      </w:hyperlink>
                      <w:r w:rsidRPr="00A01CA8">
                        <w:rPr>
                          <w:rFonts w:eastAsia="Times New Roman" w:cstheme="minorHAnsi"/>
                          <w:sz w:val="18"/>
                          <w:szCs w:val="18"/>
                          <w:lang w:eastAsia="en-GB"/>
                        </w:rPr>
                        <w:t xml:space="preserve"> &gt; [accessed 02/02/2023]</w:t>
                      </w:r>
                    </w:p>
                    <w:p w14:paraId="0DF82268" w14:textId="32689618" w:rsidR="00F338CD" w:rsidRDefault="00F338CD"/>
                  </w:txbxContent>
                </v:textbox>
                <w10:wrap type="square"/>
              </v:shape>
            </w:pict>
          </mc:Fallback>
        </mc:AlternateContent>
      </w:r>
      <w:r w:rsidR="00F34D78">
        <w:t xml:space="preserve">                 </w:t>
      </w:r>
      <w:r w:rsidR="00F34D78">
        <w:rPr>
          <w:noProof/>
        </w:rPr>
        <w:drawing>
          <wp:inline distT="0" distB="0" distL="0" distR="0" wp14:anchorId="3F2246DE" wp14:editId="4AD3B477">
            <wp:extent cx="2247900" cy="2395585"/>
            <wp:effectExtent l="0" t="0" r="0" b="5080"/>
            <wp:docPr id="5" name="Picture 5" descr="Kohl Jar Inscribed with the Names of Amenhotep III and Queen Tiye, Faien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hl Jar Inscribed with the Names of Amenhotep III and Queen Tiye, Faience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61961" cy="2410569"/>
                    </a:xfrm>
                    <a:prstGeom prst="rect">
                      <a:avLst/>
                    </a:prstGeom>
                    <a:noFill/>
                    <a:ln>
                      <a:noFill/>
                    </a:ln>
                  </pic:spPr>
                </pic:pic>
              </a:graphicData>
            </a:graphic>
          </wp:inline>
        </w:drawing>
      </w:r>
    </w:p>
    <w:p w14:paraId="54B62543" w14:textId="034F1018" w:rsidR="00F34D78" w:rsidRDefault="00A01CA8" w:rsidP="00F34D78">
      <w:r w:rsidRPr="00F338CD">
        <w:rPr>
          <w:rFonts w:cstheme="minorHAnsi"/>
          <w:noProof/>
        </w:rPr>
        <mc:AlternateContent>
          <mc:Choice Requires="wps">
            <w:drawing>
              <wp:anchor distT="45720" distB="45720" distL="114300" distR="114300" simplePos="0" relativeHeight="251670528" behindDoc="0" locked="0" layoutInCell="1" allowOverlap="1" wp14:anchorId="36D1E921" wp14:editId="53D9C335">
                <wp:simplePos x="0" y="0"/>
                <wp:positionH relativeFrom="column">
                  <wp:posOffset>3124200</wp:posOffset>
                </wp:positionH>
                <wp:positionV relativeFrom="paragraph">
                  <wp:posOffset>6985</wp:posOffset>
                </wp:positionV>
                <wp:extent cx="2360930" cy="723900"/>
                <wp:effectExtent l="0" t="0" r="1270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solidFill>
                          <a:srgbClr val="FFFFFF"/>
                        </a:solidFill>
                        <a:ln w="9525">
                          <a:solidFill>
                            <a:srgbClr val="000000"/>
                          </a:solidFill>
                          <a:miter lim="800000"/>
                          <a:headEnd/>
                          <a:tailEnd/>
                        </a:ln>
                      </wps:spPr>
                      <wps:txbx>
                        <w:txbxContent>
                          <w:p w14:paraId="3C90713F" w14:textId="6061A5DA" w:rsidR="00A01CA8" w:rsidRDefault="00A01CA8" w:rsidP="00A01CA8">
                            <w:pPr>
                              <w:spacing w:after="0" w:line="240" w:lineRule="auto"/>
                              <w:ind w:hanging="480"/>
                              <w:rPr>
                                <w:rFonts w:ascii="Times New Roman" w:eastAsia="Times New Roman" w:hAnsi="Times New Roman" w:cs="Times New Roman"/>
                                <w:sz w:val="24"/>
                                <w:szCs w:val="24"/>
                                <w:lang w:eastAsia="en-GB"/>
                              </w:rPr>
                            </w:pPr>
                            <w:r w:rsidRPr="00A01CA8">
                              <w:rPr>
                                <w:sz w:val="18"/>
                                <w:szCs w:val="18"/>
                              </w:rPr>
                              <w:t xml:space="preserve">          Figure </w:t>
                            </w:r>
                            <w:r>
                              <w:rPr>
                                <w:sz w:val="18"/>
                                <w:szCs w:val="18"/>
                              </w:rPr>
                              <w:t>5</w:t>
                            </w:r>
                            <w:r w:rsidRPr="00A01CA8">
                              <w:rPr>
                                <w:sz w:val="18"/>
                                <w:szCs w:val="18"/>
                              </w:rPr>
                              <w:t xml:space="preserve">. Kohl pot with </w:t>
                            </w:r>
                            <w:r>
                              <w:rPr>
                                <w:sz w:val="18"/>
                                <w:szCs w:val="18"/>
                              </w:rPr>
                              <w:t>names of Amenhotep 3</w:t>
                            </w:r>
                            <w:r w:rsidRPr="00A01CA8">
                              <w:rPr>
                                <w:sz w:val="18"/>
                                <w:szCs w:val="18"/>
                                <w:vertAlign w:val="superscript"/>
                              </w:rPr>
                              <w:t>rd</w:t>
                            </w:r>
                            <w:r>
                              <w:rPr>
                                <w:sz w:val="18"/>
                                <w:szCs w:val="18"/>
                              </w:rPr>
                              <w:t xml:space="preserve"> queen </w:t>
                            </w:r>
                            <w:proofErr w:type="spellStart"/>
                            <w:r>
                              <w:rPr>
                                <w:sz w:val="18"/>
                                <w:szCs w:val="18"/>
                              </w:rPr>
                              <w:t>Tiye</w:t>
                            </w:r>
                            <w:proofErr w:type="spellEnd"/>
                            <w:r>
                              <w:rPr>
                                <w:sz w:val="18"/>
                                <w:szCs w:val="18"/>
                              </w:rPr>
                              <w:t xml:space="preserve"> inscribed </w:t>
                            </w:r>
                            <w:r w:rsidRPr="00A01CA8">
                              <w:rPr>
                                <w:sz w:val="18"/>
                                <w:szCs w:val="18"/>
                              </w:rPr>
                              <w:t xml:space="preserve">from </w:t>
                            </w:r>
                          </w:p>
                          <w:p w14:paraId="0C555A47" w14:textId="4A6C2962" w:rsidR="00A01CA8" w:rsidRDefault="00A01CA8" w:rsidP="00A01CA8">
                            <w:r w:rsidRPr="00F338CD">
                              <w:rPr>
                                <w:rFonts w:eastAsia="Times New Roman" w:cstheme="minorHAnsi"/>
                                <w:sz w:val="18"/>
                                <w:szCs w:val="18"/>
                                <w:lang w:eastAsia="en-GB"/>
                              </w:rPr>
                              <w:t xml:space="preserve">&lt; </w:t>
                            </w:r>
                            <w:hyperlink r:id="rId20" w:history="1">
                              <w:r w:rsidRPr="00F338CD">
                                <w:rPr>
                                  <w:rStyle w:val="Hyperlink"/>
                                  <w:rFonts w:eastAsia="Times New Roman" w:cstheme="minorHAnsi"/>
                                  <w:sz w:val="18"/>
                                  <w:szCs w:val="18"/>
                                  <w:lang w:eastAsia="en-GB"/>
                                </w:rPr>
                                <w:t>https://www.metmuseum.org/art/the-collection</w:t>
                              </w:r>
                            </w:hyperlink>
                            <w:r w:rsidRPr="00F338CD">
                              <w:rPr>
                                <w:rFonts w:eastAsia="Times New Roman" w:cstheme="minorHAnsi"/>
                                <w:sz w:val="18"/>
                                <w:szCs w:val="18"/>
                                <w:lang w:eastAsia="en-GB"/>
                              </w:rPr>
                              <w:t xml:space="preserve"> &gt; [accessed 02/02/2023]</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6D1E921" id="_x0000_s1029" type="#_x0000_t202" style="position:absolute;margin-left:246pt;margin-top:.55pt;width:185.9pt;height:57pt;z-index:2516705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">
                <v:textbox>
                  <w:txbxContent>
                    <w:p w14:paraId="3C90713F" w14:textId="6061A5DA" w:rsidR="00A01CA8" w:rsidRDefault="00A01CA8" w:rsidP="00A01CA8">
                      <w:pPr>
                        <w:spacing w:after="0" w:line="240" w:lineRule="auto"/>
                        <w:ind w:hanging="480"/>
                        <w:rPr>
                          <w:rFonts w:ascii="Times New Roman" w:eastAsia="Times New Roman" w:hAnsi="Times New Roman" w:cs="Times New Roman"/>
                          <w:sz w:val="24"/>
                          <w:szCs w:val="24"/>
                          <w:lang w:eastAsia="en-GB"/>
                        </w:rPr>
                      </w:pPr>
                      <w:r w:rsidRPr="00A01CA8">
                        <w:rPr>
                          <w:sz w:val="18"/>
                          <w:szCs w:val="18"/>
                        </w:rPr>
                        <w:t xml:space="preserve">          Figure </w:t>
                      </w:r>
                      <w:r>
                        <w:rPr>
                          <w:sz w:val="18"/>
                          <w:szCs w:val="18"/>
                        </w:rPr>
                        <w:t>5</w:t>
                      </w:r>
                      <w:r w:rsidRPr="00A01CA8">
                        <w:rPr>
                          <w:sz w:val="18"/>
                          <w:szCs w:val="18"/>
                        </w:rPr>
                        <w:t xml:space="preserve">. Kohl pot with </w:t>
                      </w:r>
                      <w:r>
                        <w:rPr>
                          <w:sz w:val="18"/>
                          <w:szCs w:val="18"/>
                        </w:rPr>
                        <w:t>names of Amenhotep 3</w:t>
                      </w:r>
                      <w:r w:rsidRPr="00A01CA8">
                        <w:rPr>
                          <w:sz w:val="18"/>
                          <w:szCs w:val="18"/>
                          <w:vertAlign w:val="superscript"/>
                        </w:rPr>
                        <w:t>rd</w:t>
                      </w:r>
                      <w:r>
                        <w:rPr>
                          <w:sz w:val="18"/>
                          <w:szCs w:val="18"/>
                        </w:rPr>
                        <w:t xml:space="preserve"> queen </w:t>
                      </w:r>
                      <w:proofErr w:type="spellStart"/>
                      <w:r>
                        <w:rPr>
                          <w:sz w:val="18"/>
                          <w:szCs w:val="18"/>
                        </w:rPr>
                        <w:t>Tiye</w:t>
                      </w:r>
                      <w:proofErr w:type="spellEnd"/>
                      <w:r>
                        <w:rPr>
                          <w:sz w:val="18"/>
                          <w:szCs w:val="18"/>
                        </w:rPr>
                        <w:t xml:space="preserve"> inscribed </w:t>
                      </w:r>
                      <w:r w:rsidRPr="00A01CA8">
                        <w:rPr>
                          <w:sz w:val="18"/>
                          <w:szCs w:val="18"/>
                        </w:rPr>
                        <w:t xml:space="preserve">from </w:t>
                      </w:r>
                    </w:p>
                    <w:p w14:paraId="0C555A47" w14:textId="4A6C2962" w:rsidR="00A01CA8" w:rsidRDefault="00A01CA8" w:rsidP="00A01CA8">
                      <w:r w:rsidRPr="00F338CD">
                        <w:rPr>
                          <w:rFonts w:eastAsia="Times New Roman" w:cstheme="minorHAnsi"/>
                          <w:sz w:val="18"/>
                          <w:szCs w:val="18"/>
                          <w:lang w:eastAsia="en-GB"/>
                        </w:rPr>
                        <w:t xml:space="preserve">&lt; </w:t>
                      </w:r>
                      <w:hyperlink r:id="rId21" w:history="1">
                        <w:r w:rsidRPr="00F338CD">
                          <w:rPr>
                            <w:rStyle w:val="Hyperlink"/>
                            <w:rFonts w:eastAsia="Times New Roman" w:cstheme="minorHAnsi"/>
                            <w:sz w:val="18"/>
                            <w:szCs w:val="18"/>
                            <w:lang w:eastAsia="en-GB"/>
                          </w:rPr>
                          <w:t>https://www.metmuseum.org/art/the-collection</w:t>
                        </w:r>
                      </w:hyperlink>
                      <w:r w:rsidRPr="00F338CD">
                        <w:rPr>
                          <w:rFonts w:eastAsia="Times New Roman" w:cstheme="minorHAnsi"/>
                          <w:sz w:val="18"/>
                          <w:szCs w:val="18"/>
                          <w:lang w:eastAsia="en-GB"/>
                        </w:rPr>
                        <w:t xml:space="preserve"> &gt; [accessed 02/02/2023]</w:t>
                      </w:r>
                    </w:p>
                  </w:txbxContent>
                </v:textbox>
                <w10:wrap type="square"/>
              </v:shape>
            </w:pict>
          </mc:Fallback>
        </mc:AlternateContent>
      </w:r>
    </w:p>
    <w:p w14:paraId="73C01DB9" w14:textId="5D00D097" w:rsidR="00BA3FEE" w:rsidRDefault="00BA3FEE" w:rsidP="00F34D78">
      <w:pPr>
        <w:rPr>
          <w:rFonts w:cstheme="minorHAnsi"/>
        </w:rPr>
      </w:pPr>
    </w:p>
    <w:p w14:paraId="5C22448C" w14:textId="56CE310F" w:rsidR="00BA3FEE" w:rsidRDefault="00BA3FEE" w:rsidP="00F34D78">
      <w:pPr>
        <w:rPr>
          <w:rFonts w:cstheme="minorHAnsi"/>
        </w:rPr>
      </w:pPr>
    </w:p>
    <w:p w14:paraId="5B8C269F" w14:textId="77777777" w:rsidR="00BA3FEE" w:rsidRDefault="00BA3FEE" w:rsidP="00F34D78">
      <w:pPr>
        <w:rPr>
          <w:rFonts w:cstheme="minorHAnsi"/>
        </w:rPr>
      </w:pPr>
    </w:p>
    <w:p w14:paraId="1BE378A1" w14:textId="77777777" w:rsidR="00BA3FEE" w:rsidRDefault="00BA3FEE" w:rsidP="00F34D78">
      <w:pPr>
        <w:rPr>
          <w:rFonts w:cstheme="minorHAnsi"/>
        </w:rPr>
      </w:pPr>
    </w:p>
    <w:p w14:paraId="4DEA3F52" w14:textId="77777777" w:rsidR="00BA3FEE" w:rsidRDefault="00BA3FEE" w:rsidP="00F34D78">
      <w:pPr>
        <w:rPr>
          <w:rFonts w:cstheme="minorHAnsi"/>
        </w:rPr>
      </w:pPr>
    </w:p>
    <w:p w14:paraId="4FA76BF0" w14:textId="77777777" w:rsidR="00BA3FEE" w:rsidRDefault="00BA3FEE" w:rsidP="00F34D78">
      <w:pPr>
        <w:rPr>
          <w:rFonts w:cstheme="minorHAnsi"/>
        </w:rPr>
      </w:pPr>
    </w:p>
    <w:p w14:paraId="36E82FB2" w14:textId="77777777" w:rsidR="00BA3FEE" w:rsidRDefault="00BA3FEE" w:rsidP="00F34D78">
      <w:pPr>
        <w:rPr>
          <w:rFonts w:cstheme="minorHAnsi"/>
        </w:rPr>
      </w:pPr>
    </w:p>
    <w:p w14:paraId="6C491396" w14:textId="77777777" w:rsidR="00BA3FEE" w:rsidRDefault="00BA3FEE" w:rsidP="00F34D78">
      <w:pPr>
        <w:rPr>
          <w:rFonts w:cstheme="minorHAnsi"/>
        </w:rPr>
      </w:pPr>
    </w:p>
    <w:p w14:paraId="605FBD7A" w14:textId="77777777" w:rsidR="00BA3FEE" w:rsidRDefault="00BA3FEE" w:rsidP="00F34D78">
      <w:pPr>
        <w:rPr>
          <w:rFonts w:cstheme="minorHAnsi"/>
        </w:rPr>
      </w:pPr>
    </w:p>
    <w:p w14:paraId="763E9AB8" w14:textId="77777777" w:rsidR="00BA3FEE" w:rsidRDefault="00BA3FEE" w:rsidP="00F34D78">
      <w:pPr>
        <w:rPr>
          <w:rFonts w:cstheme="minorHAnsi"/>
        </w:rPr>
      </w:pPr>
    </w:p>
    <w:p w14:paraId="741AC7A8" w14:textId="77777777" w:rsidR="00BA3FEE" w:rsidRDefault="00BA3FEE" w:rsidP="00F34D78">
      <w:pPr>
        <w:rPr>
          <w:rFonts w:cstheme="minorHAnsi"/>
        </w:rPr>
      </w:pPr>
    </w:p>
    <w:p w14:paraId="08CD108C" w14:textId="77777777" w:rsidR="00BA3FEE" w:rsidRDefault="00BA3FEE" w:rsidP="00F34D78">
      <w:pPr>
        <w:rPr>
          <w:rFonts w:cstheme="minorHAnsi"/>
        </w:rPr>
      </w:pPr>
    </w:p>
    <w:p w14:paraId="329FAA90" w14:textId="77777777" w:rsidR="00BA3FEE" w:rsidRDefault="00BA3FEE" w:rsidP="00F34D78">
      <w:pPr>
        <w:rPr>
          <w:rFonts w:cstheme="minorHAnsi"/>
        </w:rPr>
      </w:pPr>
    </w:p>
    <w:p w14:paraId="08B2FAC0" w14:textId="77777777" w:rsidR="00BA3FEE" w:rsidRDefault="00BA3FEE" w:rsidP="00F34D78">
      <w:pPr>
        <w:rPr>
          <w:rFonts w:cstheme="minorHAnsi"/>
        </w:rPr>
      </w:pPr>
    </w:p>
    <w:p w14:paraId="1CB672F2" w14:textId="77777777" w:rsidR="00BA3FEE" w:rsidRDefault="00BA3FEE" w:rsidP="00F34D78">
      <w:pPr>
        <w:rPr>
          <w:rFonts w:cstheme="minorHAnsi"/>
        </w:rPr>
      </w:pPr>
    </w:p>
    <w:p w14:paraId="5BE6BA16" w14:textId="554A4142" w:rsidR="00F34D78" w:rsidRPr="00BA3FEE" w:rsidRDefault="00F34D78" w:rsidP="00F34D78">
      <w:pPr>
        <w:rPr>
          <w:rFonts w:cstheme="minorHAnsi"/>
        </w:rPr>
      </w:pPr>
      <w:r w:rsidRPr="00BA3FEE">
        <w:rPr>
          <w:rFonts w:cstheme="minorHAnsi"/>
        </w:rPr>
        <w:lastRenderedPageBreak/>
        <w:t>Bibliography</w:t>
      </w:r>
    </w:p>
    <w:p w14:paraId="3D7DC086" w14:textId="77777777"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Andreeva, Petya, ‘Some Notes on Methodology in Studies of Ancient Funerary Cultures’, 2020 &lt;</w:t>
      </w:r>
      <w:hyperlink r:id="rId22" w:history="1">
        <w:r w:rsidRPr="00BA3FEE">
          <w:rPr>
            <w:rFonts w:eastAsia="Times New Roman" w:cstheme="minorHAnsi"/>
            <w:color w:val="0000FF"/>
            <w:u w:val="single"/>
            <w:lang w:eastAsia="en-GB"/>
          </w:rPr>
          <w:t>https://doi.org/10.20935/AL9</w:t>
        </w:r>
      </w:hyperlink>
      <w:r w:rsidRPr="00BA3FEE">
        <w:rPr>
          <w:rFonts w:eastAsia="Times New Roman" w:cstheme="minorHAnsi"/>
          <w:lang w:eastAsia="en-GB"/>
        </w:rPr>
        <w:t>&gt;</w:t>
      </w:r>
    </w:p>
    <w:p w14:paraId="1C4FA90D" w14:textId="77777777"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Assman</w:t>
      </w:r>
      <w:proofErr w:type="spellEnd"/>
      <w:r w:rsidRPr="00BA3FEE">
        <w:rPr>
          <w:rFonts w:eastAsia="Times New Roman" w:cstheme="minorHAnsi"/>
          <w:lang w:eastAsia="en-GB"/>
        </w:rPr>
        <w:t xml:space="preserve">, Jan, </w:t>
      </w:r>
      <w:proofErr w:type="gramStart"/>
      <w:r w:rsidRPr="00BA3FEE">
        <w:rPr>
          <w:rFonts w:eastAsia="Times New Roman" w:cstheme="minorHAnsi"/>
          <w:i/>
          <w:iCs/>
          <w:lang w:eastAsia="en-GB"/>
        </w:rPr>
        <w:t>Death</w:t>
      </w:r>
      <w:proofErr w:type="gramEnd"/>
      <w:r w:rsidRPr="00BA3FEE">
        <w:rPr>
          <w:rFonts w:eastAsia="Times New Roman" w:cstheme="minorHAnsi"/>
          <w:i/>
          <w:iCs/>
          <w:lang w:eastAsia="en-GB"/>
        </w:rPr>
        <w:t xml:space="preserve"> and Salvation in Ancient Egypt</w:t>
      </w:r>
      <w:r w:rsidRPr="00BA3FEE">
        <w:rPr>
          <w:rFonts w:eastAsia="Times New Roman" w:cstheme="minorHAnsi"/>
          <w:lang w:eastAsia="en-GB"/>
        </w:rPr>
        <w:t xml:space="preserve"> (Munich: Cornell University, 2005)</w:t>
      </w:r>
    </w:p>
    <w:p w14:paraId="37151F6E" w14:textId="77777777"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 xml:space="preserve">Baines, John, and Peter </w:t>
      </w:r>
      <w:proofErr w:type="spellStart"/>
      <w:r w:rsidRPr="00BA3FEE">
        <w:rPr>
          <w:rFonts w:eastAsia="Times New Roman" w:cstheme="minorHAnsi"/>
          <w:lang w:eastAsia="en-GB"/>
        </w:rPr>
        <w:t>Lacocara</w:t>
      </w:r>
      <w:proofErr w:type="spellEnd"/>
      <w:r w:rsidRPr="00BA3FEE">
        <w:rPr>
          <w:rFonts w:eastAsia="Times New Roman" w:cstheme="minorHAnsi"/>
          <w:lang w:eastAsia="en-GB"/>
        </w:rPr>
        <w:t xml:space="preserve">, ‘Burial and the Dead in Ancient Egyptian Society: Respect, Formalism, Neglect’, </w:t>
      </w:r>
      <w:r w:rsidRPr="00BA3FEE">
        <w:rPr>
          <w:rFonts w:eastAsia="Times New Roman" w:cstheme="minorHAnsi"/>
          <w:i/>
          <w:iCs/>
          <w:lang w:eastAsia="en-GB"/>
        </w:rPr>
        <w:t>Journal of Social Archaeology</w:t>
      </w:r>
      <w:r w:rsidRPr="00BA3FEE">
        <w:rPr>
          <w:rFonts w:eastAsia="Times New Roman" w:cstheme="minorHAnsi"/>
          <w:lang w:eastAsia="en-GB"/>
        </w:rPr>
        <w:t>, 2.1 (2002), 5–36</w:t>
      </w:r>
    </w:p>
    <w:p w14:paraId="40639248" w14:textId="77777777"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El-</w:t>
      </w:r>
      <w:proofErr w:type="spellStart"/>
      <w:r w:rsidRPr="00BA3FEE">
        <w:rPr>
          <w:rFonts w:eastAsia="Times New Roman" w:cstheme="minorHAnsi"/>
          <w:lang w:eastAsia="en-GB"/>
        </w:rPr>
        <w:t>Kilany</w:t>
      </w:r>
      <w:proofErr w:type="spellEnd"/>
      <w:r w:rsidRPr="00BA3FEE">
        <w:rPr>
          <w:rFonts w:eastAsia="Times New Roman" w:cstheme="minorHAnsi"/>
          <w:lang w:eastAsia="en-GB"/>
        </w:rPr>
        <w:t xml:space="preserve">, </w:t>
      </w:r>
      <w:proofErr w:type="spellStart"/>
      <w:r w:rsidRPr="00BA3FEE">
        <w:rPr>
          <w:rFonts w:eastAsia="Times New Roman" w:cstheme="minorHAnsi"/>
          <w:lang w:eastAsia="en-GB"/>
        </w:rPr>
        <w:t>Engy</w:t>
      </w:r>
      <w:proofErr w:type="spellEnd"/>
      <w:r w:rsidRPr="00BA3FEE">
        <w:rPr>
          <w:rFonts w:eastAsia="Times New Roman" w:cstheme="minorHAnsi"/>
          <w:lang w:eastAsia="en-GB"/>
        </w:rPr>
        <w:t xml:space="preserve">, and </w:t>
      </w:r>
      <w:proofErr w:type="spellStart"/>
      <w:r w:rsidRPr="00BA3FEE">
        <w:rPr>
          <w:rFonts w:eastAsia="Times New Roman" w:cstheme="minorHAnsi"/>
          <w:lang w:eastAsia="en-GB"/>
        </w:rPr>
        <w:t>Raoof</w:t>
      </w:r>
      <w:proofErr w:type="spellEnd"/>
      <w:r w:rsidRPr="00BA3FEE">
        <w:rPr>
          <w:rFonts w:eastAsia="Times New Roman" w:cstheme="minorHAnsi"/>
          <w:lang w:eastAsia="en-GB"/>
        </w:rPr>
        <w:t xml:space="preserve"> </w:t>
      </w:r>
      <w:proofErr w:type="spellStart"/>
      <w:r w:rsidRPr="00BA3FEE">
        <w:rPr>
          <w:rFonts w:eastAsia="Times New Roman" w:cstheme="minorHAnsi"/>
          <w:lang w:eastAsia="en-GB"/>
        </w:rPr>
        <w:t>Enas</w:t>
      </w:r>
      <w:proofErr w:type="spellEnd"/>
      <w:r w:rsidRPr="00BA3FEE">
        <w:rPr>
          <w:rFonts w:eastAsia="Times New Roman" w:cstheme="minorHAnsi"/>
          <w:lang w:eastAsia="en-GB"/>
        </w:rPr>
        <w:t xml:space="preserve">, ‘Facial Cosmetics in Ancient Egypt’, </w:t>
      </w:r>
      <w:r w:rsidRPr="00BA3FEE">
        <w:rPr>
          <w:rFonts w:eastAsia="Times New Roman" w:cstheme="minorHAnsi"/>
          <w:i/>
          <w:iCs/>
          <w:lang w:eastAsia="en-GB"/>
        </w:rPr>
        <w:t>Egyptian Journals of El-</w:t>
      </w:r>
      <w:proofErr w:type="spellStart"/>
      <w:r w:rsidRPr="00BA3FEE">
        <w:rPr>
          <w:rFonts w:eastAsia="Times New Roman" w:cstheme="minorHAnsi"/>
          <w:i/>
          <w:iCs/>
          <w:lang w:eastAsia="en-GB"/>
        </w:rPr>
        <w:t>Kilany</w:t>
      </w:r>
      <w:proofErr w:type="spellEnd"/>
      <w:r w:rsidRPr="00BA3FEE">
        <w:rPr>
          <w:rFonts w:eastAsia="Times New Roman" w:cstheme="minorHAnsi"/>
          <w:i/>
          <w:iCs/>
          <w:lang w:eastAsia="en-GB"/>
        </w:rPr>
        <w:t xml:space="preserve">, </w:t>
      </w:r>
      <w:proofErr w:type="spellStart"/>
      <w:r w:rsidRPr="00BA3FEE">
        <w:rPr>
          <w:rFonts w:eastAsia="Times New Roman" w:cstheme="minorHAnsi"/>
          <w:i/>
          <w:iCs/>
          <w:lang w:eastAsia="en-GB"/>
        </w:rPr>
        <w:t>Engy</w:t>
      </w:r>
      <w:proofErr w:type="spellEnd"/>
      <w:r w:rsidRPr="00BA3FEE">
        <w:rPr>
          <w:rFonts w:eastAsia="Times New Roman" w:cstheme="minorHAnsi"/>
          <w:i/>
          <w:iCs/>
          <w:lang w:eastAsia="en-GB"/>
        </w:rPr>
        <w:t xml:space="preserve">, Dan </w:t>
      </w:r>
      <w:proofErr w:type="spellStart"/>
      <w:r w:rsidRPr="00BA3FEE">
        <w:rPr>
          <w:rFonts w:eastAsia="Times New Roman" w:cstheme="minorHAnsi"/>
          <w:i/>
          <w:iCs/>
          <w:lang w:eastAsia="en-GB"/>
        </w:rPr>
        <w:t>Enas</w:t>
      </w:r>
      <w:proofErr w:type="spellEnd"/>
      <w:r w:rsidRPr="00BA3FEE">
        <w:rPr>
          <w:rFonts w:eastAsia="Times New Roman" w:cstheme="minorHAnsi"/>
          <w:i/>
          <w:iCs/>
          <w:lang w:eastAsia="en-GB"/>
        </w:rPr>
        <w:t xml:space="preserve"> </w:t>
      </w:r>
      <w:proofErr w:type="spellStart"/>
      <w:r w:rsidRPr="00BA3FEE">
        <w:rPr>
          <w:rFonts w:eastAsia="Times New Roman" w:cstheme="minorHAnsi"/>
          <w:i/>
          <w:iCs/>
          <w:lang w:eastAsia="en-GB"/>
        </w:rPr>
        <w:t>Raoof</w:t>
      </w:r>
      <w:proofErr w:type="spellEnd"/>
      <w:r w:rsidRPr="00BA3FEE">
        <w:rPr>
          <w:rFonts w:eastAsia="Times New Roman" w:cstheme="minorHAnsi"/>
          <w:lang w:eastAsia="en-GB"/>
        </w:rPr>
        <w:t>, 2017</w:t>
      </w:r>
    </w:p>
    <w:p w14:paraId="46EFAD65" w14:textId="790917F3"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Garci, Juan Carlos Moreno, Quirke,</w:t>
      </w:r>
      <w:r w:rsidR="00446ABB" w:rsidRPr="00BA3FEE">
        <w:rPr>
          <w:rFonts w:eastAsia="Times New Roman" w:cstheme="minorHAnsi"/>
          <w:lang w:eastAsia="en-GB"/>
        </w:rPr>
        <w:t xml:space="preserve"> Stephen</w:t>
      </w:r>
      <w:r w:rsidRPr="00BA3FEE">
        <w:rPr>
          <w:rFonts w:eastAsia="Times New Roman" w:cstheme="minorHAnsi"/>
          <w:lang w:eastAsia="en-GB"/>
        </w:rPr>
        <w:t xml:space="preserve"> and </w:t>
      </w:r>
      <w:proofErr w:type="spellStart"/>
      <w:r w:rsidRPr="00BA3FEE">
        <w:rPr>
          <w:rFonts w:eastAsia="Times New Roman" w:cstheme="minorHAnsi"/>
          <w:lang w:eastAsia="en-GB"/>
        </w:rPr>
        <w:t>Stauder</w:t>
      </w:r>
      <w:proofErr w:type="spellEnd"/>
      <w:r w:rsidRPr="00BA3FEE">
        <w:rPr>
          <w:rFonts w:eastAsia="Times New Roman" w:cstheme="minorHAnsi"/>
          <w:lang w:eastAsia="en-GB"/>
        </w:rPr>
        <w:t>,</w:t>
      </w:r>
      <w:r w:rsidR="00446ABB" w:rsidRPr="00BA3FEE">
        <w:rPr>
          <w:rFonts w:eastAsia="Times New Roman" w:cstheme="minorHAnsi"/>
          <w:lang w:eastAsia="en-GB"/>
        </w:rPr>
        <w:t xml:space="preserve"> Andreas,</w:t>
      </w:r>
      <w:r w:rsidRPr="00BA3FEE">
        <w:rPr>
          <w:rFonts w:eastAsia="Times New Roman" w:cstheme="minorHAnsi"/>
          <w:lang w:eastAsia="en-GB"/>
        </w:rPr>
        <w:t xml:space="preserve"> </w:t>
      </w:r>
      <w:r w:rsidRPr="00BA3FEE">
        <w:rPr>
          <w:rFonts w:eastAsia="Times New Roman" w:cstheme="minorHAnsi"/>
          <w:i/>
          <w:iCs/>
          <w:lang w:eastAsia="en-GB"/>
        </w:rPr>
        <w:t xml:space="preserve">The Arts of Making in Ancient </w:t>
      </w:r>
      <w:proofErr w:type="gramStart"/>
      <w:r w:rsidRPr="00BA3FEE">
        <w:rPr>
          <w:rFonts w:eastAsia="Times New Roman" w:cstheme="minorHAnsi"/>
          <w:i/>
          <w:iCs/>
          <w:lang w:eastAsia="en-GB"/>
        </w:rPr>
        <w:t>Egypt :</w:t>
      </w:r>
      <w:proofErr w:type="gramEnd"/>
      <w:r w:rsidRPr="00BA3FEE">
        <w:rPr>
          <w:rFonts w:eastAsia="Times New Roman" w:cstheme="minorHAnsi"/>
          <w:i/>
          <w:iCs/>
          <w:lang w:eastAsia="en-GB"/>
        </w:rPr>
        <w:t xml:space="preserve"> Voices, Images and Objects of Material Producers 2000-1500BC</w:t>
      </w:r>
      <w:r w:rsidRPr="00BA3FEE">
        <w:rPr>
          <w:rFonts w:eastAsia="Times New Roman" w:cstheme="minorHAnsi"/>
          <w:lang w:eastAsia="en-GB"/>
        </w:rPr>
        <w:t xml:space="preserve"> (</w:t>
      </w:r>
      <w:proofErr w:type="spellStart"/>
      <w:r w:rsidRPr="00BA3FEE">
        <w:rPr>
          <w:rFonts w:eastAsia="Times New Roman" w:cstheme="minorHAnsi"/>
          <w:lang w:eastAsia="en-GB"/>
        </w:rPr>
        <w:t>Sidestone</w:t>
      </w:r>
      <w:proofErr w:type="spellEnd"/>
      <w:r w:rsidRPr="00BA3FEE">
        <w:rPr>
          <w:rFonts w:eastAsia="Times New Roman" w:cstheme="minorHAnsi"/>
          <w:lang w:eastAsia="en-GB"/>
        </w:rPr>
        <w:t xml:space="preserve"> Press, 2018)</w:t>
      </w:r>
    </w:p>
    <w:p w14:paraId="73DBE257" w14:textId="77777777"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 xml:space="preserve">Harrington, Nicola, </w:t>
      </w:r>
      <w:r w:rsidRPr="00BA3FEE">
        <w:rPr>
          <w:rFonts w:eastAsia="Times New Roman" w:cstheme="minorHAnsi"/>
          <w:i/>
          <w:iCs/>
          <w:lang w:eastAsia="en-GB"/>
        </w:rPr>
        <w:t xml:space="preserve">Living With the </w:t>
      </w:r>
      <w:proofErr w:type="gramStart"/>
      <w:r w:rsidRPr="00BA3FEE">
        <w:rPr>
          <w:rFonts w:eastAsia="Times New Roman" w:cstheme="minorHAnsi"/>
          <w:i/>
          <w:iCs/>
          <w:lang w:eastAsia="en-GB"/>
        </w:rPr>
        <w:t>Dead :</w:t>
      </w:r>
      <w:proofErr w:type="gramEnd"/>
      <w:r w:rsidRPr="00BA3FEE">
        <w:rPr>
          <w:rFonts w:eastAsia="Times New Roman" w:cstheme="minorHAnsi"/>
          <w:i/>
          <w:iCs/>
          <w:lang w:eastAsia="en-GB"/>
        </w:rPr>
        <w:t xml:space="preserve"> Ancestor Worship and Mortuary Ritual in Ancient Egypt</w:t>
      </w:r>
      <w:r w:rsidRPr="00BA3FEE">
        <w:rPr>
          <w:rFonts w:eastAsia="Times New Roman" w:cstheme="minorHAnsi"/>
          <w:lang w:eastAsia="en-GB"/>
        </w:rPr>
        <w:t xml:space="preserve"> (Oxbow Books, 2013)</w:t>
      </w:r>
    </w:p>
    <w:p w14:paraId="55871DF6" w14:textId="77777777"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Jiraskova</w:t>
      </w:r>
      <w:proofErr w:type="spellEnd"/>
      <w:r w:rsidRPr="00BA3FEE">
        <w:rPr>
          <w:rFonts w:eastAsia="Times New Roman" w:cstheme="minorHAnsi"/>
          <w:lang w:eastAsia="en-GB"/>
        </w:rPr>
        <w:t xml:space="preserve">, Lucie, ‘The Old Kingdom “Kohl-Pot” and Its Reinterpretation’, </w:t>
      </w:r>
      <w:proofErr w:type="spellStart"/>
      <w:r w:rsidRPr="00BA3FEE">
        <w:rPr>
          <w:rFonts w:eastAsia="Times New Roman" w:cstheme="minorHAnsi"/>
          <w:i/>
          <w:iCs/>
          <w:lang w:eastAsia="en-GB"/>
        </w:rPr>
        <w:t>Prazske</w:t>
      </w:r>
      <w:proofErr w:type="spellEnd"/>
      <w:r w:rsidRPr="00BA3FEE">
        <w:rPr>
          <w:rFonts w:eastAsia="Times New Roman" w:cstheme="minorHAnsi"/>
          <w:i/>
          <w:iCs/>
          <w:lang w:eastAsia="en-GB"/>
        </w:rPr>
        <w:t xml:space="preserve"> </w:t>
      </w:r>
      <w:proofErr w:type="spellStart"/>
      <w:r w:rsidRPr="00BA3FEE">
        <w:rPr>
          <w:rFonts w:eastAsia="Times New Roman" w:cstheme="minorHAnsi"/>
          <w:i/>
          <w:iCs/>
          <w:lang w:eastAsia="en-GB"/>
        </w:rPr>
        <w:t>Egyptologicke</w:t>
      </w:r>
      <w:proofErr w:type="spellEnd"/>
      <w:r w:rsidRPr="00BA3FEE">
        <w:rPr>
          <w:rFonts w:eastAsia="Times New Roman" w:cstheme="minorHAnsi"/>
          <w:i/>
          <w:iCs/>
          <w:lang w:eastAsia="en-GB"/>
        </w:rPr>
        <w:t xml:space="preserve"> </w:t>
      </w:r>
      <w:proofErr w:type="spellStart"/>
      <w:r w:rsidRPr="00BA3FEE">
        <w:rPr>
          <w:rFonts w:eastAsia="Times New Roman" w:cstheme="minorHAnsi"/>
          <w:i/>
          <w:iCs/>
          <w:lang w:eastAsia="en-GB"/>
        </w:rPr>
        <w:t>Studie</w:t>
      </w:r>
      <w:proofErr w:type="spellEnd"/>
      <w:r w:rsidRPr="00BA3FEE">
        <w:rPr>
          <w:rFonts w:eastAsia="Times New Roman" w:cstheme="minorHAnsi"/>
          <w:lang w:eastAsia="en-GB"/>
        </w:rPr>
        <w:t>, 17 (2016), 47–51</w:t>
      </w:r>
    </w:p>
    <w:p w14:paraId="3B955809" w14:textId="5E4C7F9E" w:rsidR="00F34D78" w:rsidRPr="00BA3FEE" w:rsidRDefault="00F34D78" w:rsidP="00F34D78">
      <w:pPr>
        <w:spacing w:line="240" w:lineRule="auto"/>
        <w:ind w:hanging="480"/>
        <w:rPr>
          <w:rFonts w:eastAsia="Times New Roman" w:cstheme="minorHAnsi"/>
          <w:lang w:eastAsia="en-GB"/>
        </w:rPr>
      </w:pPr>
      <w:r w:rsidRPr="00BA3FEE">
        <w:rPr>
          <w:rFonts w:eastAsia="Times New Roman" w:cstheme="minorHAnsi"/>
          <w:lang w:eastAsia="en-GB"/>
        </w:rPr>
        <w:t xml:space="preserve">Lucas, Alfred, ‘Cosmetics, Perfumes and Incense in Ancient Egypt’, </w:t>
      </w:r>
      <w:r w:rsidRPr="00BA3FEE">
        <w:rPr>
          <w:rFonts w:eastAsia="Times New Roman" w:cstheme="minorHAnsi"/>
          <w:i/>
          <w:iCs/>
          <w:lang w:eastAsia="en-GB"/>
        </w:rPr>
        <w:t>The Journal of Egyptian Archaeology</w:t>
      </w:r>
      <w:r w:rsidRPr="00BA3FEE">
        <w:rPr>
          <w:rFonts w:eastAsia="Times New Roman" w:cstheme="minorHAnsi"/>
          <w:lang w:eastAsia="en-GB"/>
        </w:rPr>
        <w:t>, 16.1 (1930), 41–54</w:t>
      </w:r>
    </w:p>
    <w:p w14:paraId="2046F5D0" w14:textId="43F6E06F" w:rsidR="00BA3FEE" w:rsidRDefault="00BA3FEE" w:rsidP="00F34D78">
      <w:pPr>
        <w:spacing w:line="240" w:lineRule="auto"/>
        <w:ind w:hanging="480"/>
        <w:rPr>
          <w:rFonts w:eastAsia="Times New Roman" w:cstheme="minorHAnsi"/>
          <w:lang w:eastAsia="en-GB"/>
        </w:rPr>
      </w:pPr>
      <w:proofErr w:type="spellStart"/>
      <w:r w:rsidRPr="00BA3FEE">
        <w:rPr>
          <w:rFonts w:cstheme="minorHAnsi"/>
        </w:rPr>
        <w:t>Portell</w:t>
      </w:r>
      <w:proofErr w:type="spellEnd"/>
      <w:r w:rsidRPr="00BA3FEE">
        <w:rPr>
          <w:rFonts w:cstheme="minorHAnsi"/>
        </w:rPr>
        <w:t>,</w:t>
      </w:r>
      <w:r>
        <w:rPr>
          <w:rFonts w:cstheme="minorHAnsi"/>
        </w:rPr>
        <w:t xml:space="preserve"> Jean D</w:t>
      </w:r>
      <w:r w:rsidRPr="00BA3FEE">
        <w:rPr>
          <w:rFonts w:cstheme="minorHAnsi"/>
        </w:rPr>
        <w:t xml:space="preserve"> ‘Prior Repairs: When Should they be Preserved?’, </w:t>
      </w:r>
      <w:r w:rsidRPr="00BA3FEE">
        <w:rPr>
          <w:rFonts w:cstheme="minorHAnsi"/>
          <w:i/>
          <w:iCs/>
        </w:rPr>
        <w:t>Journal of the American Institute for Conservation</w:t>
      </w:r>
      <w:r w:rsidRPr="00BA3FEE">
        <w:rPr>
          <w:rFonts w:cstheme="minorHAnsi"/>
        </w:rPr>
        <w:t>, 42 (2003), 363-380</w:t>
      </w:r>
    </w:p>
    <w:p w14:paraId="37C8C104" w14:textId="5FDC44C4"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Priskin</w:t>
      </w:r>
      <w:proofErr w:type="spellEnd"/>
      <w:r w:rsidRPr="00BA3FEE">
        <w:rPr>
          <w:rFonts w:eastAsia="Times New Roman" w:cstheme="minorHAnsi"/>
          <w:lang w:eastAsia="en-GB"/>
        </w:rPr>
        <w:t xml:space="preserve">, </w:t>
      </w:r>
      <w:proofErr w:type="spellStart"/>
      <w:r w:rsidRPr="00BA3FEE">
        <w:rPr>
          <w:rFonts w:eastAsia="Times New Roman" w:cstheme="minorHAnsi"/>
          <w:lang w:eastAsia="en-GB"/>
        </w:rPr>
        <w:t>Gyula</w:t>
      </w:r>
      <w:proofErr w:type="spellEnd"/>
      <w:r w:rsidRPr="00BA3FEE">
        <w:rPr>
          <w:rFonts w:eastAsia="Times New Roman" w:cstheme="minorHAnsi"/>
          <w:lang w:eastAsia="en-GB"/>
        </w:rPr>
        <w:t xml:space="preserve">, ‘The Eye of Horus and the Synodic Month’, </w:t>
      </w:r>
      <w:r w:rsidRPr="00BA3FEE">
        <w:rPr>
          <w:rFonts w:eastAsia="Times New Roman" w:cstheme="minorHAnsi"/>
          <w:i/>
          <w:iCs/>
          <w:lang w:eastAsia="en-GB"/>
        </w:rPr>
        <w:t>Discussions in Egyptology,</w:t>
      </w:r>
      <w:r w:rsidRPr="00BA3FEE">
        <w:rPr>
          <w:rFonts w:eastAsia="Times New Roman" w:cstheme="minorHAnsi"/>
          <w:lang w:eastAsia="en-GB"/>
        </w:rPr>
        <w:t xml:space="preserve"> 53 (2000), 75-81</w:t>
      </w:r>
    </w:p>
    <w:p w14:paraId="6B5F19CC" w14:textId="388DAC5E"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ReFaey</w:t>
      </w:r>
      <w:proofErr w:type="spellEnd"/>
      <w:r w:rsidRPr="00BA3FEE">
        <w:rPr>
          <w:rFonts w:eastAsia="Times New Roman" w:cstheme="minorHAnsi"/>
          <w:lang w:eastAsia="en-GB"/>
        </w:rPr>
        <w:t xml:space="preserve">, Karim, Gabriella C Quinones, William Clifton, </w:t>
      </w:r>
      <w:proofErr w:type="spellStart"/>
      <w:r w:rsidRPr="00BA3FEE">
        <w:rPr>
          <w:rFonts w:eastAsia="Times New Roman" w:cstheme="minorHAnsi"/>
          <w:lang w:eastAsia="en-GB"/>
        </w:rPr>
        <w:t>Shashwat</w:t>
      </w:r>
      <w:proofErr w:type="spellEnd"/>
      <w:r w:rsidRPr="00BA3FEE">
        <w:rPr>
          <w:rFonts w:eastAsia="Times New Roman" w:cstheme="minorHAnsi"/>
          <w:lang w:eastAsia="en-GB"/>
        </w:rPr>
        <w:t xml:space="preserve"> Tripathi, and Alfredo Quinones-Hinojosa, ‘The Eye of Horus: The Connection Between Art, Medicine, and Mythology in Ancient Egypt’, </w:t>
      </w:r>
      <w:r w:rsidRPr="00BA3FEE">
        <w:rPr>
          <w:rFonts w:eastAsia="Times New Roman" w:cstheme="minorHAnsi"/>
          <w:i/>
          <w:iCs/>
          <w:lang w:eastAsia="en-GB"/>
        </w:rPr>
        <w:t>Cures (Palo Alto, CA)</w:t>
      </w:r>
      <w:r w:rsidRPr="00BA3FEE">
        <w:rPr>
          <w:rFonts w:eastAsia="Times New Roman" w:cstheme="minorHAnsi"/>
          <w:lang w:eastAsia="en-GB"/>
        </w:rPr>
        <w:t>, 11.5 (2019), 4731–4731</w:t>
      </w:r>
    </w:p>
    <w:p w14:paraId="3A6DA0B8" w14:textId="77777777"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Streb</w:t>
      </w:r>
      <w:proofErr w:type="spellEnd"/>
      <w:r w:rsidRPr="00BA3FEE">
        <w:rPr>
          <w:rFonts w:eastAsia="Times New Roman" w:cstheme="minorHAnsi"/>
          <w:lang w:eastAsia="en-GB"/>
        </w:rPr>
        <w:t xml:space="preserve">, Christoph Klaus, and Thomas </w:t>
      </w:r>
      <w:proofErr w:type="spellStart"/>
      <w:r w:rsidRPr="00BA3FEE">
        <w:rPr>
          <w:rFonts w:eastAsia="Times New Roman" w:cstheme="minorHAnsi"/>
          <w:lang w:eastAsia="en-GB"/>
        </w:rPr>
        <w:t>Kolnberger</w:t>
      </w:r>
      <w:proofErr w:type="spellEnd"/>
      <w:r w:rsidRPr="00BA3FEE">
        <w:rPr>
          <w:rFonts w:eastAsia="Times New Roman" w:cstheme="minorHAnsi"/>
          <w:lang w:eastAsia="en-GB"/>
        </w:rPr>
        <w:t xml:space="preserve">, ‘Introduction: The Materiality of Spatiality of Death, Burial and Commemoration’, </w:t>
      </w:r>
      <w:r w:rsidRPr="00BA3FEE">
        <w:rPr>
          <w:rFonts w:eastAsia="Times New Roman" w:cstheme="minorHAnsi"/>
          <w:i/>
          <w:iCs/>
          <w:lang w:eastAsia="en-GB"/>
        </w:rPr>
        <w:t>Mortality</w:t>
      </w:r>
      <w:r w:rsidRPr="00BA3FEE">
        <w:rPr>
          <w:rFonts w:eastAsia="Times New Roman" w:cstheme="minorHAnsi"/>
          <w:lang w:eastAsia="en-GB"/>
        </w:rPr>
        <w:t>, 24.2 (2019), 117–22</w:t>
      </w:r>
    </w:p>
    <w:p w14:paraId="1ABB8531" w14:textId="77777777" w:rsidR="00F34D78" w:rsidRPr="00BA3FEE" w:rsidRDefault="00F34D78" w:rsidP="00F34D78">
      <w:pPr>
        <w:spacing w:line="240" w:lineRule="auto"/>
        <w:ind w:hanging="480"/>
        <w:rPr>
          <w:rFonts w:eastAsia="Times New Roman" w:cstheme="minorHAnsi"/>
          <w:lang w:eastAsia="en-GB"/>
        </w:rPr>
      </w:pPr>
      <w:proofErr w:type="spellStart"/>
      <w:r w:rsidRPr="00BA3FEE">
        <w:rPr>
          <w:rFonts w:eastAsia="Times New Roman" w:cstheme="minorHAnsi"/>
          <w:lang w:eastAsia="en-GB"/>
        </w:rPr>
        <w:t>Szpakowska</w:t>
      </w:r>
      <w:proofErr w:type="spellEnd"/>
      <w:r w:rsidRPr="00BA3FEE">
        <w:rPr>
          <w:rFonts w:eastAsia="Times New Roman" w:cstheme="minorHAnsi"/>
          <w:lang w:eastAsia="en-GB"/>
        </w:rPr>
        <w:t xml:space="preserve">, Kasia Maria, </w:t>
      </w:r>
      <w:r w:rsidRPr="00BA3FEE">
        <w:rPr>
          <w:rFonts w:eastAsia="Times New Roman" w:cstheme="minorHAnsi"/>
          <w:i/>
          <w:iCs/>
          <w:lang w:eastAsia="en-GB"/>
        </w:rPr>
        <w:t xml:space="preserve">Daily Life in Ancient Egypt : Recreating </w:t>
      </w:r>
      <w:proofErr w:type="spellStart"/>
      <w:r w:rsidRPr="00BA3FEE">
        <w:rPr>
          <w:rFonts w:eastAsia="Times New Roman" w:cstheme="minorHAnsi"/>
          <w:i/>
          <w:iCs/>
          <w:lang w:eastAsia="en-GB"/>
        </w:rPr>
        <w:t>Lahun</w:t>
      </w:r>
      <w:proofErr w:type="spellEnd"/>
      <w:r w:rsidRPr="00BA3FEE">
        <w:rPr>
          <w:rFonts w:eastAsia="Times New Roman" w:cstheme="minorHAnsi"/>
          <w:lang w:eastAsia="en-GB"/>
        </w:rPr>
        <w:t xml:space="preserve"> (Blackwell Pub., 2008)</w:t>
      </w:r>
    </w:p>
    <w:p w14:paraId="26F1742E" w14:textId="77777777" w:rsidR="00F34D78" w:rsidRPr="00BA3FEE" w:rsidRDefault="00F34D78" w:rsidP="00F34D78">
      <w:pPr>
        <w:spacing w:after="0" w:line="240" w:lineRule="auto"/>
        <w:ind w:hanging="480"/>
        <w:rPr>
          <w:rFonts w:eastAsia="Times New Roman" w:cstheme="minorHAnsi"/>
          <w:lang w:eastAsia="en-GB"/>
        </w:rPr>
      </w:pPr>
      <w:r w:rsidRPr="00BA3FEE">
        <w:rPr>
          <w:rFonts w:eastAsia="Times New Roman" w:cstheme="minorHAnsi"/>
          <w:lang w:eastAsia="en-GB"/>
        </w:rPr>
        <w:t xml:space="preserve">Taylor, John, </w:t>
      </w:r>
      <w:r w:rsidRPr="00BA3FEE">
        <w:rPr>
          <w:rFonts w:eastAsia="Times New Roman" w:cstheme="minorHAnsi"/>
          <w:i/>
          <w:iCs/>
          <w:lang w:eastAsia="en-GB"/>
        </w:rPr>
        <w:t>Death and the Afterlife in Ancient Egypt</w:t>
      </w:r>
      <w:r w:rsidRPr="00BA3FEE">
        <w:rPr>
          <w:rFonts w:eastAsia="Times New Roman" w:cstheme="minorHAnsi"/>
          <w:lang w:eastAsia="en-GB"/>
        </w:rPr>
        <w:t xml:space="preserve"> (Trustees of the British Museum, 2001)</w:t>
      </w:r>
    </w:p>
    <w:p w14:paraId="1802D836" w14:textId="77777777" w:rsidR="00F34D78" w:rsidRPr="00BA3FEE" w:rsidRDefault="00F34D78" w:rsidP="00F34D78">
      <w:pPr>
        <w:spacing w:after="0" w:line="240" w:lineRule="auto"/>
        <w:ind w:hanging="480"/>
        <w:rPr>
          <w:rFonts w:eastAsia="Times New Roman" w:cstheme="minorHAnsi"/>
          <w:lang w:eastAsia="en-GB"/>
        </w:rPr>
      </w:pPr>
    </w:p>
    <w:p w14:paraId="402D5EBE" w14:textId="77777777" w:rsidR="00F34D78" w:rsidRPr="00BA3FEE" w:rsidRDefault="00F34D78" w:rsidP="00F34D78">
      <w:pPr>
        <w:spacing w:after="0" w:line="240" w:lineRule="auto"/>
        <w:ind w:hanging="480"/>
        <w:rPr>
          <w:rFonts w:eastAsia="Times New Roman" w:cstheme="minorHAnsi"/>
          <w:lang w:eastAsia="en-GB"/>
        </w:rPr>
      </w:pPr>
      <w:r w:rsidRPr="00BA3FEE">
        <w:rPr>
          <w:rFonts w:eastAsia="Times New Roman" w:cstheme="minorHAnsi"/>
          <w:lang w:eastAsia="en-GB"/>
        </w:rPr>
        <w:t xml:space="preserve">&lt; </w:t>
      </w:r>
      <w:hyperlink r:id="rId23" w:history="1">
        <w:r w:rsidRPr="00BA3FEE">
          <w:rPr>
            <w:rStyle w:val="Hyperlink"/>
            <w:rFonts w:eastAsia="Times New Roman" w:cstheme="minorHAnsi"/>
            <w:lang w:eastAsia="en-GB"/>
          </w:rPr>
          <w:t>https://www.britishmuseum.org/collection/egypt</w:t>
        </w:r>
      </w:hyperlink>
      <w:r w:rsidRPr="00BA3FEE">
        <w:rPr>
          <w:rFonts w:eastAsia="Times New Roman" w:cstheme="minorHAnsi"/>
          <w:lang w:eastAsia="en-GB"/>
        </w:rPr>
        <w:t xml:space="preserve"> &gt; [accessed 02/02/2023]</w:t>
      </w:r>
    </w:p>
    <w:p w14:paraId="279871AC" w14:textId="77777777" w:rsidR="00F34D78" w:rsidRPr="00BA3FEE" w:rsidRDefault="00F34D78" w:rsidP="00F34D78">
      <w:pPr>
        <w:spacing w:after="0" w:line="240" w:lineRule="auto"/>
        <w:ind w:hanging="480"/>
        <w:rPr>
          <w:rFonts w:eastAsia="Times New Roman" w:cstheme="minorHAnsi"/>
          <w:lang w:eastAsia="en-GB"/>
        </w:rPr>
      </w:pPr>
      <w:r w:rsidRPr="00BA3FEE">
        <w:rPr>
          <w:rFonts w:eastAsia="Times New Roman" w:cstheme="minorHAnsi"/>
          <w:lang w:eastAsia="en-GB"/>
        </w:rPr>
        <w:t xml:space="preserve">&lt; </w:t>
      </w:r>
      <w:hyperlink r:id="rId24" w:history="1">
        <w:r w:rsidRPr="00BA3FEE">
          <w:rPr>
            <w:rStyle w:val="Hyperlink"/>
            <w:rFonts w:eastAsia="Times New Roman" w:cstheme="minorHAnsi"/>
            <w:lang w:eastAsia="en-GB"/>
          </w:rPr>
          <w:t>https://www.metmuseum.org/art/the-collection</w:t>
        </w:r>
      </w:hyperlink>
      <w:r w:rsidRPr="00BA3FEE">
        <w:rPr>
          <w:rFonts w:eastAsia="Times New Roman" w:cstheme="minorHAnsi"/>
          <w:lang w:eastAsia="en-GB"/>
        </w:rPr>
        <w:t xml:space="preserve"> &gt; [accessed 02/02/2023]</w:t>
      </w:r>
    </w:p>
    <w:p w14:paraId="702BD066" w14:textId="1E4D9460" w:rsidR="00F34D78" w:rsidRPr="00F34D78" w:rsidRDefault="00F34D78" w:rsidP="00F34D78">
      <w:r w:rsidRPr="00BA3FEE">
        <w:rPr>
          <w:rFonts w:eastAsia="Times New Roman" w:cstheme="minorHAnsi"/>
          <w:lang w:eastAsia="en-GB"/>
        </w:rPr>
        <w:t xml:space="preserve">&lt; </w:t>
      </w:r>
      <w:hyperlink r:id="rId25" w:history="1">
        <w:r w:rsidRPr="00BA3FEE">
          <w:rPr>
            <w:rStyle w:val="Hyperlink"/>
            <w:rFonts w:eastAsia="Times New Roman" w:cstheme="minorHAnsi"/>
            <w:lang w:eastAsia="en-GB"/>
          </w:rPr>
          <w:t>https://egyptianmuseum.org/</w:t>
        </w:r>
      </w:hyperlink>
      <w:r w:rsidRPr="00BA3FEE">
        <w:rPr>
          <w:rFonts w:eastAsia="Times New Roman" w:cstheme="minorHAnsi"/>
          <w:lang w:eastAsia="en-GB"/>
        </w:rPr>
        <w:t xml:space="preserve"> &gt; [accessed 02/02/2023]</w:t>
      </w:r>
    </w:p>
    <w:sectPr w:rsidR="00F34D78" w:rsidRPr="00F34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04DF4" w14:textId="77777777" w:rsidR="00B61F69" w:rsidRDefault="00B61F69" w:rsidP="00B61F69">
      <w:pPr>
        <w:spacing w:after="0" w:line="240" w:lineRule="auto"/>
      </w:pPr>
      <w:r>
        <w:separator/>
      </w:r>
    </w:p>
  </w:endnote>
  <w:endnote w:type="continuationSeparator" w:id="0">
    <w:p w14:paraId="36E0BDB9" w14:textId="77777777" w:rsidR="00B61F69" w:rsidRDefault="00B61F69" w:rsidP="00B61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7BE7D" w14:textId="77777777" w:rsidR="00B61F69" w:rsidRDefault="00B61F69" w:rsidP="00B61F69">
      <w:pPr>
        <w:spacing w:after="0" w:line="240" w:lineRule="auto"/>
      </w:pPr>
      <w:r>
        <w:separator/>
      </w:r>
    </w:p>
  </w:footnote>
  <w:footnote w:type="continuationSeparator" w:id="0">
    <w:p w14:paraId="5205E698" w14:textId="77777777" w:rsidR="00B61F69" w:rsidRDefault="00B61F69" w:rsidP="00B61F69">
      <w:pPr>
        <w:spacing w:after="0" w:line="240" w:lineRule="auto"/>
      </w:pPr>
      <w:r>
        <w:continuationSeparator/>
      </w:r>
    </w:p>
  </w:footnote>
  <w:footnote w:id="1">
    <w:p w14:paraId="103D5FCB" w14:textId="009DCE00" w:rsidR="00B61F69" w:rsidRPr="00BA3FEE" w:rsidRDefault="00B61F69">
      <w:pPr>
        <w:pStyle w:val="FootnoteText"/>
        <w:rPr>
          <w:rFonts w:eastAsia="Times New Roman" w:cstheme="minorHAnsi"/>
          <w:lang w:eastAsia="en-GB"/>
        </w:rPr>
      </w:pPr>
      <w:r>
        <w:rPr>
          <w:rStyle w:val="FootnoteReference"/>
        </w:rPr>
        <w:footnoteRef/>
      </w:r>
      <w:r>
        <w:t xml:space="preserve"> </w:t>
      </w:r>
      <w:r w:rsidRPr="00BA3FEE">
        <w:rPr>
          <w:rFonts w:eastAsia="Times New Roman" w:cstheme="minorHAnsi"/>
          <w:lang w:eastAsia="en-GB"/>
        </w:rPr>
        <w:t xml:space="preserve">&lt; </w:t>
      </w:r>
      <w:hyperlink r:id="rId1" w:history="1">
        <w:r w:rsidRPr="00BA3FEE">
          <w:rPr>
            <w:rStyle w:val="Hyperlink"/>
            <w:rFonts w:eastAsia="Times New Roman" w:cstheme="minorHAnsi"/>
            <w:lang w:eastAsia="en-GB"/>
          </w:rPr>
          <w:t>https://www.britishmuseum.org/collection/egypt</w:t>
        </w:r>
      </w:hyperlink>
      <w:r w:rsidRPr="00BA3FEE">
        <w:rPr>
          <w:rFonts w:eastAsia="Times New Roman" w:cstheme="minorHAnsi"/>
          <w:lang w:eastAsia="en-GB"/>
        </w:rPr>
        <w:t xml:space="preserve"> &gt; [accessed 02/02/2023]</w:t>
      </w:r>
    </w:p>
    <w:p w14:paraId="40F47F49" w14:textId="5E7E56BC" w:rsidR="00B61F69" w:rsidRPr="00BA3FEE" w:rsidRDefault="00B61F69" w:rsidP="00B61F69">
      <w:pPr>
        <w:spacing w:line="240" w:lineRule="auto"/>
        <w:rPr>
          <w:rFonts w:eastAsia="Times New Roman" w:cstheme="minorHAnsi"/>
          <w:sz w:val="20"/>
          <w:szCs w:val="20"/>
          <w:lang w:eastAsia="en-GB"/>
        </w:rPr>
      </w:pPr>
      <w:r w:rsidRPr="00BA3FEE">
        <w:rPr>
          <w:rFonts w:eastAsia="Times New Roman" w:cstheme="minorHAnsi"/>
          <w:sz w:val="20"/>
          <w:szCs w:val="20"/>
          <w:lang w:eastAsia="en-GB"/>
        </w:rPr>
        <w:t>Alfred</w:t>
      </w:r>
      <w:r w:rsidR="00446ABB" w:rsidRPr="00BA3FEE">
        <w:rPr>
          <w:rFonts w:eastAsia="Times New Roman" w:cstheme="minorHAnsi"/>
          <w:sz w:val="20"/>
          <w:szCs w:val="20"/>
          <w:lang w:eastAsia="en-GB"/>
        </w:rPr>
        <w:t xml:space="preserve"> Lucas</w:t>
      </w:r>
      <w:r w:rsidRPr="00BA3FEE">
        <w:rPr>
          <w:rFonts w:eastAsia="Times New Roman" w:cstheme="minorHAnsi"/>
          <w:sz w:val="20"/>
          <w:szCs w:val="20"/>
          <w:lang w:eastAsia="en-GB"/>
        </w:rPr>
        <w:t xml:space="preserve">, ‘Cosmetics, Perfumes and Incense in Ancient Egypt’, </w:t>
      </w:r>
      <w:r w:rsidRPr="00BA3FEE">
        <w:rPr>
          <w:rFonts w:eastAsia="Times New Roman" w:cstheme="minorHAnsi"/>
          <w:i/>
          <w:iCs/>
          <w:sz w:val="20"/>
          <w:szCs w:val="20"/>
          <w:lang w:eastAsia="en-GB"/>
        </w:rPr>
        <w:t>The Journal of Egyptian Archaeology</w:t>
      </w:r>
      <w:r w:rsidRPr="00BA3FEE">
        <w:rPr>
          <w:rFonts w:eastAsia="Times New Roman" w:cstheme="minorHAnsi"/>
          <w:sz w:val="20"/>
          <w:szCs w:val="20"/>
          <w:lang w:eastAsia="en-GB"/>
        </w:rPr>
        <w:t>, 16.1 (1930), p.41</w:t>
      </w:r>
    </w:p>
  </w:footnote>
  <w:footnote w:id="2">
    <w:p w14:paraId="063F8463" w14:textId="13916B9E" w:rsidR="00B61F69" w:rsidRPr="00BA3FEE" w:rsidRDefault="00B61F69" w:rsidP="00B61F69">
      <w:pPr>
        <w:spacing w:line="240" w:lineRule="auto"/>
        <w:rPr>
          <w:rFonts w:eastAsia="Times New Roman" w:cstheme="minorHAnsi"/>
          <w:sz w:val="24"/>
          <w:szCs w:val="24"/>
          <w:lang w:eastAsia="en-GB"/>
        </w:rPr>
      </w:pPr>
      <w:r w:rsidRPr="00BA3FEE">
        <w:rPr>
          <w:rStyle w:val="FootnoteReference"/>
          <w:rFonts w:cstheme="minorHAnsi"/>
        </w:rPr>
        <w:footnoteRef/>
      </w:r>
      <w:r w:rsidRPr="00BA3FEE">
        <w:rPr>
          <w:rFonts w:cstheme="minorHAnsi"/>
        </w:rPr>
        <w:t xml:space="preserve"> </w:t>
      </w:r>
      <w:proofErr w:type="spellStart"/>
      <w:r w:rsidRPr="00BA3FEE">
        <w:rPr>
          <w:rFonts w:cstheme="minorHAnsi"/>
        </w:rPr>
        <w:t>Engy</w:t>
      </w:r>
      <w:proofErr w:type="spellEnd"/>
      <w:r w:rsidRPr="00BA3FEE">
        <w:rPr>
          <w:rFonts w:cstheme="minorHAnsi"/>
        </w:rPr>
        <w:t xml:space="preserve"> </w:t>
      </w:r>
      <w:r w:rsidRPr="00BA3FEE">
        <w:rPr>
          <w:rFonts w:eastAsia="Times New Roman" w:cstheme="minorHAnsi"/>
          <w:sz w:val="20"/>
          <w:szCs w:val="20"/>
          <w:lang w:eastAsia="en-GB"/>
        </w:rPr>
        <w:t>El-</w:t>
      </w:r>
      <w:proofErr w:type="spellStart"/>
      <w:r w:rsidRPr="00BA3FEE">
        <w:rPr>
          <w:rFonts w:eastAsia="Times New Roman" w:cstheme="minorHAnsi"/>
          <w:sz w:val="20"/>
          <w:szCs w:val="20"/>
          <w:lang w:eastAsia="en-GB"/>
        </w:rPr>
        <w:t>Kilany</w:t>
      </w:r>
      <w:proofErr w:type="spellEnd"/>
      <w:r w:rsidRPr="00BA3FEE">
        <w:rPr>
          <w:rFonts w:eastAsia="Times New Roman" w:cstheme="minorHAnsi"/>
          <w:sz w:val="20"/>
          <w:szCs w:val="20"/>
          <w:lang w:eastAsia="en-GB"/>
        </w:rPr>
        <w:t xml:space="preserve">, and </w:t>
      </w:r>
      <w:proofErr w:type="spellStart"/>
      <w:r w:rsidRPr="00BA3FEE">
        <w:rPr>
          <w:rFonts w:eastAsia="Times New Roman" w:cstheme="minorHAnsi"/>
          <w:sz w:val="20"/>
          <w:szCs w:val="20"/>
          <w:lang w:eastAsia="en-GB"/>
        </w:rPr>
        <w:t>Enas</w:t>
      </w:r>
      <w:proofErr w:type="spellEnd"/>
      <w:r w:rsidRPr="00BA3FEE">
        <w:rPr>
          <w:rFonts w:eastAsia="Times New Roman" w:cstheme="minorHAnsi"/>
          <w:sz w:val="20"/>
          <w:szCs w:val="20"/>
          <w:lang w:eastAsia="en-GB"/>
        </w:rPr>
        <w:t xml:space="preserve"> </w:t>
      </w:r>
      <w:proofErr w:type="spellStart"/>
      <w:r w:rsidRPr="00BA3FEE">
        <w:rPr>
          <w:rFonts w:eastAsia="Times New Roman" w:cstheme="minorHAnsi"/>
          <w:sz w:val="20"/>
          <w:szCs w:val="20"/>
          <w:lang w:eastAsia="en-GB"/>
        </w:rPr>
        <w:t>Raoof</w:t>
      </w:r>
      <w:proofErr w:type="spellEnd"/>
      <w:r w:rsidRPr="00BA3FEE">
        <w:rPr>
          <w:rFonts w:eastAsia="Times New Roman" w:cstheme="minorHAnsi"/>
          <w:sz w:val="20"/>
          <w:szCs w:val="20"/>
          <w:lang w:eastAsia="en-GB"/>
        </w:rPr>
        <w:t xml:space="preserve">, ‘Facial Cosmetics in Ancient Egypt’, </w:t>
      </w:r>
      <w:r w:rsidRPr="00BA3FEE">
        <w:rPr>
          <w:rFonts w:eastAsia="Times New Roman" w:cstheme="minorHAnsi"/>
          <w:i/>
          <w:iCs/>
          <w:sz w:val="20"/>
          <w:szCs w:val="20"/>
          <w:lang w:eastAsia="en-GB"/>
        </w:rPr>
        <w:t>Egyptian Journals of El-</w:t>
      </w:r>
      <w:proofErr w:type="spellStart"/>
      <w:r w:rsidRPr="00BA3FEE">
        <w:rPr>
          <w:rFonts w:eastAsia="Times New Roman" w:cstheme="minorHAnsi"/>
          <w:i/>
          <w:iCs/>
          <w:sz w:val="20"/>
          <w:szCs w:val="20"/>
          <w:lang w:eastAsia="en-GB"/>
        </w:rPr>
        <w:t>Kilany</w:t>
      </w:r>
      <w:proofErr w:type="spellEnd"/>
      <w:r w:rsidRPr="00BA3FEE">
        <w:rPr>
          <w:rFonts w:eastAsia="Times New Roman" w:cstheme="minorHAnsi"/>
          <w:i/>
          <w:iCs/>
          <w:sz w:val="20"/>
          <w:szCs w:val="20"/>
          <w:lang w:eastAsia="en-GB"/>
        </w:rPr>
        <w:t xml:space="preserve">, </w:t>
      </w:r>
      <w:proofErr w:type="spellStart"/>
      <w:r w:rsidRPr="00BA3FEE">
        <w:rPr>
          <w:rFonts w:eastAsia="Times New Roman" w:cstheme="minorHAnsi"/>
          <w:i/>
          <w:iCs/>
          <w:sz w:val="20"/>
          <w:szCs w:val="20"/>
          <w:lang w:eastAsia="en-GB"/>
        </w:rPr>
        <w:t>Engy</w:t>
      </w:r>
      <w:proofErr w:type="spellEnd"/>
      <w:r w:rsidRPr="00BA3FEE">
        <w:rPr>
          <w:rFonts w:eastAsia="Times New Roman" w:cstheme="minorHAnsi"/>
          <w:i/>
          <w:iCs/>
          <w:sz w:val="20"/>
          <w:szCs w:val="20"/>
          <w:lang w:eastAsia="en-GB"/>
        </w:rPr>
        <w:t xml:space="preserve">, Dan </w:t>
      </w:r>
      <w:proofErr w:type="spellStart"/>
      <w:r w:rsidRPr="00BA3FEE">
        <w:rPr>
          <w:rFonts w:eastAsia="Times New Roman" w:cstheme="minorHAnsi"/>
          <w:i/>
          <w:iCs/>
          <w:sz w:val="20"/>
          <w:szCs w:val="20"/>
          <w:lang w:eastAsia="en-GB"/>
        </w:rPr>
        <w:t>Enas</w:t>
      </w:r>
      <w:proofErr w:type="spellEnd"/>
      <w:r w:rsidRPr="00BA3FEE">
        <w:rPr>
          <w:rFonts w:eastAsia="Times New Roman" w:cstheme="minorHAnsi"/>
          <w:i/>
          <w:iCs/>
          <w:sz w:val="20"/>
          <w:szCs w:val="20"/>
          <w:lang w:eastAsia="en-GB"/>
        </w:rPr>
        <w:t xml:space="preserve"> </w:t>
      </w:r>
      <w:proofErr w:type="spellStart"/>
      <w:r w:rsidRPr="00BA3FEE">
        <w:rPr>
          <w:rFonts w:eastAsia="Times New Roman" w:cstheme="minorHAnsi"/>
          <w:i/>
          <w:iCs/>
          <w:sz w:val="20"/>
          <w:szCs w:val="20"/>
          <w:lang w:eastAsia="en-GB"/>
        </w:rPr>
        <w:t>Raoof</w:t>
      </w:r>
      <w:proofErr w:type="spellEnd"/>
      <w:r w:rsidRPr="00BA3FEE">
        <w:rPr>
          <w:rFonts w:eastAsia="Times New Roman" w:cstheme="minorHAnsi"/>
          <w:sz w:val="20"/>
          <w:szCs w:val="20"/>
          <w:lang w:eastAsia="en-GB"/>
        </w:rPr>
        <w:t>, 2017, p.1</w:t>
      </w:r>
    </w:p>
  </w:footnote>
  <w:footnote w:id="3">
    <w:p w14:paraId="44E9EAAB" w14:textId="4E28E08F" w:rsidR="00446ABB" w:rsidRPr="00BA3FEE" w:rsidRDefault="00446ABB">
      <w:pPr>
        <w:pStyle w:val="FootnoteText"/>
        <w:rPr>
          <w:rFonts w:cstheme="minorHAnsi"/>
        </w:rPr>
      </w:pPr>
      <w:r w:rsidRPr="00BA3FEE">
        <w:rPr>
          <w:rStyle w:val="FootnoteReference"/>
          <w:rFonts w:cstheme="minorHAnsi"/>
        </w:rPr>
        <w:footnoteRef/>
      </w:r>
      <w:r w:rsidRPr="00BA3FEE">
        <w:rPr>
          <w:rFonts w:cstheme="minorHAnsi"/>
        </w:rPr>
        <w:t xml:space="preserve"> Ibid. p.2,7-8</w:t>
      </w:r>
    </w:p>
  </w:footnote>
  <w:footnote w:id="4">
    <w:p w14:paraId="3050671B" w14:textId="1EDF5308" w:rsidR="00446ABB" w:rsidRPr="00BA3FEE" w:rsidRDefault="00446ABB" w:rsidP="00446ABB">
      <w:pPr>
        <w:spacing w:after="40" w:line="240" w:lineRule="auto"/>
        <w:rPr>
          <w:rFonts w:eastAsia="Times New Roman" w:cstheme="minorHAnsi"/>
          <w:sz w:val="20"/>
          <w:szCs w:val="20"/>
          <w:lang w:eastAsia="en-GB"/>
        </w:rPr>
      </w:pPr>
      <w:r w:rsidRPr="00BA3FEE">
        <w:rPr>
          <w:rStyle w:val="FootnoteReference"/>
          <w:rFonts w:cstheme="minorHAnsi"/>
        </w:rPr>
        <w:footnoteRef/>
      </w:r>
      <w:r w:rsidRPr="00BA3FEE">
        <w:rPr>
          <w:rFonts w:cstheme="minorHAnsi"/>
        </w:rPr>
        <w:t xml:space="preserve"> </w:t>
      </w:r>
      <w:r w:rsidRPr="00BA3FEE">
        <w:rPr>
          <w:rFonts w:eastAsia="Times New Roman" w:cstheme="minorHAnsi"/>
          <w:sz w:val="20"/>
          <w:szCs w:val="20"/>
          <w:lang w:eastAsia="en-GB"/>
        </w:rPr>
        <w:t xml:space="preserve">Juan Carlos Moreno Garci, Stephen Quirke, and Andreas </w:t>
      </w:r>
      <w:proofErr w:type="spellStart"/>
      <w:r w:rsidRPr="00BA3FEE">
        <w:rPr>
          <w:rFonts w:eastAsia="Times New Roman" w:cstheme="minorHAnsi"/>
          <w:sz w:val="20"/>
          <w:szCs w:val="20"/>
          <w:lang w:eastAsia="en-GB"/>
        </w:rPr>
        <w:t>Stauder</w:t>
      </w:r>
      <w:proofErr w:type="spellEnd"/>
      <w:r w:rsidRPr="00BA3FEE">
        <w:rPr>
          <w:rFonts w:eastAsia="Times New Roman" w:cstheme="minorHAnsi"/>
          <w:sz w:val="20"/>
          <w:szCs w:val="20"/>
          <w:lang w:eastAsia="en-GB"/>
        </w:rPr>
        <w:t xml:space="preserve">, </w:t>
      </w:r>
      <w:r w:rsidRPr="00BA3FEE">
        <w:rPr>
          <w:rFonts w:eastAsia="Times New Roman" w:cstheme="minorHAnsi"/>
          <w:i/>
          <w:iCs/>
          <w:sz w:val="20"/>
          <w:szCs w:val="20"/>
          <w:lang w:eastAsia="en-GB"/>
        </w:rPr>
        <w:t>The Arts of Making in Ancient Egypt : Voices, Images and Objects of Material Producers 2000-1500BC</w:t>
      </w:r>
      <w:r w:rsidRPr="00BA3FEE">
        <w:rPr>
          <w:rFonts w:eastAsia="Times New Roman" w:cstheme="minorHAnsi"/>
          <w:sz w:val="20"/>
          <w:szCs w:val="20"/>
          <w:lang w:eastAsia="en-GB"/>
        </w:rPr>
        <w:t xml:space="preserve"> (</w:t>
      </w:r>
      <w:proofErr w:type="spellStart"/>
      <w:r w:rsidRPr="00BA3FEE">
        <w:rPr>
          <w:rFonts w:eastAsia="Times New Roman" w:cstheme="minorHAnsi"/>
          <w:sz w:val="20"/>
          <w:szCs w:val="20"/>
          <w:lang w:eastAsia="en-GB"/>
        </w:rPr>
        <w:t>Sidestone</w:t>
      </w:r>
      <w:proofErr w:type="spellEnd"/>
      <w:r w:rsidRPr="00BA3FEE">
        <w:rPr>
          <w:rFonts w:eastAsia="Times New Roman" w:cstheme="minorHAnsi"/>
          <w:sz w:val="20"/>
          <w:szCs w:val="20"/>
          <w:lang w:eastAsia="en-GB"/>
        </w:rPr>
        <w:t xml:space="preserve"> Press, 2018)</w:t>
      </w:r>
    </w:p>
    <w:p w14:paraId="78810B5B" w14:textId="0ADC85BA" w:rsidR="00446ABB" w:rsidRPr="00BA3FEE" w:rsidRDefault="00446ABB" w:rsidP="00446ABB">
      <w:pPr>
        <w:spacing w:after="40" w:line="240" w:lineRule="auto"/>
        <w:rPr>
          <w:rFonts w:cstheme="minorHAnsi"/>
        </w:rPr>
      </w:pPr>
      <w:r w:rsidRPr="00BA3FEE">
        <w:rPr>
          <w:rFonts w:eastAsia="Times New Roman" w:cstheme="minorHAnsi"/>
          <w:sz w:val="20"/>
          <w:szCs w:val="20"/>
          <w:lang w:eastAsia="en-GB"/>
        </w:rPr>
        <w:t>Lucas, ‘Cosmetics, Perfumes and Incense in Ancient Egypt’, p 41-42</w:t>
      </w:r>
    </w:p>
    <w:p w14:paraId="706FD1AE" w14:textId="25AEC6F0" w:rsidR="00446ABB" w:rsidRDefault="00446ABB">
      <w:pPr>
        <w:pStyle w:val="FootnoteText"/>
      </w:pPr>
    </w:p>
  </w:footnote>
  <w:footnote w:id="5">
    <w:p w14:paraId="17086A72" w14:textId="53A923A0" w:rsidR="00446ABB" w:rsidRPr="00BA3FEE" w:rsidRDefault="00446ABB">
      <w:pPr>
        <w:pStyle w:val="FootnoteText"/>
        <w:rPr>
          <w:rFonts w:cstheme="minorHAnsi"/>
        </w:rPr>
      </w:pPr>
      <w:r w:rsidRPr="00BA3FEE">
        <w:rPr>
          <w:rStyle w:val="FootnoteReference"/>
          <w:rFonts w:cstheme="minorHAnsi"/>
        </w:rPr>
        <w:footnoteRef/>
      </w:r>
      <w:r w:rsidRPr="00BA3FEE">
        <w:rPr>
          <w:rFonts w:cstheme="minorHAnsi"/>
        </w:rPr>
        <w:t xml:space="preserve"> El-</w:t>
      </w:r>
      <w:proofErr w:type="spellStart"/>
      <w:r w:rsidRPr="00BA3FEE">
        <w:rPr>
          <w:rFonts w:cstheme="minorHAnsi"/>
        </w:rPr>
        <w:t>kilany</w:t>
      </w:r>
      <w:proofErr w:type="spellEnd"/>
      <w:r w:rsidRPr="00BA3FEE">
        <w:rPr>
          <w:rFonts w:cstheme="minorHAnsi"/>
        </w:rPr>
        <w:t xml:space="preserve"> and </w:t>
      </w:r>
      <w:proofErr w:type="spellStart"/>
      <w:r w:rsidRPr="00BA3FEE">
        <w:rPr>
          <w:rFonts w:cstheme="minorHAnsi"/>
        </w:rPr>
        <w:t>Raoof</w:t>
      </w:r>
      <w:proofErr w:type="spellEnd"/>
      <w:r w:rsidRPr="00BA3FEE">
        <w:rPr>
          <w:rFonts w:cstheme="minorHAnsi"/>
        </w:rPr>
        <w:t>, ‘Facial Cosmetics in Ancient Egypt’, p</w:t>
      </w:r>
      <w:r w:rsidR="003364C5" w:rsidRPr="00BA3FEE">
        <w:rPr>
          <w:rFonts w:cstheme="minorHAnsi"/>
        </w:rPr>
        <w:t>.</w:t>
      </w:r>
      <w:r w:rsidRPr="00BA3FEE">
        <w:rPr>
          <w:rFonts w:cstheme="minorHAnsi"/>
        </w:rPr>
        <w:t>7</w:t>
      </w:r>
    </w:p>
  </w:footnote>
  <w:footnote w:id="6">
    <w:p w14:paraId="1B028B5C" w14:textId="5D063EEE" w:rsidR="003364C5" w:rsidRPr="00BA3FEE" w:rsidRDefault="003364C5">
      <w:pPr>
        <w:pStyle w:val="FootnoteText"/>
        <w:rPr>
          <w:rFonts w:cstheme="minorHAnsi"/>
        </w:rPr>
      </w:pPr>
      <w:r w:rsidRPr="00BA3FEE">
        <w:rPr>
          <w:rStyle w:val="FootnoteReference"/>
          <w:rFonts w:cstheme="minorHAnsi"/>
        </w:rPr>
        <w:footnoteRef/>
      </w:r>
      <w:r w:rsidRPr="00BA3FEE">
        <w:rPr>
          <w:rFonts w:cstheme="minorHAnsi"/>
        </w:rPr>
        <w:t xml:space="preserve"> Ibid. p.1-8</w:t>
      </w:r>
    </w:p>
  </w:footnote>
  <w:footnote w:id="7">
    <w:p w14:paraId="14A950A8" w14:textId="6299240A" w:rsidR="000332C1" w:rsidRPr="00BA3FEE" w:rsidRDefault="000332C1">
      <w:pPr>
        <w:pStyle w:val="FootnoteText"/>
        <w:rPr>
          <w:rFonts w:cstheme="minorHAnsi"/>
        </w:rPr>
      </w:pPr>
      <w:r w:rsidRPr="00BA3FEE">
        <w:rPr>
          <w:rStyle w:val="FootnoteReference"/>
          <w:rFonts w:cstheme="minorHAnsi"/>
        </w:rPr>
        <w:footnoteRef/>
      </w:r>
      <w:r w:rsidRPr="00BA3FEE">
        <w:rPr>
          <w:rFonts w:cstheme="minorHAnsi"/>
        </w:rPr>
        <w:t xml:space="preserve"> Jean D </w:t>
      </w:r>
      <w:proofErr w:type="spellStart"/>
      <w:r w:rsidRPr="00BA3FEE">
        <w:rPr>
          <w:rFonts w:cstheme="minorHAnsi"/>
        </w:rPr>
        <w:t>Portell</w:t>
      </w:r>
      <w:proofErr w:type="spellEnd"/>
      <w:r w:rsidRPr="00BA3FEE">
        <w:rPr>
          <w:rFonts w:cstheme="minorHAnsi"/>
        </w:rPr>
        <w:t xml:space="preserve">, ‘Prior Repairs: When Should they be Preserved?’, </w:t>
      </w:r>
      <w:r w:rsidRPr="00BA3FEE">
        <w:rPr>
          <w:rFonts w:cstheme="minorHAnsi"/>
          <w:i/>
          <w:iCs/>
        </w:rPr>
        <w:t>Journal of the American Institute for Conservation</w:t>
      </w:r>
      <w:r w:rsidRPr="00BA3FEE">
        <w:rPr>
          <w:rFonts w:cstheme="minorHAnsi"/>
        </w:rPr>
        <w:t>, 42 (2003), 363-380</w:t>
      </w:r>
    </w:p>
  </w:footnote>
  <w:footnote w:id="8">
    <w:p w14:paraId="64D0D1F0" w14:textId="31F2BDC5" w:rsidR="00FF2393" w:rsidRPr="00BA3FEE" w:rsidRDefault="00FF2393" w:rsidP="00FF2393">
      <w:pPr>
        <w:spacing w:line="240" w:lineRule="auto"/>
        <w:rPr>
          <w:rFonts w:eastAsia="Times New Roman" w:cstheme="minorHAnsi"/>
          <w:sz w:val="24"/>
          <w:szCs w:val="24"/>
          <w:lang w:eastAsia="en-GB"/>
        </w:rPr>
      </w:pPr>
      <w:r w:rsidRPr="00BA3FEE">
        <w:rPr>
          <w:rStyle w:val="FootnoteReference"/>
          <w:rFonts w:cstheme="minorHAnsi"/>
        </w:rPr>
        <w:footnoteRef/>
      </w:r>
      <w:r w:rsidRPr="00BA3FEE">
        <w:rPr>
          <w:rFonts w:cstheme="minorHAnsi"/>
        </w:rPr>
        <w:t xml:space="preserve"> </w:t>
      </w:r>
      <w:r w:rsidRPr="00BA3FEE">
        <w:rPr>
          <w:rFonts w:eastAsia="Times New Roman" w:cstheme="minorHAnsi"/>
          <w:sz w:val="20"/>
          <w:szCs w:val="20"/>
          <w:lang w:eastAsia="en-GB"/>
        </w:rPr>
        <w:t xml:space="preserve">Kasia Maria </w:t>
      </w:r>
      <w:proofErr w:type="spellStart"/>
      <w:r w:rsidRPr="00BA3FEE">
        <w:rPr>
          <w:rFonts w:eastAsia="Times New Roman" w:cstheme="minorHAnsi"/>
          <w:sz w:val="20"/>
          <w:szCs w:val="20"/>
          <w:lang w:eastAsia="en-GB"/>
        </w:rPr>
        <w:t>Szpakowska</w:t>
      </w:r>
      <w:proofErr w:type="spellEnd"/>
      <w:r w:rsidRPr="00BA3FEE">
        <w:rPr>
          <w:rFonts w:eastAsia="Times New Roman" w:cstheme="minorHAnsi"/>
          <w:sz w:val="20"/>
          <w:szCs w:val="20"/>
          <w:lang w:eastAsia="en-GB"/>
        </w:rPr>
        <w:t xml:space="preserve">, </w:t>
      </w:r>
      <w:r w:rsidRPr="00BA3FEE">
        <w:rPr>
          <w:rFonts w:eastAsia="Times New Roman" w:cstheme="minorHAnsi"/>
          <w:i/>
          <w:iCs/>
          <w:sz w:val="20"/>
          <w:szCs w:val="20"/>
          <w:lang w:eastAsia="en-GB"/>
        </w:rPr>
        <w:t xml:space="preserve">Daily Life in Ancient </w:t>
      </w:r>
      <w:proofErr w:type="gramStart"/>
      <w:r w:rsidRPr="00BA3FEE">
        <w:rPr>
          <w:rFonts w:eastAsia="Times New Roman" w:cstheme="minorHAnsi"/>
          <w:i/>
          <w:iCs/>
          <w:sz w:val="20"/>
          <w:szCs w:val="20"/>
          <w:lang w:eastAsia="en-GB"/>
        </w:rPr>
        <w:t>Egypt :</w:t>
      </w:r>
      <w:proofErr w:type="gramEnd"/>
      <w:r w:rsidRPr="00BA3FEE">
        <w:rPr>
          <w:rFonts w:eastAsia="Times New Roman" w:cstheme="minorHAnsi"/>
          <w:i/>
          <w:iCs/>
          <w:sz w:val="20"/>
          <w:szCs w:val="20"/>
          <w:lang w:eastAsia="en-GB"/>
        </w:rPr>
        <w:t xml:space="preserve"> Recreating </w:t>
      </w:r>
      <w:proofErr w:type="spellStart"/>
      <w:r w:rsidRPr="00BA3FEE">
        <w:rPr>
          <w:rFonts w:eastAsia="Times New Roman" w:cstheme="minorHAnsi"/>
          <w:i/>
          <w:iCs/>
          <w:sz w:val="20"/>
          <w:szCs w:val="20"/>
          <w:lang w:eastAsia="en-GB"/>
        </w:rPr>
        <w:t>Lahun</w:t>
      </w:r>
      <w:proofErr w:type="spellEnd"/>
      <w:r w:rsidRPr="00BA3FEE">
        <w:rPr>
          <w:rFonts w:eastAsia="Times New Roman" w:cstheme="minorHAnsi"/>
          <w:sz w:val="20"/>
          <w:szCs w:val="20"/>
          <w:lang w:eastAsia="en-GB"/>
        </w:rPr>
        <w:t xml:space="preserve"> (Blackwell Pub., 2008) p.65-66</w:t>
      </w:r>
    </w:p>
  </w:footnote>
  <w:footnote w:id="9">
    <w:p w14:paraId="6C95A891" w14:textId="2E9CB40C" w:rsidR="006B0562" w:rsidRPr="00BA3FEE" w:rsidRDefault="006B0562">
      <w:pPr>
        <w:pStyle w:val="FootnoteText"/>
        <w:rPr>
          <w:rFonts w:cstheme="minorHAnsi"/>
        </w:rPr>
      </w:pPr>
      <w:r w:rsidRPr="00BA3FEE">
        <w:rPr>
          <w:rStyle w:val="FootnoteReference"/>
          <w:rFonts w:cstheme="minorHAnsi"/>
        </w:rPr>
        <w:footnoteRef/>
      </w:r>
      <w:r w:rsidRPr="00BA3FEE">
        <w:rPr>
          <w:rFonts w:cstheme="minorHAnsi"/>
        </w:rPr>
        <w:t xml:space="preserve"> El-</w:t>
      </w:r>
      <w:proofErr w:type="spellStart"/>
      <w:r w:rsidRPr="00BA3FEE">
        <w:rPr>
          <w:rFonts w:cstheme="minorHAnsi"/>
        </w:rPr>
        <w:t>kilnay</w:t>
      </w:r>
      <w:proofErr w:type="spellEnd"/>
      <w:r w:rsidRPr="00BA3FEE">
        <w:rPr>
          <w:rFonts w:cstheme="minorHAnsi"/>
        </w:rPr>
        <w:t xml:space="preserve"> and </w:t>
      </w:r>
      <w:proofErr w:type="spellStart"/>
      <w:r w:rsidRPr="00BA3FEE">
        <w:rPr>
          <w:rFonts w:cstheme="minorHAnsi"/>
        </w:rPr>
        <w:t>Raoof</w:t>
      </w:r>
      <w:proofErr w:type="spellEnd"/>
      <w:r w:rsidRPr="00BA3FEE">
        <w:rPr>
          <w:rFonts w:cstheme="minorHAnsi"/>
        </w:rPr>
        <w:t>, ‘Facial Cosmetics in Ancient Egypt’, p.8</w:t>
      </w:r>
    </w:p>
  </w:footnote>
  <w:footnote w:id="10">
    <w:p w14:paraId="3200B7D0" w14:textId="4314B554" w:rsidR="006B0562" w:rsidRPr="00BA3FEE" w:rsidRDefault="006B0562">
      <w:pPr>
        <w:pStyle w:val="FootnoteText"/>
        <w:rPr>
          <w:rFonts w:cstheme="minorHAnsi"/>
        </w:rPr>
      </w:pPr>
      <w:r w:rsidRPr="00BA3FEE">
        <w:rPr>
          <w:rStyle w:val="FootnoteReference"/>
          <w:rFonts w:cstheme="minorHAnsi"/>
        </w:rPr>
        <w:footnoteRef/>
      </w:r>
      <w:r w:rsidRPr="00BA3FEE">
        <w:rPr>
          <w:rFonts w:cstheme="minorHAnsi"/>
        </w:rPr>
        <w:t xml:space="preserve"> Ibid.</w:t>
      </w:r>
    </w:p>
  </w:footnote>
  <w:footnote w:id="11">
    <w:p w14:paraId="04A8BA08" w14:textId="57F58199" w:rsidR="00105CA9" w:rsidRPr="00BA3FEE" w:rsidRDefault="00105CA9" w:rsidP="00105CA9">
      <w:pPr>
        <w:spacing w:line="240" w:lineRule="auto"/>
        <w:rPr>
          <w:rFonts w:eastAsia="Times New Roman" w:cstheme="minorHAnsi"/>
          <w:sz w:val="20"/>
          <w:szCs w:val="20"/>
          <w:lang w:eastAsia="en-GB"/>
        </w:rPr>
      </w:pPr>
      <w:r>
        <w:rPr>
          <w:rStyle w:val="FootnoteReference"/>
        </w:rPr>
        <w:footnoteRef/>
      </w:r>
      <w:r w:rsidRPr="00105CA9">
        <w:rPr>
          <w:rFonts w:ascii="Times New Roman" w:eastAsia="Times New Roman" w:hAnsi="Times New Roman" w:cs="Times New Roman"/>
          <w:sz w:val="20"/>
          <w:szCs w:val="20"/>
          <w:lang w:eastAsia="en-GB"/>
        </w:rPr>
        <w:t xml:space="preserve"> </w:t>
      </w:r>
      <w:r w:rsidRPr="00BA3FEE">
        <w:rPr>
          <w:rFonts w:eastAsia="Times New Roman" w:cstheme="minorHAnsi"/>
          <w:sz w:val="20"/>
          <w:szCs w:val="20"/>
          <w:lang w:eastAsia="en-GB"/>
        </w:rPr>
        <w:t>Juan Carlos Moreno</w:t>
      </w:r>
      <w:r w:rsidRPr="00BA3FEE">
        <w:rPr>
          <w:rFonts w:eastAsia="Times New Roman" w:cstheme="minorHAnsi"/>
          <w:sz w:val="20"/>
          <w:szCs w:val="20"/>
          <w:lang w:eastAsia="en-GB"/>
        </w:rPr>
        <w:t xml:space="preserve"> Garci</w:t>
      </w:r>
      <w:r w:rsidRPr="00BA3FEE">
        <w:rPr>
          <w:rFonts w:eastAsia="Times New Roman" w:cstheme="minorHAnsi"/>
          <w:sz w:val="20"/>
          <w:szCs w:val="20"/>
          <w:lang w:eastAsia="en-GB"/>
        </w:rPr>
        <w:t xml:space="preserve">, Stephen Quirke, and Andreas </w:t>
      </w:r>
      <w:proofErr w:type="spellStart"/>
      <w:r w:rsidRPr="00BA3FEE">
        <w:rPr>
          <w:rFonts w:eastAsia="Times New Roman" w:cstheme="minorHAnsi"/>
          <w:sz w:val="20"/>
          <w:szCs w:val="20"/>
          <w:lang w:eastAsia="en-GB"/>
        </w:rPr>
        <w:t>Stauder</w:t>
      </w:r>
      <w:proofErr w:type="spellEnd"/>
      <w:r w:rsidRPr="00BA3FEE">
        <w:rPr>
          <w:rFonts w:eastAsia="Times New Roman" w:cstheme="minorHAnsi"/>
          <w:sz w:val="20"/>
          <w:szCs w:val="20"/>
          <w:lang w:eastAsia="en-GB"/>
        </w:rPr>
        <w:t xml:space="preserve">, </w:t>
      </w:r>
      <w:r w:rsidRPr="00BA3FEE">
        <w:rPr>
          <w:rFonts w:eastAsia="Times New Roman" w:cstheme="minorHAnsi"/>
          <w:i/>
          <w:iCs/>
          <w:sz w:val="20"/>
          <w:szCs w:val="20"/>
          <w:lang w:eastAsia="en-GB"/>
        </w:rPr>
        <w:t>The Arts of Making in Ancient Egypt : Voices, Images and Objects of Material Producers 2000-1500BC</w:t>
      </w:r>
      <w:r w:rsidRPr="00BA3FEE">
        <w:rPr>
          <w:rFonts w:eastAsia="Times New Roman" w:cstheme="minorHAnsi"/>
          <w:sz w:val="20"/>
          <w:szCs w:val="20"/>
          <w:lang w:eastAsia="en-GB"/>
        </w:rPr>
        <w:t xml:space="preserve"> (</w:t>
      </w:r>
      <w:proofErr w:type="spellStart"/>
      <w:r w:rsidRPr="00BA3FEE">
        <w:rPr>
          <w:rFonts w:eastAsia="Times New Roman" w:cstheme="minorHAnsi"/>
          <w:sz w:val="20"/>
          <w:szCs w:val="20"/>
          <w:lang w:eastAsia="en-GB"/>
        </w:rPr>
        <w:t>Sidestone</w:t>
      </w:r>
      <w:proofErr w:type="spellEnd"/>
      <w:r w:rsidRPr="00BA3FEE">
        <w:rPr>
          <w:rFonts w:eastAsia="Times New Roman" w:cstheme="minorHAnsi"/>
          <w:sz w:val="20"/>
          <w:szCs w:val="20"/>
          <w:lang w:eastAsia="en-GB"/>
        </w:rPr>
        <w:t xml:space="preserve"> Press, 2018)</w:t>
      </w:r>
      <w:r w:rsidRPr="00BA3FEE">
        <w:rPr>
          <w:rFonts w:eastAsia="Times New Roman" w:cstheme="minorHAnsi"/>
          <w:sz w:val="20"/>
          <w:szCs w:val="20"/>
          <w:lang w:eastAsia="en-GB"/>
        </w:rPr>
        <w:t>, p.140-141</w:t>
      </w:r>
    </w:p>
  </w:footnote>
  <w:footnote w:id="12">
    <w:p w14:paraId="5093FF6F" w14:textId="4736A9BC" w:rsidR="00105CA9" w:rsidRPr="00BA3FEE" w:rsidRDefault="00105CA9" w:rsidP="00105CA9">
      <w:pPr>
        <w:spacing w:after="40" w:line="240" w:lineRule="auto"/>
        <w:rPr>
          <w:rFonts w:eastAsia="Times New Roman" w:cstheme="minorHAnsi"/>
          <w:sz w:val="20"/>
          <w:szCs w:val="20"/>
          <w:lang w:eastAsia="en-GB"/>
        </w:rPr>
      </w:pPr>
      <w:r w:rsidRPr="00BA3FEE">
        <w:rPr>
          <w:rStyle w:val="FootnoteReference"/>
          <w:rFonts w:cstheme="minorHAnsi"/>
        </w:rPr>
        <w:footnoteRef/>
      </w:r>
      <w:r w:rsidRPr="00BA3FEE">
        <w:rPr>
          <w:rFonts w:cstheme="minorHAnsi"/>
        </w:rPr>
        <w:t xml:space="preserve"> </w:t>
      </w:r>
      <w:proofErr w:type="spellStart"/>
      <w:r w:rsidRPr="00BA3FEE">
        <w:rPr>
          <w:rFonts w:eastAsia="Times New Roman" w:cstheme="minorHAnsi"/>
          <w:sz w:val="20"/>
          <w:szCs w:val="20"/>
          <w:lang w:eastAsia="en-GB"/>
        </w:rPr>
        <w:t>Priskin</w:t>
      </w:r>
      <w:proofErr w:type="spellEnd"/>
      <w:r w:rsidRPr="00BA3FEE">
        <w:rPr>
          <w:rFonts w:eastAsia="Times New Roman" w:cstheme="minorHAnsi"/>
          <w:sz w:val="20"/>
          <w:szCs w:val="20"/>
          <w:lang w:eastAsia="en-GB"/>
        </w:rPr>
        <w:t xml:space="preserve">, </w:t>
      </w:r>
      <w:proofErr w:type="spellStart"/>
      <w:r w:rsidRPr="00BA3FEE">
        <w:rPr>
          <w:rFonts w:eastAsia="Times New Roman" w:cstheme="minorHAnsi"/>
          <w:sz w:val="20"/>
          <w:szCs w:val="20"/>
          <w:lang w:eastAsia="en-GB"/>
        </w:rPr>
        <w:t>Gyula</w:t>
      </w:r>
      <w:proofErr w:type="spellEnd"/>
      <w:r w:rsidRPr="00BA3FEE">
        <w:rPr>
          <w:rFonts w:eastAsia="Times New Roman" w:cstheme="minorHAnsi"/>
          <w:sz w:val="20"/>
          <w:szCs w:val="20"/>
          <w:lang w:eastAsia="en-GB"/>
        </w:rPr>
        <w:t xml:space="preserve">, ‘The Eye of Horus and the Synodic Month’, </w:t>
      </w:r>
      <w:r w:rsidRPr="00BA3FEE">
        <w:rPr>
          <w:rFonts w:eastAsia="Times New Roman" w:cstheme="minorHAnsi"/>
          <w:i/>
          <w:iCs/>
          <w:sz w:val="20"/>
          <w:szCs w:val="20"/>
          <w:lang w:eastAsia="en-GB"/>
        </w:rPr>
        <w:t>Discussions in Egyptology,</w:t>
      </w:r>
      <w:r w:rsidRPr="00BA3FEE">
        <w:rPr>
          <w:rFonts w:eastAsia="Times New Roman" w:cstheme="minorHAnsi"/>
          <w:sz w:val="20"/>
          <w:szCs w:val="20"/>
          <w:lang w:eastAsia="en-GB"/>
        </w:rPr>
        <w:t xml:space="preserve"> 53 (2000), 75-81</w:t>
      </w:r>
    </w:p>
    <w:p w14:paraId="171A76E7" w14:textId="1F8CB480" w:rsidR="00105CA9" w:rsidRPr="00BA3FEE" w:rsidRDefault="00105CA9" w:rsidP="00105CA9">
      <w:pPr>
        <w:spacing w:line="240" w:lineRule="auto"/>
        <w:rPr>
          <w:rFonts w:eastAsia="Times New Roman" w:cstheme="minorHAnsi"/>
          <w:sz w:val="20"/>
          <w:szCs w:val="20"/>
          <w:lang w:eastAsia="en-GB"/>
        </w:rPr>
      </w:pPr>
      <w:r w:rsidRPr="00BA3FEE">
        <w:rPr>
          <w:rFonts w:eastAsia="Times New Roman" w:cstheme="minorHAnsi"/>
          <w:sz w:val="20"/>
          <w:szCs w:val="20"/>
          <w:lang w:eastAsia="en-GB"/>
        </w:rPr>
        <w:t xml:space="preserve">Harrington, Nicola, </w:t>
      </w:r>
      <w:r w:rsidRPr="00BA3FEE">
        <w:rPr>
          <w:rFonts w:eastAsia="Times New Roman" w:cstheme="minorHAnsi"/>
          <w:i/>
          <w:iCs/>
          <w:sz w:val="20"/>
          <w:szCs w:val="20"/>
          <w:lang w:eastAsia="en-GB"/>
        </w:rPr>
        <w:t xml:space="preserve">Living With the </w:t>
      </w:r>
      <w:proofErr w:type="gramStart"/>
      <w:r w:rsidRPr="00BA3FEE">
        <w:rPr>
          <w:rFonts w:eastAsia="Times New Roman" w:cstheme="minorHAnsi"/>
          <w:i/>
          <w:iCs/>
          <w:sz w:val="20"/>
          <w:szCs w:val="20"/>
          <w:lang w:eastAsia="en-GB"/>
        </w:rPr>
        <w:t>Dead :</w:t>
      </w:r>
      <w:proofErr w:type="gramEnd"/>
      <w:r w:rsidRPr="00BA3FEE">
        <w:rPr>
          <w:rFonts w:eastAsia="Times New Roman" w:cstheme="minorHAnsi"/>
          <w:i/>
          <w:iCs/>
          <w:sz w:val="20"/>
          <w:szCs w:val="20"/>
          <w:lang w:eastAsia="en-GB"/>
        </w:rPr>
        <w:t xml:space="preserve"> Ancestor Worship and Mortuary Ritual in Ancient Egypt</w:t>
      </w:r>
      <w:r w:rsidRPr="00BA3FEE">
        <w:rPr>
          <w:rFonts w:eastAsia="Times New Roman" w:cstheme="minorHAnsi"/>
          <w:sz w:val="20"/>
          <w:szCs w:val="20"/>
          <w:lang w:eastAsia="en-GB"/>
        </w:rPr>
        <w:t xml:space="preserve"> (Oxbow Books, 2013)</w:t>
      </w:r>
    </w:p>
  </w:footnote>
  <w:footnote w:id="13">
    <w:p w14:paraId="59F6549E" w14:textId="1D9C915C" w:rsidR="00105CA9" w:rsidRPr="00BA3FEE" w:rsidRDefault="00105CA9">
      <w:pPr>
        <w:pStyle w:val="FootnoteText"/>
        <w:rPr>
          <w:rFonts w:cstheme="minorHAnsi"/>
        </w:rPr>
      </w:pPr>
      <w:r w:rsidRPr="00BA3FEE">
        <w:rPr>
          <w:rStyle w:val="FootnoteReference"/>
          <w:rFonts w:cstheme="minorHAnsi"/>
        </w:rPr>
        <w:footnoteRef/>
      </w:r>
      <w:r w:rsidRPr="00BA3FEE">
        <w:rPr>
          <w:rFonts w:cstheme="minorHAnsi"/>
        </w:rPr>
        <w:t xml:space="preserve"> Zinn, Katerina, </w:t>
      </w:r>
      <w:r w:rsidR="00BA3FEE">
        <w:rPr>
          <w:rFonts w:cstheme="minorHAnsi"/>
        </w:rPr>
        <w:t>‘</w:t>
      </w:r>
      <w:r w:rsidR="00BA3FEE" w:rsidRPr="00BA3FEE">
        <w:rPr>
          <w:rFonts w:cstheme="minorHAnsi"/>
        </w:rPr>
        <w:t>The Tomb: Architecture and Archaeology: Royal and Private Tombs</w:t>
      </w:r>
      <w:r w:rsidR="00BA3FEE">
        <w:rPr>
          <w:rFonts w:cstheme="minorHAnsi"/>
        </w:rPr>
        <w:t>’</w:t>
      </w:r>
      <w:r w:rsidR="00BA3FEE" w:rsidRPr="00BA3FEE">
        <w:rPr>
          <w:rFonts w:cstheme="minorHAnsi"/>
        </w:rPr>
        <w:t xml:space="preserve"> lecture. University of Wales Trinity Saint David, (27/01/2023)</w:t>
      </w:r>
    </w:p>
  </w:footnote>
  <w:footnote w:id="14">
    <w:p w14:paraId="70373C7F" w14:textId="72BB5C21" w:rsidR="00BA3FEE" w:rsidRDefault="00BA3FEE">
      <w:pPr>
        <w:pStyle w:val="FootnoteText"/>
      </w:pPr>
      <w:r w:rsidRPr="00BA3FEE">
        <w:rPr>
          <w:rStyle w:val="FootnoteReference"/>
          <w:rFonts w:cstheme="minorHAnsi"/>
        </w:rPr>
        <w:footnoteRef/>
      </w:r>
      <w:r w:rsidRPr="00BA3FEE">
        <w:rPr>
          <w:rFonts w:eastAsia="Times New Roman" w:cstheme="minorHAnsi"/>
          <w:lang w:eastAsia="en-GB"/>
        </w:rPr>
        <w:t xml:space="preserve"> Karim</w:t>
      </w:r>
      <w:r w:rsidRPr="00BA3FEE">
        <w:rPr>
          <w:rFonts w:eastAsia="Times New Roman" w:cstheme="minorHAnsi"/>
          <w:lang w:eastAsia="en-GB"/>
        </w:rPr>
        <w:t xml:space="preserve"> </w:t>
      </w:r>
      <w:proofErr w:type="spellStart"/>
      <w:r w:rsidRPr="00BA3FEE">
        <w:rPr>
          <w:rFonts w:eastAsia="Times New Roman" w:cstheme="minorHAnsi"/>
          <w:lang w:eastAsia="en-GB"/>
        </w:rPr>
        <w:t>ReFaey</w:t>
      </w:r>
      <w:proofErr w:type="spellEnd"/>
      <w:r w:rsidRPr="00BA3FEE">
        <w:rPr>
          <w:rFonts w:eastAsia="Times New Roman" w:cstheme="minorHAnsi"/>
          <w:lang w:eastAsia="en-GB"/>
        </w:rPr>
        <w:t xml:space="preserve">, Gabriella C Quinones, William Clifton, </w:t>
      </w:r>
      <w:proofErr w:type="spellStart"/>
      <w:r w:rsidRPr="00BA3FEE">
        <w:rPr>
          <w:rFonts w:eastAsia="Times New Roman" w:cstheme="minorHAnsi"/>
          <w:lang w:eastAsia="en-GB"/>
        </w:rPr>
        <w:t>Shashwat</w:t>
      </w:r>
      <w:proofErr w:type="spellEnd"/>
      <w:r w:rsidRPr="00BA3FEE">
        <w:rPr>
          <w:rFonts w:eastAsia="Times New Roman" w:cstheme="minorHAnsi"/>
          <w:lang w:eastAsia="en-GB"/>
        </w:rPr>
        <w:t xml:space="preserve"> Tripathi, and Alfredo Quinones-Hinojosa, ‘The Eye of Horus: The Connection Between Art, Medicine, and Mythology in Ancient Egypt’, </w:t>
      </w:r>
      <w:r w:rsidRPr="00BA3FEE">
        <w:rPr>
          <w:rFonts w:eastAsia="Times New Roman" w:cstheme="minorHAnsi"/>
          <w:i/>
          <w:iCs/>
          <w:lang w:eastAsia="en-GB"/>
        </w:rPr>
        <w:t>Cures (Palo Alto, CA)</w:t>
      </w:r>
      <w:r w:rsidRPr="00BA3FEE">
        <w:rPr>
          <w:rFonts w:eastAsia="Times New Roman" w:cstheme="minorHAnsi"/>
          <w:lang w:eastAsia="en-GB"/>
        </w:rPr>
        <w:t>, 11.5 (2019), 4731–4731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0A1"/>
    <w:rsid w:val="000332C1"/>
    <w:rsid w:val="0006132A"/>
    <w:rsid w:val="00105CA9"/>
    <w:rsid w:val="00157FE7"/>
    <w:rsid w:val="00226A61"/>
    <w:rsid w:val="00227B25"/>
    <w:rsid w:val="003364C5"/>
    <w:rsid w:val="00446ABB"/>
    <w:rsid w:val="00574169"/>
    <w:rsid w:val="005C152C"/>
    <w:rsid w:val="006B0562"/>
    <w:rsid w:val="006F0340"/>
    <w:rsid w:val="00722C32"/>
    <w:rsid w:val="00756103"/>
    <w:rsid w:val="007B406F"/>
    <w:rsid w:val="007F0776"/>
    <w:rsid w:val="00811DAD"/>
    <w:rsid w:val="00827ACE"/>
    <w:rsid w:val="00891E41"/>
    <w:rsid w:val="009A40E8"/>
    <w:rsid w:val="009C4107"/>
    <w:rsid w:val="009D01C8"/>
    <w:rsid w:val="00A01CA8"/>
    <w:rsid w:val="00AA413B"/>
    <w:rsid w:val="00B122DE"/>
    <w:rsid w:val="00B469D8"/>
    <w:rsid w:val="00B61F69"/>
    <w:rsid w:val="00BA3FEE"/>
    <w:rsid w:val="00C1221B"/>
    <w:rsid w:val="00CC3DB6"/>
    <w:rsid w:val="00CD5E20"/>
    <w:rsid w:val="00E70F72"/>
    <w:rsid w:val="00E729D8"/>
    <w:rsid w:val="00EF00A1"/>
    <w:rsid w:val="00F02BA9"/>
    <w:rsid w:val="00F338CD"/>
    <w:rsid w:val="00F34D78"/>
    <w:rsid w:val="00FB6F41"/>
    <w:rsid w:val="00FF2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60D540"/>
  <w15:chartTrackingRefBased/>
  <w15:docId w15:val="{DC552015-2C7F-4652-A6D7-E22E4056D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4D78"/>
    <w:rPr>
      <w:color w:val="0000FF"/>
      <w:u w:val="single"/>
    </w:rPr>
  </w:style>
  <w:style w:type="paragraph" w:styleId="FootnoteText">
    <w:name w:val="footnote text"/>
    <w:basedOn w:val="Normal"/>
    <w:link w:val="FootnoteTextChar"/>
    <w:uiPriority w:val="99"/>
    <w:semiHidden/>
    <w:unhideWhenUsed/>
    <w:rsid w:val="00B61F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1F69"/>
    <w:rPr>
      <w:sz w:val="20"/>
      <w:szCs w:val="20"/>
    </w:rPr>
  </w:style>
  <w:style w:type="character" w:styleId="FootnoteReference">
    <w:name w:val="footnote reference"/>
    <w:basedOn w:val="DefaultParagraphFont"/>
    <w:uiPriority w:val="99"/>
    <w:semiHidden/>
    <w:unhideWhenUsed/>
    <w:rsid w:val="00B61F69"/>
    <w:rPr>
      <w:vertAlign w:val="superscript"/>
    </w:rPr>
  </w:style>
  <w:style w:type="character" w:styleId="UnresolvedMention">
    <w:name w:val="Unresolved Mention"/>
    <w:basedOn w:val="DefaultParagraphFont"/>
    <w:uiPriority w:val="99"/>
    <w:semiHidden/>
    <w:unhideWhenUsed/>
    <w:rsid w:val="00F338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etmuseum.org/art/the-collection" TargetMode="External"/><Relationship Id="rId18" Type="http://schemas.openxmlformats.org/officeDocument/2006/relationships/hyperlink" Target="https://www.britishmuseum.org/collection/egyp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etmuseum.org/art/the-collection" TargetMode="External"/><Relationship Id="rId7" Type="http://schemas.openxmlformats.org/officeDocument/2006/relationships/image" Target="media/image1.jpeg"/><Relationship Id="rId12" Type="http://schemas.openxmlformats.org/officeDocument/2006/relationships/hyperlink" Target="https://www.metmuseum.org/art/the-collection" TargetMode="External"/><Relationship Id="rId17" Type="http://schemas.openxmlformats.org/officeDocument/2006/relationships/hyperlink" Target="https://www.britishmuseum.org/collection/egypt" TargetMode="External"/><Relationship Id="rId25" Type="http://schemas.openxmlformats.org/officeDocument/2006/relationships/hyperlink" Target="https://egyptianmuseum.org/"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www.metmuseum.org/art/the-collec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metmuseum.org/art/the-collection" TargetMode="Externa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hyperlink" Target="https://www.britishmuseum.org/collection/egypt" TargetMode="External"/><Relationship Id="rId10" Type="http://schemas.openxmlformats.org/officeDocument/2006/relationships/hyperlink" Target="https://www.britishmuseum.org/collection/egypt"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www.britishmuseum.org/collection/egypt" TargetMode="External"/><Relationship Id="rId14" Type="http://schemas.openxmlformats.org/officeDocument/2006/relationships/image" Target="media/image4.jpeg"/><Relationship Id="rId22" Type="http://schemas.openxmlformats.org/officeDocument/2006/relationships/hyperlink" Target="https://doi.org/10.20935/AL9"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ishmuseum.org/collection/egy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030D6-FDD9-424A-A97F-D6F9BF6E8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5</Pages>
  <Words>1338</Words>
  <Characters>7178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Carder</dc:creator>
  <cp:keywords/>
  <dc:description/>
  <cp:lastModifiedBy>helen carder</cp:lastModifiedBy>
  <cp:revision>11</cp:revision>
  <dcterms:created xsi:type="dcterms:W3CDTF">2023-02-14T09:23:00Z</dcterms:created>
  <dcterms:modified xsi:type="dcterms:W3CDTF">2023-02-15T22:21:00Z</dcterms:modified>
</cp:coreProperties>
</file>