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1E781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25183">
              <w:rPr>
                <w:b/>
                <w:color w:val="auto"/>
                <w:sz w:val="32"/>
              </w:rPr>
              <w:t>Geraint Lewis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4B5A5A2"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50B66">
              <w:rPr>
                <w:b/>
                <w:color w:val="auto"/>
                <w:sz w:val="32"/>
              </w:rPr>
              <w:t xml:space="preserve"> 1922424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5659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08CE7332" w:rsidR="00FF7784" w:rsidRDefault="00FF7784" w:rsidP="00FF7EBB">
      <w:pPr>
        <w:jc w:val="both"/>
        <w:rPr>
          <w:sz w:val="24"/>
          <w:szCs w:val="24"/>
        </w:rPr>
      </w:pPr>
    </w:p>
    <w:p w14:paraId="10C809CD" w14:textId="77777777" w:rsidR="006C6B32" w:rsidRPr="006C6B32" w:rsidRDefault="006C6B32" w:rsidP="006C6B32">
      <w:pPr>
        <w:rPr>
          <w:rFonts w:asciiTheme="minorHAnsi" w:hAnsiTheme="minorHAnsi" w:cstheme="minorHAnsi"/>
          <w:sz w:val="22"/>
          <w:szCs w:val="22"/>
        </w:rPr>
      </w:pPr>
      <w:r w:rsidRPr="006C6B32">
        <w:rPr>
          <w:rFonts w:asciiTheme="minorHAnsi" w:hAnsiTheme="minorHAnsi" w:cstheme="minorHAnsi"/>
          <w:sz w:val="22"/>
          <w:szCs w:val="22"/>
        </w:rPr>
        <w:t xml:space="preserve">The term ‘stress’ many people will use, when they feel that a situation has put pressure on them. This can be due to a change in environment or increased demands. (Mind 2020). Resilience means to build coping mechanisms and be able to over come obstacles. This is essential in Policing, due to the nature of the work, as what an individual experiences in their role can be traumatising. </w:t>
      </w:r>
    </w:p>
    <w:p w14:paraId="652CB165" w14:textId="77777777" w:rsidR="006C6B32" w:rsidRPr="006C6B32" w:rsidRDefault="006C6B32" w:rsidP="006C6B32">
      <w:pPr>
        <w:rPr>
          <w:rFonts w:asciiTheme="minorHAnsi" w:hAnsiTheme="minorHAnsi" w:cstheme="minorHAnsi"/>
          <w:sz w:val="22"/>
          <w:szCs w:val="22"/>
        </w:rPr>
      </w:pPr>
      <w:r w:rsidRPr="006C6B32">
        <w:rPr>
          <w:rFonts w:asciiTheme="minorHAnsi" w:hAnsiTheme="minorHAnsi" w:cstheme="minorHAnsi"/>
          <w:sz w:val="22"/>
          <w:szCs w:val="22"/>
        </w:rPr>
        <w:t>In my initial 6 months of learning, I had not been in an educational environment for many years. The main anxiety I faced was not knowing what was expected of me from an academic perspective. This had a negative effect on my mental health, as I would sometime recite lessons. I believe that I was reciting my lessons was the fear of not being able to perform at an acceptable academic level, and due to the work and lifestyle changes I had recently undergone. I knew that long term this would have a further negative effect, so I implemented some changes to build resilience and lower stress levels.  I began to cycle during my spare time because cycling has been proven to lower stress, boost concentration, improves mood and contributes to a better nights sleep (Mind 2020). I also communicate with family and friends about my worries and asked for their advice. I learnt that I was not giving myself a good work life balance, which is needed to effectively manage my own workload, whilst maintaining a family life. By adapting this, it had a positive effect on myself by reducing my stress levels, helping me to build resilience and allowing me to have a better work life balance. (Mind 2020).</w:t>
      </w:r>
    </w:p>
    <w:p w14:paraId="7E9E6B2B" w14:textId="77777777" w:rsidR="006C6B32" w:rsidRPr="006C6B32" w:rsidRDefault="006C6B32" w:rsidP="006C6B32">
      <w:pPr>
        <w:rPr>
          <w:rFonts w:asciiTheme="minorHAnsi" w:hAnsiTheme="minorHAnsi" w:cstheme="minorHAnsi"/>
          <w:sz w:val="22"/>
          <w:szCs w:val="22"/>
        </w:rPr>
      </w:pPr>
      <w:r w:rsidRPr="006C6B32">
        <w:rPr>
          <w:rFonts w:asciiTheme="minorHAnsi" w:hAnsiTheme="minorHAnsi" w:cstheme="minorHAnsi"/>
          <w:sz w:val="22"/>
          <w:szCs w:val="22"/>
        </w:rPr>
        <w:t xml:space="preserve">I also had to adapt my individual learning style to suit my learning needs. As I had not been in a classroom environment for many years, I needed to learn how to retain information for me to succeed in my learning, and exams. As a visual learner, I would learn and retain information more efficiently by reading or seeing pictures. VARK Learn Limited (2020). To do this effectively I would write things down several times in order to retain the information I needed and then test myself to see what I could remember. Anything that I was not able to remember I would then repeat the process. </w:t>
      </w:r>
    </w:p>
    <w:p w14:paraId="1E825E03" w14:textId="74592896" w:rsidR="006C6B32" w:rsidRDefault="006C6B32" w:rsidP="006C6B32">
      <w:pPr>
        <w:rPr>
          <w:rFonts w:asciiTheme="minorHAnsi" w:hAnsiTheme="minorHAnsi" w:cstheme="minorHAnsi"/>
          <w:sz w:val="22"/>
          <w:szCs w:val="22"/>
        </w:rPr>
      </w:pPr>
      <w:r w:rsidRPr="006C6B32">
        <w:rPr>
          <w:rFonts w:asciiTheme="minorHAnsi" w:hAnsiTheme="minorHAnsi" w:cstheme="minorHAnsi"/>
          <w:sz w:val="22"/>
          <w:szCs w:val="22"/>
        </w:rPr>
        <w:t>In conclusion, the past 6 months I have learnt to have plenty of exercise, such as cycling or walking with family as this has helped me to keep my stress levels to a minimum, boost my concentration and energy thus having a positive effect on my mental wellbeing.  I have also learnt by managing my own workload allows more time to prioritise and complete tasks, and in turn allowing more down time for exercise and time with family and friends. I can reflect on the past 6 months and learn from my experience, which has given me the coping strategies needed to develop resilience and minimise my stress.</w:t>
      </w:r>
    </w:p>
    <w:p w14:paraId="1B7703BF" w14:textId="534A69A0" w:rsidR="00CF556A" w:rsidRDefault="00CF556A" w:rsidP="006C6B32">
      <w:pPr>
        <w:rPr>
          <w:rFonts w:asciiTheme="minorHAnsi" w:hAnsiTheme="minorHAnsi" w:cstheme="minorHAnsi"/>
          <w:sz w:val="22"/>
          <w:szCs w:val="22"/>
        </w:rPr>
      </w:pPr>
    </w:p>
    <w:p w14:paraId="68C3052D" w14:textId="5A4F0318" w:rsidR="00CF556A" w:rsidRPr="006C6B32" w:rsidRDefault="00CF556A" w:rsidP="006C6B32">
      <w:pPr>
        <w:rPr>
          <w:rFonts w:asciiTheme="minorHAnsi" w:hAnsiTheme="minorHAnsi" w:cstheme="minorHAnsi"/>
          <w:sz w:val="22"/>
          <w:szCs w:val="22"/>
        </w:rPr>
      </w:pPr>
      <w:r>
        <w:rPr>
          <w:rFonts w:asciiTheme="minorHAnsi" w:hAnsiTheme="minorHAnsi" w:cstheme="minorHAnsi"/>
          <w:sz w:val="22"/>
          <w:szCs w:val="22"/>
        </w:rPr>
        <w:t>Total Word Count 494.</w:t>
      </w:r>
    </w:p>
    <w:p w14:paraId="3456E6DC" w14:textId="2204811A" w:rsidR="00FF7784" w:rsidRPr="006E4954" w:rsidRDefault="006C6B32" w:rsidP="00FF7EBB">
      <w:pPr>
        <w:pStyle w:val="ListParagraph"/>
        <w:numPr>
          <w:ilvl w:val="0"/>
          <w:numId w:val="49"/>
        </w:numPr>
        <w:overflowPunct/>
        <w:autoSpaceDE/>
        <w:autoSpaceDN/>
        <w:adjustRightInd/>
        <w:spacing w:after="160" w:line="259" w:lineRule="auto"/>
        <w:jc w:val="both"/>
        <w:textAlignment w:val="auto"/>
        <w:rPr>
          <w:sz w:val="24"/>
          <w:szCs w:val="24"/>
        </w:rPr>
      </w:pPr>
      <w:r w:rsidRPr="006E4954">
        <w:rPr>
          <w:rFonts w:asciiTheme="minorHAnsi" w:hAnsiTheme="minorHAnsi" w:cstheme="minorHAnsi"/>
          <w:sz w:val="22"/>
          <w:szCs w:val="22"/>
        </w:rPr>
        <w:br w:type="page"/>
      </w: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C50B6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AAC61A0" w:rsidR="00450C83" w:rsidRDefault="00450C83" w:rsidP="00450C83">
      <w:pPr>
        <w:jc w:val="both"/>
        <w:rPr>
          <w:b/>
          <w:sz w:val="24"/>
          <w:szCs w:val="24"/>
        </w:rPr>
      </w:pPr>
      <w:r w:rsidRPr="00450C83">
        <w:rPr>
          <w:b/>
          <w:sz w:val="24"/>
          <w:szCs w:val="24"/>
        </w:rPr>
        <w:t>ANSWER:</w:t>
      </w:r>
    </w:p>
    <w:p w14:paraId="422A2C77" w14:textId="677A38F2" w:rsidR="005E5861" w:rsidRDefault="005E5861" w:rsidP="00450C83">
      <w:pPr>
        <w:jc w:val="both"/>
        <w:rPr>
          <w:b/>
          <w:sz w:val="24"/>
          <w:szCs w:val="24"/>
        </w:rPr>
      </w:pPr>
    </w:p>
    <w:p w14:paraId="7C466944"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I am going to be reflecting on an incident where I played a significant role with the offender whilst trying to resolve the conflict that was unfolding. For my reflection, I am going to use Gibbs’ Reflective Recycle. I will give a brief description of the incident, illustrate my decision-making and approach, and reflect out the outcome.</w:t>
      </w:r>
    </w:p>
    <w:p w14:paraId="344154B5"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The altercation had occurred as the victim had contacted police, due to their ex-partner standing outside their property, whilst shouting and making threats to damage the property. This was due to an ongoing childcare dispute between the victim and suspect, whereby the victim had access to the child overnight but had then developed symptoms of COVID 19, which the suspect believed to be false information and the victim was using this as an excuse to keep the child in his care. The suspect was extremely angry and emotional, so I had to adapt my approach to gain control and try to de-escalate the situation.</w:t>
      </w:r>
    </w:p>
    <w:p w14:paraId="495B7919"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When I approached the suspect and engaged with her, I remained calm and spoke in a soft tone, using open hand gestures and body language. I then began asking open-ended questions to gain an understanding of the situation that was unfolding. By approaching the situation this way, I hoped it would help me to build a rapport with the suspect and so I am able to have a detailed explanation to </w:t>
      </w:r>
      <w:r w:rsidRPr="0064739D">
        <w:rPr>
          <w:rFonts w:ascii="Calibri" w:eastAsia="Calibri" w:hAnsi="Calibri" w:cs="Times New Roman"/>
          <w:color w:val="auto"/>
          <w:sz w:val="22"/>
          <w:szCs w:val="22"/>
          <w:lang w:eastAsia="en-US"/>
        </w:rPr>
        <w:lastRenderedPageBreak/>
        <w:t>gain an understanding of the incident. This meant that the suspect would be more likely to engage in a positive manner and therefore de-escalate the situation. (Lavrakas,2008, p. 459).</w:t>
      </w:r>
    </w:p>
    <w:p w14:paraId="554189A6"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I also used active listening skills when listening to the suspect’s point of view. The suspect was agitated due to the victim lying about having COVID symptoms and having to isolate resulting in the child being kept over the Christmas period. Using active listening skills and open-ended questions, I began to ask the victim why there was a dispute. The victim informed me he had attended a COVID 19 testing centre that morning, so we both agreed, if the test was to come back as negative, he would return his child back to his mother’s address as soon as possible. There was not any current child contact order set out by the courts in place. The victim had also informed the child’s mother of the full circumstances. I relied this to the suspect who was outside. Due to the current circumstances, the household is required to isolate by current COVID 19 legislation. I then explained to the suspect that perhaps it is best to ensure the welfare of herself, the community, and her child that the isolation period is completed before her child returns home to her. </w:t>
      </w:r>
    </w:p>
    <w:p w14:paraId="4E4A8FC7" w14:textId="286714CC"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I also empathised with the suspect and agreed that it is difficult to prove whether her ex partner is actually showing symptoms of COVID 19 or not, as she had suggested was the case. </w:t>
      </w:r>
      <w:r w:rsidR="00022676" w:rsidRPr="0064739D">
        <w:rPr>
          <w:rFonts w:ascii="Calibri" w:eastAsia="Calibri" w:hAnsi="Calibri" w:cs="Times New Roman"/>
          <w:color w:val="auto"/>
          <w:sz w:val="22"/>
          <w:szCs w:val="22"/>
          <w:lang w:eastAsia="en-US"/>
        </w:rPr>
        <w:t>However,</w:t>
      </w:r>
      <w:r w:rsidRPr="0064739D">
        <w:rPr>
          <w:rFonts w:ascii="Calibri" w:eastAsia="Calibri" w:hAnsi="Calibri" w:cs="Times New Roman"/>
          <w:color w:val="auto"/>
          <w:sz w:val="22"/>
          <w:szCs w:val="22"/>
          <w:lang w:eastAsia="en-US"/>
        </w:rPr>
        <w:t xml:space="preserve"> we have to take it as a positive case due to the risk of spreading the infection. Whilst explaining this I continued to use open handed gestures and spoke in an empathetic and understanding manner. I did this in an attempt to prevent the situation from escalating and to maintain that level of rapport and trust I had built with the suspect. This however failed and the suspect became very irate and began to make threats towards the victim. I immediately challenged this behaviour and informed the suspect that if she were to cause any damage to the property, then she would be arrested for criminal damage. However, I also considered the suspect was upset due to wanting her child home and was acting out of her emotions rather than thinking rationally about the situation Oppong (2019). The suspect did not seem to be thinking rationally at this point and was acting out of emotion as the warning </w:t>
      </w:r>
      <w:r w:rsidR="00022676" w:rsidRPr="0064739D">
        <w:rPr>
          <w:rFonts w:ascii="Calibri" w:eastAsia="Calibri" w:hAnsi="Calibri" w:cs="Times New Roman"/>
          <w:color w:val="auto"/>
          <w:sz w:val="22"/>
          <w:szCs w:val="22"/>
          <w:lang w:eastAsia="en-US"/>
        </w:rPr>
        <w:t>did not</w:t>
      </w:r>
      <w:r w:rsidRPr="0064739D">
        <w:rPr>
          <w:rFonts w:ascii="Calibri" w:eastAsia="Calibri" w:hAnsi="Calibri" w:cs="Times New Roman"/>
          <w:color w:val="auto"/>
          <w:sz w:val="22"/>
          <w:szCs w:val="22"/>
          <w:lang w:eastAsia="en-US"/>
        </w:rPr>
        <w:t xml:space="preserve"> deter her or calm her down. I explained I have children so I can empathise that this must be difficult for her. The suspect instantly began to lower their guard with me so I used this as an approach to break down barriers and building further rapport with the suspect. The suspect explained she was angry, hurt, upset, and believed that the victim was lying. Despite the suspect appearing to have calmed down whilst speaking with me and building rapport, I believed that she was still very agitated and that if we left the scene without the suspect leaving, the situation would escalate again. I explained to the suspect that the best option would be for her to go home, and not to do something that would cause her to be arrested.</w:t>
      </w:r>
    </w:p>
    <w:p w14:paraId="1D7AA368"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I made this decision, whilst also taking into account the suspects human rights under Article 10: Freedom of Expression under The Human Rights Act 1998 that states, “everyone has the right to freedom of expression” (Human Rights Act 1998). But also the victims’ human rights under Article 8: Respect for your private and family life under The Human Rights Act 1998 which states “ </w:t>
      </w:r>
      <w:r w:rsidRPr="0064739D">
        <w:rPr>
          <w:rFonts w:ascii="Calibri" w:eastAsia="Calibri" w:hAnsi="Calibri" w:cs="Times New Roman"/>
          <w:color w:val="auto"/>
          <w:sz w:val="22"/>
          <w:szCs w:val="22"/>
          <w:lang w:eastAsia="en-US"/>
        </w:rPr>
        <w:br/>
        <w:t>Everyone has the right to respect for his private and family life, his home and his correspondence”. (Human Rights Act 1998). Whilst I could empathise with the suspect, I also needed to protect the victim and ensure that no harm came to them or their property.</w:t>
      </w:r>
    </w:p>
    <w:p w14:paraId="04DB85A8"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The suspect agreed and began to walk in a direction away from the address. It was at this point that the suspect picked up a stone from the floor and began to draw her arm back in what I believed to be in an attempt to cause immediate damage to the property.  Using the National Decision Model I made an immediate dynamic risk assessment and identified that there was an immediate risk to property. The National Decision Model states that it has been developed to assist officers who “routinely make difficult decisions in fast moving situations”. (Bryant and Bryant 2020, p, 79). I </w:t>
      </w:r>
      <w:r w:rsidRPr="0064739D">
        <w:rPr>
          <w:rFonts w:ascii="Calibri" w:eastAsia="Calibri" w:hAnsi="Calibri" w:cs="Times New Roman"/>
          <w:color w:val="auto"/>
          <w:sz w:val="22"/>
          <w:szCs w:val="22"/>
          <w:lang w:eastAsia="en-US"/>
        </w:rPr>
        <w:lastRenderedPageBreak/>
        <w:t>considered this when making my decision, as the National Decision Model also guides officers to follow the code of ethics that ensures policing principles and the standards of professional behaviour is maintained. It also ensures Police officers gather information and intelligence, assess the threat and risk, develop a working strategy, considering their powers, and identify any options or contingencies before taking action and reviewing. (Bryant and Bryant 2020, p, 79, 80).  Using my Powers under Section 3 of the Criminal Law Act 1967, using both reasonable and proportionate force to the circumstances I took control of the suspect, causing her to release the brick and preventing damage to the property Criminal Law Act (1967). Then whilst continuing to use The Police National Decision Model I re-assessed the immediate risk of threat, risk or harm to the victim, the occupants and or their property and I then made the decision to place the suspect into handcuffs to the rear. By using force, I had successfully eliminated the immediate risk and any further risk to the victim, the occupants of the address and the property. It had also prevented the suspect from committing any further offences. The suspect was then escorted to Police custody.</w:t>
      </w:r>
    </w:p>
    <w:p w14:paraId="74A32C56"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 xml:space="preserve">Upon reflection to the incident, I feel that I handled the incident well and by using open-ended questions, I played a significant role in de-escalating the situation. This allowed the suspect to get her point and concerns across and which helped me to build a positive rapport. However upon further reflection, if I had removed the suspect from the location of the incident as soon as arriving this would have prevented the incident escalating, as it did and in turn would have prevented not only the arrest at that time but also the need for force to be used. By using force alongside the National Decision Model, I successfully prevented any damage occurring to the property and then conducted a successful arrest of the suspect. By me conducting the arrest, it successfully eliminated any further risk of damage, threat or harm to the victim and/or their property. This would have also had a negative effect on the suspect, as handcuffing would have put stresses on their body. </w:t>
      </w:r>
    </w:p>
    <w:p w14:paraId="32E8C2D3" w14:textId="77777777" w:rsidR="0064739D" w:rsidRPr="0064739D" w:rsidRDefault="0064739D" w:rsidP="0064739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4739D">
        <w:rPr>
          <w:rFonts w:ascii="Calibri" w:eastAsia="Calibri" w:hAnsi="Calibri" w:cs="Times New Roman"/>
          <w:color w:val="auto"/>
          <w:sz w:val="22"/>
          <w:szCs w:val="22"/>
          <w:lang w:eastAsia="en-US"/>
        </w:rPr>
        <w:t>In conclusion, I have learnt that by proactively removing the suspect from the situation will significantly decrease the likely hood of any further incidents taking place. This will have a positive impact on the victim, as they will be victim to a lesser crime and the suspect, as it will prevent them from acting in an irrational manner and potentially being arrested for any further offences. I will learn from this incident and use it in my decision making process in future incidents. This will help me to become a more rounded Police Constable and help me to be highly effective in my role.</w:t>
      </w:r>
    </w:p>
    <w:p w14:paraId="56E78231" w14:textId="3CD5C160" w:rsidR="0064739D" w:rsidRDefault="0064739D" w:rsidP="00450C83">
      <w:pPr>
        <w:jc w:val="both"/>
        <w:rPr>
          <w:b/>
          <w:sz w:val="24"/>
          <w:szCs w:val="24"/>
        </w:rPr>
      </w:pPr>
    </w:p>
    <w:p w14:paraId="6F685451" w14:textId="379DBB22" w:rsidR="0064739D" w:rsidRPr="0064739D" w:rsidRDefault="0064739D" w:rsidP="00450C83">
      <w:pPr>
        <w:jc w:val="both"/>
        <w:rPr>
          <w:rFonts w:asciiTheme="minorHAnsi" w:hAnsiTheme="minorHAnsi" w:cstheme="minorHAnsi"/>
          <w:sz w:val="22"/>
          <w:szCs w:val="22"/>
        </w:rPr>
      </w:pPr>
      <w:r>
        <w:rPr>
          <w:rFonts w:asciiTheme="minorHAnsi" w:hAnsiTheme="minorHAnsi" w:cstheme="minorHAnsi"/>
          <w:sz w:val="22"/>
          <w:szCs w:val="22"/>
        </w:rPr>
        <w:t xml:space="preserve">Total Word </w:t>
      </w:r>
      <w:r w:rsidR="00022676">
        <w:rPr>
          <w:rFonts w:asciiTheme="minorHAnsi" w:hAnsiTheme="minorHAnsi" w:cstheme="minorHAnsi"/>
          <w:sz w:val="22"/>
          <w:szCs w:val="22"/>
        </w:rPr>
        <w:t>Count 1461</w:t>
      </w:r>
    </w:p>
    <w:p w14:paraId="3AF59649" w14:textId="3CDA8319" w:rsidR="005E5861" w:rsidRDefault="005E5861" w:rsidP="00450C83">
      <w:pPr>
        <w:jc w:val="both"/>
        <w:rPr>
          <w:rFonts w:ascii="Calibri" w:eastAsia="Calibri" w:hAnsi="Calibri" w:cs="Times New Roman"/>
          <w:color w:val="auto"/>
          <w:sz w:val="22"/>
          <w:szCs w:val="22"/>
          <w:lang w:eastAsia="en-US"/>
        </w:rPr>
      </w:pPr>
    </w:p>
    <w:p w14:paraId="25E43D1C" w14:textId="4983A206" w:rsidR="0064739D" w:rsidRDefault="0064739D" w:rsidP="00450C83">
      <w:pPr>
        <w:jc w:val="both"/>
        <w:rPr>
          <w:rFonts w:ascii="Calibri" w:eastAsia="Calibri" w:hAnsi="Calibri" w:cs="Times New Roman"/>
          <w:color w:val="auto"/>
          <w:sz w:val="22"/>
          <w:szCs w:val="22"/>
          <w:lang w:eastAsia="en-US"/>
        </w:rPr>
      </w:pPr>
    </w:p>
    <w:p w14:paraId="59EB917A" w14:textId="5036C9FD" w:rsidR="0064739D" w:rsidRDefault="0064739D" w:rsidP="00450C83">
      <w:pPr>
        <w:jc w:val="both"/>
        <w:rPr>
          <w:rFonts w:ascii="Calibri" w:eastAsia="Calibri" w:hAnsi="Calibri" w:cs="Times New Roman"/>
          <w:color w:val="auto"/>
          <w:sz w:val="22"/>
          <w:szCs w:val="22"/>
          <w:lang w:eastAsia="en-US"/>
        </w:rPr>
      </w:pPr>
    </w:p>
    <w:p w14:paraId="60EFC800" w14:textId="6C151D7C" w:rsidR="0064739D" w:rsidRDefault="0064739D" w:rsidP="00450C83">
      <w:pPr>
        <w:jc w:val="both"/>
        <w:rPr>
          <w:rFonts w:ascii="Calibri" w:eastAsia="Calibri" w:hAnsi="Calibri" w:cs="Times New Roman"/>
          <w:color w:val="auto"/>
          <w:sz w:val="22"/>
          <w:szCs w:val="22"/>
          <w:lang w:eastAsia="en-US"/>
        </w:rPr>
      </w:pPr>
    </w:p>
    <w:p w14:paraId="01191B2E" w14:textId="004A371B" w:rsidR="0064739D" w:rsidRDefault="0064739D" w:rsidP="00450C83">
      <w:pPr>
        <w:jc w:val="both"/>
        <w:rPr>
          <w:rFonts w:ascii="Calibri" w:eastAsia="Calibri" w:hAnsi="Calibri" w:cs="Times New Roman"/>
          <w:color w:val="auto"/>
          <w:sz w:val="22"/>
          <w:szCs w:val="22"/>
          <w:lang w:eastAsia="en-US"/>
        </w:rPr>
      </w:pPr>
    </w:p>
    <w:p w14:paraId="3A30AB00" w14:textId="1B454C31" w:rsidR="0064739D" w:rsidRDefault="0064739D" w:rsidP="00450C83">
      <w:pPr>
        <w:jc w:val="both"/>
        <w:rPr>
          <w:rFonts w:ascii="Calibri" w:eastAsia="Calibri" w:hAnsi="Calibri" w:cs="Times New Roman"/>
          <w:color w:val="auto"/>
          <w:sz w:val="22"/>
          <w:szCs w:val="22"/>
          <w:lang w:eastAsia="en-US"/>
        </w:rPr>
      </w:pPr>
    </w:p>
    <w:p w14:paraId="4C88AC99" w14:textId="5CB5DEFC" w:rsidR="0064739D" w:rsidRDefault="0064739D" w:rsidP="00450C83">
      <w:pPr>
        <w:jc w:val="both"/>
        <w:rPr>
          <w:rFonts w:ascii="Calibri" w:eastAsia="Calibri" w:hAnsi="Calibri" w:cs="Times New Roman"/>
          <w:color w:val="auto"/>
          <w:sz w:val="22"/>
          <w:szCs w:val="22"/>
          <w:lang w:eastAsia="en-US"/>
        </w:rPr>
      </w:pPr>
    </w:p>
    <w:p w14:paraId="48384689" w14:textId="36427C24" w:rsidR="0064739D" w:rsidRDefault="0064739D" w:rsidP="00450C83">
      <w:pPr>
        <w:jc w:val="both"/>
        <w:rPr>
          <w:rFonts w:ascii="Calibri" w:eastAsia="Calibri" w:hAnsi="Calibri" w:cs="Times New Roman"/>
          <w:color w:val="auto"/>
          <w:sz w:val="22"/>
          <w:szCs w:val="22"/>
          <w:lang w:eastAsia="en-US"/>
        </w:rPr>
      </w:pPr>
    </w:p>
    <w:p w14:paraId="2FA136EA" w14:textId="5985F8CA" w:rsidR="0064739D" w:rsidRDefault="0064739D" w:rsidP="00450C83">
      <w:pPr>
        <w:jc w:val="both"/>
        <w:rPr>
          <w:rFonts w:ascii="Calibri" w:eastAsia="Calibri" w:hAnsi="Calibri" w:cs="Times New Roman"/>
          <w:color w:val="auto"/>
          <w:sz w:val="22"/>
          <w:szCs w:val="22"/>
          <w:lang w:eastAsia="en-US"/>
        </w:rPr>
      </w:pPr>
    </w:p>
    <w:p w14:paraId="03A645E9" w14:textId="30A74EFF" w:rsidR="0064739D" w:rsidRDefault="0064739D" w:rsidP="00450C83">
      <w:pPr>
        <w:jc w:val="both"/>
        <w:rPr>
          <w:rFonts w:ascii="Calibri" w:eastAsia="Calibri" w:hAnsi="Calibri" w:cs="Times New Roman"/>
          <w:color w:val="auto"/>
          <w:sz w:val="22"/>
          <w:szCs w:val="22"/>
          <w:lang w:eastAsia="en-US"/>
        </w:rPr>
      </w:pPr>
    </w:p>
    <w:p w14:paraId="1D8E65BB" w14:textId="08A638C8" w:rsidR="0064739D" w:rsidRDefault="0064739D" w:rsidP="00450C83">
      <w:pPr>
        <w:jc w:val="both"/>
        <w:rPr>
          <w:rFonts w:ascii="Calibri" w:eastAsia="Calibri" w:hAnsi="Calibri" w:cs="Times New Roman"/>
          <w:color w:val="auto"/>
          <w:sz w:val="22"/>
          <w:szCs w:val="22"/>
          <w:lang w:eastAsia="en-US"/>
        </w:rPr>
      </w:pPr>
    </w:p>
    <w:p w14:paraId="6BDCF8D1" w14:textId="64AD3493" w:rsidR="0064739D" w:rsidRDefault="0064739D" w:rsidP="00450C83">
      <w:pPr>
        <w:jc w:val="both"/>
        <w:rPr>
          <w:rFonts w:ascii="Calibri" w:eastAsia="Calibri" w:hAnsi="Calibri" w:cs="Times New Roman"/>
          <w:color w:val="auto"/>
          <w:sz w:val="22"/>
          <w:szCs w:val="22"/>
          <w:lang w:eastAsia="en-US"/>
        </w:rPr>
      </w:pPr>
    </w:p>
    <w:p w14:paraId="63C6CB4F" w14:textId="0A54B8F9" w:rsidR="0064739D" w:rsidRDefault="0064739D" w:rsidP="00450C83">
      <w:pPr>
        <w:jc w:val="both"/>
        <w:rPr>
          <w:rFonts w:ascii="Calibri" w:eastAsia="Calibri" w:hAnsi="Calibri" w:cs="Times New Roman"/>
          <w:color w:val="auto"/>
          <w:sz w:val="22"/>
          <w:szCs w:val="22"/>
          <w:lang w:eastAsia="en-US"/>
        </w:rPr>
      </w:pPr>
    </w:p>
    <w:p w14:paraId="6F48EE5D" w14:textId="657A9466" w:rsidR="0064739D" w:rsidRDefault="0064739D" w:rsidP="00450C83">
      <w:pPr>
        <w:jc w:val="both"/>
        <w:rPr>
          <w:rFonts w:ascii="Calibri" w:eastAsia="Calibri" w:hAnsi="Calibri" w:cs="Times New Roman"/>
          <w:color w:val="auto"/>
          <w:sz w:val="22"/>
          <w:szCs w:val="22"/>
          <w:lang w:eastAsia="en-US"/>
        </w:rPr>
      </w:pPr>
    </w:p>
    <w:p w14:paraId="2A9C0744" w14:textId="15B455C4" w:rsidR="0064739D" w:rsidRDefault="0064739D" w:rsidP="00450C83">
      <w:pPr>
        <w:jc w:val="both"/>
        <w:rPr>
          <w:rFonts w:ascii="Calibri" w:eastAsia="Calibri" w:hAnsi="Calibri" w:cs="Times New Roman"/>
          <w:color w:val="auto"/>
          <w:sz w:val="22"/>
          <w:szCs w:val="22"/>
          <w:lang w:eastAsia="en-US"/>
        </w:rPr>
      </w:pPr>
    </w:p>
    <w:p w14:paraId="424AF600" w14:textId="77777777" w:rsidR="0064739D" w:rsidRPr="00450C83" w:rsidRDefault="0064739D" w:rsidP="00450C83">
      <w:pPr>
        <w:jc w:val="both"/>
        <w:rPr>
          <w:b/>
          <w:sz w:val="24"/>
          <w:szCs w:val="24"/>
        </w:rPr>
      </w:pPr>
    </w:p>
    <w:p w14:paraId="6A73DBDF" w14:textId="336F94C7" w:rsidR="00AA666E" w:rsidRDefault="00AA666E" w:rsidP="00FF7EBB">
      <w:pPr>
        <w:jc w:val="both"/>
        <w:rPr>
          <w:sz w:val="24"/>
          <w:szCs w:val="24"/>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487B6D40" w:rsidR="00025650" w:rsidRDefault="00025650" w:rsidP="00025650">
      <w:pPr>
        <w:jc w:val="both"/>
        <w:rPr>
          <w:sz w:val="24"/>
          <w:szCs w:val="24"/>
        </w:rPr>
      </w:pPr>
    </w:p>
    <w:p w14:paraId="65787877"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I am going to reflect on an incident where I played a significant role in providing support to the victim of a hate crime.  I am going to use Gibbs’ Reflective Recycle. I will give a brief description of the incident, illustrate my decision-making and approach, and reflect out the outcome.</w:t>
      </w:r>
    </w:p>
    <w:p w14:paraId="59B25155"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I attended an incident where a female had been a victim of an assault outside their premises. In addition to the assault, the offender then began shouting racial abuse towards the victim. This lead the victim to believe that her assault was due to her race/ethnic background. Because of this, the assault was then categorised, by the force control room as a hate crime.  A “hate crime” is when a crime is committed and the perpetrator is motivated to carry out the offence by the victim’s race, religion, sexual orientation or disability (CPS, 2017).</w:t>
      </w:r>
    </w:p>
    <w:p w14:paraId="28E71D7F"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 xml:space="preserve">Upon entering the premises, I saw that the victim was distraught. She clearly felt targeted and victimised due to the incident. I immediately felt empathy towards victim and felt that it was my duty to provide the victim with the best support available and bring the offender to justice. I explained to the victim that in order for me to do this, I would need to make the relevant referrals to various multi-agencies such as the Hate Crime Team and Victim Support, and would need her to provide me with a witness statement. A witness statement is a document that records the evidence </w:t>
      </w:r>
      <w:r w:rsidRPr="00AB1C40">
        <w:rPr>
          <w:rFonts w:ascii="Calibri" w:eastAsia="Calibri" w:hAnsi="Calibri" w:cs="Times New Roman"/>
          <w:color w:val="auto"/>
          <w:sz w:val="22"/>
          <w:szCs w:val="22"/>
          <w:lang w:eastAsia="en-US"/>
        </w:rPr>
        <w:lastRenderedPageBreak/>
        <w:t>of a person who has witnessed the crime or incident take place and is admissible in court (CPS, 2017).</w:t>
      </w:r>
    </w:p>
    <w:p w14:paraId="45634F07"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I then explained to the victim that there is an option to provide a victim personal statement. The Victim Personal Statement is an important part of the victim support process as it gives the victim the opportunity to tell the courts on how a crime has affected them personally (Gov.UK, 2018).</w:t>
      </w:r>
    </w:p>
    <w:p w14:paraId="0DDB9ABC"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0000FF"/>
          <w:sz w:val="22"/>
          <w:szCs w:val="22"/>
          <w:u w:val="single"/>
          <w:lang w:eastAsia="en-US"/>
        </w:rPr>
      </w:pPr>
      <w:r w:rsidRPr="00AB1C40">
        <w:rPr>
          <w:rFonts w:ascii="Calibri" w:eastAsia="Calibri" w:hAnsi="Calibri" w:cs="Times New Roman"/>
          <w:color w:val="auto"/>
          <w:sz w:val="22"/>
          <w:szCs w:val="22"/>
          <w:lang w:eastAsia="en-US"/>
        </w:rPr>
        <w:t>I then began to speak to the victim using open-ended questioning skills. I did this by asking the victim what had happened, and if the victim knew who the perpetrator was. The benefits of using open-ended questioning are, it requires to respondent to answer the questions in their own words (Oxford University Press, 2021).</w:t>
      </w:r>
    </w:p>
    <w:p w14:paraId="3CCBD3F2"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 xml:space="preserve">The victim told me that she was laying on her bed and heard chippings hitting her bedroom window. When she looked out of the window, she witnessed an unknown male stood outside her address with a hood covering his face. The victim then stated she felt angry at this time so she went outside to challenge him. Upon getting outside of the address, she began to challenge the perpetrator asking him why he was throwing stones at her window. The perpetrator replied with racial verbal abuse, name-calling and then pushed her to the upper chest area. This made the victim feel very upset and afraid for her personal safety, so she ran back inside, locking the door and then contacted the Police. The victim did not know the perpetrator and believed that the reason he had carried out this attack on her was her racial background. </w:t>
      </w:r>
    </w:p>
    <w:p w14:paraId="728EC6D9"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0000FF"/>
          <w:sz w:val="22"/>
          <w:szCs w:val="22"/>
          <w:u w:val="single"/>
          <w:lang w:eastAsia="en-US"/>
        </w:rPr>
      </w:pPr>
      <w:r w:rsidRPr="00AB1C40">
        <w:rPr>
          <w:rFonts w:ascii="Calibri" w:eastAsia="Calibri" w:hAnsi="Calibri" w:cs="Times New Roman"/>
          <w:color w:val="auto"/>
          <w:sz w:val="22"/>
          <w:szCs w:val="22"/>
          <w:lang w:eastAsia="en-US"/>
        </w:rPr>
        <w:t>By using open-ended questioning, I was able to extract as much information as possible from the victim. Therefore assisting me in being able to produce an accurate and concise witness statement.  This would also assist myself in the investigation process and assist in meeting the full code test, which would be required in bringing the offender to justice. The full code test is guidance that prosecutors must follow when making decisions on prosecutions. It states that, “Prosecutors must only start or continue a prosecution when the case has passed both stages of the Full Code Test”. Also “The Full Code Test has two stages: (i) the evidential stage; followed by (ii) the public interest stage” (CPS, 2018).</w:t>
      </w:r>
    </w:p>
    <w:p w14:paraId="6A6F6E29"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AB1C40">
        <w:rPr>
          <w:rFonts w:ascii="Calibri" w:eastAsia="Calibri" w:hAnsi="Calibri" w:cs="Times New Roman"/>
          <w:color w:val="auto"/>
          <w:sz w:val="22"/>
          <w:szCs w:val="22"/>
          <w:lang w:eastAsia="en-US"/>
        </w:rPr>
        <w:t xml:space="preserve">Whilst using open-ended questions to gather an account from the victim, I also had to approach the subject in a sensitive manner. This was to ensure that I maintained a balance of gathering as much information as possible in order to assist myself in gathering an accurate account of what had happened. This would not only assist in the accurate identification of a suspect, but would also support the victim throughout the process. As the assault was racially motivated, it would be more likely to have a lasting effect on the victim. </w:t>
      </w:r>
    </w:p>
    <w:p w14:paraId="4FE21A7F"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 xml:space="preserve">I then informed the victim that she would be updated on the progress of the case. Such as if there has been any development in identifying the perpetrator or if anyone had been charged with the offence. </w:t>
      </w:r>
    </w:p>
    <w:p w14:paraId="301F60CA"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All these processes were carried out were in line with the current Victims of Crime (Code of Practice) which states that “Victims are entitled to receive services under the Victims' Code if they have made an allegation that they have directly experienced criminal conduct to the police or had an allegation made on their behalf” (CPS, 2017).</w:t>
      </w:r>
    </w:p>
    <w:p w14:paraId="3ED0F961"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 xml:space="preserve">Whilst attending and managing the incident I ensured that I worked to the current South Wales Police, Policing Values which states “To be proud, professional and positive in everything we do” (South Wales Police 2021). I did this by remaining professional, acting with fairness and impartiality, </w:t>
      </w:r>
      <w:r w:rsidRPr="00AB1C40">
        <w:rPr>
          <w:rFonts w:ascii="Calibri" w:eastAsia="Calibri" w:hAnsi="Calibri" w:cs="Times New Roman"/>
          <w:color w:val="auto"/>
          <w:sz w:val="22"/>
          <w:szCs w:val="22"/>
          <w:lang w:eastAsia="en-US"/>
        </w:rPr>
        <w:lastRenderedPageBreak/>
        <w:t>maintaining respect and courtesy towards the victim. By working to these values not only did I ensure that the values of South Wales Police were upheld, but the Code of Ethics were adhered to at all times. The Code of Ethics have been developed by The College of Policing and are a written guide of the principles and standards of behaviour that every member of the policing profession are expected to meet this also ensures that the victim is provided with the highest standards of service at all times (College of Policing 2020).</w:t>
      </w:r>
    </w:p>
    <w:p w14:paraId="71FBC977"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Upon reflection, I feel that I handled the initial incident well. I was empathetic, approachable and ensured that I maintained the values of South Wales Police and worked to the College of Policing Code of Ethics. Although everything was followed as per the current force policies and procedures for a hate crime, I would like to have gathered CCTV to attempt to take positive action and bringing the suspect to justice. I feel that this would be an important factor for the victim, as although supported from the start, she would also feel that justice had been served upon the perpetrator. This could also help to change the mind-set of the perpetrator and highlight the negative impact racial abuse has on not only the victim but also everyone within the community.</w:t>
      </w:r>
    </w:p>
    <w:p w14:paraId="636CC227" w14:textId="77777777"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Upon further reflection, I have learnt that racial discrimination within the community affects us all. Not only does it have a dramatic impact on the intended victim but also their family. It can have both a physical and mental Impact on the person and effects their quality of life dramatically. Whenever anyone has been a victim of any form of discrimination or abuse then positive action should be taken as soon as possible. Not only does positive action assist the victims of crime from the early point of contact but it also forms part of The South Wales Crime Commissioner - Police and Crime Plan 2019-2023 which states “Early intervention and prompt, positive action to help prevent problems before they escalate is at the heart of a five year plan for policing South Wales”. It also states, “It reinforces the South Wales Police vision to be the best at understanding and responding to its communities’ needs” (Police and Crime Commissioner 2021). Not only will I use this experience to assist me in becoming an effective Police Constable during my career, but also to assist me in providing support to those who are victims of discrimination.</w:t>
      </w:r>
    </w:p>
    <w:p w14:paraId="5E614FF9" w14:textId="197501AF" w:rsid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B1C40">
        <w:rPr>
          <w:rFonts w:ascii="Calibri" w:eastAsia="Calibri" w:hAnsi="Calibri" w:cs="Times New Roman"/>
          <w:color w:val="auto"/>
          <w:sz w:val="22"/>
          <w:szCs w:val="22"/>
          <w:lang w:eastAsia="en-US"/>
        </w:rPr>
        <w:t xml:space="preserve">Unfortunately, the investigation continues and a suspect has not been identified. Although the victim has now received full closure of the incident and is still affected by the incident she experienced, she has felt supported throughout the entire process. With the victims consent to share information I made referrals to multi-agencies via our police system, to services such as the Hate Crime Team and Victim Support Services.  Who will provide the victim with additional support and act as a single point of contact. </w:t>
      </w:r>
    </w:p>
    <w:p w14:paraId="38CE4541" w14:textId="3D40D82A" w:rsidR="00AB1C40" w:rsidRPr="00AB1C40" w:rsidRDefault="00AB1C40" w:rsidP="00AB1C4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Total Word Count 1369</w:t>
      </w:r>
    </w:p>
    <w:p w14:paraId="421B0AC3" w14:textId="77777777" w:rsidR="00AB1C40" w:rsidRPr="00270EEB" w:rsidRDefault="00AB1C4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lastRenderedPageBreak/>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B1922C9" w:rsidR="003C458C" w:rsidRDefault="003C458C" w:rsidP="003C458C">
      <w:pPr>
        <w:jc w:val="both"/>
        <w:rPr>
          <w:b/>
          <w:sz w:val="24"/>
          <w:szCs w:val="24"/>
        </w:rPr>
      </w:pPr>
      <w:r w:rsidRPr="00450C83">
        <w:rPr>
          <w:b/>
          <w:sz w:val="24"/>
          <w:szCs w:val="24"/>
        </w:rPr>
        <w:t>ANSWER:</w:t>
      </w:r>
    </w:p>
    <w:p w14:paraId="1E585DF3" w14:textId="699DFF3A" w:rsidR="00D45F4F" w:rsidRDefault="00D45F4F" w:rsidP="003C458C">
      <w:pPr>
        <w:jc w:val="both"/>
        <w:rPr>
          <w:b/>
          <w:sz w:val="24"/>
          <w:szCs w:val="24"/>
        </w:rPr>
      </w:pPr>
    </w:p>
    <w:p w14:paraId="0EEA59A4"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 xml:space="preserve">As part of policing, it is important that I can reflect on my experiences in order to improve on my performance. To do this I have used an incident where I played a significant role with a victim of a domestic assault and a suspect who also has vulnerabilities. By using the National Decision Model and working to the Policing values, I was able to effectively assess the risk, provide the best service to the victim and the suspect, whilst bringing the incident to the most appropriate outcome. In this incident, I have conducted the investigation in line with the Criminal Procedure and Investigations Act 1996 and following reviewing all evidence available, I have made the decision to use my own discretion. </w:t>
      </w:r>
    </w:p>
    <w:p w14:paraId="4F7D99E1"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00B050"/>
          <w:sz w:val="22"/>
          <w:szCs w:val="22"/>
          <w:lang w:eastAsia="en-US"/>
        </w:rPr>
      </w:pPr>
      <w:r w:rsidRPr="00D45F4F">
        <w:rPr>
          <w:rFonts w:ascii="Calibri" w:eastAsia="Calibri" w:hAnsi="Calibri" w:cs="Times New Roman"/>
          <w:color w:val="auto"/>
          <w:sz w:val="22"/>
          <w:szCs w:val="22"/>
          <w:lang w:eastAsia="en-US"/>
        </w:rPr>
        <w:t xml:space="preserve">I attended an incident, as there was an ongoing domestic assault between family members. A family member had assaulted the victim during a domestic dispute within the household. The dispute occurred as the suspect was staying out later than had been pre agreed by the victim. There was also concerns for the suspect as she had many vulnerabilities, such as being under the age of 18, and suffered with ADHD and autism. The suspect had been adopted at a young age by the victim and was known to multi agencies such as social services. The suspect had recently began to mix with a local gang of youths, which had a further negative impact on her behaviour. Because of this the suspect had also began to use illegal drugs and alcohol on a daily basis. </w:t>
      </w:r>
    </w:p>
    <w:p w14:paraId="20853A83"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 xml:space="preserve">I entered the premises and immediately made a dynamic risk assessment of the situation by using the National Decision Model. The National Decision Model states that it is to assist officers who </w:t>
      </w:r>
      <w:r w:rsidRPr="00D45F4F">
        <w:rPr>
          <w:rFonts w:ascii="Calibri" w:eastAsia="Calibri" w:hAnsi="Calibri" w:cs="Times New Roman"/>
          <w:color w:val="auto"/>
          <w:sz w:val="22"/>
          <w:szCs w:val="22"/>
          <w:lang w:eastAsia="en-US"/>
        </w:rPr>
        <w:lastRenderedPageBreak/>
        <w:t>“routinely make difficult decisions in fast moving situations”. (Bryant and Bryant 2020, p, 79) It also ensures Police officers gather information and intelligence, assess the threat and risk, develop a working strategy, considering their powers, and identify any options or contingencies before taking action and reviewing. (Bryant and Bryant 2020, p, 79, 80). Using the National Decision Model, I gathered essential information that the victims’ adopted daughter had assaulted the victim during a domestic dispute. The suspect suffers with ADHD which causes the inability to sense danger, she also finds it difficult to concentrate, and is finding it difficult to control behaviour. These are known behaviours of ADHD (NHS 2018). The suspects additional learning difficulties included not being able understand how others are feeling, finding it difficult to express their emotions and getting upset when asked to do something. This is very common in an autistic individual (NHS 2019). The suspect had also began to associate with a gang of older youths, taking drugs and consuming alcohol. My immediate concern was the welfare of the suspect. This was due to her many vulnerabilities such as age, and suffering with ADHD and autism. I was also concerned that the suspect may be a victim of child sexual exploitation as she had been taking drugs and alcohol with older youths. I then assessed the current threat and risk to the initial victim. I was also concerned of the likelihood of the victim suffering a further assault, and how could I mitigate that risk. Not only did I assess the risk from the assault, but I also had to take into account the further distress caused to the victim, as she was concerned about her daughters behaviour and welfare.</w:t>
      </w:r>
    </w:p>
    <w:p w14:paraId="32226B0A"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D45F4F">
        <w:rPr>
          <w:rFonts w:ascii="Calibri" w:eastAsia="Calibri" w:hAnsi="Calibri" w:cs="Times New Roman"/>
          <w:color w:val="auto"/>
          <w:sz w:val="22"/>
          <w:szCs w:val="22"/>
          <w:lang w:eastAsia="en-US"/>
        </w:rPr>
        <w:t>Therefore, by developing my own working strategy I considered what my next options would be. I notified my supervising officer of what exactly had happened and then by using a high level of interpersonal skills and open-ended questions, I asked the suspect not only about the assault that she was responsible for, but about the youths in which she had been associating and taking drugs with. The reasoning for my open-ended questioning approach was that it requires the respondent to answer my questions in their own words. This would allow me to gather as much information and intelligence as possible, assisting me with my investigation, and assisting both myself and other multi agencies in effectively safeguarding both victims (Oxford University Press 2021).</w:t>
      </w:r>
    </w:p>
    <w:p w14:paraId="6D7121FE" w14:textId="36DDE2E4"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 xml:space="preserve">I quickly realised that due to the suspects ADHD and Autism, she found it very difficult to retain information and was unable to understand on how her actions had a significant impact on the victim and what the potential risks were to herself. Using the National Decision Model I made the decision that to mitigate that risk I would make an immediate high-risk referral. This would be shared with multiple agencies and would prompt an immediate case review. As a </w:t>
      </w:r>
      <w:r w:rsidR="00FF27FC" w:rsidRPr="00D45F4F">
        <w:rPr>
          <w:rFonts w:ascii="Calibri" w:eastAsia="Calibri" w:hAnsi="Calibri" w:cs="Times New Roman"/>
          <w:color w:val="auto"/>
          <w:sz w:val="22"/>
          <w:szCs w:val="22"/>
          <w:lang w:eastAsia="en-US"/>
        </w:rPr>
        <w:t>result,</w:t>
      </w:r>
      <w:r w:rsidRPr="00D45F4F">
        <w:rPr>
          <w:rFonts w:ascii="Calibri" w:eastAsia="Calibri" w:hAnsi="Calibri" w:cs="Times New Roman"/>
          <w:color w:val="auto"/>
          <w:sz w:val="22"/>
          <w:szCs w:val="22"/>
          <w:lang w:eastAsia="en-US"/>
        </w:rPr>
        <w:t xml:space="preserve"> the care plan would be reviewed and further safeguarding measures would be put into place, therefore safeguarding both the victim from a further assault and the suspect from the potential risk of child sexual exploitation. </w:t>
      </w:r>
    </w:p>
    <w:p w14:paraId="2831F26E"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After considering all my responsibilities under the Criminal Procedure and Investigations Act 1996 which states “An investigation conducted by police officers with a view to it being ascertained whether a person should be charged with an offence, or whether a person charged with an offence is guilty of it” (College of Policing 2020). Also all the evidence available at the time, I formed the opinion that a charge of Common Assault under Section 39 of the Criminal justice Act 1988 was unlikely to be authorised by the Crown Prosecution Service (CPS 2020).</w:t>
      </w:r>
    </w:p>
    <w:p w14:paraId="1F2E21D5"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 xml:space="preserve">My reasoning for this conclusion is this was due to the suspects ADHD and Autism she lacked the capacity of understanding the severity of her actions and was unable to retain information. The principles under the full code test of the CPS Prosecution states “Autism is often diagnosed alongside other conditions, such as learning disabilities and/or difficulties. Where this is the case, it </w:t>
      </w:r>
      <w:r w:rsidRPr="00D45F4F">
        <w:rPr>
          <w:rFonts w:ascii="Calibri" w:eastAsia="Calibri" w:hAnsi="Calibri" w:cs="Times New Roman"/>
          <w:color w:val="auto"/>
          <w:sz w:val="22"/>
          <w:szCs w:val="22"/>
          <w:lang w:eastAsia="en-US"/>
        </w:rPr>
        <w:lastRenderedPageBreak/>
        <w:t>will be important to understand the combined impact on the behaviour and capabilities of the individual concerned” (CPS 2019).</w:t>
      </w:r>
    </w:p>
    <w:p w14:paraId="47D4A0E0"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 xml:space="preserve">I then considered my options, which was to either arrest the suspect for the assault and take her to custody, but by doing this, not only was a charge of assault unlikely, but criminalising her could have a lasting impact effecting her emotional wellbeing and mental health due to her ADHD and Autism. The second option I considered was to use my own discretion in relation to the offence. </w:t>
      </w:r>
    </w:p>
    <w:p w14:paraId="432C8991" w14:textId="00919BA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I discussed both options with the victim to ensure that the victim’s needs were met at all times. The victim agreed that the best course of action would be to use my own discretion in relation to the offence, I would document that it had happened and then ensure that all the support referrals was completed on the Police systems. This would have a longer lasting benefit for both the victim and suspect</w:t>
      </w:r>
      <w:r w:rsidR="00856594">
        <w:rPr>
          <w:rFonts w:ascii="Calibri" w:eastAsia="Calibri" w:hAnsi="Calibri" w:cs="Times New Roman"/>
          <w:color w:val="auto"/>
          <w:sz w:val="22"/>
          <w:szCs w:val="22"/>
          <w:lang w:eastAsia="en-US"/>
        </w:rPr>
        <w:t>, and would ensure that both was</w:t>
      </w:r>
      <w:bookmarkStart w:id="6" w:name="_GoBack"/>
      <w:bookmarkEnd w:id="6"/>
      <w:r w:rsidRPr="00D45F4F">
        <w:rPr>
          <w:rFonts w:ascii="Calibri" w:eastAsia="Calibri" w:hAnsi="Calibri" w:cs="Times New Roman"/>
          <w:color w:val="auto"/>
          <w:sz w:val="22"/>
          <w:szCs w:val="22"/>
          <w:lang w:eastAsia="en-US"/>
        </w:rPr>
        <w:t xml:space="preserve"> safeguarded with a multi-disciplinary approach. This would mean that all supporting agencies would work closely with the victim to provide domestic support, and work with the suspect to help her to manage her emotions, and violent outbursts as a direct result of her ADHD and autism. This would prevent any further assaults taking place and give both the victim and suspect a better quality of life.  The victim agreed that this would be the best course of action as it would potentially be a long-term prevention method. </w:t>
      </w:r>
    </w:p>
    <w:p w14:paraId="1EA65180"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All information recorded during the course of my investigation were in line with and fully compliant with Part 2 of the Criminal Procedure and Investigations Act 1996 Code of Practice which states “Police Officers are to record, retain and reveal to the prosecutor material obtained in a criminal investigation” (Gov.UK 2015).</w:t>
      </w:r>
    </w:p>
    <w:p w14:paraId="6D915C76" w14:textId="77777777" w:rsidR="00D45F4F" w:rsidRPr="00D45F4F" w:rsidRDefault="00D45F4F" w:rsidP="00D45F4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Upon review and reflection of the incident, I felt I managed it well as it had a good outcome for both suspect and victim. When attending the incident, not only did I consider the immediate welfare and risk posed towards the victim but also the suspect. This was due to the suspect being extremely vulnerable as she was under the age of 18, with learning difficulties and a history of substance misuse. I kept the victim involved in the decision-making throughout the process and this ensured I met the victims’ needs. Following me reviewing all the evidence, speaking to my supervisor and taking into account both the needs of the victim and suspect it became apparent that a charge of assault would be unlikely. I made the decision that the best course of action would be to share the information with multi-disciplinary teams and this would implement support to the both the victim and suspect. This would mean a better quality of life for the both of them and would act as a future prevention tool.</w:t>
      </w:r>
    </w:p>
    <w:p w14:paraId="6D554B34" w14:textId="1E84A0AD" w:rsidR="00D45F4F" w:rsidRDefault="00D45F4F" w:rsidP="00D45F4F">
      <w:pPr>
        <w:jc w:val="both"/>
        <w:rPr>
          <w:rFonts w:ascii="Calibri" w:eastAsia="Calibri" w:hAnsi="Calibri" w:cs="Times New Roman"/>
          <w:color w:val="auto"/>
          <w:sz w:val="22"/>
          <w:szCs w:val="22"/>
          <w:lang w:eastAsia="en-US"/>
        </w:rPr>
      </w:pPr>
      <w:r w:rsidRPr="00D45F4F">
        <w:rPr>
          <w:rFonts w:ascii="Calibri" w:eastAsia="Calibri" w:hAnsi="Calibri" w:cs="Times New Roman"/>
          <w:color w:val="auto"/>
          <w:sz w:val="22"/>
          <w:szCs w:val="22"/>
          <w:lang w:eastAsia="en-US"/>
        </w:rPr>
        <w:t>Upon further reflection I have learnt that I could have dealt with the initial assault first and then dealt with the welfare concerns of the suspect. My reasoning around this because the suspect was at home at the time of the assault so the immediate risk of child sexual exploitation was very low as apposed the risk of the victim suffering a further assault, I would now grade at a medium risk. Next time I will consider all the evidence and the risks, but deal with the initial problem at hand first.</w:t>
      </w:r>
    </w:p>
    <w:p w14:paraId="6114C8F0" w14:textId="21AB547E" w:rsidR="00022676" w:rsidRDefault="00022676" w:rsidP="00D45F4F">
      <w:pPr>
        <w:jc w:val="both"/>
        <w:rPr>
          <w:rFonts w:ascii="Calibri" w:eastAsia="Calibri" w:hAnsi="Calibri" w:cs="Times New Roman"/>
          <w:color w:val="auto"/>
          <w:sz w:val="22"/>
          <w:szCs w:val="22"/>
          <w:lang w:eastAsia="en-US"/>
        </w:rPr>
      </w:pPr>
    </w:p>
    <w:p w14:paraId="44D519C6" w14:textId="75AA4370" w:rsidR="00022676" w:rsidRPr="00450C83" w:rsidRDefault="00022676" w:rsidP="00D45F4F">
      <w:pPr>
        <w:jc w:val="both"/>
        <w:rPr>
          <w:b/>
          <w:sz w:val="24"/>
          <w:szCs w:val="24"/>
        </w:rPr>
      </w:pPr>
      <w:r>
        <w:rPr>
          <w:rFonts w:ascii="Calibri" w:eastAsia="Calibri" w:hAnsi="Calibri" w:cs="Times New Roman"/>
          <w:color w:val="auto"/>
          <w:sz w:val="22"/>
          <w:szCs w:val="22"/>
          <w:lang w:eastAsia="en-US"/>
        </w:rPr>
        <w:t>Total Word Count 1540</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C50B6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0CB559B" w:rsidR="00220D06" w:rsidRPr="00A86AD7" w:rsidRDefault="003868CE" w:rsidP="00FF7EBB">
            <w:pPr>
              <w:jc w:val="both"/>
              <w:rPr>
                <w:rFonts w:asciiTheme="minorHAnsi" w:hAnsiTheme="minorHAnsi" w:cstheme="minorHAnsi"/>
                <w:sz w:val="22"/>
                <w:szCs w:val="22"/>
              </w:rPr>
            </w:pPr>
            <w:r w:rsidRPr="00A86AD7">
              <w:rPr>
                <w:rFonts w:asciiTheme="minorHAnsi" w:hAnsiTheme="minorHAnsi" w:cstheme="minorHAnsi"/>
                <w:sz w:val="22"/>
                <w:szCs w:val="22"/>
              </w:rPr>
              <w:t>Management</w:t>
            </w:r>
            <w:r w:rsidR="00A86AD7">
              <w:rPr>
                <w:rFonts w:asciiTheme="minorHAnsi" w:hAnsiTheme="minorHAnsi" w:cstheme="minorHAnsi"/>
                <w:sz w:val="22"/>
                <w:szCs w:val="22"/>
              </w:rPr>
              <w:t xml:space="preserve"> of incidents and risk assessment</w:t>
            </w:r>
            <w:r w:rsidRPr="00A86AD7">
              <w:rPr>
                <w:rFonts w:asciiTheme="minorHAnsi" w:hAnsiTheme="minorHAnsi" w:cstheme="minorHAnsi"/>
                <w:sz w:val="22"/>
                <w:szCs w:val="22"/>
              </w:rPr>
              <w:t>.</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9330DF9" w14:textId="77777777" w:rsidR="00220D06" w:rsidRDefault="00220D06" w:rsidP="00FF7EBB">
            <w:pPr>
              <w:jc w:val="both"/>
              <w:rPr>
                <w:sz w:val="24"/>
                <w:szCs w:val="24"/>
              </w:rPr>
            </w:pPr>
          </w:p>
          <w:p w14:paraId="1F52AC49" w14:textId="77777777" w:rsidR="003868CE" w:rsidRDefault="003868CE" w:rsidP="00FF7EBB">
            <w:pPr>
              <w:jc w:val="both"/>
              <w:rPr>
                <w:sz w:val="24"/>
                <w:szCs w:val="24"/>
              </w:rPr>
            </w:pPr>
          </w:p>
          <w:p w14:paraId="1DD535CE" w14:textId="4814C287" w:rsidR="003868CE" w:rsidRPr="00A86AD7" w:rsidRDefault="003868CE" w:rsidP="00A86AD7">
            <w:pPr>
              <w:jc w:val="both"/>
              <w:rPr>
                <w:rFonts w:asciiTheme="minorHAnsi" w:hAnsiTheme="minorHAnsi" w:cstheme="minorHAnsi"/>
                <w:sz w:val="22"/>
                <w:szCs w:val="22"/>
              </w:rPr>
            </w:pPr>
            <w:r w:rsidRPr="00A86AD7">
              <w:rPr>
                <w:rFonts w:asciiTheme="minorHAnsi" w:hAnsiTheme="minorHAnsi" w:cstheme="minorHAnsi"/>
                <w:sz w:val="22"/>
                <w:szCs w:val="22"/>
              </w:rPr>
              <w:t>Continuation o</w:t>
            </w:r>
            <w:r w:rsidR="00A86AD7">
              <w:rPr>
                <w:rFonts w:asciiTheme="minorHAnsi" w:hAnsiTheme="minorHAnsi" w:cstheme="minorHAnsi"/>
                <w:sz w:val="22"/>
                <w:szCs w:val="22"/>
              </w:rPr>
              <w:t>f attendance to incidents and reflecting</w:t>
            </w:r>
            <w:r w:rsidRPr="00A86AD7">
              <w:rPr>
                <w:rFonts w:asciiTheme="minorHAnsi" w:hAnsiTheme="minorHAnsi" w:cstheme="minorHAnsi"/>
                <w:sz w:val="22"/>
                <w:szCs w:val="22"/>
              </w:rPr>
              <w:t xml:space="preserve"> on own experiences.</w:t>
            </w:r>
          </w:p>
        </w:tc>
        <w:tc>
          <w:tcPr>
            <w:tcW w:w="2230" w:type="dxa"/>
            <w:shd w:val="clear" w:color="auto" w:fill="auto"/>
          </w:tcPr>
          <w:p w14:paraId="1F1FC511" w14:textId="77777777" w:rsidR="00220D06" w:rsidRDefault="00220D06" w:rsidP="00FF7EBB">
            <w:pPr>
              <w:jc w:val="both"/>
              <w:rPr>
                <w:sz w:val="24"/>
                <w:szCs w:val="24"/>
              </w:rPr>
            </w:pPr>
          </w:p>
          <w:p w14:paraId="2919CE61" w14:textId="77777777" w:rsidR="00A86AD7" w:rsidRDefault="00A86AD7" w:rsidP="00FF7EBB">
            <w:pPr>
              <w:jc w:val="both"/>
              <w:rPr>
                <w:sz w:val="24"/>
                <w:szCs w:val="24"/>
              </w:rPr>
            </w:pPr>
          </w:p>
          <w:p w14:paraId="177DD410" w14:textId="143B8531" w:rsidR="00A86AD7" w:rsidRPr="00A86AD7" w:rsidRDefault="00A86AD7" w:rsidP="00FF7EBB">
            <w:pPr>
              <w:jc w:val="both"/>
              <w:rPr>
                <w:rFonts w:asciiTheme="minorHAnsi" w:hAnsiTheme="minorHAnsi" w:cstheme="minorHAnsi"/>
                <w:sz w:val="22"/>
                <w:szCs w:val="22"/>
              </w:rPr>
            </w:pPr>
            <w:r w:rsidRPr="00A86AD7">
              <w:rPr>
                <w:rFonts w:asciiTheme="minorHAnsi" w:hAnsiTheme="minorHAnsi" w:cstheme="minorHAnsi"/>
                <w:sz w:val="22"/>
                <w:szCs w:val="22"/>
              </w:rPr>
              <w:t>Police</w:t>
            </w:r>
            <w:r>
              <w:rPr>
                <w:rFonts w:asciiTheme="minorHAnsi" w:hAnsiTheme="minorHAnsi" w:cstheme="minorHAnsi"/>
                <w:sz w:val="22"/>
                <w:szCs w:val="22"/>
              </w:rPr>
              <w:t xml:space="preserve"> Mentor </w:t>
            </w:r>
            <w:r w:rsidRPr="00A86AD7">
              <w:rPr>
                <w:rFonts w:asciiTheme="minorHAnsi" w:hAnsiTheme="minorHAnsi" w:cstheme="minorHAnsi"/>
                <w:sz w:val="22"/>
                <w:szCs w:val="22"/>
              </w:rPr>
              <w:t xml:space="preserve"> spw6203</w:t>
            </w:r>
            <w:r>
              <w:rPr>
                <w:rFonts w:asciiTheme="minorHAnsi" w:hAnsiTheme="minorHAnsi" w:cstheme="minorHAnsi"/>
                <w:sz w:val="22"/>
                <w:szCs w:val="22"/>
              </w:rPr>
              <w:t>.</w:t>
            </w:r>
          </w:p>
        </w:tc>
        <w:tc>
          <w:tcPr>
            <w:tcW w:w="2230" w:type="dxa"/>
            <w:shd w:val="clear" w:color="auto" w:fill="auto"/>
          </w:tcPr>
          <w:p w14:paraId="2F5668DB" w14:textId="77777777" w:rsidR="62FE5CAF" w:rsidRDefault="62FE5CAF" w:rsidP="62FE5CAF">
            <w:pPr>
              <w:jc w:val="both"/>
              <w:rPr>
                <w:sz w:val="24"/>
                <w:szCs w:val="24"/>
              </w:rPr>
            </w:pPr>
          </w:p>
          <w:p w14:paraId="06B6140A" w14:textId="77777777" w:rsidR="00A86AD7" w:rsidRDefault="00A86AD7" w:rsidP="62FE5CAF">
            <w:pPr>
              <w:jc w:val="both"/>
              <w:rPr>
                <w:sz w:val="24"/>
                <w:szCs w:val="24"/>
              </w:rPr>
            </w:pPr>
          </w:p>
          <w:p w14:paraId="1F90E38B" w14:textId="457DF23B" w:rsidR="00A86AD7" w:rsidRPr="00A86AD7" w:rsidRDefault="00A86AD7" w:rsidP="62FE5CAF">
            <w:pPr>
              <w:jc w:val="both"/>
              <w:rPr>
                <w:rFonts w:asciiTheme="minorHAnsi" w:hAnsiTheme="minorHAnsi" w:cstheme="minorHAnsi"/>
                <w:sz w:val="22"/>
                <w:szCs w:val="22"/>
              </w:rPr>
            </w:pPr>
            <w:r w:rsidRPr="00A86AD7">
              <w:rPr>
                <w:rFonts w:asciiTheme="minorHAnsi" w:hAnsiTheme="minorHAnsi" w:cstheme="minorHAnsi"/>
                <w:sz w:val="22"/>
                <w:szCs w:val="22"/>
              </w:rPr>
              <w:t xml:space="preserve">8 weeks during </w:t>
            </w:r>
            <w:r>
              <w:rPr>
                <w:rFonts w:asciiTheme="minorHAnsi" w:hAnsiTheme="minorHAnsi" w:cstheme="minorHAnsi"/>
                <w:sz w:val="22"/>
                <w:szCs w:val="22"/>
              </w:rPr>
              <w:t xml:space="preserve">the </w:t>
            </w:r>
            <w:r w:rsidRPr="00A86AD7">
              <w:rPr>
                <w:rFonts w:asciiTheme="minorHAnsi" w:hAnsiTheme="minorHAnsi" w:cstheme="minorHAnsi"/>
                <w:sz w:val="22"/>
                <w:szCs w:val="22"/>
              </w:rPr>
              <w:t>remainder of</w:t>
            </w:r>
            <w:r>
              <w:rPr>
                <w:rFonts w:asciiTheme="minorHAnsi" w:hAnsiTheme="minorHAnsi" w:cstheme="minorHAnsi"/>
                <w:sz w:val="22"/>
                <w:szCs w:val="22"/>
              </w:rPr>
              <w:t xml:space="preserve"> my</w:t>
            </w:r>
            <w:r w:rsidRPr="00A86AD7">
              <w:rPr>
                <w:rFonts w:asciiTheme="minorHAnsi" w:hAnsiTheme="minorHAnsi" w:cstheme="minorHAnsi"/>
                <w:sz w:val="22"/>
                <w:szCs w:val="22"/>
              </w:rPr>
              <w:t xml:space="preserve"> tutorship and </w:t>
            </w:r>
            <w:r>
              <w:rPr>
                <w:rFonts w:asciiTheme="minorHAnsi" w:hAnsiTheme="minorHAnsi" w:cstheme="minorHAnsi"/>
                <w:sz w:val="22"/>
                <w:szCs w:val="22"/>
              </w:rPr>
              <w:t xml:space="preserve">then </w:t>
            </w:r>
            <w:r w:rsidRPr="00A86AD7">
              <w:rPr>
                <w:rFonts w:asciiTheme="minorHAnsi" w:hAnsiTheme="minorHAnsi" w:cstheme="minorHAnsi"/>
                <w:sz w:val="22"/>
                <w:szCs w:val="22"/>
              </w:rPr>
              <w:t>ongoing</w:t>
            </w:r>
            <w:r>
              <w:rPr>
                <w:rFonts w:asciiTheme="minorHAnsi" w:hAnsiTheme="minorHAnsi" w:cstheme="minorHAnsi"/>
                <w:sz w:val="22"/>
                <w:szCs w:val="22"/>
              </w:rPr>
              <w:t xml:space="preserve"> by</w:t>
            </w:r>
            <w:r w:rsidRPr="00A86AD7">
              <w:rPr>
                <w:rFonts w:asciiTheme="minorHAnsi" w:hAnsiTheme="minorHAnsi" w:cstheme="minorHAnsi"/>
                <w:sz w:val="22"/>
                <w:szCs w:val="22"/>
              </w:rPr>
              <w:t xml:space="preserve"> learning development.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09F7E07" w:rsidR="00220D06" w:rsidRPr="00A86AD7" w:rsidRDefault="00A86AD7" w:rsidP="00FF7EBB">
            <w:pPr>
              <w:jc w:val="both"/>
              <w:rPr>
                <w:rFonts w:asciiTheme="minorHAnsi" w:hAnsiTheme="minorHAnsi" w:cstheme="minorHAnsi"/>
                <w:sz w:val="22"/>
                <w:szCs w:val="22"/>
              </w:rPr>
            </w:pPr>
            <w:r>
              <w:rPr>
                <w:rFonts w:asciiTheme="minorHAnsi" w:hAnsiTheme="minorHAnsi" w:cstheme="minorHAnsi"/>
                <w:sz w:val="22"/>
                <w:szCs w:val="22"/>
              </w:rPr>
              <w:t>The building of criminal case files.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A71ED2B" w14:textId="77777777" w:rsidR="00220D06" w:rsidRDefault="00220D06" w:rsidP="00FF7EBB">
            <w:pPr>
              <w:jc w:val="both"/>
              <w:rPr>
                <w:sz w:val="24"/>
                <w:szCs w:val="24"/>
              </w:rPr>
            </w:pPr>
          </w:p>
          <w:p w14:paraId="4A5263DB" w14:textId="0ADC2F5F" w:rsidR="00A86AD7" w:rsidRPr="00A86AD7" w:rsidRDefault="00A86AD7" w:rsidP="00FF7EBB">
            <w:pPr>
              <w:jc w:val="both"/>
              <w:rPr>
                <w:rFonts w:asciiTheme="minorHAnsi" w:hAnsiTheme="minorHAnsi" w:cstheme="minorHAnsi"/>
                <w:sz w:val="22"/>
                <w:szCs w:val="22"/>
              </w:rPr>
            </w:pPr>
            <w:r w:rsidRPr="00A86AD7">
              <w:rPr>
                <w:rFonts w:asciiTheme="minorHAnsi" w:hAnsiTheme="minorHAnsi" w:cstheme="minorHAnsi"/>
                <w:sz w:val="22"/>
                <w:szCs w:val="22"/>
              </w:rPr>
              <w:t xml:space="preserve">Gain experience in building case files and submit to crow prosecution service. </w:t>
            </w:r>
          </w:p>
        </w:tc>
        <w:tc>
          <w:tcPr>
            <w:tcW w:w="2230" w:type="dxa"/>
            <w:shd w:val="clear" w:color="auto" w:fill="auto"/>
          </w:tcPr>
          <w:p w14:paraId="001CCC06" w14:textId="77777777" w:rsidR="00220D06" w:rsidRDefault="00220D06" w:rsidP="00FF7EBB">
            <w:pPr>
              <w:jc w:val="both"/>
              <w:rPr>
                <w:sz w:val="24"/>
                <w:szCs w:val="24"/>
              </w:rPr>
            </w:pPr>
          </w:p>
          <w:p w14:paraId="4141C25A" w14:textId="230CF8D8" w:rsidR="00A86AD7" w:rsidRDefault="00A86AD7" w:rsidP="00FF7EBB">
            <w:pPr>
              <w:jc w:val="both"/>
              <w:rPr>
                <w:rFonts w:asciiTheme="minorHAnsi" w:hAnsiTheme="minorHAnsi" w:cstheme="minorHAnsi"/>
                <w:sz w:val="22"/>
                <w:szCs w:val="22"/>
              </w:rPr>
            </w:pPr>
            <w:r w:rsidRPr="00A86AD7">
              <w:rPr>
                <w:rFonts w:asciiTheme="minorHAnsi" w:hAnsiTheme="minorHAnsi" w:cstheme="minorHAnsi"/>
                <w:sz w:val="22"/>
                <w:szCs w:val="22"/>
              </w:rPr>
              <w:t>Police</w:t>
            </w:r>
            <w:r>
              <w:rPr>
                <w:rFonts w:asciiTheme="minorHAnsi" w:hAnsiTheme="minorHAnsi" w:cstheme="minorHAnsi"/>
                <w:sz w:val="22"/>
                <w:szCs w:val="22"/>
              </w:rPr>
              <w:t xml:space="preserve"> Mentor  swp</w:t>
            </w:r>
            <w:r w:rsidRPr="00A86AD7">
              <w:rPr>
                <w:rFonts w:asciiTheme="minorHAnsi" w:hAnsiTheme="minorHAnsi" w:cstheme="minorHAnsi"/>
                <w:sz w:val="22"/>
                <w:szCs w:val="22"/>
              </w:rPr>
              <w:t>6203</w:t>
            </w:r>
            <w:r>
              <w:rPr>
                <w:rFonts w:asciiTheme="minorHAnsi" w:hAnsiTheme="minorHAnsi" w:cstheme="minorHAnsi"/>
                <w:sz w:val="22"/>
                <w:szCs w:val="22"/>
              </w:rPr>
              <w:t>.</w:t>
            </w:r>
          </w:p>
          <w:p w14:paraId="0F47F835" w14:textId="77777777" w:rsidR="00A86AD7" w:rsidRDefault="00A86AD7" w:rsidP="00FF7EBB">
            <w:pPr>
              <w:jc w:val="both"/>
              <w:rPr>
                <w:rFonts w:asciiTheme="minorHAnsi" w:hAnsiTheme="minorHAnsi" w:cstheme="minorHAnsi"/>
                <w:sz w:val="22"/>
                <w:szCs w:val="22"/>
              </w:rPr>
            </w:pPr>
          </w:p>
          <w:p w14:paraId="5FCD3018" w14:textId="2D13D0E3" w:rsidR="00A86AD7" w:rsidRDefault="00A86AD7" w:rsidP="00FF7EBB">
            <w:pPr>
              <w:jc w:val="both"/>
              <w:rPr>
                <w:rFonts w:asciiTheme="minorHAnsi" w:hAnsiTheme="minorHAnsi" w:cstheme="minorHAnsi"/>
                <w:sz w:val="22"/>
                <w:szCs w:val="22"/>
              </w:rPr>
            </w:pPr>
            <w:r>
              <w:rPr>
                <w:rFonts w:asciiTheme="minorHAnsi" w:hAnsiTheme="minorHAnsi" w:cstheme="minorHAnsi"/>
                <w:sz w:val="22"/>
                <w:szCs w:val="22"/>
              </w:rPr>
              <w:t xml:space="preserve">PC Sergeant </w:t>
            </w:r>
          </w:p>
          <w:p w14:paraId="321A0770" w14:textId="77777777" w:rsidR="00A86AD7" w:rsidRDefault="00A86AD7" w:rsidP="00FF7EBB">
            <w:pPr>
              <w:jc w:val="both"/>
              <w:rPr>
                <w:rFonts w:asciiTheme="minorHAnsi" w:hAnsiTheme="minorHAnsi" w:cstheme="minorHAnsi"/>
                <w:sz w:val="22"/>
                <w:szCs w:val="22"/>
              </w:rPr>
            </w:pPr>
          </w:p>
          <w:p w14:paraId="55CDA8EA" w14:textId="550DFEDA" w:rsidR="00A86AD7" w:rsidRPr="00270EEB" w:rsidRDefault="00A86AD7" w:rsidP="00FF7EBB">
            <w:pPr>
              <w:jc w:val="both"/>
              <w:rPr>
                <w:sz w:val="24"/>
                <w:szCs w:val="24"/>
              </w:rPr>
            </w:pPr>
            <w:r>
              <w:rPr>
                <w:rFonts w:asciiTheme="minorHAnsi" w:hAnsiTheme="minorHAnsi" w:cstheme="minorHAnsi"/>
                <w:sz w:val="22"/>
                <w:szCs w:val="22"/>
              </w:rPr>
              <w:t>Crown Prosecution Service</w:t>
            </w:r>
          </w:p>
        </w:tc>
        <w:tc>
          <w:tcPr>
            <w:tcW w:w="2230" w:type="dxa"/>
            <w:shd w:val="clear" w:color="auto" w:fill="auto"/>
          </w:tcPr>
          <w:p w14:paraId="22F3526E" w14:textId="77777777" w:rsidR="62FE5CAF" w:rsidRDefault="62FE5CAF" w:rsidP="62FE5CAF">
            <w:pPr>
              <w:jc w:val="both"/>
              <w:rPr>
                <w:sz w:val="24"/>
                <w:szCs w:val="24"/>
              </w:rPr>
            </w:pPr>
          </w:p>
          <w:p w14:paraId="25AAFC86" w14:textId="4C2B6996" w:rsidR="00A86AD7" w:rsidRPr="00A86AD7" w:rsidRDefault="00A86AD7" w:rsidP="62FE5CAF">
            <w:pPr>
              <w:jc w:val="both"/>
              <w:rPr>
                <w:rFonts w:asciiTheme="minorHAnsi" w:hAnsiTheme="minorHAnsi" w:cstheme="minorHAnsi"/>
                <w:sz w:val="22"/>
                <w:szCs w:val="22"/>
              </w:rPr>
            </w:pPr>
            <w:r w:rsidRPr="00A86AD7">
              <w:rPr>
                <w:rFonts w:asciiTheme="minorHAnsi" w:hAnsiTheme="minorHAnsi" w:cstheme="minorHAnsi"/>
                <w:sz w:val="22"/>
                <w:szCs w:val="22"/>
              </w:rPr>
              <w:t>8 weeks during the remainder of my tutorship</w:t>
            </w:r>
          </w:p>
        </w:tc>
      </w:tr>
      <w:tr w:rsidR="00220D06" w:rsidRPr="00270EEB" w14:paraId="32973BBE" w14:textId="77777777" w:rsidTr="6E3AA50A">
        <w:tc>
          <w:tcPr>
            <w:tcW w:w="2318" w:type="dxa"/>
            <w:shd w:val="clear" w:color="auto" w:fill="auto"/>
          </w:tcPr>
          <w:p w14:paraId="27365973" w14:textId="77777777" w:rsidR="00220D06" w:rsidRPr="00EE5FC2" w:rsidRDefault="00220D06" w:rsidP="00FF7EBB">
            <w:pPr>
              <w:jc w:val="both"/>
              <w:rPr>
                <w:rFonts w:asciiTheme="minorHAnsi" w:hAnsiTheme="minorHAnsi" w:cstheme="minorHAnsi"/>
                <w:sz w:val="22"/>
                <w:szCs w:val="22"/>
              </w:rPr>
            </w:pPr>
          </w:p>
          <w:p w14:paraId="6B12593B" w14:textId="6E5A0F0C" w:rsidR="00220D06" w:rsidRPr="00EE5FC2" w:rsidRDefault="00EE5FC2" w:rsidP="00FF7EBB">
            <w:pPr>
              <w:jc w:val="both"/>
              <w:rPr>
                <w:rFonts w:asciiTheme="minorHAnsi" w:hAnsiTheme="minorHAnsi" w:cstheme="minorHAnsi"/>
                <w:sz w:val="22"/>
                <w:szCs w:val="22"/>
              </w:rPr>
            </w:pPr>
            <w:r w:rsidRPr="00EE5FC2">
              <w:rPr>
                <w:rFonts w:asciiTheme="minorHAnsi" w:hAnsiTheme="minorHAnsi" w:cstheme="minorHAnsi"/>
                <w:sz w:val="22"/>
                <w:szCs w:val="22"/>
              </w:rPr>
              <w:t>Further development and gather further experience of suspect interview techniques.</w:t>
            </w:r>
          </w:p>
          <w:p w14:paraId="39F61F13" w14:textId="77777777" w:rsidR="00220D06" w:rsidRPr="00EE5FC2" w:rsidRDefault="00220D06" w:rsidP="00FF7EBB">
            <w:pPr>
              <w:jc w:val="both"/>
              <w:rPr>
                <w:rFonts w:asciiTheme="minorHAnsi" w:hAnsiTheme="minorHAnsi" w:cstheme="minorHAnsi"/>
                <w:sz w:val="22"/>
                <w:szCs w:val="22"/>
              </w:rPr>
            </w:pPr>
          </w:p>
          <w:p w14:paraId="3212F272" w14:textId="77777777" w:rsidR="00220D06" w:rsidRPr="00EE5FC2" w:rsidRDefault="00220D06" w:rsidP="00FF7EBB">
            <w:pPr>
              <w:jc w:val="both"/>
              <w:rPr>
                <w:rFonts w:asciiTheme="minorHAnsi" w:hAnsiTheme="minorHAnsi" w:cstheme="minorHAnsi"/>
                <w:sz w:val="22"/>
                <w:szCs w:val="22"/>
              </w:rPr>
            </w:pPr>
          </w:p>
          <w:p w14:paraId="1BEBD163" w14:textId="77777777" w:rsidR="00220D06" w:rsidRPr="00EE5FC2" w:rsidRDefault="00220D06" w:rsidP="00FF7EBB">
            <w:pPr>
              <w:jc w:val="both"/>
              <w:rPr>
                <w:rFonts w:asciiTheme="minorHAnsi" w:hAnsiTheme="minorHAnsi" w:cstheme="minorHAnsi"/>
                <w:sz w:val="22"/>
                <w:szCs w:val="22"/>
              </w:rPr>
            </w:pPr>
          </w:p>
          <w:p w14:paraId="40CC91DD" w14:textId="77777777" w:rsidR="00220D06" w:rsidRPr="00EE5FC2" w:rsidRDefault="00220D06" w:rsidP="00FF7EBB">
            <w:pPr>
              <w:jc w:val="both"/>
              <w:rPr>
                <w:rFonts w:asciiTheme="minorHAnsi" w:hAnsiTheme="minorHAnsi" w:cstheme="minorHAnsi"/>
                <w:sz w:val="22"/>
                <w:szCs w:val="22"/>
              </w:rPr>
            </w:pPr>
          </w:p>
          <w:p w14:paraId="0304AF65" w14:textId="77777777" w:rsidR="00220D06" w:rsidRPr="00EE5FC2" w:rsidRDefault="00220D06" w:rsidP="00FF7EBB">
            <w:pPr>
              <w:jc w:val="both"/>
              <w:rPr>
                <w:rFonts w:asciiTheme="minorHAnsi" w:hAnsiTheme="minorHAnsi" w:cstheme="minorHAnsi"/>
                <w:sz w:val="22"/>
                <w:szCs w:val="22"/>
              </w:rPr>
            </w:pPr>
          </w:p>
          <w:p w14:paraId="59B02BC7" w14:textId="3355766D" w:rsidR="00220D06" w:rsidRPr="00EE5FC2" w:rsidRDefault="00220D06" w:rsidP="00FF7EBB">
            <w:pPr>
              <w:jc w:val="both"/>
              <w:rPr>
                <w:rFonts w:asciiTheme="minorHAnsi" w:hAnsiTheme="minorHAnsi" w:cstheme="minorHAnsi"/>
                <w:sz w:val="22"/>
                <w:szCs w:val="22"/>
              </w:rPr>
            </w:pPr>
          </w:p>
        </w:tc>
        <w:tc>
          <w:tcPr>
            <w:tcW w:w="2249" w:type="dxa"/>
            <w:shd w:val="clear" w:color="auto" w:fill="auto"/>
          </w:tcPr>
          <w:p w14:paraId="349A247E" w14:textId="77777777" w:rsidR="00220D06" w:rsidRPr="00EE5FC2" w:rsidRDefault="00220D06" w:rsidP="00FF7EBB">
            <w:pPr>
              <w:jc w:val="both"/>
              <w:rPr>
                <w:rFonts w:asciiTheme="minorHAnsi" w:hAnsiTheme="minorHAnsi" w:cstheme="minorHAnsi"/>
                <w:sz w:val="22"/>
                <w:szCs w:val="22"/>
              </w:rPr>
            </w:pPr>
          </w:p>
          <w:p w14:paraId="1CE4BCA8" w14:textId="77777777" w:rsidR="00EE5FC2" w:rsidRPr="00EE5FC2" w:rsidRDefault="00EE5FC2" w:rsidP="00FF7EBB">
            <w:pPr>
              <w:jc w:val="both"/>
              <w:rPr>
                <w:rFonts w:asciiTheme="minorHAnsi" w:hAnsiTheme="minorHAnsi" w:cstheme="minorHAnsi"/>
                <w:sz w:val="22"/>
                <w:szCs w:val="22"/>
              </w:rPr>
            </w:pPr>
            <w:r w:rsidRPr="00EE5FC2">
              <w:rPr>
                <w:rFonts w:asciiTheme="minorHAnsi" w:hAnsiTheme="minorHAnsi" w:cstheme="minorHAnsi"/>
                <w:sz w:val="22"/>
                <w:szCs w:val="22"/>
              </w:rPr>
              <w:t xml:space="preserve">By completing suspect interviews from own caseload. </w:t>
            </w:r>
          </w:p>
          <w:p w14:paraId="5C63DDF5" w14:textId="77777777" w:rsidR="00EE5FC2" w:rsidRPr="00EE5FC2" w:rsidRDefault="00EE5FC2" w:rsidP="00FF7EBB">
            <w:pPr>
              <w:jc w:val="both"/>
              <w:rPr>
                <w:rFonts w:asciiTheme="minorHAnsi" w:hAnsiTheme="minorHAnsi" w:cstheme="minorHAnsi"/>
                <w:sz w:val="22"/>
                <w:szCs w:val="22"/>
              </w:rPr>
            </w:pPr>
          </w:p>
          <w:p w14:paraId="36A57DA8" w14:textId="77777777" w:rsidR="00EE5FC2" w:rsidRDefault="00EE5FC2" w:rsidP="00FF7EBB">
            <w:pPr>
              <w:jc w:val="both"/>
              <w:rPr>
                <w:rFonts w:asciiTheme="minorHAnsi" w:hAnsiTheme="minorHAnsi" w:cstheme="minorHAnsi"/>
                <w:sz w:val="22"/>
                <w:szCs w:val="22"/>
              </w:rPr>
            </w:pPr>
          </w:p>
          <w:p w14:paraId="67D24456" w14:textId="77777777" w:rsidR="00EE5FC2" w:rsidRDefault="00EE5FC2" w:rsidP="00FF7EBB">
            <w:pPr>
              <w:jc w:val="both"/>
              <w:rPr>
                <w:rFonts w:asciiTheme="minorHAnsi" w:hAnsiTheme="minorHAnsi" w:cstheme="minorHAnsi"/>
                <w:sz w:val="22"/>
                <w:szCs w:val="22"/>
              </w:rPr>
            </w:pPr>
          </w:p>
          <w:p w14:paraId="05194071" w14:textId="77777777" w:rsidR="00EE5FC2" w:rsidRDefault="00EE5FC2" w:rsidP="00FF7EBB">
            <w:pPr>
              <w:jc w:val="both"/>
              <w:rPr>
                <w:rFonts w:asciiTheme="minorHAnsi" w:hAnsiTheme="minorHAnsi" w:cstheme="minorHAnsi"/>
                <w:sz w:val="22"/>
                <w:szCs w:val="22"/>
              </w:rPr>
            </w:pPr>
          </w:p>
          <w:p w14:paraId="568C69DA" w14:textId="18D3816F" w:rsidR="00EE5FC2" w:rsidRPr="00EE5FC2" w:rsidRDefault="00EE5FC2" w:rsidP="00FF7EBB">
            <w:pPr>
              <w:jc w:val="both"/>
              <w:rPr>
                <w:rFonts w:asciiTheme="minorHAnsi" w:hAnsiTheme="minorHAnsi" w:cstheme="minorHAnsi"/>
                <w:sz w:val="22"/>
                <w:szCs w:val="22"/>
              </w:rPr>
            </w:pPr>
            <w:r w:rsidRPr="00EE5FC2">
              <w:rPr>
                <w:rFonts w:asciiTheme="minorHAnsi" w:hAnsiTheme="minorHAnsi" w:cstheme="minorHAnsi"/>
                <w:sz w:val="22"/>
                <w:szCs w:val="22"/>
              </w:rPr>
              <w:t>HUB detachment.</w:t>
            </w:r>
          </w:p>
        </w:tc>
        <w:tc>
          <w:tcPr>
            <w:tcW w:w="2230" w:type="dxa"/>
            <w:shd w:val="clear" w:color="auto" w:fill="auto"/>
          </w:tcPr>
          <w:p w14:paraId="1F2E805E" w14:textId="77777777" w:rsidR="00220D06" w:rsidRPr="00EE5FC2" w:rsidRDefault="00220D06" w:rsidP="00FF7EBB">
            <w:pPr>
              <w:jc w:val="both"/>
              <w:rPr>
                <w:rFonts w:asciiTheme="minorHAnsi" w:hAnsiTheme="minorHAnsi" w:cstheme="minorHAnsi"/>
                <w:sz w:val="22"/>
                <w:szCs w:val="22"/>
              </w:rPr>
            </w:pPr>
          </w:p>
          <w:p w14:paraId="5481AB57" w14:textId="77777777" w:rsidR="00EE5FC2" w:rsidRPr="00EE5FC2" w:rsidRDefault="00EE5FC2" w:rsidP="00FF7EBB">
            <w:pPr>
              <w:jc w:val="both"/>
              <w:rPr>
                <w:rFonts w:asciiTheme="minorHAnsi" w:hAnsiTheme="minorHAnsi" w:cstheme="minorHAnsi"/>
                <w:sz w:val="22"/>
                <w:szCs w:val="22"/>
              </w:rPr>
            </w:pPr>
            <w:r w:rsidRPr="00EE5FC2">
              <w:rPr>
                <w:rFonts w:asciiTheme="minorHAnsi" w:hAnsiTheme="minorHAnsi" w:cstheme="minorHAnsi"/>
                <w:sz w:val="22"/>
                <w:szCs w:val="22"/>
              </w:rPr>
              <w:t>Police Mentor 6203.</w:t>
            </w:r>
          </w:p>
          <w:p w14:paraId="2DAFC6D9" w14:textId="77777777" w:rsidR="00EE5FC2" w:rsidRPr="00EE5FC2" w:rsidRDefault="00EE5FC2" w:rsidP="00FF7EBB">
            <w:pPr>
              <w:jc w:val="both"/>
              <w:rPr>
                <w:rFonts w:asciiTheme="minorHAnsi" w:hAnsiTheme="minorHAnsi" w:cstheme="minorHAnsi"/>
                <w:sz w:val="22"/>
                <w:szCs w:val="22"/>
              </w:rPr>
            </w:pPr>
          </w:p>
          <w:p w14:paraId="2F4C0000" w14:textId="77777777" w:rsidR="00EE5FC2" w:rsidRDefault="00EE5FC2" w:rsidP="00FF7EBB">
            <w:pPr>
              <w:jc w:val="both"/>
              <w:rPr>
                <w:rFonts w:asciiTheme="minorHAnsi" w:hAnsiTheme="minorHAnsi" w:cstheme="minorHAnsi"/>
                <w:sz w:val="22"/>
                <w:szCs w:val="22"/>
              </w:rPr>
            </w:pPr>
          </w:p>
          <w:p w14:paraId="237EE49C" w14:textId="77777777" w:rsidR="00EE5FC2" w:rsidRDefault="00EE5FC2" w:rsidP="00FF7EBB">
            <w:pPr>
              <w:jc w:val="both"/>
              <w:rPr>
                <w:rFonts w:asciiTheme="minorHAnsi" w:hAnsiTheme="minorHAnsi" w:cstheme="minorHAnsi"/>
                <w:sz w:val="22"/>
                <w:szCs w:val="22"/>
              </w:rPr>
            </w:pPr>
          </w:p>
          <w:p w14:paraId="6D6E1FD6" w14:textId="77777777" w:rsidR="00EE5FC2" w:rsidRDefault="00EE5FC2" w:rsidP="00FF7EBB">
            <w:pPr>
              <w:jc w:val="both"/>
              <w:rPr>
                <w:rFonts w:asciiTheme="minorHAnsi" w:hAnsiTheme="minorHAnsi" w:cstheme="minorHAnsi"/>
                <w:sz w:val="22"/>
                <w:szCs w:val="22"/>
              </w:rPr>
            </w:pPr>
          </w:p>
          <w:p w14:paraId="1C318FC5" w14:textId="77777777" w:rsidR="00EE5FC2" w:rsidRDefault="00EE5FC2" w:rsidP="00FF7EBB">
            <w:pPr>
              <w:jc w:val="both"/>
              <w:rPr>
                <w:rFonts w:asciiTheme="minorHAnsi" w:hAnsiTheme="minorHAnsi" w:cstheme="minorHAnsi"/>
                <w:sz w:val="22"/>
                <w:szCs w:val="22"/>
              </w:rPr>
            </w:pPr>
          </w:p>
          <w:p w14:paraId="048B752A" w14:textId="77777777" w:rsidR="00EE5FC2" w:rsidRDefault="00EE5FC2" w:rsidP="00FF7EBB">
            <w:pPr>
              <w:jc w:val="both"/>
              <w:rPr>
                <w:rFonts w:asciiTheme="minorHAnsi" w:hAnsiTheme="minorHAnsi" w:cstheme="minorHAnsi"/>
                <w:sz w:val="22"/>
                <w:szCs w:val="22"/>
              </w:rPr>
            </w:pPr>
          </w:p>
          <w:p w14:paraId="63C5B3FF" w14:textId="1FCC462D" w:rsidR="00EE5FC2" w:rsidRPr="00EE5FC2" w:rsidRDefault="00EE5FC2" w:rsidP="00FF7EBB">
            <w:pPr>
              <w:jc w:val="both"/>
              <w:rPr>
                <w:rFonts w:asciiTheme="minorHAnsi" w:hAnsiTheme="minorHAnsi" w:cstheme="minorHAnsi"/>
                <w:sz w:val="22"/>
                <w:szCs w:val="22"/>
              </w:rPr>
            </w:pPr>
            <w:r>
              <w:rPr>
                <w:rFonts w:asciiTheme="minorHAnsi" w:hAnsiTheme="minorHAnsi" w:cstheme="minorHAnsi"/>
                <w:sz w:val="22"/>
                <w:szCs w:val="22"/>
              </w:rPr>
              <w:t>Sergeant/</w:t>
            </w:r>
            <w:r w:rsidRPr="00EE5FC2">
              <w:rPr>
                <w:rFonts w:asciiTheme="minorHAnsi" w:hAnsiTheme="minorHAnsi" w:cstheme="minorHAnsi"/>
                <w:sz w:val="22"/>
                <w:szCs w:val="22"/>
              </w:rPr>
              <w:t xml:space="preserve">Hub Officers </w:t>
            </w:r>
          </w:p>
        </w:tc>
        <w:tc>
          <w:tcPr>
            <w:tcW w:w="2230" w:type="dxa"/>
            <w:shd w:val="clear" w:color="auto" w:fill="auto"/>
          </w:tcPr>
          <w:p w14:paraId="26047803" w14:textId="77777777" w:rsidR="62FE5CAF" w:rsidRPr="00EE5FC2" w:rsidRDefault="62FE5CAF" w:rsidP="62FE5CAF">
            <w:pPr>
              <w:jc w:val="both"/>
              <w:rPr>
                <w:rFonts w:asciiTheme="minorHAnsi" w:hAnsiTheme="minorHAnsi" w:cstheme="minorHAnsi"/>
                <w:sz w:val="22"/>
                <w:szCs w:val="22"/>
              </w:rPr>
            </w:pPr>
          </w:p>
          <w:p w14:paraId="2A736340" w14:textId="77777777" w:rsidR="00EE5FC2" w:rsidRDefault="00EE5FC2" w:rsidP="62FE5CAF">
            <w:pPr>
              <w:jc w:val="both"/>
              <w:rPr>
                <w:rFonts w:asciiTheme="minorHAnsi" w:hAnsiTheme="minorHAnsi" w:cstheme="minorHAnsi"/>
                <w:sz w:val="22"/>
                <w:szCs w:val="22"/>
              </w:rPr>
            </w:pPr>
            <w:r w:rsidRPr="00EE5FC2">
              <w:rPr>
                <w:rFonts w:asciiTheme="minorHAnsi" w:hAnsiTheme="minorHAnsi" w:cstheme="minorHAnsi"/>
                <w:sz w:val="22"/>
                <w:szCs w:val="22"/>
              </w:rPr>
              <w:t>Ongoing throughout my career and during the three years PCDA.</w:t>
            </w:r>
          </w:p>
          <w:p w14:paraId="5D3FF5DA" w14:textId="77777777" w:rsidR="00EE5FC2" w:rsidRDefault="00EE5FC2" w:rsidP="62FE5CAF">
            <w:pPr>
              <w:jc w:val="both"/>
              <w:rPr>
                <w:rFonts w:asciiTheme="minorHAnsi" w:hAnsiTheme="minorHAnsi" w:cstheme="minorHAnsi"/>
                <w:sz w:val="22"/>
                <w:szCs w:val="22"/>
              </w:rPr>
            </w:pPr>
          </w:p>
          <w:p w14:paraId="72F206A0" w14:textId="77777777" w:rsidR="00EE5FC2" w:rsidRDefault="00EE5FC2" w:rsidP="62FE5CAF">
            <w:pPr>
              <w:jc w:val="both"/>
              <w:rPr>
                <w:rFonts w:asciiTheme="minorHAnsi" w:hAnsiTheme="minorHAnsi" w:cstheme="minorHAnsi"/>
                <w:sz w:val="22"/>
                <w:szCs w:val="22"/>
              </w:rPr>
            </w:pPr>
          </w:p>
          <w:p w14:paraId="4590A2B8" w14:textId="77777777" w:rsidR="00EE5FC2" w:rsidRDefault="00EE5FC2" w:rsidP="62FE5CAF">
            <w:pPr>
              <w:jc w:val="both"/>
              <w:rPr>
                <w:rFonts w:asciiTheme="minorHAnsi" w:hAnsiTheme="minorHAnsi" w:cstheme="minorHAnsi"/>
                <w:sz w:val="22"/>
                <w:szCs w:val="22"/>
              </w:rPr>
            </w:pPr>
          </w:p>
          <w:p w14:paraId="306F5760" w14:textId="77777777" w:rsidR="00EE5FC2" w:rsidRDefault="00EE5FC2" w:rsidP="62FE5CAF">
            <w:pPr>
              <w:jc w:val="both"/>
              <w:rPr>
                <w:rFonts w:asciiTheme="minorHAnsi" w:hAnsiTheme="minorHAnsi" w:cstheme="minorHAnsi"/>
                <w:sz w:val="22"/>
                <w:szCs w:val="22"/>
              </w:rPr>
            </w:pPr>
          </w:p>
          <w:p w14:paraId="5A4090B6" w14:textId="29A3A160" w:rsidR="00EE5FC2" w:rsidRPr="00EE5FC2" w:rsidRDefault="00EE5FC2" w:rsidP="62FE5CAF">
            <w:pPr>
              <w:jc w:val="both"/>
              <w:rPr>
                <w:rFonts w:asciiTheme="minorHAnsi" w:hAnsiTheme="minorHAnsi" w:cstheme="minorHAnsi"/>
                <w:sz w:val="22"/>
                <w:szCs w:val="22"/>
              </w:rPr>
            </w:pPr>
            <w:r>
              <w:rPr>
                <w:rFonts w:asciiTheme="minorHAnsi" w:hAnsiTheme="minorHAnsi" w:cstheme="minorHAnsi"/>
                <w:sz w:val="22"/>
                <w:szCs w:val="22"/>
              </w:rPr>
              <w:t>During second year of PCDA.</w:t>
            </w:r>
          </w:p>
        </w:tc>
      </w:tr>
      <w:tr w:rsidR="00EE5FC2" w:rsidRPr="00270EEB" w14:paraId="3067C828" w14:textId="77777777" w:rsidTr="6E3AA50A">
        <w:tc>
          <w:tcPr>
            <w:tcW w:w="2318" w:type="dxa"/>
            <w:shd w:val="clear" w:color="auto" w:fill="auto"/>
          </w:tcPr>
          <w:p w14:paraId="5DC4FA5F" w14:textId="77777777" w:rsidR="00EE5FC2" w:rsidRPr="00EE5FC2" w:rsidRDefault="00EE5FC2" w:rsidP="00EE5FC2">
            <w:pPr>
              <w:jc w:val="both"/>
              <w:rPr>
                <w:rFonts w:asciiTheme="minorHAnsi" w:hAnsiTheme="minorHAnsi" w:cstheme="minorHAnsi"/>
                <w:sz w:val="22"/>
                <w:szCs w:val="22"/>
              </w:rPr>
            </w:pPr>
            <w:r>
              <w:rPr>
                <w:rFonts w:asciiTheme="minorHAnsi" w:hAnsiTheme="minorHAnsi" w:cstheme="minorHAnsi"/>
                <w:sz w:val="22"/>
                <w:szCs w:val="22"/>
              </w:rPr>
              <w:lastRenderedPageBreak/>
              <w:t>To attend and pass grade one emergency blue light driving course.</w:t>
            </w:r>
          </w:p>
          <w:p w14:paraId="2CC6120F" w14:textId="77777777" w:rsidR="00EE5FC2" w:rsidRPr="00EE5FC2" w:rsidRDefault="00EE5FC2" w:rsidP="00FF7EBB">
            <w:pPr>
              <w:jc w:val="both"/>
              <w:rPr>
                <w:rFonts w:asciiTheme="minorHAnsi" w:hAnsiTheme="minorHAnsi" w:cstheme="minorHAnsi"/>
                <w:sz w:val="22"/>
                <w:szCs w:val="22"/>
              </w:rPr>
            </w:pPr>
          </w:p>
        </w:tc>
        <w:tc>
          <w:tcPr>
            <w:tcW w:w="2249" w:type="dxa"/>
            <w:shd w:val="clear" w:color="auto" w:fill="auto"/>
          </w:tcPr>
          <w:p w14:paraId="45AF9607" w14:textId="6DF0FEC7" w:rsidR="00EE5FC2" w:rsidRPr="00EE5FC2" w:rsidRDefault="00EE5FC2" w:rsidP="00FF7EBB">
            <w:pPr>
              <w:jc w:val="both"/>
              <w:rPr>
                <w:rFonts w:asciiTheme="minorHAnsi" w:hAnsiTheme="minorHAnsi" w:cstheme="minorHAnsi"/>
                <w:sz w:val="22"/>
                <w:szCs w:val="22"/>
              </w:rPr>
            </w:pPr>
            <w:r>
              <w:rPr>
                <w:rFonts w:asciiTheme="minorHAnsi" w:hAnsiTheme="minorHAnsi" w:cstheme="minorHAnsi"/>
                <w:sz w:val="22"/>
                <w:szCs w:val="22"/>
              </w:rPr>
              <w:t>To attend the three week course and pass all driving modules, both practical and theory.</w:t>
            </w:r>
          </w:p>
        </w:tc>
        <w:tc>
          <w:tcPr>
            <w:tcW w:w="2230" w:type="dxa"/>
            <w:shd w:val="clear" w:color="auto" w:fill="auto"/>
          </w:tcPr>
          <w:p w14:paraId="19C0404E" w14:textId="27959DA0" w:rsidR="00EE5FC2" w:rsidRDefault="00EE5FC2" w:rsidP="00FF7EBB">
            <w:pPr>
              <w:jc w:val="both"/>
              <w:rPr>
                <w:rFonts w:asciiTheme="minorHAnsi" w:hAnsiTheme="minorHAnsi" w:cstheme="minorHAnsi"/>
                <w:sz w:val="22"/>
                <w:szCs w:val="22"/>
              </w:rPr>
            </w:pPr>
            <w:r>
              <w:rPr>
                <w:rFonts w:asciiTheme="minorHAnsi" w:hAnsiTheme="minorHAnsi" w:cstheme="minorHAnsi"/>
                <w:sz w:val="22"/>
                <w:szCs w:val="22"/>
              </w:rPr>
              <w:t>Sergeant to arrange attendance of course.</w:t>
            </w:r>
          </w:p>
          <w:p w14:paraId="3FD82A50" w14:textId="2E6E7602" w:rsidR="00EE5FC2" w:rsidRDefault="00EE5FC2" w:rsidP="00FF7EBB">
            <w:pPr>
              <w:jc w:val="both"/>
              <w:rPr>
                <w:rFonts w:asciiTheme="minorHAnsi" w:hAnsiTheme="minorHAnsi" w:cstheme="minorHAnsi"/>
                <w:sz w:val="22"/>
                <w:szCs w:val="22"/>
              </w:rPr>
            </w:pPr>
          </w:p>
          <w:p w14:paraId="5EB1EDB6" w14:textId="01219259" w:rsidR="00EE5FC2" w:rsidRDefault="00EE5FC2" w:rsidP="00FF7EBB">
            <w:pPr>
              <w:jc w:val="both"/>
              <w:rPr>
                <w:rFonts w:asciiTheme="minorHAnsi" w:hAnsiTheme="minorHAnsi" w:cstheme="minorHAnsi"/>
                <w:sz w:val="22"/>
                <w:szCs w:val="22"/>
              </w:rPr>
            </w:pPr>
            <w:r>
              <w:rPr>
                <w:rFonts w:asciiTheme="minorHAnsi" w:hAnsiTheme="minorHAnsi" w:cstheme="minorHAnsi"/>
                <w:sz w:val="22"/>
                <w:szCs w:val="22"/>
              </w:rPr>
              <w:t>Course driving instructors.</w:t>
            </w:r>
          </w:p>
          <w:p w14:paraId="2627C07D" w14:textId="77777777" w:rsidR="00EE5FC2" w:rsidRDefault="00EE5FC2" w:rsidP="00FF7EBB">
            <w:pPr>
              <w:jc w:val="both"/>
              <w:rPr>
                <w:rFonts w:asciiTheme="minorHAnsi" w:hAnsiTheme="minorHAnsi" w:cstheme="minorHAnsi"/>
                <w:sz w:val="22"/>
                <w:szCs w:val="22"/>
              </w:rPr>
            </w:pPr>
          </w:p>
          <w:p w14:paraId="7C1B5671" w14:textId="3122FBEF" w:rsidR="00EE5FC2" w:rsidRPr="00EE5FC2" w:rsidRDefault="00EE5FC2" w:rsidP="00FF7EBB">
            <w:pPr>
              <w:jc w:val="both"/>
              <w:rPr>
                <w:rFonts w:asciiTheme="minorHAnsi" w:hAnsiTheme="minorHAnsi" w:cstheme="minorHAnsi"/>
                <w:sz w:val="22"/>
                <w:szCs w:val="22"/>
              </w:rPr>
            </w:pPr>
          </w:p>
        </w:tc>
        <w:tc>
          <w:tcPr>
            <w:tcW w:w="2230" w:type="dxa"/>
            <w:shd w:val="clear" w:color="auto" w:fill="auto"/>
          </w:tcPr>
          <w:p w14:paraId="3FD02D54" w14:textId="2962477C" w:rsidR="00EE5FC2" w:rsidRPr="00EE5FC2" w:rsidRDefault="00EE5FC2" w:rsidP="62FE5CAF">
            <w:pPr>
              <w:jc w:val="both"/>
              <w:rPr>
                <w:rFonts w:asciiTheme="minorHAnsi" w:hAnsiTheme="minorHAnsi" w:cstheme="minorHAnsi"/>
                <w:sz w:val="22"/>
                <w:szCs w:val="22"/>
              </w:rPr>
            </w:pPr>
            <w:r>
              <w:rPr>
                <w:rFonts w:asciiTheme="minorHAnsi" w:hAnsiTheme="minorHAnsi" w:cstheme="minorHAnsi"/>
                <w:sz w:val="22"/>
                <w:szCs w:val="22"/>
              </w:rPr>
              <w:t xml:space="preserve">Completion within the next 12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B917FD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E36F6C" w14:textId="4A04824B" w:rsidR="00C50B66" w:rsidRDefault="00C50B66" w:rsidP="00C44446">
      <w:pPr>
        <w:keepNext/>
        <w:spacing w:before="240" w:after="60"/>
        <w:jc w:val="both"/>
        <w:rPr>
          <w:sz w:val="24"/>
          <w:szCs w:val="24"/>
        </w:rPr>
      </w:pPr>
    </w:p>
    <w:p w14:paraId="72AC4C3F"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Blackburn, B. Francis, C. Gilbert, P, Dr. Graca, S, Dr. Honess, R. Hooper, G. Howard, A. Lawton – Barrett, K. Leonard, V, Dr. Mitchell, S. Norman, P. Nunn, J. O’Neill, M, Dr. Owens, J. Straine- Francis, V. Underwood, R. Wood, D, Dr. (2020) ‘Handbook for Policing Students’. Edition 14. Oxford University Press: Blackstones.</w:t>
      </w:r>
    </w:p>
    <w:p w14:paraId="56F60B4A"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College of Policing (2020) </w:t>
      </w:r>
      <w:r w:rsidRPr="00565121">
        <w:rPr>
          <w:rFonts w:ascii="Calibri" w:eastAsia="Calibri" w:hAnsi="Calibri" w:cs="Times New Roman"/>
          <w:i/>
          <w:iCs/>
          <w:color w:val="auto"/>
          <w:sz w:val="22"/>
          <w:szCs w:val="22"/>
          <w:lang w:eastAsia="en-US"/>
        </w:rPr>
        <w:t>Ethics</w:t>
      </w:r>
      <w:r w:rsidRPr="00565121">
        <w:rPr>
          <w:rFonts w:ascii="Calibri" w:eastAsia="Calibri" w:hAnsi="Calibri" w:cs="Times New Roman"/>
          <w:color w:val="auto"/>
          <w:sz w:val="22"/>
          <w:szCs w:val="22"/>
          <w:lang w:eastAsia="en-US"/>
        </w:rPr>
        <w:t xml:space="preserve">. Available at: </w:t>
      </w:r>
      <w:hyperlink r:id="rId26" w:history="1">
        <w:r w:rsidRPr="00565121">
          <w:rPr>
            <w:rFonts w:ascii="Calibri" w:eastAsia="Calibri" w:hAnsi="Calibri" w:cs="Times New Roman"/>
            <w:color w:val="auto"/>
            <w:sz w:val="22"/>
            <w:szCs w:val="22"/>
            <w:lang w:eastAsia="en-US"/>
          </w:rPr>
          <w:t>Ethics | College of Policing</w:t>
        </w:r>
      </w:hyperlink>
      <w:r w:rsidRPr="00565121">
        <w:rPr>
          <w:rFonts w:ascii="Calibri" w:eastAsia="Calibri" w:hAnsi="Calibri" w:cs="Times New Roman"/>
          <w:color w:val="auto"/>
          <w:sz w:val="22"/>
          <w:szCs w:val="22"/>
          <w:lang w:eastAsia="en-US"/>
        </w:rPr>
        <w:t xml:space="preserve"> (Accessed: 31 January 2021).</w:t>
      </w:r>
    </w:p>
    <w:p w14:paraId="381C0035"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College of Policing (2020) </w:t>
      </w:r>
      <w:r w:rsidRPr="00565121">
        <w:rPr>
          <w:rFonts w:ascii="Calibri" w:eastAsia="Calibri" w:hAnsi="Calibri" w:cs="Times New Roman"/>
          <w:i/>
          <w:iCs/>
          <w:color w:val="auto"/>
          <w:sz w:val="22"/>
          <w:szCs w:val="22"/>
          <w:lang w:eastAsia="en-US"/>
        </w:rPr>
        <w:t>Investigations.</w:t>
      </w:r>
      <w:r w:rsidRPr="00565121">
        <w:rPr>
          <w:rFonts w:ascii="Calibri" w:eastAsia="Calibri" w:hAnsi="Calibri" w:cs="Times New Roman"/>
          <w:color w:val="auto"/>
          <w:sz w:val="22"/>
          <w:szCs w:val="22"/>
          <w:lang w:eastAsia="en-US"/>
        </w:rPr>
        <w:t xml:space="preserve"> Available at: </w:t>
      </w:r>
      <w:hyperlink r:id="rId27" w:anchor=":~:text=The%20Code%20of%20Practice%20to%20the%20Criminal%20Procedure,charged%20with%20an%20offence%20is%20guilty%20of%20it." w:history="1">
        <w:r w:rsidRPr="00565121">
          <w:rPr>
            <w:rFonts w:ascii="Calibri" w:eastAsia="Calibri" w:hAnsi="Calibri" w:cs="Times New Roman"/>
            <w:color w:val="auto"/>
            <w:sz w:val="22"/>
            <w:szCs w:val="22"/>
            <w:lang w:eastAsia="en-US"/>
          </w:rPr>
          <w:t>Introduction (college.police.uk)</w:t>
        </w:r>
      </w:hyperlink>
      <w:r w:rsidRPr="00565121">
        <w:rPr>
          <w:rFonts w:ascii="Calibri" w:eastAsia="Calibri" w:hAnsi="Calibri" w:cs="Times New Roman"/>
          <w:color w:val="auto"/>
          <w:sz w:val="22"/>
          <w:szCs w:val="22"/>
          <w:lang w:eastAsia="en-US"/>
        </w:rPr>
        <w:t xml:space="preserve"> (Accessed 1 February 2021).</w:t>
      </w:r>
    </w:p>
    <w:p w14:paraId="2540C16E"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CPS (2017) </w:t>
      </w:r>
      <w:r w:rsidRPr="00565121">
        <w:rPr>
          <w:rFonts w:ascii="Calibri" w:eastAsia="Calibri" w:hAnsi="Calibri" w:cs="Times New Roman"/>
          <w:i/>
          <w:iCs/>
          <w:color w:val="auto"/>
          <w:sz w:val="22"/>
          <w:szCs w:val="22"/>
          <w:lang w:eastAsia="en-US"/>
        </w:rPr>
        <w:t>Hate Crime</w:t>
      </w:r>
      <w:r w:rsidRPr="00565121">
        <w:rPr>
          <w:rFonts w:ascii="Calibri" w:eastAsia="Calibri" w:hAnsi="Calibri" w:cs="Times New Roman"/>
          <w:color w:val="auto"/>
          <w:sz w:val="22"/>
          <w:szCs w:val="22"/>
          <w:lang w:eastAsia="en-US"/>
        </w:rPr>
        <w:t xml:space="preserve">. Available at: </w:t>
      </w:r>
      <w:hyperlink r:id="rId28" w:history="1">
        <w:r w:rsidRPr="00565121">
          <w:rPr>
            <w:rFonts w:ascii="Calibri" w:eastAsia="Calibri" w:hAnsi="Calibri" w:cs="Times New Roman"/>
            <w:color w:val="auto"/>
            <w:sz w:val="22"/>
            <w:szCs w:val="22"/>
            <w:lang w:eastAsia="en-US"/>
          </w:rPr>
          <w:t>Hate crime | The Crown Prosecution Service (cps.gov.uk)</w:t>
        </w:r>
      </w:hyperlink>
      <w:r w:rsidRPr="00565121">
        <w:rPr>
          <w:rFonts w:ascii="Calibri" w:eastAsia="Calibri" w:hAnsi="Calibri" w:cs="Times New Roman"/>
          <w:color w:val="auto"/>
          <w:sz w:val="22"/>
          <w:szCs w:val="22"/>
          <w:lang w:eastAsia="en-US"/>
        </w:rPr>
        <w:t xml:space="preserve"> (Accessed: 31 January 2021).</w:t>
      </w:r>
    </w:p>
    <w:p w14:paraId="40495A13"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CPS (2017)</w:t>
      </w:r>
      <w:r w:rsidRPr="00565121">
        <w:rPr>
          <w:rFonts w:ascii="Calibri" w:eastAsia="Calibri" w:hAnsi="Calibri" w:cs="Times New Roman"/>
          <w:i/>
          <w:iCs/>
          <w:color w:val="auto"/>
          <w:sz w:val="22"/>
          <w:szCs w:val="22"/>
          <w:lang w:eastAsia="en-US"/>
        </w:rPr>
        <w:t xml:space="preserve"> Victims and Witnesses.</w:t>
      </w:r>
      <w:r w:rsidRPr="00565121">
        <w:rPr>
          <w:rFonts w:ascii="Calibri" w:eastAsia="Calibri" w:hAnsi="Calibri" w:cs="Times New Roman"/>
          <w:color w:val="auto"/>
          <w:sz w:val="22"/>
          <w:szCs w:val="22"/>
          <w:lang w:eastAsia="en-US"/>
        </w:rPr>
        <w:t xml:space="preserve"> Available at: </w:t>
      </w:r>
      <w:hyperlink r:id="rId29" w:anchor=":~:text=Giving%20a%20statement,sign%20it%20with%20your%20name" w:history="1">
        <w:r w:rsidRPr="00565121">
          <w:rPr>
            <w:rFonts w:ascii="Calibri" w:eastAsia="Calibri" w:hAnsi="Calibri" w:cs="Times New Roman"/>
            <w:color w:val="auto"/>
            <w:sz w:val="22"/>
            <w:szCs w:val="22"/>
            <w:lang w:eastAsia="en-US"/>
          </w:rPr>
          <w:t>https://www.cps.gov.uk/victims-witnesses#:~:text=Giving%20a%20statement,sign%20it%20with%20your%20name</w:t>
        </w:r>
      </w:hyperlink>
      <w:r w:rsidRPr="00565121">
        <w:rPr>
          <w:rFonts w:ascii="Calibri" w:eastAsia="Calibri" w:hAnsi="Calibri" w:cs="Times New Roman"/>
          <w:color w:val="auto"/>
          <w:sz w:val="22"/>
          <w:szCs w:val="22"/>
          <w:lang w:eastAsia="en-US"/>
        </w:rPr>
        <w:t xml:space="preserve"> (Accessed: 31 January 2021).</w:t>
      </w:r>
    </w:p>
    <w:p w14:paraId="59115ED2"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CPS (2017) </w:t>
      </w:r>
      <w:r w:rsidRPr="00565121">
        <w:rPr>
          <w:rFonts w:ascii="Calibri" w:eastAsia="Calibri" w:hAnsi="Calibri" w:cs="Times New Roman"/>
          <w:i/>
          <w:iCs/>
          <w:color w:val="auto"/>
          <w:sz w:val="22"/>
          <w:szCs w:val="22"/>
          <w:lang w:eastAsia="en-US"/>
        </w:rPr>
        <w:t>Victims of Crime (The Code of Practice) – CPS Legal Guidance</w:t>
      </w:r>
      <w:r w:rsidRPr="00565121">
        <w:rPr>
          <w:rFonts w:ascii="Calibri" w:eastAsia="Calibri" w:hAnsi="Calibri" w:cs="Times New Roman"/>
          <w:color w:val="auto"/>
          <w:sz w:val="22"/>
          <w:szCs w:val="22"/>
          <w:lang w:eastAsia="en-US"/>
        </w:rPr>
        <w:t xml:space="preserve">. Available at: </w:t>
      </w:r>
      <w:hyperlink r:id="rId30" w:history="1">
        <w:r w:rsidRPr="00565121">
          <w:rPr>
            <w:rFonts w:ascii="Calibri" w:eastAsia="Calibri" w:hAnsi="Calibri" w:cs="Times New Roman"/>
            <w:color w:val="auto"/>
            <w:sz w:val="22"/>
            <w:szCs w:val="22"/>
            <w:lang w:eastAsia="en-US"/>
          </w:rPr>
          <w:t>Victims of Crime (The Code of Practice) - CPS Legal Guidance | The Crown Prosecution Service</w:t>
        </w:r>
      </w:hyperlink>
      <w:r w:rsidRPr="00565121">
        <w:rPr>
          <w:rFonts w:ascii="Calibri" w:eastAsia="Calibri" w:hAnsi="Calibri" w:cs="Times New Roman"/>
          <w:color w:val="auto"/>
          <w:sz w:val="22"/>
          <w:szCs w:val="22"/>
          <w:lang w:eastAsia="en-US"/>
        </w:rPr>
        <w:t xml:space="preserve"> (Accessed: 31 January 2021).</w:t>
      </w:r>
    </w:p>
    <w:p w14:paraId="0A6F88EA"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CPS (2018) </w:t>
      </w:r>
      <w:r w:rsidRPr="00565121">
        <w:rPr>
          <w:rFonts w:ascii="Calibri" w:eastAsia="Calibri" w:hAnsi="Calibri" w:cs="Times New Roman"/>
          <w:i/>
          <w:iCs/>
          <w:color w:val="auto"/>
          <w:sz w:val="22"/>
          <w:szCs w:val="22"/>
          <w:lang w:eastAsia="en-US"/>
        </w:rPr>
        <w:t>The Code for Crown Prosecutors</w:t>
      </w:r>
      <w:r w:rsidRPr="00565121">
        <w:rPr>
          <w:rFonts w:ascii="Calibri" w:eastAsia="Calibri" w:hAnsi="Calibri" w:cs="Times New Roman"/>
          <w:color w:val="auto"/>
          <w:sz w:val="22"/>
          <w:szCs w:val="22"/>
          <w:lang w:eastAsia="en-US"/>
        </w:rPr>
        <w:t xml:space="preserve">. Available at: </w:t>
      </w:r>
      <w:hyperlink r:id="rId31" w:history="1">
        <w:r w:rsidRPr="00565121">
          <w:rPr>
            <w:rFonts w:ascii="Calibri" w:eastAsia="Calibri" w:hAnsi="Calibri" w:cs="Times New Roman"/>
            <w:color w:val="auto"/>
            <w:sz w:val="22"/>
            <w:szCs w:val="22"/>
            <w:lang w:eastAsia="en-US"/>
          </w:rPr>
          <w:t>The Code for Crown Prosecutors | The Crown Prosecution Service (cps.gov.uk)</w:t>
        </w:r>
      </w:hyperlink>
      <w:r w:rsidRPr="00565121">
        <w:rPr>
          <w:rFonts w:ascii="Calibri" w:eastAsia="Calibri" w:hAnsi="Calibri" w:cs="Times New Roman"/>
          <w:color w:val="auto"/>
          <w:sz w:val="22"/>
          <w:szCs w:val="22"/>
          <w:lang w:eastAsia="en-US"/>
        </w:rPr>
        <w:t xml:space="preserve"> (Accessed: 31 January 2021).</w:t>
      </w:r>
    </w:p>
    <w:p w14:paraId="73E43EB0"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CPS (2019) </w:t>
      </w:r>
      <w:r w:rsidRPr="00565121">
        <w:rPr>
          <w:rFonts w:ascii="Calibri" w:eastAsia="Calibri" w:hAnsi="Calibri" w:cs="Times New Roman"/>
          <w:i/>
          <w:iCs/>
          <w:color w:val="auto"/>
          <w:sz w:val="22"/>
          <w:szCs w:val="22"/>
          <w:lang w:eastAsia="en-US"/>
        </w:rPr>
        <w:t>Mental Health Conditions and Disorders.</w:t>
      </w:r>
      <w:r w:rsidRPr="00565121">
        <w:rPr>
          <w:rFonts w:ascii="Calibri" w:eastAsia="Calibri" w:hAnsi="Calibri" w:cs="Times New Roman"/>
          <w:color w:val="auto"/>
          <w:sz w:val="22"/>
          <w:szCs w:val="22"/>
          <w:lang w:eastAsia="en-US"/>
        </w:rPr>
        <w:t xml:space="preserve"> Available at: </w:t>
      </w:r>
      <w:hyperlink r:id="rId32" w:history="1">
        <w:r w:rsidRPr="00565121">
          <w:rPr>
            <w:rFonts w:ascii="Calibri" w:eastAsia="Calibri" w:hAnsi="Calibri" w:cs="Times New Roman"/>
            <w:color w:val="auto"/>
            <w:sz w:val="22"/>
            <w:szCs w:val="22"/>
            <w:lang w:eastAsia="en-US"/>
          </w:rPr>
          <w:t>Mental Health Conditions and Disorders: Draft Prosecution Guidance | The Crown Prosecution Service (cps.gov.uk)</w:t>
        </w:r>
      </w:hyperlink>
      <w:r w:rsidRPr="00565121">
        <w:rPr>
          <w:rFonts w:ascii="Calibri" w:eastAsia="Calibri" w:hAnsi="Calibri" w:cs="Times New Roman"/>
          <w:color w:val="auto"/>
          <w:sz w:val="22"/>
          <w:szCs w:val="22"/>
          <w:lang w:eastAsia="en-US"/>
        </w:rPr>
        <w:t xml:space="preserve"> (Accessed 1 February 2021).</w:t>
      </w:r>
    </w:p>
    <w:p w14:paraId="1645E34C"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CPS (2020) </w:t>
      </w:r>
      <w:r w:rsidRPr="00565121">
        <w:rPr>
          <w:rFonts w:ascii="Calibri" w:eastAsia="Calibri" w:hAnsi="Calibri" w:cs="Times New Roman"/>
          <w:i/>
          <w:iCs/>
          <w:color w:val="auto"/>
          <w:sz w:val="22"/>
          <w:szCs w:val="22"/>
          <w:lang w:eastAsia="en-US"/>
        </w:rPr>
        <w:t>Offences Against the Person</w:t>
      </w:r>
      <w:r w:rsidRPr="00565121">
        <w:rPr>
          <w:rFonts w:ascii="Calibri" w:eastAsia="Calibri" w:hAnsi="Calibri" w:cs="Times New Roman"/>
          <w:color w:val="auto"/>
          <w:sz w:val="22"/>
          <w:szCs w:val="22"/>
          <w:lang w:eastAsia="en-US"/>
        </w:rPr>
        <w:t xml:space="preserve">. Available at: </w:t>
      </w:r>
      <w:hyperlink r:id="rId33" w:history="1">
        <w:r w:rsidRPr="00565121">
          <w:rPr>
            <w:rFonts w:ascii="Calibri" w:eastAsia="Calibri" w:hAnsi="Calibri" w:cs="Times New Roman"/>
            <w:color w:val="auto"/>
            <w:sz w:val="22"/>
            <w:szCs w:val="22"/>
            <w:lang w:eastAsia="en-US"/>
          </w:rPr>
          <w:t>Offences against the Person, incorporating the Charging Standard | The Crown Prosecution Service (cps.gov.uk)</w:t>
        </w:r>
      </w:hyperlink>
      <w:r w:rsidRPr="00565121">
        <w:rPr>
          <w:rFonts w:ascii="Calibri" w:eastAsia="Calibri" w:hAnsi="Calibri" w:cs="Times New Roman"/>
          <w:color w:val="auto"/>
          <w:sz w:val="22"/>
          <w:szCs w:val="22"/>
          <w:lang w:eastAsia="en-US"/>
        </w:rPr>
        <w:t xml:space="preserve"> (Accessed 1 February 2021).</w:t>
      </w:r>
    </w:p>
    <w:p w14:paraId="122D89BE"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Criminal Damage Act (1971) </w:t>
      </w:r>
      <w:r w:rsidRPr="00565121">
        <w:rPr>
          <w:rFonts w:ascii="Calibri" w:eastAsia="Calibri" w:hAnsi="Calibri" w:cs="Times New Roman"/>
          <w:i/>
          <w:color w:val="auto"/>
          <w:sz w:val="22"/>
          <w:szCs w:val="22"/>
          <w:lang w:eastAsia="en-US"/>
        </w:rPr>
        <w:t>Legislation.gov.uk</w:t>
      </w:r>
      <w:r w:rsidRPr="00565121">
        <w:rPr>
          <w:rFonts w:ascii="Calibri" w:eastAsia="Calibri" w:hAnsi="Calibri" w:cs="Times New Roman"/>
          <w:color w:val="auto"/>
          <w:sz w:val="22"/>
          <w:szCs w:val="22"/>
          <w:lang w:eastAsia="en-US"/>
        </w:rPr>
        <w:t xml:space="preserve">. Available at: </w:t>
      </w:r>
      <w:hyperlink r:id="rId34" w:anchor=":~:text=There%20are%20currently%20no%20known%20outstanding%20effects%20for,or%20cause%20or%20permit%20another%20to%20use%20it%E2%80%94" w:history="1">
        <w:r w:rsidRPr="00565121">
          <w:rPr>
            <w:color w:val="auto"/>
          </w:rPr>
          <w:t>Criminal Damage Act 1971 (legislation.gov.uk)</w:t>
        </w:r>
      </w:hyperlink>
      <w:r w:rsidRPr="00565121">
        <w:t xml:space="preserve"> </w:t>
      </w:r>
      <w:r w:rsidRPr="00565121">
        <w:rPr>
          <w:rFonts w:ascii="Calibri" w:eastAsia="Calibri" w:hAnsi="Calibri" w:cs="Times New Roman"/>
          <w:color w:val="auto"/>
          <w:sz w:val="22"/>
          <w:szCs w:val="22"/>
          <w:lang w:eastAsia="en-US"/>
        </w:rPr>
        <w:t>(Accessed: 04/01/2021).</w:t>
      </w:r>
    </w:p>
    <w:p w14:paraId="7809FB29"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Criminal Law Act (1967) </w:t>
      </w:r>
      <w:r w:rsidRPr="00565121">
        <w:rPr>
          <w:rFonts w:ascii="Calibri" w:eastAsia="Calibri" w:hAnsi="Calibri" w:cs="Times New Roman"/>
          <w:i/>
          <w:color w:val="auto"/>
          <w:sz w:val="22"/>
          <w:szCs w:val="22"/>
          <w:lang w:eastAsia="en-US"/>
        </w:rPr>
        <w:t>Legislation.gov.uk</w:t>
      </w:r>
      <w:r w:rsidRPr="00565121">
        <w:rPr>
          <w:rFonts w:ascii="Calibri" w:eastAsia="Calibri" w:hAnsi="Calibri" w:cs="Times New Roman"/>
          <w:color w:val="auto"/>
          <w:sz w:val="22"/>
          <w:szCs w:val="22"/>
          <w:lang w:eastAsia="en-US"/>
        </w:rPr>
        <w:t xml:space="preserve">. Available at: </w:t>
      </w:r>
      <w:hyperlink r:id="rId35" w:anchor=":~:text=There%20are%20currently%20no%20known%20outstanding%20effects%20for,suspected%20offenders%20or%20of%20persons%20unlawfully%20at%20large." w:history="1">
        <w:r w:rsidRPr="00565121">
          <w:rPr>
            <w:rFonts w:ascii="Calibri" w:eastAsia="Calibri" w:hAnsi="Calibri" w:cs="Times New Roman"/>
            <w:color w:val="auto"/>
            <w:sz w:val="22"/>
            <w:szCs w:val="22"/>
            <w:lang w:eastAsia="en-US"/>
          </w:rPr>
          <w:t>Criminal Law Act 1967 (legislation.gov.uk)</w:t>
        </w:r>
      </w:hyperlink>
      <w:hyperlink r:id="rId36" w:history="1"/>
      <w:r w:rsidRPr="00565121">
        <w:t xml:space="preserve"> </w:t>
      </w:r>
      <w:r w:rsidRPr="00565121">
        <w:rPr>
          <w:rFonts w:ascii="Calibri" w:eastAsia="Calibri" w:hAnsi="Calibri" w:cs="Times New Roman"/>
          <w:color w:val="auto"/>
          <w:sz w:val="22"/>
          <w:szCs w:val="22"/>
          <w:lang w:eastAsia="en-US"/>
        </w:rPr>
        <w:t>(Accessed: 04/01/2021).</w:t>
      </w:r>
    </w:p>
    <w:p w14:paraId="31F55C7D"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Gov.UK (2015) </w:t>
      </w:r>
      <w:r w:rsidRPr="00565121">
        <w:rPr>
          <w:rFonts w:ascii="Calibri" w:eastAsia="Calibri" w:hAnsi="Calibri" w:cs="Times New Roman"/>
          <w:i/>
          <w:iCs/>
          <w:color w:val="auto"/>
          <w:sz w:val="22"/>
          <w:szCs w:val="22"/>
          <w:lang w:eastAsia="en-US"/>
        </w:rPr>
        <w:t>Criminal Procedure and Investigations Act Code of Practice</w:t>
      </w:r>
      <w:r w:rsidRPr="00565121">
        <w:rPr>
          <w:rFonts w:ascii="Calibri" w:eastAsia="Calibri" w:hAnsi="Calibri" w:cs="Times New Roman"/>
          <w:color w:val="auto"/>
          <w:sz w:val="22"/>
          <w:szCs w:val="22"/>
          <w:lang w:eastAsia="en-US"/>
        </w:rPr>
        <w:t xml:space="preserve">. Available at: </w:t>
      </w:r>
      <w:hyperlink r:id="rId37" w:history="1">
        <w:r w:rsidRPr="00565121">
          <w:rPr>
            <w:rFonts w:ascii="Calibri" w:eastAsia="Calibri" w:hAnsi="Calibri" w:cs="Times New Roman"/>
            <w:color w:val="auto"/>
            <w:sz w:val="22"/>
            <w:szCs w:val="22"/>
            <w:lang w:eastAsia="en-US"/>
          </w:rPr>
          <w:t>Criminal Procedure and Investigations Act Code of Practice - GOV.UK (www.gov.uk)</w:t>
        </w:r>
      </w:hyperlink>
      <w:r w:rsidRPr="00565121">
        <w:rPr>
          <w:rFonts w:ascii="Calibri" w:eastAsia="Calibri" w:hAnsi="Calibri" w:cs="Times New Roman"/>
          <w:color w:val="auto"/>
          <w:sz w:val="22"/>
          <w:szCs w:val="22"/>
          <w:lang w:eastAsia="en-US"/>
        </w:rPr>
        <w:t xml:space="preserve"> (Accessed 1 February 2021).</w:t>
      </w:r>
    </w:p>
    <w:p w14:paraId="2CEA0659"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Gov.UK (2018) </w:t>
      </w:r>
      <w:r w:rsidRPr="00565121">
        <w:rPr>
          <w:rFonts w:ascii="Calibri" w:eastAsia="Calibri" w:hAnsi="Calibri" w:cs="Times New Roman"/>
          <w:i/>
          <w:iCs/>
          <w:color w:val="auto"/>
          <w:sz w:val="22"/>
          <w:szCs w:val="22"/>
          <w:lang w:eastAsia="en-US"/>
        </w:rPr>
        <w:t>Victim Personal Statement.</w:t>
      </w:r>
      <w:r w:rsidRPr="00565121">
        <w:rPr>
          <w:rFonts w:ascii="Calibri" w:eastAsia="Calibri" w:hAnsi="Calibri" w:cs="Times New Roman"/>
          <w:color w:val="auto"/>
          <w:sz w:val="22"/>
          <w:szCs w:val="22"/>
          <w:lang w:eastAsia="en-US"/>
        </w:rPr>
        <w:t xml:space="preserve"> Available at: </w:t>
      </w:r>
      <w:hyperlink r:id="rId38" w:history="1">
        <w:r w:rsidRPr="00565121">
          <w:rPr>
            <w:rFonts w:ascii="Calibri" w:eastAsia="Calibri" w:hAnsi="Calibri" w:cs="Times New Roman"/>
            <w:color w:val="auto"/>
            <w:sz w:val="22"/>
            <w:szCs w:val="22"/>
            <w:lang w:eastAsia="en-US"/>
          </w:rPr>
          <w:t>Victim Personal Statement - GOV.UK (www.gov.uk)</w:t>
        </w:r>
      </w:hyperlink>
      <w:r w:rsidRPr="00565121">
        <w:rPr>
          <w:rFonts w:ascii="Calibri" w:eastAsia="Calibri" w:hAnsi="Calibri" w:cs="Times New Roman"/>
          <w:color w:val="auto"/>
          <w:sz w:val="22"/>
          <w:szCs w:val="22"/>
          <w:lang w:eastAsia="en-US"/>
        </w:rPr>
        <w:t xml:space="preserve"> (Accessed: 31 January 2021).</w:t>
      </w:r>
    </w:p>
    <w:p w14:paraId="29023D21" w14:textId="77777777" w:rsidR="00565121" w:rsidRPr="00565121" w:rsidRDefault="00565121" w:rsidP="00565121">
      <w:pPr>
        <w:overflowPunct/>
        <w:autoSpaceDE/>
        <w:autoSpaceDN/>
        <w:adjustRightInd/>
        <w:spacing w:after="160" w:line="259" w:lineRule="auto"/>
        <w:textAlignment w:val="auto"/>
      </w:pPr>
      <w:r w:rsidRPr="00565121">
        <w:rPr>
          <w:rFonts w:ascii="Calibri" w:eastAsia="Calibri" w:hAnsi="Calibri" w:cs="Times New Roman"/>
          <w:color w:val="auto"/>
          <w:sz w:val="22"/>
          <w:szCs w:val="22"/>
          <w:lang w:eastAsia="en-US"/>
        </w:rPr>
        <w:lastRenderedPageBreak/>
        <w:t xml:space="preserve">Human Rights Act (1998) </w:t>
      </w:r>
      <w:r w:rsidRPr="00565121">
        <w:rPr>
          <w:rFonts w:ascii="Calibri" w:eastAsia="Calibri" w:hAnsi="Calibri" w:cs="Times New Roman"/>
          <w:i/>
          <w:color w:val="auto"/>
          <w:sz w:val="22"/>
          <w:szCs w:val="22"/>
          <w:lang w:eastAsia="en-US"/>
        </w:rPr>
        <w:t>Legislation.gov.uk</w:t>
      </w:r>
      <w:r w:rsidRPr="00565121">
        <w:rPr>
          <w:rFonts w:ascii="Calibri" w:eastAsia="Calibri" w:hAnsi="Calibri" w:cs="Times New Roman"/>
          <w:color w:val="auto"/>
          <w:sz w:val="22"/>
          <w:szCs w:val="22"/>
          <w:lang w:eastAsia="en-US"/>
        </w:rPr>
        <w:t xml:space="preserve">. Available at: </w:t>
      </w:r>
      <w:hyperlink r:id="rId39" w:history="1">
        <w:r w:rsidRPr="00565121">
          <w:rPr>
            <w:rFonts w:ascii="Calibri" w:eastAsia="Calibri" w:hAnsi="Calibri" w:cs="Times New Roman"/>
            <w:color w:val="auto"/>
            <w:sz w:val="22"/>
            <w:szCs w:val="22"/>
            <w:lang w:eastAsia="en-US"/>
          </w:rPr>
          <w:t>Human Rights Act 1998 (legislation.gov.uk)</w:t>
        </w:r>
      </w:hyperlink>
      <w:r w:rsidRPr="00565121">
        <w:t xml:space="preserve"> (Accessed: 04/01/2021).</w:t>
      </w:r>
    </w:p>
    <w:p w14:paraId="55EFE8B0" w14:textId="77777777" w:rsidR="00565121" w:rsidRPr="00565121" w:rsidRDefault="00565121" w:rsidP="00565121">
      <w:r w:rsidRPr="00565121">
        <w:t xml:space="preserve">Lavraks, J,P. (2008) </w:t>
      </w:r>
      <w:r w:rsidRPr="00565121">
        <w:rPr>
          <w:i/>
          <w:iCs/>
        </w:rPr>
        <w:t>Encyclopedia of Survey Research Methods</w:t>
      </w:r>
      <w:r w:rsidRPr="00565121">
        <w:t>. USA: SAGE.</w:t>
      </w:r>
    </w:p>
    <w:p w14:paraId="6FBE8FA3"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Mind (2020) </w:t>
      </w:r>
      <w:r w:rsidRPr="00565121">
        <w:rPr>
          <w:rFonts w:ascii="Calibri" w:eastAsia="Calibri" w:hAnsi="Calibri" w:cs="Times New Roman"/>
          <w:i/>
          <w:color w:val="auto"/>
          <w:sz w:val="22"/>
          <w:szCs w:val="22"/>
          <w:lang w:eastAsia="en-US"/>
        </w:rPr>
        <w:t xml:space="preserve">Physical activity and your mental health. </w:t>
      </w:r>
      <w:r w:rsidRPr="00565121">
        <w:rPr>
          <w:rFonts w:ascii="Calibri" w:eastAsia="Calibri" w:hAnsi="Calibri" w:cs="Times New Roman"/>
          <w:color w:val="auto"/>
          <w:sz w:val="22"/>
          <w:szCs w:val="22"/>
          <w:lang w:eastAsia="en-US"/>
        </w:rPr>
        <w:t>Available at: https://www.mind.org.uk/information/-support/tips-foreveryday-living/physical-activity-and-your -mental-health/about-physical-activity. (Accessed: 14/12/2020).</w:t>
      </w:r>
    </w:p>
    <w:p w14:paraId="7C994909" w14:textId="77777777" w:rsidR="00565121" w:rsidRPr="00565121" w:rsidRDefault="00565121" w:rsidP="00565121">
      <w:pPr>
        <w:rPr>
          <w:rFonts w:ascii="Calibri" w:hAnsi="Calibri" w:cs="Calibri"/>
          <w:sz w:val="22"/>
          <w:szCs w:val="22"/>
        </w:rPr>
      </w:pPr>
      <w:r w:rsidRPr="00565121">
        <w:rPr>
          <w:rFonts w:ascii="Calibri" w:hAnsi="Calibri" w:cs="Calibri"/>
          <w:sz w:val="22"/>
          <w:szCs w:val="22"/>
        </w:rPr>
        <w:t xml:space="preserve">Mind (2020) </w:t>
      </w:r>
      <w:r w:rsidRPr="00565121">
        <w:rPr>
          <w:rFonts w:ascii="Calibri" w:hAnsi="Calibri" w:cs="Calibri"/>
          <w:i/>
          <w:iCs/>
          <w:sz w:val="22"/>
          <w:szCs w:val="22"/>
        </w:rPr>
        <w:t xml:space="preserve">What is Stress? </w:t>
      </w:r>
      <w:r w:rsidRPr="00565121">
        <w:rPr>
          <w:rFonts w:ascii="Calibri" w:hAnsi="Calibri" w:cs="Calibri"/>
          <w:sz w:val="22"/>
          <w:szCs w:val="22"/>
        </w:rPr>
        <w:t xml:space="preserve">Available at: </w:t>
      </w:r>
      <w:hyperlink r:id="rId40" w:history="1">
        <w:r w:rsidRPr="00565121">
          <w:rPr>
            <w:rFonts w:ascii="Calibri" w:hAnsi="Calibri" w:cs="Calibri"/>
            <w:sz w:val="22"/>
            <w:szCs w:val="22"/>
          </w:rPr>
          <w:t>What is stress? | Mind, the mental health charity - help for mental health problems</w:t>
        </w:r>
      </w:hyperlink>
      <w:r w:rsidRPr="00565121">
        <w:rPr>
          <w:rFonts w:ascii="Calibri" w:hAnsi="Calibri" w:cs="Calibri"/>
          <w:sz w:val="22"/>
          <w:szCs w:val="22"/>
        </w:rPr>
        <w:t>. (Accessed 09/01/2021).</w:t>
      </w:r>
    </w:p>
    <w:p w14:paraId="1F93E2F8"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NHS (2018) </w:t>
      </w:r>
      <w:r w:rsidRPr="00565121">
        <w:rPr>
          <w:rFonts w:ascii="Calibri" w:eastAsia="Calibri" w:hAnsi="Calibri" w:cs="Times New Roman"/>
          <w:i/>
          <w:iCs/>
          <w:color w:val="auto"/>
          <w:sz w:val="22"/>
          <w:szCs w:val="22"/>
          <w:lang w:eastAsia="en-US"/>
        </w:rPr>
        <w:t>Attention Deficit Hyperactivity Disorder</w:t>
      </w:r>
      <w:r w:rsidRPr="00565121">
        <w:rPr>
          <w:rFonts w:ascii="Calibri" w:eastAsia="Calibri" w:hAnsi="Calibri" w:cs="Times New Roman"/>
          <w:color w:val="auto"/>
          <w:sz w:val="22"/>
          <w:szCs w:val="22"/>
          <w:lang w:eastAsia="en-US"/>
        </w:rPr>
        <w:t xml:space="preserve">. Available at: </w:t>
      </w:r>
      <w:hyperlink r:id="rId41" w:history="1">
        <w:r w:rsidRPr="00565121">
          <w:rPr>
            <w:rFonts w:ascii="Calibri" w:eastAsia="Calibri" w:hAnsi="Calibri" w:cs="Times New Roman"/>
            <w:color w:val="auto"/>
            <w:sz w:val="22"/>
            <w:szCs w:val="22"/>
            <w:lang w:eastAsia="en-US"/>
          </w:rPr>
          <w:t>Attention deficit hyperactivity disorder (ADHD) - Symptoms - NHS (www.nhs.uk)</w:t>
        </w:r>
      </w:hyperlink>
      <w:r w:rsidRPr="00565121">
        <w:rPr>
          <w:rFonts w:ascii="Calibri" w:eastAsia="Calibri" w:hAnsi="Calibri" w:cs="Times New Roman"/>
          <w:color w:val="auto"/>
          <w:sz w:val="22"/>
          <w:szCs w:val="22"/>
          <w:lang w:eastAsia="en-US"/>
        </w:rPr>
        <w:t xml:space="preserve"> (Accessed: 1 February 2021).</w:t>
      </w:r>
    </w:p>
    <w:p w14:paraId="077711F3"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NHS (2019) </w:t>
      </w:r>
      <w:r w:rsidRPr="00565121">
        <w:rPr>
          <w:rFonts w:ascii="Calibri" w:eastAsia="Calibri" w:hAnsi="Calibri" w:cs="Times New Roman"/>
          <w:i/>
          <w:iCs/>
          <w:color w:val="auto"/>
          <w:sz w:val="22"/>
          <w:szCs w:val="22"/>
          <w:lang w:eastAsia="en-US"/>
        </w:rPr>
        <w:t xml:space="preserve">Signs of Autism in Children. </w:t>
      </w:r>
      <w:r w:rsidRPr="00565121">
        <w:rPr>
          <w:rFonts w:ascii="Calibri" w:eastAsia="Calibri" w:hAnsi="Calibri" w:cs="Times New Roman"/>
          <w:color w:val="auto"/>
          <w:sz w:val="22"/>
          <w:szCs w:val="22"/>
          <w:lang w:eastAsia="en-US"/>
        </w:rPr>
        <w:t xml:space="preserve">Available at: </w:t>
      </w:r>
      <w:hyperlink r:id="rId42" w:history="1">
        <w:r w:rsidRPr="00565121">
          <w:rPr>
            <w:rFonts w:ascii="Calibri" w:eastAsia="Calibri" w:hAnsi="Calibri" w:cs="Times New Roman"/>
            <w:color w:val="auto"/>
            <w:sz w:val="22"/>
            <w:szCs w:val="22"/>
            <w:lang w:eastAsia="en-US"/>
          </w:rPr>
          <w:t>Signs of autism in children - NHS (www.nhs.uk)</w:t>
        </w:r>
      </w:hyperlink>
      <w:r w:rsidRPr="00565121">
        <w:rPr>
          <w:rFonts w:ascii="Calibri" w:eastAsia="Calibri" w:hAnsi="Calibri" w:cs="Times New Roman"/>
          <w:color w:val="auto"/>
          <w:sz w:val="22"/>
          <w:szCs w:val="22"/>
          <w:lang w:eastAsia="en-US"/>
        </w:rPr>
        <w:t xml:space="preserve"> (Accessed: 1 February).</w:t>
      </w:r>
    </w:p>
    <w:p w14:paraId="7DF8402F" w14:textId="77777777" w:rsidR="00565121" w:rsidRPr="00565121" w:rsidRDefault="00565121" w:rsidP="00565121">
      <w:pPr>
        <w:overflowPunct/>
        <w:autoSpaceDE/>
        <w:autoSpaceDN/>
        <w:adjustRightInd/>
        <w:spacing w:after="160" w:line="259" w:lineRule="auto"/>
        <w:textAlignment w:val="auto"/>
      </w:pPr>
      <w:r w:rsidRPr="00565121">
        <w:rPr>
          <w:rFonts w:ascii="Calibri" w:eastAsia="Calibri" w:hAnsi="Calibri" w:cs="Times New Roman"/>
          <w:color w:val="auto"/>
          <w:sz w:val="22"/>
          <w:szCs w:val="22"/>
          <w:lang w:eastAsia="en-US"/>
        </w:rPr>
        <w:t xml:space="preserve">Oppong, T (2019) </w:t>
      </w:r>
      <w:r w:rsidRPr="00565121">
        <w:rPr>
          <w:rFonts w:ascii="Calibri" w:eastAsia="Calibri" w:hAnsi="Calibri" w:cs="Times New Roman"/>
          <w:i/>
          <w:color w:val="auto"/>
          <w:sz w:val="22"/>
          <w:szCs w:val="22"/>
          <w:lang w:eastAsia="en-US"/>
        </w:rPr>
        <w:t>Your Emotional Brain is Smarter Than Your Brain Thinks</w:t>
      </w:r>
      <w:r w:rsidRPr="00565121">
        <w:rPr>
          <w:rFonts w:ascii="Calibri" w:eastAsia="Calibri" w:hAnsi="Calibri" w:cs="Times New Roman"/>
          <w:color w:val="auto"/>
          <w:sz w:val="22"/>
          <w:szCs w:val="22"/>
          <w:lang w:eastAsia="en-US"/>
        </w:rPr>
        <w:t xml:space="preserve">. Available at: </w:t>
      </w:r>
      <w:hyperlink r:id="rId43" w:anchor=":~:text=Your%20rational%20brain%20represents%20your%20ability%20to%20reason,brain%20is%20systematic%20and%20impartial%2C%20but%20also%20slow." w:history="1">
        <w:r w:rsidRPr="00565121">
          <w:t>Your Emotional Brain is Smarter Than Your Brain Thinks | by Thomas Oppong | Personal Growth | Medium</w:t>
        </w:r>
      </w:hyperlink>
      <w:r w:rsidRPr="00565121">
        <w:t>. (Accessed 04/01/2021).</w:t>
      </w:r>
    </w:p>
    <w:p w14:paraId="37C35205"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Oxford University Press (2021) </w:t>
      </w:r>
      <w:r w:rsidRPr="00565121">
        <w:rPr>
          <w:rFonts w:ascii="Calibri" w:eastAsia="Calibri" w:hAnsi="Calibri" w:cs="Times New Roman"/>
          <w:i/>
          <w:iCs/>
          <w:color w:val="auto"/>
          <w:sz w:val="22"/>
          <w:szCs w:val="22"/>
          <w:lang w:eastAsia="en-US"/>
        </w:rPr>
        <w:t>Open Ended Questions</w:t>
      </w:r>
      <w:r w:rsidRPr="00565121">
        <w:rPr>
          <w:rFonts w:ascii="Calibri" w:eastAsia="Calibri" w:hAnsi="Calibri" w:cs="Times New Roman"/>
          <w:color w:val="auto"/>
          <w:sz w:val="22"/>
          <w:szCs w:val="22"/>
          <w:lang w:eastAsia="en-US"/>
        </w:rPr>
        <w:t xml:space="preserve">. Available at: </w:t>
      </w:r>
      <w:hyperlink r:id="rId44" w:history="1">
        <w:r w:rsidRPr="00565121">
          <w:rPr>
            <w:rFonts w:ascii="Calibri" w:eastAsia="Calibri" w:hAnsi="Calibri" w:cs="Times New Roman"/>
            <w:color w:val="auto"/>
            <w:sz w:val="22"/>
            <w:szCs w:val="22"/>
            <w:lang w:eastAsia="en-US"/>
          </w:rPr>
          <w:t>Open-ended question - Oxford Reference</w:t>
        </w:r>
      </w:hyperlink>
      <w:r w:rsidRPr="00565121">
        <w:rPr>
          <w:rFonts w:ascii="Calibri" w:eastAsia="Calibri" w:hAnsi="Calibri" w:cs="Times New Roman"/>
          <w:color w:val="auto"/>
          <w:sz w:val="22"/>
          <w:szCs w:val="22"/>
          <w:lang w:eastAsia="en-US"/>
        </w:rPr>
        <w:t xml:space="preserve"> (Accessed: 31 January 2021).</w:t>
      </w:r>
    </w:p>
    <w:p w14:paraId="5B2E68E6"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Oxford University Press (2021) </w:t>
      </w:r>
      <w:r w:rsidRPr="00565121">
        <w:rPr>
          <w:rFonts w:ascii="Calibri" w:eastAsia="Calibri" w:hAnsi="Calibri" w:cs="Times New Roman"/>
          <w:i/>
          <w:iCs/>
          <w:color w:val="auto"/>
          <w:sz w:val="22"/>
          <w:szCs w:val="22"/>
          <w:lang w:eastAsia="en-US"/>
        </w:rPr>
        <w:t>Open Ended Questions</w:t>
      </w:r>
      <w:r w:rsidRPr="00565121">
        <w:rPr>
          <w:rFonts w:ascii="Calibri" w:eastAsia="Calibri" w:hAnsi="Calibri" w:cs="Times New Roman"/>
          <w:color w:val="auto"/>
          <w:sz w:val="22"/>
          <w:szCs w:val="22"/>
          <w:lang w:eastAsia="en-US"/>
        </w:rPr>
        <w:t xml:space="preserve">. Available at: </w:t>
      </w:r>
      <w:hyperlink r:id="rId45" w:history="1">
        <w:r w:rsidRPr="00565121">
          <w:rPr>
            <w:rFonts w:ascii="Calibri" w:eastAsia="Calibri" w:hAnsi="Calibri" w:cs="Times New Roman"/>
            <w:color w:val="auto"/>
            <w:sz w:val="22"/>
            <w:szCs w:val="22"/>
            <w:lang w:eastAsia="en-US"/>
          </w:rPr>
          <w:t>Open-ended question - Oxford Reference</w:t>
        </w:r>
      </w:hyperlink>
      <w:r w:rsidRPr="00565121">
        <w:rPr>
          <w:rFonts w:ascii="Calibri" w:eastAsia="Calibri" w:hAnsi="Calibri" w:cs="Times New Roman"/>
          <w:color w:val="auto"/>
          <w:sz w:val="22"/>
          <w:szCs w:val="22"/>
          <w:lang w:eastAsia="en-US"/>
        </w:rPr>
        <w:t xml:space="preserve"> (Accessed: 1 February 2021).</w:t>
      </w:r>
    </w:p>
    <w:p w14:paraId="1E7B2CA7"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Police and Crime Commissioner (2021) </w:t>
      </w:r>
      <w:r w:rsidRPr="00565121">
        <w:rPr>
          <w:rFonts w:ascii="Calibri" w:eastAsia="Calibri" w:hAnsi="Calibri" w:cs="Times New Roman"/>
          <w:i/>
          <w:iCs/>
          <w:color w:val="auto"/>
          <w:sz w:val="22"/>
          <w:szCs w:val="22"/>
          <w:lang w:eastAsia="en-US"/>
        </w:rPr>
        <w:t>Police and Crime Plan 2021-2025.</w:t>
      </w:r>
      <w:r w:rsidRPr="00565121">
        <w:rPr>
          <w:rFonts w:ascii="Calibri" w:eastAsia="Calibri" w:hAnsi="Calibri" w:cs="Times New Roman"/>
          <w:color w:val="auto"/>
          <w:sz w:val="22"/>
          <w:szCs w:val="22"/>
          <w:lang w:eastAsia="en-US"/>
        </w:rPr>
        <w:t xml:space="preserve"> Available at: </w:t>
      </w:r>
      <w:hyperlink r:id="rId46" w:history="1">
        <w:r w:rsidRPr="00565121">
          <w:rPr>
            <w:rFonts w:ascii="Calibri" w:eastAsia="Calibri" w:hAnsi="Calibri" w:cs="Times New Roman"/>
            <w:color w:val="auto"/>
            <w:sz w:val="22"/>
            <w:szCs w:val="22"/>
            <w:lang w:eastAsia="en-US"/>
          </w:rPr>
          <w:t>Police &amp; Crime Plan 2021-2025 (southwalescommissioner.org.uk)</w:t>
        </w:r>
      </w:hyperlink>
      <w:r w:rsidRPr="00565121">
        <w:rPr>
          <w:rFonts w:ascii="Calibri" w:eastAsia="Calibri" w:hAnsi="Calibri" w:cs="Times New Roman"/>
          <w:color w:val="auto"/>
          <w:sz w:val="22"/>
          <w:szCs w:val="22"/>
          <w:lang w:eastAsia="en-US"/>
        </w:rPr>
        <w:t xml:space="preserve"> (Accessed: 1 February 2021).</w:t>
      </w:r>
    </w:p>
    <w:p w14:paraId="766CC820"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South Wales Police (2021) </w:t>
      </w:r>
      <w:r w:rsidRPr="00565121">
        <w:rPr>
          <w:rFonts w:ascii="Calibri" w:eastAsia="Calibri" w:hAnsi="Calibri" w:cs="Times New Roman"/>
          <w:i/>
          <w:iCs/>
          <w:color w:val="auto"/>
          <w:sz w:val="22"/>
          <w:szCs w:val="22"/>
          <w:lang w:eastAsia="en-US"/>
        </w:rPr>
        <w:t>Our Vision Values and Ethics</w:t>
      </w:r>
      <w:r w:rsidRPr="00565121">
        <w:rPr>
          <w:rFonts w:ascii="Calibri" w:eastAsia="Calibri" w:hAnsi="Calibri" w:cs="Times New Roman"/>
          <w:color w:val="auto"/>
          <w:sz w:val="22"/>
          <w:szCs w:val="22"/>
          <w:lang w:eastAsia="en-US"/>
        </w:rPr>
        <w:t xml:space="preserve">. Available at: </w:t>
      </w:r>
      <w:hyperlink r:id="rId47" w:history="1">
        <w:r w:rsidRPr="00565121">
          <w:rPr>
            <w:rFonts w:ascii="Calibri" w:eastAsia="Calibri" w:hAnsi="Calibri" w:cs="Times New Roman"/>
            <w:color w:val="auto"/>
            <w:sz w:val="22"/>
            <w:szCs w:val="22"/>
            <w:lang w:eastAsia="en-US"/>
          </w:rPr>
          <w:t>Our vision, values and ethics | South Wales Police (south-wales.police.uk)</w:t>
        </w:r>
      </w:hyperlink>
      <w:r w:rsidRPr="00565121">
        <w:rPr>
          <w:rFonts w:ascii="Calibri" w:eastAsia="Calibri" w:hAnsi="Calibri" w:cs="Times New Roman"/>
          <w:color w:val="auto"/>
          <w:sz w:val="22"/>
          <w:szCs w:val="22"/>
          <w:lang w:eastAsia="en-US"/>
        </w:rPr>
        <w:t xml:space="preserve"> (Accessed: 31 January 2021).</w:t>
      </w:r>
    </w:p>
    <w:p w14:paraId="46465C13"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65121">
        <w:rPr>
          <w:rFonts w:ascii="Calibri" w:eastAsia="Calibri" w:hAnsi="Calibri" w:cs="Times New Roman"/>
          <w:color w:val="auto"/>
          <w:sz w:val="22"/>
          <w:szCs w:val="22"/>
          <w:lang w:eastAsia="en-US"/>
        </w:rPr>
        <w:t xml:space="preserve">Vark Learn Limited (2020) </w:t>
      </w:r>
      <w:r w:rsidRPr="00565121">
        <w:rPr>
          <w:rFonts w:ascii="Calibri" w:eastAsia="Calibri" w:hAnsi="Calibri" w:cs="Times New Roman"/>
          <w:i/>
          <w:color w:val="auto"/>
          <w:sz w:val="22"/>
          <w:szCs w:val="22"/>
          <w:lang w:eastAsia="en-US"/>
        </w:rPr>
        <w:t xml:space="preserve">Visual Strategies. </w:t>
      </w:r>
      <w:r w:rsidRPr="00565121">
        <w:rPr>
          <w:rFonts w:ascii="Calibri" w:eastAsia="Calibri" w:hAnsi="Calibri" w:cs="Times New Roman"/>
          <w:color w:val="auto"/>
          <w:sz w:val="22"/>
          <w:szCs w:val="22"/>
          <w:lang w:eastAsia="en-US"/>
        </w:rPr>
        <w:t>Available at: Visual Strategies | VARK (vark-learn.com). (Accessed 14/12/2020).</w:t>
      </w:r>
    </w:p>
    <w:p w14:paraId="144726D6"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8A9A2BB" w14:textId="77777777" w:rsidR="00565121" w:rsidRPr="00565121" w:rsidRDefault="00565121" w:rsidP="00565121"/>
    <w:p w14:paraId="6ED4A23E" w14:textId="77777777" w:rsidR="00565121" w:rsidRPr="00565121" w:rsidRDefault="00565121" w:rsidP="00565121">
      <w:pPr>
        <w:overflowPunct/>
        <w:autoSpaceDE/>
        <w:autoSpaceDN/>
        <w:adjustRightInd/>
        <w:spacing w:after="160" w:line="259" w:lineRule="auto"/>
        <w:textAlignment w:val="auto"/>
      </w:pPr>
    </w:p>
    <w:p w14:paraId="6E611B35"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E5DB5AB"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C0F2CE1"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D39595A"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C25B294"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D40AC49"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51E422A" w14:textId="77777777" w:rsidR="00565121" w:rsidRPr="00565121" w:rsidRDefault="00565121" w:rsidP="0056512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706116D" w14:textId="77777777" w:rsidR="00390074" w:rsidRPr="00103630" w:rsidRDefault="00390074" w:rsidP="00103630">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ED77802" w14:textId="77777777" w:rsidR="0093018C" w:rsidRPr="00294868" w:rsidRDefault="00BC5725" w:rsidP="000B1E96">
      <w:pPr>
        <w:keepNext/>
        <w:jc w:val="center"/>
        <w:rPr>
          <w:b/>
          <w:sz w:val="24"/>
          <w:szCs w:val="24"/>
          <w:highlight w:val="yellow"/>
        </w:rPr>
      </w:pPr>
      <w:r w:rsidRPr="00270EEB">
        <w:rPr>
          <w:b/>
          <w:sz w:val="24"/>
          <w:szCs w:val="24"/>
        </w:rPr>
        <w:lastRenderedPageBreak/>
        <w:br w:type="page"/>
      </w:r>
    </w:p>
    <w:p w14:paraId="61C970FF" w14:textId="6BC234A9" w:rsidR="000F7ECD" w:rsidRPr="00E40BDD"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E40BDD" w:rsidSect="00C50B66">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F2C8C54" w:rsidR="62FE5CAF" w:rsidRDefault="62FE5CAF" w:rsidP="62FE5CAF">
      <w:pPr>
        <w:jc w:val="both"/>
        <w:rPr>
          <w:sz w:val="24"/>
          <w:szCs w:val="24"/>
        </w:rPr>
      </w:pPr>
      <w:r w:rsidRPr="48DF4B50">
        <w:rPr>
          <w:sz w:val="24"/>
          <w:szCs w:val="24"/>
        </w:rPr>
        <w:t>Sig</w:t>
      </w:r>
      <w:r w:rsidR="00777353">
        <w:rPr>
          <w:sz w:val="24"/>
          <w:szCs w:val="24"/>
        </w:rPr>
        <w:t xml:space="preserve">ned:  GERAINT LEWIS  </w:t>
      </w:r>
    </w:p>
    <w:p w14:paraId="6356F007" w14:textId="77777777" w:rsidR="62FE5CAF" w:rsidRDefault="62FE5CAF" w:rsidP="62FE5CAF">
      <w:pPr>
        <w:jc w:val="both"/>
        <w:rPr>
          <w:sz w:val="24"/>
          <w:szCs w:val="24"/>
        </w:rPr>
      </w:pPr>
    </w:p>
    <w:p w14:paraId="663EA512" w14:textId="381FAABA" w:rsidR="62FE5CAF" w:rsidRDefault="00170A44" w:rsidP="62FE5CAF">
      <w:pPr>
        <w:jc w:val="both"/>
        <w:rPr>
          <w:sz w:val="24"/>
          <w:szCs w:val="24"/>
        </w:rPr>
      </w:pPr>
      <w:r>
        <w:rPr>
          <w:sz w:val="24"/>
          <w:szCs w:val="24"/>
        </w:rPr>
        <w:t>Date: 04</w:t>
      </w:r>
      <w:r w:rsidR="00777353">
        <w:rPr>
          <w:sz w:val="24"/>
          <w:szCs w:val="24"/>
        </w:rPr>
        <w:t>/02/2021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50B66">
      <w:headerReference w:type="even" r:id="rId54"/>
      <w:headerReference w:type="default" r:id="rId55"/>
      <w:footerReference w:type="even" r:id="rId56"/>
      <w:footerReference w:type="default" r:id="rId57"/>
      <w:headerReference w:type="first" r:id="rId58"/>
      <w:footerReference w:type="first" r:id="rId5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F27FC" w:rsidRDefault="00FF27FC">
      <w:r>
        <w:separator/>
      </w:r>
    </w:p>
  </w:endnote>
  <w:endnote w:type="continuationSeparator" w:id="0">
    <w:p w14:paraId="2856112E" w14:textId="77777777" w:rsidR="00FF27FC" w:rsidRDefault="00FF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B253E" w14:textId="7B922818" w:rsidR="00FF27FC" w:rsidRDefault="00856594" w:rsidP="00856594">
    <w:pPr>
      <w:pStyle w:val="Footer"/>
      <w:rPr>
        <w:sz w:val="17"/>
      </w:rPr>
    </w:pPr>
    <w:bookmarkStart w:id="2" w:name="TITUS1FooterEvenPages"/>
    <w:r>
      <w:rPr>
        <w:sz w:val="17"/>
      </w:rPr>
      <w:t> </w:t>
    </w:r>
  </w:p>
  <w:bookmarkEnd w:id="2"/>
  <w:p w14:paraId="604425BA" w14:textId="722EF9ED" w:rsidR="00FF27FC" w:rsidRDefault="00FF27FC" w:rsidP="00C50B66">
    <w:pPr>
      <w:pStyle w:val="Footer"/>
      <w:jc w:val="right"/>
    </w:pPr>
    <w:r>
      <w:fldChar w:fldCharType="begin"/>
    </w:r>
    <w:r>
      <w:instrText xml:space="preserve"> PAGE   \* MERGEFORMAT </w:instrText>
    </w:r>
    <w:r>
      <w:fldChar w:fldCharType="separate"/>
    </w:r>
    <w:r w:rsidR="00856594">
      <w:rPr>
        <w:noProof/>
      </w:rPr>
      <w:t>6</w:t>
    </w:r>
    <w:r>
      <w:rPr>
        <w:noProof/>
      </w:rPr>
      <w:fldChar w:fldCharType="end"/>
    </w:r>
  </w:p>
  <w:p w14:paraId="31683F77" w14:textId="77777777" w:rsidR="00FF27FC" w:rsidRPr="00BB5EAA" w:rsidRDefault="00FF27FC" w:rsidP="00C50B66">
    <w:pPr>
      <w:pStyle w:val="Footer"/>
      <w:ind w:right="360"/>
      <w:jc w:val="center"/>
    </w:pPr>
  </w:p>
  <w:p w14:paraId="36B7AA24" w14:textId="77777777" w:rsidR="00FF27FC" w:rsidRDefault="00FF27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A4B64" w14:textId="1DC5DE8F" w:rsidR="00FF27FC" w:rsidRDefault="00856594" w:rsidP="00856594">
    <w:pPr>
      <w:pStyle w:val="Footer"/>
      <w:rPr>
        <w:sz w:val="17"/>
      </w:rPr>
    </w:pPr>
    <w:bookmarkStart w:id="3" w:name="TITUS1FooterPrimary"/>
    <w:r>
      <w:rPr>
        <w:sz w:val="17"/>
      </w:rPr>
      <w:t> </w:t>
    </w:r>
  </w:p>
  <w:bookmarkEnd w:id="3"/>
  <w:p w14:paraId="50521BFA" w14:textId="4E92B62C" w:rsidR="00FF27FC" w:rsidRDefault="00FF27FC">
    <w:pPr>
      <w:pStyle w:val="Footer"/>
      <w:jc w:val="right"/>
    </w:pPr>
    <w:r>
      <w:fldChar w:fldCharType="begin"/>
    </w:r>
    <w:r>
      <w:instrText xml:space="preserve"> PAGE   \* MERGEFORMAT </w:instrText>
    </w:r>
    <w:r>
      <w:fldChar w:fldCharType="separate"/>
    </w:r>
    <w:r w:rsidR="00856594">
      <w:rPr>
        <w:noProof/>
      </w:rPr>
      <w:t>7</w:t>
    </w:r>
    <w:r>
      <w:rPr>
        <w:noProof/>
      </w:rPr>
      <w:fldChar w:fldCharType="end"/>
    </w:r>
  </w:p>
  <w:p w14:paraId="790812FF" w14:textId="77777777" w:rsidR="00FF27FC" w:rsidRPr="00BB5EAA" w:rsidRDefault="00FF27F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5B17" w14:textId="0C922E15" w:rsidR="00FF27FC" w:rsidRDefault="00856594" w:rsidP="00856594">
    <w:pPr>
      <w:pStyle w:val="Footer"/>
      <w:rPr>
        <w:sz w:val="17"/>
      </w:rPr>
    </w:pPr>
    <w:bookmarkStart w:id="5" w:name="TITUS1FooterFirstPage"/>
    <w:r>
      <w:rPr>
        <w:sz w:val="17"/>
      </w:rPr>
      <w:t> </w:t>
    </w:r>
  </w:p>
  <w:bookmarkEnd w:id="5"/>
  <w:p w14:paraId="3B1D4374" w14:textId="4F80F0F7" w:rsidR="00FF27FC" w:rsidRDefault="00FF27FC" w:rsidP="00C50B66">
    <w:pPr>
      <w:pStyle w:val="Footer"/>
      <w:jc w:val="right"/>
    </w:pPr>
    <w:r>
      <w:fldChar w:fldCharType="begin"/>
    </w:r>
    <w:r>
      <w:instrText xml:space="preserve"> PAGE   \* MERGEFORMAT </w:instrText>
    </w:r>
    <w:r>
      <w:fldChar w:fldCharType="separate"/>
    </w:r>
    <w:r w:rsidR="00856594">
      <w:rPr>
        <w:noProof/>
      </w:rPr>
      <w:t>1</w:t>
    </w:r>
    <w:r>
      <w:rPr>
        <w:noProof/>
      </w:rPr>
      <w:fldChar w:fldCharType="end"/>
    </w:r>
  </w:p>
  <w:p w14:paraId="6CB187D0" w14:textId="77777777" w:rsidR="00FF27FC" w:rsidRPr="00BB5EAA" w:rsidRDefault="00FF27FC" w:rsidP="00C50B66">
    <w:pPr>
      <w:pStyle w:val="Footer"/>
      <w:ind w:right="360"/>
      <w:jc w:val="center"/>
    </w:pPr>
  </w:p>
  <w:p w14:paraId="1AF3D4F3" w14:textId="77777777" w:rsidR="00FF27FC" w:rsidRDefault="00FF27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9BC3F" w14:textId="7E446C57" w:rsidR="00FF27FC" w:rsidRDefault="00856594" w:rsidP="00856594">
    <w:pPr>
      <w:pStyle w:val="Footer"/>
      <w:rPr>
        <w:sz w:val="17"/>
      </w:rPr>
    </w:pPr>
    <w:bookmarkStart w:id="9" w:name="TITUS2FooterEvenPages"/>
    <w:r>
      <w:rPr>
        <w:sz w:val="17"/>
      </w:rPr>
      <w:t> </w:t>
    </w:r>
  </w:p>
  <w:bookmarkEnd w:id="9"/>
  <w:p w14:paraId="2F46620D" w14:textId="77777777" w:rsidR="00FF27FC" w:rsidRDefault="00FF27FC" w:rsidP="00C50B66">
    <w:pPr>
      <w:pStyle w:val="Footer"/>
      <w:jc w:val="right"/>
    </w:pPr>
  </w:p>
  <w:p w14:paraId="6ED79C1E" w14:textId="7C8E7B13" w:rsidR="00FF27FC" w:rsidRDefault="00FF27FC" w:rsidP="00C50B66">
    <w:pPr>
      <w:pStyle w:val="Footer"/>
      <w:jc w:val="right"/>
    </w:pPr>
    <w:r>
      <w:fldChar w:fldCharType="begin"/>
    </w:r>
    <w:r>
      <w:instrText xml:space="preserve"> PAGE   \* MERGEFORMAT </w:instrText>
    </w:r>
    <w:r>
      <w:fldChar w:fldCharType="separate"/>
    </w:r>
    <w:r w:rsidR="00856594">
      <w:rPr>
        <w:noProof/>
      </w:rPr>
      <w:t>18</w:t>
    </w:r>
    <w:r>
      <w:rPr>
        <w:noProof/>
      </w:rPr>
      <w:fldChar w:fldCharType="end"/>
    </w:r>
  </w:p>
  <w:p w14:paraId="608D25EE" w14:textId="77777777" w:rsidR="00FF27FC" w:rsidRPr="00BB5EAA" w:rsidRDefault="00FF27FC" w:rsidP="00C50B66">
    <w:pPr>
      <w:pStyle w:val="Footer"/>
      <w:ind w:right="360"/>
      <w:jc w:val="center"/>
    </w:pPr>
  </w:p>
  <w:p w14:paraId="21F4FF31" w14:textId="77777777" w:rsidR="00FF27FC" w:rsidRDefault="00FF27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3A741" w14:textId="326E838C" w:rsidR="00FF27FC" w:rsidRDefault="00856594" w:rsidP="00856594">
    <w:pPr>
      <w:pStyle w:val="Footer"/>
      <w:rPr>
        <w:sz w:val="17"/>
      </w:rPr>
    </w:pPr>
    <w:bookmarkStart w:id="10" w:name="TITUS2FooterPrimary"/>
    <w:r>
      <w:rPr>
        <w:sz w:val="17"/>
      </w:rPr>
      <w:t> </w:t>
    </w:r>
  </w:p>
  <w:bookmarkEnd w:id="10"/>
  <w:p w14:paraId="16C3668E" w14:textId="77777777" w:rsidR="00FF27FC" w:rsidRDefault="00FF27FC">
    <w:pPr>
      <w:pStyle w:val="Footer"/>
      <w:jc w:val="right"/>
    </w:pPr>
  </w:p>
  <w:p w14:paraId="37A44BF8" w14:textId="5792A529" w:rsidR="00FF27FC" w:rsidRDefault="00FF27FC">
    <w:pPr>
      <w:pStyle w:val="Footer"/>
      <w:jc w:val="right"/>
    </w:pPr>
    <w:r>
      <w:fldChar w:fldCharType="begin"/>
    </w:r>
    <w:r>
      <w:instrText xml:space="preserve"> PAGE   \* MERGEFORMAT </w:instrText>
    </w:r>
    <w:r>
      <w:fldChar w:fldCharType="separate"/>
    </w:r>
    <w:r w:rsidR="00856594">
      <w:rPr>
        <w:noProof/>
      </w:rPr>
      <w:t>17</w:t>
    </w:r>
    <w:r>
      <w:rPr>
        <w:noProof/>
      </w:rPr>
      <w:fldChar w:fldCharType="end"/>
    </w:r>
  </w:p>
  <w:p w14:paraId="35033D8A" w14:textId="77777777" w:rsidR="00FF27FC" w:rsidRPr="00BB5EAA" w:rsidRDefault="00FF27F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9867" w14:textId="6AAD041B" w:rsidR="00FF27FC" w:rsidRDefault="00856594" w:rsidP="00856594">
    <w:pPr>
      <w:pStyle w:val="Footer"/>
      <w:rPr>
        <w:sz w:val="17"/>
      </w:rPr>
    </w:pPr>
    <w:bookmarkStart w:id="12" w:name="TITUS2FooterFirstPage"/>
    <w:r>
      <w:rPr>
        <w:sz w:val="17"/>
      </w:rPr>
      <w:t> </w:t>
    </w:r>
  </w:p>
  <w:bookmarkEnd w:id="12"/>
  <w:p w14:paraId="54F72D84" w14:textId="77777777" w:rsidR="00FF27FC" w:rsidRDefault="00FF27FC" w:rsidP="00C50B66">
    <w:pPr>
      <w:pStyle w:val="Footer"/>
      <w:jc w:val="right"/>
    </w:pPr>
  </w:p>
  <w:p w14:paraId="08D78143" w14:textId="552713F0" w:rsidR="00FF27FC" w:rsidRDefault="00FF27FC" w:rsidP="00C50B66">
    <w:pPr>
      <w:pStyle w:val="Footer"/>
      <w:jc w:val="right"/>
    </w:pPr>
    <w:r>
      <w:fldChar w:fldCharType="begin"/>
    </w:r>
    <w:r>
      <w:instrText xml:space="preserve"> PAGE   \* MERGEFORMAT </w:instrText>
    </w:r>
    <w:r>
      <w:fldChar w:fldCharType="separate"/>
    </w:r>
    <w:r w:rsidR="00856594">
      <w:rPr>
        <w:noProof/>
      </w:rPr>
      <w:t>8</w:t>
    </w:r>
    <w:r>
      <w:rPr>
        <w:noProof/>
      </w:rPr>
      <w:fldChar w:fldCharType="end"/>
    </w:r>
  </w:p>
  <w:p w14:paraId="4E8692A6" w14:textId="77777777" w:rsidR="00FF27FC" w:rsidRPr="00BB5EAA" w:rsidRDefault="00FF27FC" w:rsidP="00C50B66">
    <w:pPr>
      <w:pStyle w:val="Footer"/>
      <w:ind w:right="360"/>
      <w:jc w:val="center"/>
    </w:pPr>
  </w:p>
  <w:p w14:paraId="39323CAC" w14:textId="77777777" w:rsidR="00FF27FC" w:rsidRDefault="00FF27F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03DFF" w14:textId="5129A84C" w:rsidR="00FF27FC" w:rsidRDefault="00856594" w:rsidP="00856594">
    <w:pPr>
      <w:pStyle w:val="Footer"/>
      <w:rPr>
        <w:sz w:val="17"/>
      </w:rPr>
    </w:pPr>
    <w:bookmarkStart w:id="15" w:name="TITUS3FooterEvenPages"/>
    <w:r>
      <w:rPr>
        <w:sz w:val="17"/>
      </w:rPr>
      <w:t> </w:t>
    </w:r>
  </w:p>
  <w:bookmarkEnd w:id="15"/>
  <w:p w14:paraId="41FCE710" w14:textId="77777777" w:rsidR="00FF27FC" w:rsidRDefault="00FF27FC" w:rsidP="00C50B66">
    <w:pPr>
      <w:pStyle w:val="Footer"/>
      <w:jc w:val="right"/>
    </w:pPr>
  </w:p>
  <w:p w14:paraId="00374F6F" w14:textId="301466D7" w:rsidR="00FF27FC" w:rsidRDefault="00FF27FC" w:rsidP="00C50B66">
    <w:pPr>
      <w:pStyle w:val="Footer"/>
      <w:jc w:val="right"/>
    </w:pPr>
    <w:r>
      <w:fldChar w:fldCharType="begin"/>
    </w:r>
    <w:r>
      <w:instrText xml:space="preserve"> PAGE   \* MERGEFORMAT </w:instrText>
    </w:r>
    <w:r>
      <w:fldChar w:fldCharType="separate"/>
    </w:r>
    <w:r w:rsidR="00856594">
      <w:rPr>
        <w:noProof/>
      </w:rPr>
      <w:t>20</w:t>
    </w:r>
    <w:r>
      <w:rPr>
        <w:noProof/>
      </w:rPr>
      <w:fldChar w:fldCharType="end"/>
    </w:r>
  </w:p>
  <w:p w14:paraId="64EF0919" w14:textId="77777777" w:rsidR="00FF27FC" w:rsidRPr="00BB5EAA" w:rsidRDefault="00FF27FC" w:rsidP="00C50B66">
    <w:pPr>
      <w:pStyle w:val="Footer"/>
      <w:ind w:right="360"/>
      <w:jc w:val="center"/>
    </w:pPr>
  </w:p>
  <w:p w14:paraId="413CF1A1" w14:textId="77777777" w:rsidR="00FF27FC" w:rsidRDefault="00FF27F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35C5" w14:textId="0F674DF0" w:rsidR="00FF27FC" w:rsidRDefault="00856594" w:rsidP="00856594">
    <w:pPr>
      <w:pStyle w:val="Footer"/>
      <w:rPr>
        <w:sz w:val="17"/>
      </w:rPr>
    </w:pPr>
    <w:bookmarkStart w:id="16" w:name="TITUS3FooterPrimary"/>
    <w:r>
      <w:rPr>
        <w:sz w:val="17"/>
      </w:rPr>
      <w:t> </w:t>
    </w:r>
  </w:p>
  <w:bookmarkEnd w:id="16"/>
  <w:p w14:paraId="78AB77CF" w14:textId="77777777" w:rsidR="00FF27FC" w:rsidRDefault="00FF27FC">
    <w:pPr>
      <w:pStyle w:val="Footer"/>
      <w:jc w:val="right"/>
    </w:pPr>
  </w:p>
  <w:p w14:paraId="1C70B0E4" w14:textId="4D60F57A" w:rsidR="00FF27FC" w:rsidRDefault="00FF27FC">
    <w:pPr>
      <w:pStyle w:val="Footer"/>
      <w:jc w:val="right"/>
    </w:pPr>
    <w:r>
      <w:fldChar w:fldCharType="begin"/>
    </w:r>
    <w:r>
      <w:instrText xml:space="preserve"> PAGE   \* MERGEFORMAT </w:instrText>
    </w:r>
    <w:r>
      <w:fldChar w:fldCharType="separate"/>
    </w:r>
    <w:r w:rsidR="00856594">
      <w:rPr>
        <w:noProof/>
      </w:rPr>
      <w:t>21</w:t>
    </w:r>
    <w:r>
      <w:rPr>
        <w:noProof/>
      </w:rPr>
      <w:fldChar w:fldCharType="end"/>
    </w:r>
  </w:p>
  <w:p w14:paraId="2A3EEB14" w14:textId="77777777" w:rsidR="00FF27FC" w:rsidRPr="00BB5EAA" w:rsidRDefault="00FF27F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7C4A4" w14:textId="15067316" w:rsidR="00FF27FC" w:rsidRDefault="00856594" w:rsidP="00856594">
    <w:pPr>
      <w:pStyle w:val="Footer"/>
      <w:rPr>
        <w:sz w:val="17"/>
      </w:rPr>
    </w:pPr>
    <w:bookmarkStart w:id="18" w:name="TITUS3FooterFirstPage"/>
    <w:r>
      <w:rPr>
        <w:sz w:val="17"/>
      </w:rPr>
      <w:t> </w:t>
    </w:r>
  </w:p>
  <w:bookmarkEnd w:id="18"/>
  <w:p w14:paraId="10518F6C" w14:textId="77777777" w:rsidR="00FF27FC" w:rsidRDefault="00FF27FC" w:rsidP="00C50B66">
    <w:pPr>
      <w:pStyle w:val="Footer"/>
      <w:jc w:val="right"/>
    </w:pPr>
  </w:p>
  <w:p w14:paraId="3A6F90DC" w14:textId="31EE350B" w:rsidR="00FF27FC" w:rsidRDefault="00FF27FC" w:rsidP="00C50B66">
    <w:pPr>
      <w:pStyle w:val="Footer"/>
      <w:jc w:val="right"/>
    </w:pPr>
    <w:r>
      <w:fldChar w:fldCharType="begin"/>
    </w:r>
    <w:r>
      <w:instrText xml:space="preserve"> PAGE   \* MERGEFORMAT </w:instrText>
    </w:r>
    <w:r>
      <w:fldChar w:fldCharType="separate"/>
    </w:r>
    <w:r w:rsidR="00856594">
      <w:rPr>
        <w:noProof/>
      </w:rPr>
      <w:t>19</w:t>
    </w:r>
    <w:r>
      <w:rPr>
        <w:noProof/>
      </w:rPr>
      <w:fldChar w:fldCharType="end"/>
    </w:r>
  </w:p>
  <w:p w14:paraId="6515141F" w14:textId="77777777" w:rsidR="00FF27FC" w:rsidRPr="00BB5EAA" w:rsidRDefault="00FF27FC" w:rsidP="00C50B66">
    <w:pPr>
      <w:pStyle w:val="Footer"/>
      <w:ind w:right="360"/>
      <w:jc w:val="center"/>
    </w:pPr>
  </w:p>
  <w:p w14:paraId="4B9D7220" w14:textId="77777777" w:rsidR="00FF27FC" w:rsidRDefault="00FF27F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991F0" w14:textId="4D179D84" w:rsidR="00FF27FC" w:rsidRDefault="00856594" w:rsidP="00856594">
    <w:pPr>
      <w:pStyle w:val="Footer"/>
      <w:rPr>
        <w:sz w:val="17"/>
      </w:rPr>
    </w:pPr>
    <w:bookmarkStart w:id="21" w:name="TITUS4FooterEvenPages"/>
    <w:r>
      <w:rPr>
        <w:sz w:val="17"/>
      </w:rPr>
      <w:t> </w:t>
    </w:r>
  </w:p>
  <w:bookmarkEnd w:id="21"/>
  <w:p w14:paraId="7B03F76D" w14:textId="77777777" w:rsidR="00FF27FC" w:rsidRDefault="00FF27FC" w:rsidP="00C50B66">
    <w:pPr>
      <w:pStyle w:val="Footer"/>
      <w:jc w:val="right"/>
    </w:pPr>
  </w:p>
  <w:p w14:paraId="12805605" w14:textId="77777777" w:rsidR="00FF27FC" w:rsidRDefault="00FF27FC" w:rsidP="00C50B66">
    <w:pPr>
      <w:pStyle w:val="Footer"/>
      <w:jc w:val="right"/>
    </w:pPr>
    <w:r>
      <w:fldChar w:fldCharType="begin"/>
    </w:r>
    <w:r>
      <w:instrText xml:space="preserve"> PAGE   \* MERGEFORMAT </w:instrText>
    </w:r>
    <w:r>
      <w:fldChar w:fldCharType="separate"/>
    </w:r>
    <w:r>
      <w:rPr>
        <w:noProof/>
      </w:rPr>
      <w:t>1</w:t>
    </w:r>
    <w:r>
      <w:rPr>
        <w:noProof/>
      </w:rPr>
      <w:fldChar w:fldCharType="end"/>
    </w:r>
  </w:p>
  <w:p w14:paraId="6070A946" w14:textId="77777777" w:rsidR="00FF27FC" w:rsidRPr="00BB5EAA" w:rsidRDefault="00FF27FC" w:rsidP="00C50B66">
    <w:pPr>
      <w:pStyle w:val="Footer"/>
      <w:ind w:right="360"/>
      <w:jc w:val="center"/>
    </w:pPr>
  </w:p>
  <w:p w14:paraId="5D1AC9C1" w14:textId="77777777" w:rsidR="00FF27FC" w:rsidRDefault="00FF27F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FE79" w14:textId="751BFE93" w:rsidR="00FF27FC" w:rsidRDefault="00856594" w:rsidP="00856594">
    <w:pPr>
      <w:pStyle w:val="Footer"/>
      <w:rPr>
        <w:sz w:val="17"/>
      </w:rPr>
    </w:pPr>
    <w:bookmarkStart w:id="22" w:name="TITUS4FooterPrimary"/>
    <w:r>
      <w:rPr>
        <w:sz w:val="17"/>
      </w:rPr>
      <w:t> </w:t>
    </w:r>
  </w:p>
  <w:bookmarkEnd w:id="22"/>
  <w:p w14:paraId="79D70DC2" w14:textId="77777777" w:rsidR="00FF27FC" w:rsidRDefault="00FF27FC">
    <w:pPr>
      <w:pStyle w:val="Footer"/>
      <w:jc w:val="right"/>
    </w:pPr>
  </w:p>
  <w:p w14:paraId="28F62DB8" w14:textId="77777777" w:rsidR="00FF27FC" w:rsidRDefault="00FF27FC">
    <w:pPr>
      <w:pStyle w:val="Footer"/>
      <w:jc w:val="right"/>
    </w:pPr>
    <w:r>
      <w:fldChar w:fldCharType="begin"/>
    </w:r>
    <w:r>
      <w:instrText xml:space="preserve"> PAGE   \* MERGEFORMAT </w:instrText>
    </w:r>
    <w:r>
      <w:fldChar w:fldCharType="separate"/>
    </w:r>
    <w:r>
      <w:rPr>
        <w:noProof/>
      </w:rPr>
      <w:t>1</w:t>
    </w:r>
    <w:r>
      <w:rPr>
        <w:noProof/>
      </w:rPr>
      <w:fldChar w:fldCharType="end"/>
    </w:r>
  </w:p>
  <w:p w14:paraId="0744A372" w14:textId="77777777" w:rsidR="00FF27FC" w:rsidRPr="00BB5EAA" w:rsidRDefault="00FF27F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5D234" w14:textId="5628C6A0" w:rsidR="00FF27FC" w:rsidRDefault="00856594" w:rsidP="00856594">
    <w:pPr>
      <w:pStyle w:val="Footer"/>
      <w:rPr>
        <w:sz w:val="17"/>
      </w:rPr>
    </w:pPr>
    <w:bookmarkStart w:id="24" w:name="TITUS4FooterFirstPage"/>
    <w:r>
      <w:rPr>
        <w:sz w:val="17"/>
      </w:rPr>
      <w:t> </w:t>
    </w:r>
  </w:p>
  <w:bookmarkEnd w:id="24"/>
  <w:p w14:paraId="19629765" w14:textId="77777777" w:rsidR="00FF27FC" w:rsidRDefault="00FF27FC" w:rsidP="00C50B66">
    <w:pPr>
      <w:pStyle w:val="Footer"/>
      <w:jc w:val="right"/>
    </w:pPr>
  </w:p>
  <w:p w14:paraId="1F4DD076" w14:textId="5960AE03" w:rsidR="00FF27FC" w:rsidRDefault="00FF27FC" w:rsidP="00C50B66">
    <w:pPr>
      <w:pStyle w:val="Footer"/>
      <w:jc w:val="right"/>
    </w:pPr>
    <w:r>
      <w:fldChar w:fldCharType="begin"/>
    </w:r>
    <w:r>
      <w:instrText xml:space="preserve"> PAGE   \* MERGEFORMAT </w:instrText>
    </w:r>
    <w:r>
      <w:fldChar w:fldCharType="separate"/>
    </w:r>
    <w:r w:rsidR="00856594">
      <w:rPr>
        <w:noProof/>
      </w:rPr>
      <w:t>25</w:t>
    </w:r>
    <w:r>
      <w:rPr>
        <w:noProof/>
      </w:rPr>
      <w:fldChar w:fldCharType="end"/>
    </w:r>
  </w:p>
  <w:p w14:paraId="074301DB" w14:textId="77777777" w:rsidR="00FF27FC" w:rsidRPr="00BB5EAA" w:rsidRDefault="00FF27FC" w:rsidP="00C50B66">
    <w:pPr>
      <w:pStyle w:val="Footer"/>
      <w:ind w:right="360"/>
      <w:jc w:val="center"/>
    </w:pPr>
  </w:p>
  <w:p w14:paraId="3C63BE8A" w14:textId="77777777" w:rsidR="00FF27FC" w:rsidRDefault="00FF2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F27FC" w:rsidRDefault="00FF27FC">
      <w:r>
        <w:separator/>
      </w:r>
    </w:p>
  </w:footnote>
  <w:footnote w:type="continuationSeparator" w:id="0">
    <w:p w14:paraId="4ADDD153" w14:textId="77777777" w:rsidR="00FF27FC" w:rsidRDefault="00FF2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55D86" w14:textId="17DDB65E" w:rsidR="00FF27FC" w:rsidRDefault="00856594" w:rsidP="00856594">
    <w:pPr>
      <w:pStyle w:val="Header"/>
      <w:rPr>
        <w:sz w:val="17"/>
      </w:rPr>
    </w:pPr>
    <w:bookmarkStart w:id="0" w:name="TITUS1HeaderEvenPages"/>
    <w:r>
      <w:rPr>
        <w:sz w:val="17"/>
      </w:rPr>
      <w:t> </w:t>
    </w:r>
  </w:p>
  <w:bookmarkEnd w:id="0"/>
  <w:p w14:paraId="6F95B554" w14:textId="77777777" w:rsidR="00FF27FC" w:rsidRDefault="00FF27FC" w:rsidP="00052554">
    <w:pPr>
      <w:pStyle w:val="Header"/>
    </w:pPr>
  </w:p>
  <w:p w14:paraId="448E9997" w14:textId="77777777" w:rsidR="00FF27FC" w:rsidRDefault="00FF27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2396B" w14:textId="25D3A8C4" w:rsidR="00FF27FC" w:rsidRDefault="00856594" w:rsidP="00856594">
    <w:pPr>
      <w:pStyle w:val="Header"/>
      <w:rPr>
        <w:sz w:val="17"/>
      </w:rPr>
    </w:pPr>
    <w:bookmarkStart w:id="1" w:name="TITUS1HeaderPrimary"/>
    <w:r>
      <w:rPr>
        <w:sz w:val="17"/>
      </w:rPr>
      <w:t> </w:t>
    </w:r>
  </w:p>
  <w:bookmarkEnd w:id="1"/>
  <w:p w14:paraId="71D5F120" w14:textId="77777777" w:rsidR="00FF27FC" w:rsidRDefault="00FF27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D0B1E" w14:textId="4A5200E7" w:rsidR="00FF27FC" w:rsidRDefault="00856594" w:rsidP="00856594">
    <w:pPr>
      <w:pStyle w:val="Header"/>
      <w:rPr>
        <w:sz w:val="17"/>
      </w:rPr>
    </w:pPr>
    <w:bookmarkStart w:id="4" w:name="TITUS1HeaderFirstPage"/>
    <w:r>
      <w:rPr>
        <w:sz w:val="17"/>
      </w:rPr>
      <w:t> </w:t>
    </w:r>
  </w:p>
  <w:bookmarkEnd w:id="4"/>
  <w:p w14:paraId="0615AFB2" w14:textId="77777777" w:rsidR="00FF27FC" w:rsidRDefault="00FF27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19A44" w14:textId="72A22247" w:rsidR="00FF27FC" w:rsidRDefault="00856594" w:rsidP="00856594">
    <w:pPr>
      <w:pStyle w:val="Header"/>
      <w:rPr>
        <w:sz w:val="17"/>
      </w:rPr>
    </w:pPr>
    <w:bookmarkStart w:id="7" w:name="TITUS2HeaderEvenPages"/>
    <w:r>
      <w:rPr>
        <w:sz w:val="17"/>
      </w:rPr>
      <w:t> </w:t>
    </w:r>
  </w:p>
  <w:bookmarkEnd w:id="7"/>
  <w:p w14:paraId="3625E33B" w14:textId="77777777" w:rsidR="00FF27FC" w:rsidRDefault="00FF27FC" w:rsidP="00C50B66">
    <w:pPr>
      <w:pStyle w:val="Header"/>
    </w:pPr>
  </w:p>
  <w:p w14:paraId="27379F01" w14:textId="77777777" w:rsidR="00FF27FC" w:rsidRDefault="00FF27F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E5330" w14:textId="57065B84" w:rsidR="00FF27FC" w:rsidRDefault="00856594" w:rsidP="00856594">
    <w:pPr>
      <w:pStyle w:val="Header"/>
      <w:rPr>
        <w:sz w:val="17"/>
      </w:rPr>
    </w:pPr>
    <w:bookmarkStart w:id="8" w:name="TITUS2HeaderPrimary"/>
    <w:r>
      <w:rPr>
        <w:sz w:val="17"/>
      </w:rPr>
      <w:t> </w:t>
    </w:r>
  </w:p>
  <w:bookmarkEnd w:id="8"/>
  <w:p w14:paraId="7BA7E4BA" w14:textId="77777777" w:rsidR="00FF27FC" w:rsidRDefault="00FF27F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8BEF9" w14:textId="38AF5276" w:rsidR="00FF27FC" w:rsidRDefault="00856594" w:rsidP="00856594">
    <w:pPr>
      <w:pStyle w:val="Header"/>
      <w:rPr>
        <w:sz w:val="17"/>
      </w:rPr>
    </w:pPr>
    <w:bookmarkStart w:id="11" w:name="TITUS2HeaderFirstPage"/>
    <w:r>
      <w:rPr>
        <w:sz w:val="17"/>
      </w:rPr>
      <w:t> </w:t>
    </w:r>
  </w:p>
  <w:bookmarkEnd w:id="11"/>
  <w:p w14:paraId="01CBCBAB" w14:textId="77777777" w:rsidR="00FF27FC" w:rsidRDefault="00FF27FC" w:rsidP="00C50B66">
    <w:pPr>
      <w:pStyle w:val="Header"/>
    </w:pPr>
  </w:p>
  <w:p w14:paraId="04103D41" w14:textId="77777777" w:rsidR="00FF27FC" w:rsidRDefault="00FF27F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AC92D" w14:textId="6D474FF8" w:rsidR="00FF27FC" w:rsidRDefault="00856594" w:rsidP="00856594">
    <w:pPr>
      <w:pStyle w:val="Header"/>
      <w:rPr>
        <w:sz w:val="17"/>
      </w:rPr>
    </w:pPr>
    <w:bookmarkStart w:id="13" w:name="TITUS3HeaderEvenPages"/>
    <w:r>
      <w:rPr>
        <w:sz w:val="17"/>
      </w:rPr>
      <w:t> </w:t>
    </w:r>
  </w:p>
  <w:bookmarkEnd w:id="13"/>
  <w:p w14:paraId="7A08B795" w14:textId="77777777" w:rsidR="00FF27FC" w:rsidRDefault="00FF27FC" w:rsidP="00C50B66">
    <w:pPr>
      <w:pStyle w:val="Header"/>
    </w:pPr>
  </w:p>
  <w:p w14:paraId="6F448E46" w14:textId="77777777" w:rsidR="00FF27FC" w:rsidRDefault="00FF27F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44399" w14:textId="3CC600F9" w:rsidR="00FF27FC" w:rsidRDefault="00856594" w:rsidP="00856594">
    <w:pPr>
      <w:pStyle w:val="Header"/>
      <w:rPr>
        <w:sz w:val="17"/>
      </w:rPr>
    </w:pPr>
    <w:bookmarkStart w:id="14" w:name="TITUS3HeaderPrimary"/>
    <w:r>
      <w:rPr>
        <w:sz w:val="17"/>
      </w:rPr>
      <w:t> </w:t>
    </w:r>
  </w:p>
  <w:bookmarkEnd w:id="14"/>
  <w:p w14:paraId="07FA74FF" w14:textId="77777777" w:rsidR="00FF27FC" w:rsidRDefault="00FF27F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AF31C" w14:textId="00A7AC50" w:rsidR="00FF27FC" w:rsidRDefault="00856594" w:rsidP="00856594">
    <w:pPr>
      <w:pStyle w:val="Header"/>
      <w:rPr>
        <w:sz w:val="17"/>
      </w:rPr>
    </w:pPr>
    <w:bookmarkStart w:id="17" w:name="TITUS3HeaderFirstPage"/>
    <w:r>
      <w:rPr>
        <w:sz w:val="17"/>
      </w:rPr>
      <w:t> </w:t>
    </w:r>
  </w:p>
  <w:bookmarkEnd w:id="17"/>
  <w:p w14:paraId="7C48D96B" w14:textId="77777777" w:rsidR="00FF27FC" w:rsidRDefault="00FF27FC" w:rsidP="00C50B66">
    <w:pPr>
      <w:pStyle w:val="Header"/>
    </w:pPr>
  </w:p>
  <w:p w14:paraId="5DE35560" w14:textId="77777777" w:rsidR="00FF27FC" w:rsidRDefault="00FF27F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E3F7E" w14:textId="31E37802" w:rsidR="00FF27FC" w:rsidRDefault="00856594" w:rsidP="00856594">
    <w:pPr>
      <w:pStyle w:val="Header"/>
      <w:rPr>
        <w:sz w:val="17"/>
      </w:rPr>
    </w:pPr>
    <w:bookmarkStart w:id="19" w:name="TITUS4HeaderEvenPages"/>
    <w:r>
      <w:rPr>
        <w:sz w:val="17"/>
      </w:rPr>
      <w:t> </w:t>
    </w:r>
  </w:p>
  <w:bookmarkEnd w:id="19"/>
  <w:p w14:paraId="06CEC45F" w14:textId="77777777" w:rsidR="00FF27FC" w:rsidRDefault="00FF27FC" w:rsidP="00C50B66">
    <w:pPr>
      <w:pStyle w:val="Header"/>
    </w:pPr>
  </w:p>
  <w:p w14:paraId="67A687AF" w14:textId="77777777" w:rsidR="00FF27FC" w:rsidRDefault="00FF27F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F0A1B" w14:textId="22B5D154" w:rsidR="00FF27FC" w:rsidRDefault="00856594" w:rsidP="00856594">
    <w:pPr>
      <w:pStyle w:val="Header"/>
      <w:rPr>
        <w:sz w:val="17"/>
      </w:rPr>
    </w:pPr>
    <w:bookmarkStart w:id="20" w:name="TITUS4HeaderPrimary"/>
    <w:r>
      <w:rPr>
        <w:sz w:val="17"/>
      </w:rPr>
      <w:t> </w:t>
    </w:r>
  </w:p>
  <w:bookmarkEnd w:id="20"/>
  <w:p w14:paraId="52D796C9" w14:textId="77777777" w:rsidR="00FF27FC" w:rsidRDefault="00FF27F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E0A87" w14:textId="65A889FC" w:rsidR="00FF27FC" w:rsidRDefault="00856594" w:rsidP="00856594">
    <w:pPr>
      <w:pStyle w:val="Header"/>
      <w:rPr>
        <w:sz w:val="17"/>
      </w:rPr>
    </w:pPr>
    <w:bookmarkStart w:id="23" w:name="TITUS4HeaderFirstPage"/>
    <w:r>
      <w:rPr>
        <w:sz w:val="17"/>
      </w:rPr>
      <w:t> </w:t>
    </w:r>
  </w:p>
  <w:bookmarkEnd w:id="23"/>
  <w:p w14:paraId="311F3473" w14:textId="77777777" w:rsidR="00FF27FC" w:rsidRDefault="00FF27FC" w:rsidP="00C50B66">
    <w:pPr>
      <w:pStyle w:val="Header"/>
    </w:pPr>
  </w:p>
  <w:p w14:paraId="324F0C39" w14:textId="77777777" w:rsidR="00FF27FC" w:rsidRDefault="00FF2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E151B2"/>
    <w:multiLevelType w:val="hybridMultilevel"/>
    <w:tmpl w:val="704E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2"/>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676"/>
    <w:rsid w:val="00025650"/>
    <w:rsid w:val="00026FAB"/>
    <w:rsid w:val="00027B1F"/>
    <w:rsid w:val="0003088B"/>
    <w:rsid w:val="00031ADD"/>
    <w:rsid w:val="000325D9"/>
    <w:rsid w:val="000335C6"/>
    <w:rsid w:val="000372B2"/>
    <w:rsid w:val="0004079F"/>
    <w:rsid w:val="00045B87"/>
    <w:rsid w:val="00045C07"/>
    <w:rsid w:val="00052554"/>
    <w:rsid w:val="00055D43"/>
    <w:rsid w:val="00056FAC"/>
    <w:rsid w:val="00057751"/>
    <w:rsid w:val="00062D37"/>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85C"/>
    <w:rsid w:val="000C378F"/>
    <w:rsid w:val="000C6892"/>
    <w:rsid w:val="000C6FFE"/>
    <w:rsid w:val="000D0BB6"/>
    <w:rsid w:val="000E26B0"/>
    <w:rsid w:val="000F1599"/>
    <w:rsid w:val="000F1769"/>
    <w:rsid w:val="000F6196"/>
    <w:rsid w:val="000F7ECD"/>
    <w:rsid w:val="00102E64"/>
    <w:rsid w:val="0010312C"/>
    <w:rsid w:val="00103630"/>
    <w:rsid w:val="00103D6B"/>
    <w:rsid w:val="00106DC7"/>
    <w:rsid w:val="00112391"/>
    <w:rsid w:val="00114F52"/>
    <w:rsid w:val="001347F8"/>
    <w:rsid w:val="00137BB5"/>
    <w:rsid w:val="00137E05"/>
    <w:rsid w:val="001447F6"/>
    <w:rsid w:val="00147DE3"/>
    <w:rsid w:val="00150794"/>
    <w:rsid w:val="001608C4"/>
    <w:rsid w:val="00170A44"/>
    <w:rsid w:val="00171418"/>
    <w:rsid w:val="0019062A"/>
    <w:rsid w:val="00190913"/>
    <w:rsid w:val="001961CF"/>
    <w:rsid w:val="001A59BB"/>
    <w:rsid w:val="001A6A51"/>
    <w:rsid w:val="001A79C4"/>
    <w:rsid w:val="001B2304"/>
    <w:rsid w:val="001B331A"/>
    <w:rsid w:val="001C0E74"/>
    <w:rsid w:val="001C6CEC"/>
    <w:rsid w:val="001D229F"/>
    <w:rsid w:val="001D6162"/>
    <w:rsid w:val="001E7592"/>
    <w:rsid w:val="001F00CC"/>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5A4C"/>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5446"/>
    <w:rsid w:val="003516C0"/>
    <w:rsid w:val="00352E59"/>
    <w:rsid w:val="00354DBE"/>
    <w:rsid w:val="00355210"/>
    <w:rsid w:val="00365DF9"/>
    <w:rsid w:val="00372DB4"/>
    <w:rsid w:val="0037490C"/>
    <w:rsid w:val="00375AF5"/>
    <w:rsid w:val="003761BD"/>
    <w:rsid w:val="003769F6"/>
    <w:rsid w:val="00376D7B"/>
    <w:rsid w:val="0037A2D4"/>
    <w:rsid w:val="00382A93"/>
    <w:rsid w:val="00385414"/>
    <w:rsid w:val="003868CE"/>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288"/>
    <w:rsid w:val="00513C7D"/>
    <w:rsid w:val="005169D1"/>
    <w:rsid w:val="00521123"/>
    <w:rsid w:val="00521221"/>
    <w:rsid w:val="00526CDD"/>
    <w:rsid w:val="00536FA9"/>
    <w:rsid w:val="005414F4"/>
    <w:rsid w:val="00546187"/>
    <w:rsid w:val="005463F1"/>
    <w:rsid w:val="00557D77"/>
    <w:rsid w:val="00562EAA"/>
    <w:rsid w:val="00563B58"/>
    <w:rsid w:val="005640C4"/>
    <w:rsid w:val="00565121"/>
    <w:rsid w:val="0056684C"/>
    <w:rsid w:val="00574A0C"/>
    <w:rsid w:val="00576E4C"/>
    <w:rsid w:val="0057780F"/>
    <w:rsid w:val="00581E0A"/>
    <w:rsid w:val="00586D89"/>
    <w:rsid w:val="005916B8"/>
    <w:rsid w:val="00592F42"/>
    <w:rsid w:val="005A1B4C"/>
    <w:rsid w:val="005A1BA3"/>
    <w:rsid w:val="005A545C"/>
    <w:rsid w:val="005C1567"/>
    <w:rsid w:val="005C6CE5"/>
    <w:rsid w:val="005D3F07"/>
    <w:rsid w:val="005D583E"/>
    <w:rsid w:val="005E13EA"/>
    <w:rsid w:val="005E29A4"/>
    <w:rsid w:val="005E5861"/>
    <w:rsid w:val="00606E27"/>
    <w:rsid w:val="006108C9"/>
    <w:rsid w:val="00615C7E"/>
    <w:rsid w:val="0062158D"/>
    <w:rsid w:val="00621AD1"/>
    <w:rsid w:val="0062567D"/>
    <w:rsid w:val="00625DA3"/>
    <w:rsid w:val="00630F39"/>
    <w:rsid w:val="006326D1"/>
    <w:rsid w:val="00632E0A"/>
    <w:rsid w:val="00633165"/>
    <w:rsid w:val="00636B6C"/>
    <w:rsid w:val="006447DE"/>
    <w:rsid w:val="0064739D"/>
    <w:rsid w:val="0065276E"/>
    <w:rsid w:val="00654329"/>
    <w:rsid w:val="00654CEC"/>
    <w:rsid w:val="00655507"/>
    <w:rsid w:val="006712A7"/>
    <w:rsid w:val="006733CC"/>
    <w:rsid w:val="00674FC2"/>
    <w:rsid w:val="00677E42"/>
    <w:rsid w:val="00682334"/>
    <w:rsid w:val="00684B16"/>
    <w:rsid w:val="00687B72"/>
    <w:rsid w:val="00696F65"/>
    <w:rsid w:val="006A69F5"/>
    <w:rsid w:val="006A76B3"/>
    <w:rsid w:val="006A7A6D"/>
    <w:rsid w:val="006B5E67"/>
    <w:rsid w:val="006C2EB5"/>
    <w:rsid w:val="006C6B32"/>
    <w:rsid w:val="006D18A3"/>
    <w:rsid w:val="006D5970"/>
    <w:rsid w:val="006E481E"/>
    <w:rsid w:val="006E4954"/>
    <w:rsid w:val="006E795F"/>
    <w:rsid w:val="00700249"/>
    <w:rsid w:val="00700751"/>
    <w:rsid w:val="0070604C"/>
    <w:rsid w:val="007069CD"/>
    <w:rsid w:val="007110E6"/>
    <w:rsid w:val="00711A70"/>
    <w:rsid w:val="007127E8"/>
    <w:rsid w:val="00712E6F"/>
    <w:rsid w:val="00712E90"/>
    <w:rsid w:val="00713B7E"/>
    <w:rsid w:val="007204AE"/>
    <w:rsid w:val="0072678F"/>
    <w:rsid w:val="00727C4C"/>
    <w:rsid w:val="00734809"/>
    <w:rsid w:val="007406E1"/>
    <w:rsid w:val="00743E40"/>
    <w:rsid w:val="00751263"/>
    <w:rsid w:val="0075704F"/>
    <w:rsid w:val="007635C9"/>
    <w:rsid w:val="00763B2D"/>
    <w:rsid w:val="00772924"/>
    <w:rsid w:val="00777353"/>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6594"/>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4C17"/>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18ED"/>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05A"/>
    <w:rsid w:val="00A851F7"/>
    <w:rsid w:val="00A86AD7"/>
    <w:rsid w:val="00A906AA"/>
    <w:rsid w:val="00A94C5E"/>
    <w:rsid w:val="00AA241A"/>
    <w:rsid w:val="00AA252C"/>
    <w:rsid w:val="00AA600E"/>
    <w:rsid w:val="00AA666E"/>
    <w:rsid w:val="00AB1C40"/>
    <w:rsid w:val="00AB2917"/>
    <w:rsid w:val="00AB5518"/>
    <w:rsid w:val="00AC01D4"/>
    <w:rsid w:val="00AC4A04"/>
    <w:rsid w:val="00AD336F"/>
    <w:rsid w:val="00AD3550"/>
    <w:rsid w:val="00AE2564"/>
    <w:rsid w:val="00AE301F"/>
    <w:rsid w:val="00AE3302"/>
    <w:rsid w:val="00AE7077"/>
    <w:rsid w:val="00AE7394"/>
    <w:rsid w:val="00AF61C2"/>
    <w:rsid w:val="00AF6CC6"/>
    <w:rsid w:val="00B011CD"/>
    <w:rsid w:val="00B0296A"/>
    <w:rsid w:val="00B12295"/>
    <w:rsid w:val="00B137BE"/>
    <w:rsid w:val="00B17FA0"/>
    <w:rsid w:val="00B24344"/>
    <w:rsid w:val="00B25183"/>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0B66"/>
    <w:rsid w:val="00C54AED"/>
    <w:rsid w:val="00C63D00"/>
    <w:rsid w:val="00C6441B"/>
    <w:rsid w:val="00C7108B"/>
    <w:rsid w:val="00C8089F"/>
    <w:rsid w:val="00C836CC"/>
    <w:rsid w:val="00C87A74"/>
    <w:rsid w:val="00C90A71"/>
    <w:rsid w:val="00C90D93"/>
    <w:rsid w:val="00C92C71"/>
    <w:rsid w:val="00C93F8F"/>
    <w:rsid w:val="00CA3593"/>
    <w:rsid w:val="00CA7F4F"/>
    <w:rsid w:val="00CB258E"/>
    <w:rsid w:val="00CB3C8F"/>
    <w:rsid w:val="00CC02F1"/>
    <w:rsid w:val="00CC11A6"/>
    <w:rsid w:val="00CC135E"/>
    <w:rsid w:val="00CD5D3F"/>
    <w:rsid w:val="00CF1E90"/>
    <w:rsid w:val="00CF3DB3"/>
    <w:rsid w:val="00CF556A"/>
    <w:rsid w:val="00D052BC"/>
    <w:rsid w:val="00D07026"/>
    <w:rsid w:val="00D22C8F"/>
    <w:rsid w:val="00D33491"/>
    <w:rsid w:val="00D3680E"/>
    <w:rsid w:val="00D36DE0"/>
    <w:rsid w:val="00D44F8E"/>
    <w:rsid w:val="00D44FD0"/>
    <w:rsid w:val="00D45F4F"/>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40BDD"/>
    <w:rsid w:val="00E50821"/>
    <w:rsid w:val="00E51F91"/>
    <w:rsid w:val="00E7086E"/>
    <w:rsid w:val="00E7374A"/>
    <w:rsid w:val="00E73C41"/>
    <w:rsid w:val="00E7598F"/>
    <w:rsid w:val="00E76F60"/>
    <w:rsid w:val="00E77D6B"/>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E5FC2"/>
    <w:rsid w:val="00F01F92"/>
    <w:rsid w:val="00F10A08"/>
    <w:rsid w:val="00F139CF"/>
    <w:rsid w:val="00F22AC5"/>
    <w:rsid w:val="00F254D1"/>
    <w:rsid w:val="00F32B82"/>
    <w:rsid w:val="00F35114"/>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B5FDE"/>
    <w:rsid w:val="00FC1310"/>
    <w:rsid w:val="00FC2FF3"/>
    <w:rsid w:val="00FC3263"/>
    <w:rsid w:val="00FC51F9"/>
    <w:rsid w:val="00FC5B40"/>
    <w:rsid w:val="00FC5FF8"/>
    <w:rsid w:val="00FD3D7C"/>
    <w:rsid w:val="00FD4F8F"/>
    <w:rsid w:val="00FE0C16"/>
    <w:rsid w:val="00FE14AD"/>
    <w:rsid w:val="00FE14B1"/>
    <w:rsid w:val="00FF0070"/>
    <w:rsid w:val="00FF27FC"/>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6529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What-we-do/Ethics/Ethics-home/Pages/Ethics.aspx" TargetMode="External"/><Relationship Id="rId39" Type="http://schemas.openxmlformats.org/officeDocument/2006/relationships/hyperlink" Target="https://www.legislation.gov.uk/ukpga/1998/42/schedule/1/part/I/chapter/7" TargetMode="External"/><Relationship Id="rId21" Type="http://schemas.openxmlformats.org/officeDocument/2006/relationships/header" Target="header5.xml"/><Relationship Id="rId34" Type="http://schemas.openxmlformats.org/officeDocument/2006/relationships/hyperlink" Target="https://www.legislation.gov.uk/ukpga/1971/48/section/3" TargetMode="External"/><Relationship Id="rId42" Type="http://schemas.openxmlformats.org/officeDocument/2006/relationships/hyperlink" Target="https://www.nhs.uk/conditions/autism/signs/children/" TargetMode="External"/><Relationship Id="rId47" Type="http://schemas.openxmlformats.org/officeDocument/2006/relationships/hyperlink" Target="https://www.south-wales.police.uk/police-forces/south-wales-police/areas/about-us/about-us/our-vision-values-and-ethics/" TargetMode="External"/><Relationship Id="rId50" Type="http://schemas.openxmlformats.org/officeDocument/2006/relationships/footer" Target="foot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ps.gov.uk/victims-witnesses" TargetMode="External"/><Relationship Id="rId41" Type="http://schemas.openxmlformats.org/officeDocument/2006/relationships/hyperlink" Target="https://www.nhs.uk/conditions/attention-deficit-hyperactivity-disorder-adhd/symptoms/"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publication/mental-health-conditions-and-disorders-draft-prosecution-guidance" TargetMode="External"/><Relationship Id="rId37" Type="http://schemas.openxmlformats.org/officeDocument/2006/relationships/hyperlink" Target="https://www.gov.uk/government/publications/criminal-procedure-and-investigations-act-code-of-practice" TargetMode="External"/><Relationship Id="rId40" Type="http://schemas.openxmlformats.org/officeDocument/2006/relationships/hyperlink" Target="https://www.mind.org.uk/information-support/types-of-mental-health-problems/stress/what-is-stress/" TargetMode="External"/><Relationship Id="rId45" Type="http://schemas.openxmlformats.org/officeDocument/2006/relationships/hyperlink" Target="https://www.oxfordreference.com/view/10.1093/oi/authority.20110803100251966" TargetMode="External"/><Relationship Id="rId53" Type="http://schemas.openxmlformats.org/officeDocument/2006/relationships/footer" Target="footer9.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ps.gov.uk/crime-info/hate-crime" TargetMode="External"/><Relationship Id="rId36" Type="http://schemas.openxmlformats.org/officeDocument/2006/relationships/hyperlink" Target="https://www.legislation.gov.uk/ukpga/1998/42/schedule/1/part/I/chapter/7" TargetMode="External"/><Relationship Id="rId49" Type="http://schemas.openxmlformats.org/officeDocument/2006/relationships/header" Target="header8.xml"/><Relationship Id="rId57" Type="http://schemas.openxmlformats.org/officeDocument/2006/relationships/footer" Target="footer1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publication/code-crown-prosecutors" TargetMode="External"/><Relationship Id="rId44" Type="http://schemas.openxmlformats.org/officeDocument/2006/relationships/hyperlink" Target="https://www.oxfordreference.com/view/10.1093/oi/authority.20110803100251966" TargetMode="External"/><Relationship Id="rId52" Type="http://schemas.openxmlformats.org/officeDocument/2006/relationships/header" Target="header9.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investigations/introduction/" TargetMode="External"/><Relationship Id="rId30" Type="http://schemas.openxmlformats.org/officeDocument/2006/relationships/hyperlink" Target="https://www.cps.gov.uk/legal-guidance/victims-crime-code-practice-cps-legal-guidance" TargetMode="External"/><Relationship Id="rId35" Type="http://schemas.openxmlformats.org/officeDocument/2006/relationships/hyperlink" Target="https://www.legislation.gov.uk/ukpga/1967/58/section/3" TargetMode="External"/><Relationship Id="rId43" Type="http://schemas.openxmlformats.org/officeDocument/2006/relationships/hyperlink" Target="https://medium.com/personal-growth/your-emotional-brain-is-usually-smarter-than-your-brain-thinks-8d76db29c5f8" TargetMode="External"/><Relationship Id="rId48" Type="http://schemas.openxmlformats.org/officeDocument/2006/relationships/header" Target="header7.xml"/><Relationship Id="rId56"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legal-guidance/offences-against-person-incorporating-charging-standard" TargetMode="External"/><Relationship Id="rId38" Type="http://schemas.openxmlformats.org/officeDocument/2006/relationships/hyperlink" Target="https://www.gov.uk/government/publications/victim-personal-statement" TargetMode="External"/><Relationship Id="rId46" Type="http://schemas.openxmlformats.org/officeDocument/2006/relationships/hyperlink" Target="https://www.southwalescommissioner.org.uk/en/your-commissioner/police-crime-plan-2021-2025/" TargetMode="External"/><Relationship Id="rId59"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53895-AA44-48D9-94A3-5BF4BE6F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7060</Words>
  <Characters>40314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Lewis,Geraint swp6715</cp:lastModifiedBy>
  <cp:revision>10</cp:revision>
  <cp:lastPrinted>2014-08-26T08:55:00Z</cp:lastPrinted>
  <dcterms:created xsi:type="dcterms:W3CDTF">2021-02-04T13:43:00Z</dcterms:created>
  <dcterms:modified xsi:type="dcterms:W3CDTF">2021-02-07T10:02:00Z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0b066d35-aaa0-4d10-a346-72c27dbb0239</vt:lpwstr>
  </property>
  <property fmtid="{D5CDD505-2E9C-101B-9397-08002B2CF9AE}" pid="4" name="Classification">
    <vt:lpwstr>OFFICIAL</vt:lpwstr>
  </property>
  <property fmtid="{D5CDD505-2E9C-101B-9397-08002B2CF9AE}" pid="5" name="Visibility">
    <vt:lpwstr>NOT VISIBLE</vt:lpwstr>
  </property>
</Properties>
</file>