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DF64FF" wp14:paraId="5E5787A5" wp14:textId="2317F247">
      <w:pPr>
        <w:pStyle w:val="Normal"/>
        <w:rPr>
          <w:rFonts w:ascii="Aptos" w:hAnsi="Aptos" w:eastAsia="Aptos" w:cs="Aptos"/>
          <w:b w:val="1"/>
          <w:bCs w:val="1"/>
          <w:noProof w:val="0"/>
          <w:sz w:val="24"/>
          <w:szCs w:val="24"/>
          <w:u w:val="single"/>
          <w:lang w:val="en-GB"/>
        </w:rPr>
      </w:pPr>
      <w:r w:rsidRPr="25DF64FF" w:rsidR="5CEEDB4D">
        <w:rPr>
          <w:rFonts w:ascii="Aptos" w:hAnsi="Aptos" w:eastAsia="Aptos" w:cs="Aptos"/>
          <w:b w:val="1"/>
          <w:bCs w:val="1"/>
          <w:noProof w:val="0"/>
          <w:sz w:val="24"/>
          <w:szCs w:val="24"/>
          <w:u w:val="single"/>
          <w:lang w:val="en-GB"/>
        </w:rPr>
        <w:t>Understanding Adult Development Theories in Dementia Care Homes</w:t>
      </w:r>
    </w:p>
    <w:p w:rsidR="25DF64FF" w:rsidP="25DF64FF" w:rsidRDefault="25DF64FF" w14:paraId="52777A6C" w14:textId="11E69C18">
      <w:pPr>
        <w:pStyle w:val="Normal"/>
        <w:rPr>
          <w:rFonts w:ascii="Aptos" w:hAnsi="Aptos" w:eastAsia="Aptos" w:cs="Aptos"/>
          <w:b w:val="1"/>
          <w:bCs w:val="1"/>
          <w:noProof w:val="0"/>
          <w:sz w:val="24"/>
          <w:szCs w:val="24"/>
          <w:u w:val="single"/>
          <w:lang w:val="en-GB"/>
        </w:rPr>
      </w:pPr>
    </w:p>
    <w:p w:rsidR="25DF64FF" w:rsidP="25DF64FF" w:rsidRDefault="25DF64FF" w14:paraId="3595DFF5" w14:textId="3DC94CDA">
      <w:pPr>
        <w:pStyle w:val="Normal"/>
        <w:rPr>
          <w:rFonts w:ascii="Aptos" w:hAnsi="Aptos" w:eastAsia="Aptos" w:cs="Aptos"/>
          <w:b w:val="1"/>
          <w:bCs w:val="1"/>
          <w:noProof w:val="0"/>
          <w:sz w:val="24"/>
          <w:szCs w:val="24"/>
          <w:u w:val="single"/>
          <w:lang w:val="en-GB"/>
        </w:rPr>
      </w:pPr>
    </w:p>
    <w:p w:rsidR="5CEEDB4D" w:rsidP="25DF64FF" w:rsidRDefault="5CEEDB4D" w14:paraId="6B835E3F" w14:textId="71E15AFB">
      <w:pPr>
        <w:spacing w:before="240" w:beforeAutospacing="off" w:after="240" w:afterAutospacing="off"/>
      </w:pPr>
      <w:r w:rsidRPr="25DF64FF" w:rsidR="5CEEDB4D">
        <w:rPr>
          <w:rFonts w:ascii="Aptos" w:hAnsi="Aptos" w:eastAsia="Aptos" w:cs="Aptos"/>
          <w:noProof w:val="0"/>
          <w:sz w:val="24"/>
          <w:szCs w:val="24"/>
          <w:lang w:val="en-GB"/>
        </w:rPr>
        <w:t>This discussion focuses on older adults aged 65 and above who are living in a dementia care home. In such settings, residents often experience progressive cognitive decline, loss of autonomy, social isolation, and emotional distress. Health and social care professionals therefore need to understand psychological theories of adult development and health behaviour to provide effective, person-centred care. This essay explores how two relevant psychological theories—</w:t>
      </w:r>
      <w:r w:rsidRPr="25DF64FF" w:rsidR="5CEEDB4D">
        <w:rPr>
          <w:rFonts w:ascii="Aptos" w:hAnsi="Aptos" w:eastAsia="Aptos" w:cs="Aptos"/>
          <w:b w:val="1"/>
          <w:bCs w:val="1"/>
          <w:noProof w:val="0"/>
          <w:sz w:val="24"/>
          <w:szCs w:val="24"/>
          <w:lang w:val="en-GB"/>
        </w:rPr>
        <w:t>Socioemotional Selectivity Theory (SST)</w:t>
      </w:r>
      <w:r w:rsidRPr="25DF64FF" w:rsidR="5CEEDB4D">
        <w:rPr>
          <w:rFonts w:ascii="Aptos" w:hAnsi="Aptos" w:eastAsia="Aptos" w:cs="Aptos"/>
          <w:noProof w:val="0"/>
          <w:sz w:val="24"/>
          <w:szCs w:val="24"/>
          <w:lang w:val="en-GB"/>
        </w:rPr>
        <w:t xml:space="preserve"> and </w:t>
      </w:r>
      <w:r w:rsidRPr="25DF64FF" w:rsidR="5CEEDB4D">
        <w:rPr>
          <w:rFonts w:ascii="Aptos" w:hAnsi="Aptos" w:eastAsia="Aptos" w:cs="Aptos"/>
          <w:b w:val="1"/>
          <w:bCs w:val="1"/>
          <w:noProof w:val="0"/>
          <w:sz w:val="24"/>
          <w:szCs w:val="24"/>
          <w:lang w:val="en-GB"/>
        </w:rPr>
        <w:t>Activity Theory of Ageing</w:t>
      </w:r>
      <w:r w:rsidRPr="25DF64FF" w:rsidR="5CEEDB4D">
        <w:rPr>
          <w:rFonts w:ascii="Aptos" w:hAnsi="Aptos" w:eastAsia="Aptos" w:cs="Aptos"/>
          <w:noProof w:val="0"/>
          <w:sz w:val="24"/>
          <w:szCs w:val="24"/>
          <w:lang w:val="en-GB"/>
        </w:rPr>
        <w:t>—can be applied in this context to support residents’ psychological and behavioural needs.</w:t>
      </w:r>
    </w:p>
    <w:p w:rsidR="25DF64FF" w:rsidRDefault="25DF64FF" w14:paraId="2C527E15" w14:textId="70880F5A"/>
    <w:p w:rsidR="5CEEDB4D" w:rsidP="25DF64FF" w:rsidRDefault="5CEEDB4D" w14:paraId="6C9E245D" w14:textId="1F224AE4">
      <w:pPr>
        <w:pStyle w:val="Heading2"/>
        <w:spacing w:before="299" w:beforeAutospacing="off" w:after="299" w:afterAutospacing="off"/>
      </w:pPr>
      <w:r w:rsidRPr="25DF64FF" w:rsidR="5CEEDB4D">
        <w:rPr>
          <w:rFonts w:ascii="Aptos" w:hAnsi="Aptos" w:eastAsia="Aptos" w:cs="Aptos"/>
          <w:b w:val="1"/>
          <w:bCs w:val="1"/>
          <w:noProof w:val="0"/>
          <w:sz w:val="36"/>
          <w:szCs w:val="36"/>
          <w:lang w:val="en-GB"/>
        </w:rPr>
        <w:t>2. Detailed Overview of Two Theories</w:t>
      </w:r>
    </w:p>
    <w:p w:rsidR="5CEEDB4D" w:rsidP="25DF64FF" w:rsidRDefault="5CEEDB4D" w14:paraId="251480C6" w14:textId="2ADEC38B">
      <w:pPr>
        <w:pStyle w:val="Heading3"/>
        <w:spacing w:before="281" w:beforeAutospacing="off" w:after="281" w:afterAutospacing="off"/>
      </w:pPr>
      <w:r w:rsidRPr="25DF64FF" w:rsidR="5CEEDB4D">
        <w:rPr>
          <w:rFonts w:ascii="Aptos" w:hAnsi="Aptos" w:eastAsia="Aptos" w:cs="Aptos"/>
          <w:b w:val="1"/>
          <w:bCs w:val="1"/>
          <w:noProof w:val="0"/>
          <w:sz w:val="28"/>
          <w:szCs w:val="28"/>
          <w:lang w:val="en-GB"/>
        </w:rPr>
        <w:t>2.1 Socioemotional Selectivity Theory (SST)</w:t>
      </w:r>
    </w:p>
    <w:p w:rsidR="5CEEDB4D" w:rsidP="25DF64FF" w:rsidRDefault="5CEEDB4D" w14:paraId="71E751A4" w14:textId="385708BA">
      <w:pPr>
        <w:spacing w:before="240" w:beforeAutospacing="off" w:after="240" w:afterAutospacing="off"/>
      </w:pPr>
      <w:bookmarkStart w:name="_Int_5yIekCoL" w:id="2114204773"/>
      <w:r w:rsidRPr="25DF64FF" w:rsidR="5CEEDB4D">
        <w:rPr>
          <w:rFonts w:ascii="Aptos" w:hAnsi="Aptos" w:eastAsia="Aptos" w:cs="Aptos"/>
          <w:noProof w:val="0"/>
          <w:sz w:val="24"/>
          <w:szCs w:val="24"/>
          <w:lang w:val="en-GB"/>
        </w:rPr>
        <w:t>Socioemotional Selectivity Theory (SST), developed by Laura L. Carstensen (1998), explains that as people age and perceive their remaining time as limited, their social and emotional goals shift.</w:t>
      </w:r>
      <w:bookmarkEnd w:id="2114204773"/>
      <w:r w:rsidRPr="25DF64FF" w:rsidR="5CEEDB4D">
        <w:rPr>
          <w:rFonts w:ascii="Aptos" w:hAnsi="Aptos" w:eastAsia="Aptos" w:cs="Aptos"/>
          <w:noProof w:val="0"/>
          <w:sz w:val="24"/>
          <w:szCs w:val="24"/>
          <w:lang w:val="en-GB"/>
        </w:rPr>
        <w:t xml:space="preserve"> Younger adults often seek knowledge, </w:t>
      </w:r>
      <w:r w:rsidRPr="25DF64FF" w:rsidR="5CEEDB4D">
        <w:rPr>
          <w:rFonts w:ascii="Aptos" w:hAnsi="Aptos" w:eastAsia="Aptos" w:cs="Aptos"/>
          <w:noProof w:val="0"/>
          <w:sz w:val="24"/>
          <w:szCs w:val="24"/>
          <w:lang w:val="en-GB"/>
        </w:rPr>
        <w:t>novelty</w:t>
      </w:r>
      <w:r w:rsidRPr="25DF64FF" w:rsidR="5CEEDB4D">
        <w:rPr>
          <w:rFonts w:ascii="Aptos" w:hAnsi="Aptos" w:eastAsia="Aptos" w:cs="Aptos"/>
          <w:noProof w:val="0"/>
          <w:sz w:val="24"/>
          <w:szCs w:val="24"/>
          <w:lang w:val="en-GB"/>
        </w:rPr>
        <w:t xml:space="preserve"> and future opportunities, while older adults prioritise emotionally meaningful relationships and activities (Carstensen, Fung &amp; Charles, 2003).</w:t>
      </w:r>
    </w:p>
    <w:p w:rsidR="5CEEDB4D" w:rsidP="25DF64FF" w:rsidRDefault="5CEEDB4D" w14:paraId="1BC9B802" w14:textId="7CBD8EFF">
      <w:pPr>
        <w:spacing w:before="240" w:beforeAutospacing="off" w:after="240" w:afterAutospacing="off"/>
      </w:pPr>
      <w:r w:rsidRPr="25DF64FF" w:rsidR="5CEEDB4D">
        <w:rPr>
          <w:rFonts w:ascii="Aptos" w:hAnsi="Aptos" w:eastAsia="Aptos" w:cs="Aptos"/>
          <w:noProof w:val="0"/>
          <w:sz w:val="24"/>
          <w:szCs w:val="24"/>
          <w:lang w:val="en-GB"/>
        </w:rPr>
        <w:t xml:space="preserve">SST proposes that this motivational change is driven by a </w:t>
      </w:r>
      <w:r w:rsidRPr="25DF64FF" w:rsidR="5CEEDB4D">
        <w:rPr>
          <w:rFonts w:ascii="Aptos" w:hAnsi="Aptos" w:eastAsia="Aptos" w:cs="Aptos"/>
          <w:b w:val="1"/>
          <w:bCs w:val="1"/>
          <w:noProof w:val="0"/>
          <w:sz w:val="24"/>
          <w:szCs w:val="24"/>
          <w:lang w:val="en-GB"/>
        </w:rPr>
        <w:t>Future Time Perspective (FTP)</w:t>
      </w:r>
      <w:r w:rsidRPr="25DF64FF" w:rsidR="5CEEDB4D">
        <w:rPr>
          <w:rFonts w:ascii="Aptos" w:hAnsi="Aptos" w:eastAsia="Aptos" w:cs="Aptos"/>
          <w:noProof w:val="0"/>
          <w:sz w:val="24"/>
          <w:szCs w:val="24"/>
          <w:lang w:val="en-GB"/>
        </w:rPr>
        <w:t xml:space="preserve">—an individual’s </w:t>
      </w:r>
      <w:r w:rsidRPr="25DF64FF" w:rsidR="5B5CCC6F">
        <w:rPr>
          <w:rFonts w:ascii="Aptos" w:hAnsi="Aptos" w:eastAsia="Aptos" w:cs="Aptos"/>
          <w:noProof w:val="0"/>
          <w:sz w:val="24"/>
          <w:szCs w:val="24"/>
          <w:lang w:val="en-GB"/>
        </w:rPr>
        <w:t>feeling</w:t>
      </w:r>
      <w:r w:rsidRPr="25DF64FF" w:rsidR="5CEEDB4D">
        <w:rPr>
          <w:rFonts w:ascii="Aptos" w:hAnsi="Aptos" w:eastAsia="Aptos" w:cs="Aptos"/>
          <w:noProof w:val="0"/>
          <w:sz w:val="24"/>
          <w:szCs w:val="24"/>
          <w:lang w:val="en-GB"/>
        </w:rPr>
        <w:t xml:space="preserve"> of how much time </w:t>
      </w:r>
      <w:r w:rsidRPr="25DF64FF" w:rsidR="2E403CBE">
        <w:rPr>
          <w:rFonts w:ascii="Aptos" w:hAnsi="Aptos" w:eastAsia="Aptos" w:cs="Aptos"/>
          <w:noProof w:val="0"/>
          <w:sz w:val="24"/>
          <w:szCs w:val="24"/>
          <w:lang w:val="en-GB"/>
        </w:rPr>
        <w:t>stays</w:t>
      </w:r>
      <w:r w:rsidRPr="25DF64FF" w:rsidR="5CEEDB4D">
        <w:rPr>
          <w:rFonts w:ascii="Aptos" w:hAnsi="Aptos" w:eastAsia="Aptos" w:cs="Aptos"/>
          <w:noProof w:val="0"/>
          <w:sz w:val="24"/>
          <w:szCs w:val="24"/>
          <w:lang w:val="en-GB"/>
        </w:rPr>
        <w:t xml:space="preserve"> in life. As older adults perceive time as finite, they invest energy in relationships that provide comfort, familiarity, and positive emotions. Research also shows a “positivity effect,” where older adults attend to and remember positive rather than negative information (Charles et al., 2003).</w:t>
      </w:r>
    </w:p>
    <w:p w:rsidR="5CEEDB4D" w:rsidP="25DF64FF" w:rsidRDefault="5CEEDB4D" w14:paraId="114CD68F" w14:textId="73526E2E">
      <w:pPr>
        <w:spacing w:before="240" w:beforeAutospacing="off" w:after="240" w:afterAutospacing="off"/>
      </w:pPr>
      <w:r w:rsidRPr="25DF64FF" w:rsidR="5CEEDB4D">
        <w:rPr>
          <w:rFonts w:ascii="Aptos" w:hAnsi="Aptos" w:eastAsia="Aptos" w:cs="Aptos"/>
          <w:noProof w:val="0"/>
          <w:sz w:val="24"/>
          <w:szCs w:val="24"/>
          <w:lang w:val="en-GB"/>
        </w:rPr>
        <w:t>For adults aged 65 +, SST suggests that emotional well-being and close, supportive relationships become central to life satisfaction. In a care-home setting, this means older residents will value consistent caregivers, family contact, and emotionally significant activities rather than broad, novelty-based experiences.</w:t>
      </w:r>
    </w:p>
    <w:p w:rsidR="25DF64FF" w:rsidRDefault="25DF64FF" w14:paraId="231D83FA" w14:textId="38EB16D1"/>
    <w:p w:rsidR="5CEEDB4D" w:rsidP="25DF64FF" w:rsidRDefault="5CEEDB4D" w14:paraId="6679C604" w14:textId="253E7F2E">
      <w:pPr>
        <w:pStyle w:val="Heading3"/>
        <w:spacing w:before="281" w:beforeAutospacing="off" w:after="281" w:afterAutospacing="off"/>
      </w:pPr>
      <w:r w:rsidRPr="25DF64FF" w:rsidR="5CEEDB4D">
        <w:rPr>
          <w:rFonts w:ascii="Aptos" w:hAnsi="Aptos" w:eastAsia="Aptos" w:cs="Aptos"/>
          <w:b w:val="1"/>
          <w:bCs w:val="1"/>
          <w:noProof w:val="0"/>
          <w:sz w:val="28"/>
          <w:szCs w:val="28"/>
          <w:lang w:val="en-GB"/>
        </w:rPr>
        <w:t>2.2 Activity Theory of Ageing</w:t>
      </w:r>
    </w:p>
    <w:p w:rsidR="5CEEDB4D" w:rsidP="25DF64FF" w:rsidRDefault="5CEEDB4D" w14:paraId="7A3342B0" w14:textId="3D8EE1CA">
      <w:pPr>
        <w:spacing w:before="240" w:beforeAutospacing="off" w:after="240" w:afterAutospacing="off"/>
      </w:pPr>
      <w:r w:rsidRPr="25DF64FF" w:rsidR="5CEEDB4D">
        <w:rPr>
          <w:rFonts w:ascii="Aptos" w:hAnsi="Aptos" w:eastAsia="Aptos" w:cs="Aptos"/>
          <w:noProof w:val="0"/>
          <w:sz w:val="24"/>
          <w:szCs w:val="24"/>
          <w:lang w:val="en-GB"/>
        </w:rPr>
        <w:t xml:space="preserve">Activity Theory, proposed by Havighurst and Albrecht (1953), argues that successful ageing occurs when older adults </w:t>
      </w:r>
      <w:r w:rsidRPr="25DF64FF" w:rsidR="18EB8216">
        <w:rPr>
          <w:rFonts w:ascii="Aptos" w:hAnsi="Aptos" w:eastAsia="Aptos" w:cs="Aptos"/>
          <w:noProof w:val="0"/>
          <w:sz w:val="24"/>
          <w:szCs w:val="24"/>
          <w:lang w:val="en-GB"/>
        </w:rPr>
        <w:t>stay</w:t>
      </w:r>
      <w:r w:rsidRPr="25DF64FF" w:rsidR="5CEEDB4D">
        <w:rPr>
          <w:rFonts w:ascii="Aptos" w:hAnsi="Aptos" w:eastAsia="Aptos" w:cs="Aptos"/>
          <w:noProof w:val="0"/>
          <w:sz w:val="24"/>
          <w:szCs w:val="24"/>
          <w:lang w:val="en-GB"/>
        </w:rPr>
        <w:t xml:space="preserve"> physically, </w:t>
      </w:r>
      <w:r w:rsidRPr="25DF64FF" w:rsidR="5CEEDB4D">
        <w:rPr>
          <w:rFonts w:ascii="Aptos" w:hAnsi="Aptos" w:eastAsia="Aptos" w:cs="Aptos"/>
          <w:noProof w:val="0"/>
          <w:sz w:val="24"/>
          <w:szCs w:val="24"/>
          <w:lang w:val="en-GB"/>
        </w:rPr>
        <w:t>mentally</w:t>
      </w:r>
      <w:r w:rsidRPr="25DF64FF" w:rsidR="5CEEDB4D">
        <w:rPr>
          <w:rFonts w:ascii="Aptos" w:hAnsi="Aptos" w:eastAsia="Aptos" w:cs="Aptos"/>
          <w:noProof w:val="0"/>
          <w:sz w:val="24"/>
          <w:szCs w:val="24"/>
          <w:lang w:val="en-GB"/>
        </w:rPr>
        <w:t xml:space="preserve"> and socially active. The theory suggests that continued engagement in meaningful activities helps </w:t>
      </w:r>
      <w:r w:rsidRPr="25DF64FF" w:rsidR="19E35D75">
        <w:rPr>
          <w:rFonts w:ascii="Aptos" w:hAnsi="Aptos" w:eastAsia="Aptos" w:cs="Aptos"/>
          <w:noProof w:val="0"/>
          <w:sz w:val="24"/>
          <w:szCs w:val="24"/>
          <w:lang w:val="en-GB"/>
        </w:rPr>
        <w:t>support</w:t>
      </w:r>
      <w:r w:rsidRPr="25DF64FF" w:rsidR="5CEEDB4D">
        <w:rPr>
          <w:rFonts w:ascii="Aptos" w:hAnsi="Aptos" w:eastAsia="Aptos" w:cs="Aptos"/>
          <w:noProof w:val="0"/>
          <w:sz w:val="24"/>
          <w:szCs w:val="24"/>
          <w:lang w:val="en-GB"/>
        </w:rPr>
        <w:t xml:space="preserve"> a positive self-concept, psychological well-being, and social integration (Gillespie &amp; Louw, 2003).</w:t>
      </w:r>
    </w:p>
    <w:p w:rsidR="5CEEDB4D" w:rsidP="25DF64FF" w:rsidRDefault="5CEEDB4D" w14:paraId="5148ADAC" w14:textId="73A0F3BB">
      <w:pPr>
        <w:spacing w:before="240" w:beforeAutospacing="off" w:after="240" w:afterAutospacing="off"/>
      </w:pPr>
      <w:r w:rsidRPr="25DF64FF" w:rsidR="5CEEDB4D">
        <w:rPr>
          <w:rFonts w:ascii="Aptos" w:hAnsi="Aptos" w:eastAsia="Aptos" w:cs="Aptos"/>
          <w:noProof w:val="0"/>
          <w:sz w:val="24"/>
          <w:szCs w:val="24"/>
          <w:lang w:val="en-GB"/>
        </w:rPr>
        <w:t xml:space="preserve">According to this view, older adults should be encouraged to replace lost social roles (such as employment or parenting) with new roles or activities that provide purpose and belonging. </w:t>
      </w:r>
      <w:r w:rsidRPr="25DF64FF" w:rsidR="220187A9">
        <w:rPr>
          <w:rFonts w:ascii="Aptos" w:hAnsi="Aptos" w:eastAsia="Aptos" w:cs="Aptos"/>
          <w:noProof w:val="0"/>
          <w:sz w:val="24"/>
          <w:szCs w:val="24"/>
          <w:lang w:val="en-GB"/>
        </w:rPr>
        <w:t>Staying</w:t>
      </w:r>
      <w:r w:rsidRPr="25DF64FF" w:rsidR="5CEEDB4D">
        <w:rPr>
          <w:rFonts w:ascii="Aptos" w:hAnsi="Aptos" w:eastAsia="Aptos" w:cs="Aptos"/>
          <w:noProof w:val="0"/>
          <w:sz w:val="24"/>
          <w:szCs w:val="24"/>
          <w:lang w:val="en-GB"/>
        </w:rPr>
        <w:t xml:space="preserve"> active—whether through hobbies, volunteering, or social interactions—supports overall well-being and prevents isolation.</w:t>
      </w:r>
    </w:p>
    <w:p w:rsidR="5CEEDB4D" w:rsidP="25DF64FF" w:rsidRDefault="5CEEDB4D" w14:paraId="3F46D870" w14:textId="565371F0">
      <w:pPr>
        <w:spacing w:before="240" w:beforeAutospacing="off" w:after="240" w:afterAutospacing="off"/>
      </w:pPr>
      <w:r w:rsidRPr="25DF64FF" w:rsidR="5CEEDB4D">
        <w:rPr>
          <w:rFonts w:ascii="Aptos" w:hAnsi="Aptos" w:eastAsia="Aptos" w:cs="Aptos"/>
          <w:noProof w:val="0"/>
          <w:sz w:val="24"/>
          <w:szCs w:val="24"/>
          <w:lang w:val="en-GB"/>
        </w:rPr>
        <w:t xml:space="preserve">For adults aged 65 +, particularly those living in dementia care homes, Activity Theory highlights the importance of opportunities for engagement within their physical and cognitive abilities. Meaningful activity, even at a reduced level, helps </w:t>
      </w:r>
      <w:r w:rsidRPr="25DF64FF" w:rsidR="2E8E123C">
        <w:rPr>
          <w:rFonts w:ascii="Aptos" w:hAnsi="Aptos" w:eastAsia="Aptos" w:cs="Aptos"/>
          <w:noProof w:val="0"/>
          <w:sz w:val="24"/>
          <w:szCs w:val="24"/>
          <w:lang w:val="en-GB"/>
        </w:rPr>
        <w:t>keep</w:t>
      </w:r>
      <w:r w:rsidRPr="25DF64FF" w:rsidR="5CEEDB4D">
        <w:rPr>
          <w:rFonts w:ascii="Aptos" w:hAnsi="Aptos" w:eastAsia="Aptos" w:cs="Aptos"/>
          <w:noProof w:val="0"/>
          <w:sz w:val="24"/>
          <w:szCs w:val="24"/>
          <w:lang w:val="en-GB"/>
        </w:rPr>
        <w:t xml:space="preserve"> identity, reduce depression, and enhance quality of life.</w:t>
      </w:r>
    </w:p>
    <w:p w:rsidR="25DF64FF" w:rsidRDefault="25DF64FF" w14:paraId="71E29B17" w14:textId="67E7E0AF"/>
    <w:p w:rsidR="5CEEDB4D" w:rsidP="25DF64FF" w:rsidRDefault="5CEEDB4D" w14:paraId="3CBFD970" w14:textId="1ACAD1DD">
      <w:pPr>
        <w:pStyle w:val="Heading2"/>
        <w:spacing w:before="299" w:beforeAutospacing="off" w:after="299" w:afterAutospacing="off"/>
      </w:pPr>
      <w:r w:rsidRPr="25DF64FF" w:rsidR="5CEEDB4D">
        <w:rPr>
          <w:rFonts w:ascii="Aptos" w:hAnsi="Aptos" w:eastAsia="Aptos" w:cs="Aptos"/>
          <w:b w:val="1"/>
          <w:bCs w:val="1"/>
          <w:noProof w:val="0"/>
          <w:sz w:val="36"/>
          <w:szCs w:val="36"/>
          <w:lang w:val="en-GB"/>
        </w:rPr>
        <w:t>3. Application in the Health and Social Care Context</w:t>
      </w:r>
    </w:p>
    <w:p w:rsidR="5CEEDB4D" w:rsidP="25DF64FF" w:rsidRDefault="5CEEDB4D" w14:paraId="6EDEC8ED" w14:textId="38A84823">
      <w:pPr>
        <w:pStyle w:val="Heading3"/>
        <w:spacing w:before="281" w:beforeAutospacing="off" w:after="281" w:afterAutospacing="off"/>
      </w:pPr>
      <w:r w:rsidRPr="25DF64FF" w:rsidR="5CEEDB4D">
        <w:rPr>
          <w:rFonts w:ascii="Aptos" w:hAnsi="Aptos" w:eastAsia="Aptos" w:cs="Aptos"/>
          <w:b w:val="1"/>
          <w:bCs w:val="1"/>
          <w:noProof w:val="0"/>
          <w:sz w:val="28"/>
          <w:szCs w:val="28"/>
          <w:lang w:val="en-GB"/>
        </w:rPr>
        <w:t>3.1 Applying SST in Dementia Care</w:t>
      </w:r>
    </w:p>
    <w:p w:rsidR="5CEEDB4D" w:rsidP="25DF64FF" w:rsidRDefault="5CEEDB4D" w14:paraId="03233736" w14:textId="6AC37EAD">
      <w:pPr>
        <w:spacing w:before="240" w:beforeAutospacing="off" w:after="240" w:afterAutospacing="off"/>
      </w:pPr>
      <w:r w:rsidRPr="25DF64FF" w:rsidR="5CEEDB4D">
        <w:rPr>
          <w:rFonts w:ascii="Aptos" w:hAnsi="Aptos" w:eastAsia="Aptos" w:cs="Aptos"/>
          <w:noProof w:val="0"/>
          <w:sz w:val="24"/>
          <w:szCs w:val="24"/>
          <w:lang w:val="en-GB"/>
        </w:rPr>
        <w:t>SST can be used in dementia care to design interventions that prioritise emotional meaning, familiarity, and consistent relationships.</w:t>
      </w:r>
    </w:p>
    <w:p w:rsidR="5CEEDB4D" w:rsidP="25DF64FF" w:rsidRDefault="5CEEDB4D" w14:paraId="7E06C958" w14:textId="6C2AC051">
      <w:pPr>
        <w:spacing w:before="240" w:beforeAutospacing="off" w:after="240" w:afterAutospacing="off"/>
      </w:pPr>
      <w:r w:rsidRPr="25DF64FF" w:rsidR="5CEEDB4D">
        <w:rPr>
          <w:rFonts w:ascii="Aptos" w:hAnsi="Aptos" w:eastAsia="Aptos" w:cs="Aptos"/>
          <w:b w:val="1"/>
          <w:bCs w:val="1"/>
          <w:noProof w:val="0"/>
          <w:sz w:val="24"/>
          <w:szCs w:val="24"/>
          <w:lang w:val="en-GB"/>
        </w:rPr>
        <w:t>Practical applications include:</w:t>
      </w:r>
    </w:p>
    <w:p w:rsidR="5CEEDB4D" w:rsidP="25DF64FF" w:rsidRDefault="5CEEDB4D" w14:paraId="445BE18B" w14:textId="70F3726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Relationship continuity:</w:t>
      </w:r>
      <w:r w:rsidRPr="25DF64FF" w:rsidR="5CEEDB4D">
        <w:rPr>
          <w:rFonts w:ascii="Aptos" w:hAnsi="Aptos" w:eastAsia="Aptos" w:cs="Aptos"/>
          <w:noProof w:val="0"/>
          <w:sz w:val="24"/>
          <w:szCs w:val="24"/>
          <w:lang w:val="en-GB"/>
        </w:rPr>
        <w:t xml:space="preserve"> Assigning each resident a key worker to ensure consistent emotional support.</w:t>
      </w:r>
    </w:p>
    <w:p w:rsidR="5CEEDB4D" w:rsidP="25DF64FF" w:rsidRDefault="5CEEDB4D" w14:paraId="55BD187D" w14:textId="169659A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Emotionally meaningful activities:</w:t>
      </w:r>
      <w:r w:rsidRPr="25DF64FF" w:rsidR="5CEEDB4D">
        <w:rPr>
          <w:rFonts w:ascii="Aptos" w:hAnsi="Aptos" w:eastAsia="Aptos" w:cs="Aptos"/>
          <w:noProof w:val="0"/>
          <w:sz w:val="24"/>
          <w:szCs w:val="24"/>
          <w:lang w:val="en-GB"/>
        </w:rPr>
        <w:t xml:space="preserve"> Focusing on reminiscence therapy, life-story sessions, music therapy with familiar songs, or one-to-one social interactions rather than large group events.</w:t>
      </w:r>
    </w:p>
    <w:p w:rsidR="5CEEDB4D" w:rsidP="25DF64FF" w:rsidRDefault="5CEEDB4D" w14:paraId="0B6EF9C1" w14:textId="20596AD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Framing motivation around emotion:</w:t>
      </w:r>
      <w:r w:rsidRPr="25DF64FF" w:rsidR="5CEEDB4D">
        <w:rPr>
          <w:rFonts w:ascii="Aptos" w:hAnsi="Aptos" w:eastAsia="Aptos" w:cs="Aptos"/>
          <w:noProof w:val="0"/>
          <w:sz w:val="24"/>
          <w:szCs w:val="24"/>
          <w:lang w:val="en-GB"/>
        </w:rPr>
        <w:t xml:space="preserve"> Encouraging activities by linking them to immediate emotional satisfaction (e.g., “This will make you feel more relaxed” rather than “It’s good for your health in the long term”).</w:t>
      </w:r>
    </w:p>
    <w:p w:rsidR="5CEEDB4D" w:rsidP="25DF64FF" w:rsidRDefault="5CEEDB4D" w14:paraId="74DFDF44" w14:textId="6351A102">
      <w:pPr>
        <w:spacing w:before="240" w:beforeAutospacing="off" w:after="240" w:afterAutospacing="off"/>
      </w:pPr>
      <w:r w:rsidRPr="25DF64FF" w:rsidR="5CEEDB4D">
        <w:rPr>
          <w:rFonts w:ascii="Aptos" w:hAnsi="Aptos" w:eastAsia="Aptos" w:cs="Aptos"/>
          <w:b w:val="1"/>
          <w:bCs w:val="1"/>
          <w:noProof w:val="0"/>
          <w:sz w:val="24"/>
          <w:szCs w:val="24"/>
          <w:lang w:val="en-GB"/>
        </w:rPr>
        <w:t>Example:</w:t>
      </w:r>
      <w:r>
        <w:br/>
      </w:r>
      <w:r w:rsidRPr="25DF64FF" w:rsidR="5CEEDB4D">
        <w:rPr>
          <w:rFonts w:ascii="Aptos" w:hAnsi="Aptos" w:eastAsia="Aptos" w:cs="Aptos"/>
          <w:noProof w:val="0"/>
          <w:sz w:val="24"/>
          <w:szCs w:val="24"/>
          <w:lang w:val="en-GB"/>
        </w:rPr>
        <w:t xml:space="preserve"> Mrs A, aged 82 with moderate dementia, enjoys video calls with her grandchildren. Staff schedule weekly calls and use this as motivation for small tasks (e.g., dressing up or short walks). Her participation is emotionally driven, aligning with SST principles.</w:t>
      </w:r>
    </w:p>
    <w:p w:rsidR="5CEEDB4D" w:rsidP="25DF64FF" w:rsidRDefault="5CEEDB4D" w14:paraId="546E55B8" w14:textId="74B6406E">
      <w:pPr>
        <w:spacing w:before="240" w:beforeAutospacing="off" w:after="240" w:afterAutospacing="off"/>
      </w:pPr>
      <w:r w:rsidRPr="25DF64FF" w:rsidR="5CEEDB4D">
        <w:rPr>
          <w:rFonts w:ascii="Aptos" w:hAnsi="Aptos" w:eastAsia="Aptos" w:cs="Aptos"/>
          <w:b w:val="1"/>
          <w:bCs w:val="1"/>
          <w:noProof w:val="0"/>
          <w:sz w:val="24"/>
          <w:szCs w:val="24"/>
          <w:lang w:val="en-GB"/>
        </w:rPr>
        <w:t>Challenges:</w:t>
      </w:r>
    </w:p>
    <w:p w:rsidR="5CEEDB4D" w:rsidP="25DF64FF" w:rsidRDefault="5CEEDB4D" w14:paraId="0E8200E2" w14:textId="40EEC48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Cognitive decline may limit awareness of time and emotional goals.</w:t>
      </w:r>
    </w:p>
    <w:p w:rsidR="5CEEDB4D" w:rsidP="25DF64FF" w:rsidRDefault="5CEEDB4D" w14:paraId="2D50037E" w14:textId="2659C53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Staff turnover can disrupt emotionally significant relationships.</w:t>
      </w:r>
    </w:p>
    <w:p w:rsidR="5CEEDB4D" w:rsidP="25DF64FF" w:rsidRDefault="5CEEDB4D" w14:paraId="0B9D62A3" w14:textId="18E0F048">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Limited resources restrict one-to-one interactions.</w:t>
      </w:r>
    </w:p>
    <w:p w:rsidR="5CEEDB4D" w:rsidP="25DF64FF" w:rsidRDefault="5CEEDB4D" w14:paraId="31A2207E" w14:textId="6AC5542A">
      <w:pPr>
        <w:spacing w:before="240" w:beforeAutospacing="off" w:after="240" w:afterAutospacing="off"/>
      </w:pPr>
      <w:r w:rsidRPr="25DF64FF" w:rsidR="5CEEDB4D">
        <w:rPr>
          <w:rFonts w:ascii="Aptos" w:hAnsi="Aptos" w:eastAsia="Aptos" w:cs="Aptos"/>
          <w:b w:val="1"/>
          <w:bCs w:val="1"/>
          <w:noProof w:val="0"/>
          <w:sz w:val="24"/>
          <w:szCs w:val="24"/>
          <w:lang w:val="en-GB"/>
        </w:rPr>
        <w:t>Strategies:</w:t>
      </w:r>
    </w:p>
    <w:p w:rsidR="5CEEDB4D" w:rsidP="25DF64FF" w:rsidRDefault="5CEEDB4D" w14:paraId="35888917" w14:textId="45E0F70D">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Implement consistent staffing models and “key worker” systems.</w:t>
      </w:r>
    </w:p>
    <w:p w:rsidR="5CEEDB4D" w:rsidP="25DF64FF" w:rsidRDefault="5CEEDB4D" w14:paraId="2FF10561" w14:textId="30540DF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Integrate emotional goals into individual care plans.</w:t>
      </w:r>
    </w:p>
    <w:p w:rsidR="5CEEDB4D" w:rsidP="25DF64FF" w:rsidRDefault="5CEEDB4D" w14:paraId="0D026451" w14:textId="5C1CB877">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Focus interventions on immediate well-being rather than distant health outcomes.</w:t>
      </w:r>
    </w:p>
    <w:p w:rsidR="25DF64FF" w:rsidRDefault="25DF64FF" w14:paraId="36371862" w14:textId="59419267"/>
    <w:p w:rsidR="5CEEDB4D" w:rsidP="25DF64FF" w:rsidRDefault="5CEEDB4D" w14:paraId="45DC3F28" w14:textId="1434583E">
      <w:pPr>
        <w:pStyle w:val="Heading3"/>
        <w:spacing w:before="281" w:beforeAutospacing="off" w:after="281" w:afterAutospacing="off"/>
      </w:pPr>
      <w:r w:rsidRPr="25DF64FF" w:rsidR="5CEEDB4D">
        <w:rPr>
          <w:rFonts w:ascii="Aptos" w:hAnsi="Aptos" w:eastAsia="Aptos" w:cs="Aptos"/>
          <w:b w:val="1"/>
          <w:bCs w:val="1"/>
          <w:noProof w:val="0"/>
          <w:sz w:val="28"/>
          <w:szCs w:val="28"/>
          <w:lang w:val="en-GB"/>
        </w:rPr>
        <w:t>3.2 Applying Activity Theory in Dementia Care</w:t>
      </w:r>
    </w:p>
    <w:p w:rsidR="5CEEDB4D" w:rsidP="25DF64FF" w:rsidRDefault="5CEEDB4D" w14:paraId="42D1BD5E" w14:textId="77E560C1">
      <w:pPr>
        <w:spacing w:before="240" w:beforeAutospacing="off" w:after="240" w:afterAutospacing="off"/>
      </w:pPr>
      <w:r w:rsidRPr="25DF64FF" w:rsidR="5CEEDB4D">
        <w:rPr>
          <w:rFonts w:ascii="Aptos" w:hAnsi="Aptos" w:eastAsia="Aptos" w:cs="Aptos"/>
          <w:noProof w:val="0"/>
          <w:sz w:val="24"/>
          <w:szCs w:val="24"/>
          <w:lang w:val="en-GB"/>
        </w:rPr>
        <w:t>Activity Theory can guide dementia care professionals in promoting engagement and purpose through meaningful, achievable activities.</w:t>
      </w:r>
    </w:p>
    <w:p w:rsidR="5CEEDB4D" w:rsidP="25DF64FF" w:rsidRDefault="5CEEDB4D" w14:paraId="1E152D6E" w14:textId="6CF9C037">
      <w:pPr>
        <w:spacing w:before="240" w:beforeAutospacing="off" w:after="240" w:afterAutospacing="off"/>
      </w:pPr>
      <w:r w:rsidRPr="25DF64FF" w:rsidR="5CEEDB4D">
        <w:rPr>
          <w:rFonts w:ascii="Aptos" w:hAnsi="Aptos" w:eastAsia="Aptos" w:cs="Aptos"/>
          <w:b w:val="1"/>
          <w:bCs w:val="1"/>
          <w:noProof w:val="0"/>
          <w:sz w:val="24"/>
          <w:szCs w:val="24"/>
          <w:lang w:val="en-GB"/>
        </w:rPr>
        <w:t>Practical applications include:</w:t>
      </w:r>
    </w:p>
    <w:p w:rsidR="5CEEDB4D" w:rsidP="25DF64FF" w:rsidRDefault="5CEEDB4D" w14:paraId="5EB13EEB" w14:textId="161A8890">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Meaningful activity design:</w:t>
      </w:r>
      <w:r w:rsidRPr="25DF64FF" w:rsidR="5CEEDB4D">
        <w:rPr>
          <w:rFonts w:ascii="Aptos" w:hAnsi="Aptos" w:eastAsia="Aptos" w:cs="Aptos"/>
          <w:noProof w:val="0"/>
          <w:sz w:val="24"/>
          <w:szCs w:val="24"/>
          <w:lang w:val="en-GB"/>
        </w:rPr>
        <w:t xml:space="preserve"> Creating opportunities that reflect </w:t>
      </w:r>
      <w:r w:rsidRPr="25DF64FF" w:rsidR="3AA9AE07">
        <w:rPr>
          <w:rFonts w:ascii="Aptos" w:hAnsi="Aptos" w:eastAsia="Aptos" w:cs="Aptos"/>
          <w:noProof w:val="0"/>
          <w:sz w:val="24"/>
          <w:szCs w:val="24"/>
          <w:lang w:val="en-GB"/>
        </w:rPr>
        <w:t>residents</w:t>
      </w:r>
      <w:r w:rsidRPr="25DF64FF" w:rsidR="5CEEDB4D">
        <w:rPr>
          <w:rFonts w:ascii="Aptos" w:hAnsi="Aptos" w:eastAsia="Aptos" w:cs="Aptos"/>
          <w:noProof w:val="0"/>
          <w:sz w:val="24"/>
          <w:szCs w:val="24"/>
          <w:lang w:val="en-GB"/>
        </w:rPr>
        <w:t xml:space="preserve"> past interests (e.g., gardening, music, or crafts).</w:t>
      </w:r>
    </w:p>
    <w:p w:rsidR="5CEEDB4D" w:rsidP="25DF64FF" w:rsidRDefault="5CEEDB4D" w14:paraId="11BE4D1E" w14:textId="7099932F">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Role substitution:</w:t>
      </w:r>
      <w:r w:rsidRPr="25DF64FF" w:rsidR="5CEEDB4D">
        <w:rPr>
          <w:rFonts w:ascii="Aptos" w:hAnsi="Aptos" w:eastAsia="Aptos" w:cs="Aptos"/>
          <w:noProof w:val="0"/>
          <w:sz w:val="24"/>
          <w:szCs w:val="24"/>
          <w:lang w:val="en-GB"/>
        </w:rPr>
        <w:t xml:space="preserve"> Encouraging small responsibilities such as watering plants, setting tables, or helping with decorations to </w:t>
      </w:r>
      <w:r w:rsidRPr="25DF64FF" w:rsidR="42656BDD">
        <w:rPr>
          <w:rFonts w:ascii="Aptos" w:hAnsi="Aptos" w:eastAsia="Aptos" w:cs="Aptos"/>
          <w:noProof w:val="0"/>
          <w:sz w:val="24"/>
          <w:szCs w:val="24"/>
          <w:lang w:val="en-GB"/>
        </w:rPr>
        <w:t>keep</w:t>
      </w:r>
      <w:r w:rsidRPr="25DF64FF" w:rsidR="5CEEDB4D">
        <w:rPr>
          <w:rFonts w:ascii="Aptos" w:hAnsi="Aptos" w:eastAsia="Aptos" w:cs="Aptos"/>
          <w:noProof w:val="0"/>
          <w:sz w:val="24"/>
          <w:szCs w:val="24"/>
          <w:lang w:val="en-GB"/>
        </w:rPr>
        <w:t xml:space="preserve"> a sense of purpose.</w:t>
      </w:r>
    </w:p>
    <w:p w:rsidR="5CEEDB4D" w:rsidP="25DF64FF" w:rsidRDefault="5CEEDB4D" w14:paraId="46251185" w14:textId="51134FC8">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b w:val="1"/>
          <w:bCs w:val="1"/>
          <w:noProof w:val="0"/>
          <w:sz w:val="24"/>
          <w:szCs w:val="24"/>
          <w:lang w:val="en-GB"/>
        </w:rPr>
        <w:t>Social engagement:</w:t>
      </w:r>
      <w:r w:rsidRPr="25DF64FF" w:rsidR="5CEEDB4D">
        <w:rPr>
          <w:rFonts w:ascii="Aptos" w:hAnsi="Aptos" w:eastAsia="Aptos" w:cs="Aptos"/>
          <w:noProof w:val="0"/>
          <w:sz w:val="24"/>
          <w:szCs w:val="24"/>
          <w:lang w:val="en-GB"/>
        </w:rPr>
        <w:t xml:space="preserve"> </w:t>
      </w:r>
      <w:r w:rsidRPr="25DF64FF" w:rsidR="42656BDD">
        <w:rPr>
          <w:rFonts w:ascii="Aptos" w:hAnsi="Aptos" w:eastAsia="Aptos" w:cs="Aptos"/>
          <w:noProof w:val="0"/>
          <w:sz w:val="24"/>
          <w:szCs w:val="24"/>
          <w:lang w:val="en-GB"/>
        </w:rPr>
        <w:t>Easing</w:t>
      </w:r>
      <w:r w:rsidRPr="25DF64FF" w:rsidR="5CEEDB4D">
        <w:rPr>
          <w:rFonts w:ascii="Aptos" w:hAnsi="Aptos" w:eastAsia="Aptos" w:cs="Aptos"/>
          <w:noProof w:val="0"/>
          <w:sz w:val="24"/>
          <w:szCs w:val="24"/>
          <w:lang w:val="en-GB"/>
        </w:rPr>
        <w:t xml:space="preserve"> group sessions like memory cafés, gentle exercise classes, or storytelling circles.</w:t>
      </w:r>
    </w:p>
    <w:p w:rsidR="5CEEDB4D" w:rsidP="25DF64FF" w:rsidRDefault="5CEEDB4D" w14:paraId="171D786C" w14:textId="79C1A005">
      <w:pPr>
        <w:spacing w:before="240" w:beforeAutospacing="off" w:after="240" w:afterAutospacing="off"/>
      </w:pPr>
      <w:r w:rsidRPr="25DF64FF" w:rsidR="5CEEDB4D">
        <w:rPr>
          <w:rFonts w:ascii="Aptos" w:hAnsi="Aptos" w:eastAsia="Aptos" w:cs="Aptos"/>
          <w:b w:val="1"/>
          <w:bCs w:val="1"/>
          <w:noProof w:val="0"/>
          <w:sz w:val="24"/>
          <w:szCs w:val="24"/>
          <w:lang w:val="en-GB"/>
        </w:rPr>
        <w:t>Example:</w:t>
      </w:r>
      <w:r>
        <w:br/>
      </w:r>
      <w:r w:rsidRPr="25DF64FF" w:rsidR="5CEEDB4D">
        <w:rPr>
          <w:rFonts w:ascii="Aptos" w:hAnsi="Aptos" w:eastAsia="Aptos" w:cs="Aptos"/>
          <w:noProof w:val="0"/>
          <w:sz w:val="24"/>
          <w:szCs w:val="24"/>
          <w:lang w:val="en-GB"/>
        </w:rPr>
        <w:t xml:space="preserve"> Mr B, aged 78 with mild dementia, was previously a gardener. The care home </w:t>
      </w:r>
      <w:r w:rsidRPr="25DF64FF" w:rsidR="616BFB7A">
        <w:rPr>
          <w:rFonts w:ascii="Aptos" w:hAnsi="Aptos" w:eastAsia="Aptos" w:cs="Aptos"/>
          <w:noProof w:val="0"/>
          <w:sz w:val="24"/>
          <w:szCs w:val="24"/>
          <w:lang w:val="en-GB"/>
        </w:rPr>
        <w:t>sets up</w:t>
      </w:r>
      <w:r w:rsidRPr="25DF64FF" w:rsidR="5CEEDB4D">
        <w:rPr>
          <w:rFonts w:ascii="Aptos" w:hAnsi="Aptos" w:eastAsia="Aptos" w:cs="Aptos"/>
          <w:noProof w:val="0"/>
          <w:sz w:val="24"/>
          <w:szCs w:val="24"/>
          <w:lang w:val="en-GB"/>
        </w:rPr>
        <w:t xml:space="preserve"> a small indoor plant-care area where he waters and arranges plants weekly. This supports his identity and provides satisfaction through purposeful activity.</w:t>
      </w:r>
    </w:p>
    <w:p w:rsidR="5CEEDB4D" w:rsidP="25DF64FF" w:rsidRDefault="5CEEDB4D" w14:paraId="78BB0A34" w14:textId="390964D9">
      <w:pPr>
        <w:spacing w:before="240" w:beforeAutospacing="off" w:after="240" w:afterAutospacing="off"/>
      </w:pPr>
      <w:r w:rsidRPr="25DF64FF" w:rsidR="5CEEDB4D">
        <w:rPr>
          <w:rFonts w:ascii="Aptos" w:hAnsi="Aptos" w:eastAsia="Aptos" w:cs="Aptos"/>
          <w:b w:val="1"/>
          <w:bCs w:val="1"/>
          <w:noProof w:val="0"/>
          <w:sz w:val="24"/>
          <w:szCs w:val="24"/>
          <w:lang w:val="en-GB"/>
        </w:rPr>
        <w:t>Challenges:</w:t>
      </w:r>
    </w:p>
    <w:p w:rsidR="5CEEDB4D" w:rsidP="25DF64FF" w:rsidRDefault="5CEEDB4D" w14:paraId="1F6AF5A4" w14:textId="0CED9FB2">
      <w:pPr>
        <w:pStyle w:val="ListParagraph"/>
        <w:numPr>
          <w:ilvl w:val="0"/>
          <w:numId w:val="5"/>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Cognitive and physical limitations may restrict participation.</w:t>
      </w:r>
    </w:p>
    <w:p w:rsidR="5CEEDB4D" w:rsidP="25DF64FF" w:rsidRDefault="5CEEDB4D" w14:paraId="34953191" w14:textId="5FCF81FF">
      <w:pPr>
        <w:pStyle w:val="ListParagraph"/>
        <w:numPr>
          <w:ilvl w:val="0"/>
          <w:numId w:val="5"/>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Not all residents wish to be highly active.</w:t>
      </w:r>
    </w:p>
    <w:p w:rsidR="5CEEDB4D" w:rsidP="25DF64FF" w:rsidRDefault="5CEEDB4D" w14:paraId="29A1E715" w14:textId="1515FE95">
      <w:pPr>
        <w:pStyle w:val="ListParagraph"/>
        <w:numPr>
          <w:ilvl w:val="0"/>
          <w:numId w:val="5"/>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Staffing and resource limitations can hinder programme delivery.</w:t>
      </w:r>
    </w:p>
    <w:p w:rsidR="5CEEDB4D" w:rsidP="25DF64FF" w:rsidRDefault="5CEEDB4D" w14:paraId="4E03A063" w14:textId="1A4EC11D">
      <w:pPr>
        <w:spacing w:before="240" w:beforeAutospacing="off" w:after="240" w:afterAutospacing="off"/>
      </w:pPr>
      <w:r w:rsidRPr="25DF64FF" w:rsidR="5CEEDB4D">
        <w:rPr>
          <w:rFonts w:ascii="Aptos" w:hAnsi="Aptos" w:eastAsia="Aptos" w:cs="Aptos"/>
          <w:b w:val="1"/>
          <w:bCs w:val="1"/>
          <w:noProof w:val="0"/>
          <w:sz w:val="24"/>
          <w:szCs w:val="24"/>
          <w:lang w:val="en-GB"/>
        </w:rPr>
        <w:t>Strategies:</w:t>
      </w:r>
    </w:p>
    <w:p w:rsidR="5CEEDB4D" w:rsidP="25DF64FF" w:rsidRDefault="5CEEDB4D" w14:paraId="629B5053" w14:textId="5D24E8F7">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Conduct individual life-history assessments to tailor activities.</w:t>
      </w:r>
    </w:p>
    <w:p w:rsidR="5CEEDB4D" w:rsidP="25DF64FF" w:rsidRDefault="5CEEDB4D" w14:paraId="09F718E0" w14:textId="6F4B19F9">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Offer “micro-activities”—short, simple, and frequent engagements.</w:t>
      </w:r>
    </w:p>
    <w:p w:rsidR="5CEEDB4D" w:rsidP="25DF64FF" w:rsidRDefault="5CEEDB4D" w14:paraId="6499CEB1" w14:textId="20FAB527">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25DF64FF" w:rsidR="5CEEDB4D">
        <w:rPr>
          <w:rFonts w:ascii="Aptos" w:hAnsi="Aptos" w:eastAsia="Aptos" w:cs="Aptos"/>
          <w:noProof w:val="0"/>
          <w:sz w:val="24"/>
          <w:szCs w:val="24"/>
          <w:lang w:val="en-GB"/>
        </w:rPr>
        <w:t>Provide autonomy and choice to preserve dignity and motivation.</w:t>
      </w:r>
    </w:p>
    <w:p w:rsidR="25DF64FF" w:rsidRDefault="25DF64FF" w14:paraId="41FE01A2" w14:textId="2DB3839A"/>
    <w:p w:rsidR="5CEEDB4D" w:rsidP="25DF64FF" w:rsidRDefault="5CEEDB4D" w14:paraId="262410CF" w14:textId="6A0C1259">
      <w:pPr>
        <w:pStyle w:val="Heading2"/>
        <w:spacing w:before="299" w:beforeAutospacing="off" w:after="299" w:afterAutospacing="off"/>
      </w:pPr>
      <w:r w:rsidRPr="25DF64FF" w:rsidR="5CEEDB4D">
        <w:rPr>
          <w:rFonts w:ascii="Aptos" w:hAnsi="Aptos" w:eastAsia="Aptos" w:cs="Aptos"/>
          <w:b w:val="1"/>
          <w:bCs w:val="1"/>
          <w:noProof w:val="0"/>
          <w:sz w:val="36"/>
          <w:szCs w:val="36"/>
          <w:lang w:val="en-GB"/>
        </w:rPr>
        <w:t>4. Conclusion</w:t>
      </w:r>
    </w:p>
    <w:p w:rsidR="5CEEDB4D" w:rsidP="25DF64FF" w:rsidRDefault="5CEEDB4D" w14:paraId="4720F390" w14:textId="2D4FD466">
      <w:pPr>
        <w:spacing w:before="240" w:beforeAutospacing="off" w:after="240" w:afterAutospacing="off"/>
      </w:pPr>
      <w:r w:rsidRPr="25DF64FF" w:rsidR="5CEEDB4D">
        <w:rPr>
          <w:rFonts w:ascii="Aptos" w:hAnsi="Aptos" w:eastAsia="Aptos" w:cs="Aptos"/>
          <w:noProof w:val="0"/>
          <w:sz w:val="24"/>
          <w:szCs w:val="24"/>
          <w:lang w:val="en-GB"/>
        </w:rPr>
        <w:t>Socioemotional Selectivity Theory and Activity Theory both offer valuable insights for supporting older adults in dementia care homes. SST helps professionals understand the emotional priorities of older adults and guides the creation of emotionally meaningful care plans. Activity Theory emphasises the benefits of continued engagement and purposeful activity for well-being. Applying these theories together can enhance care quality, promote positive emotions, and support dignity in later life. However, professionals must adapt them sensitively to the cognitive and physical realities of dementia and to resource constraints within care settings.</w:t>
      </w:r>
    </w:p>
    <w:p w:rsidR="25DF64FF" w:rsidRDefault="25DF64FF" w14:paraId="2660CC6C" w14:textId="376DE579"/>
    <w:p w:rsidR="5CEEDB4D" w:rsidP="25DF64FF" w:rsidRDefault="5CEEDB4D" w14:paraId="576F054A" w14:textId="3B401F31">
      <w:pPr>
        <w:pStyle w:val="Heading2"/>
        <w:spacing w:before="299" w:beforeAutospacing="off" w:after="299" w:afterAutospacing="off"/>
      </w:pPr>
      <w:r w:rsidRPr="25DF64FF" w:rsidR="5CEEDB4D">
        <w:rPr>
          <w:rFonts w:ascii="Aptos" w:hAnsi="Aptos" w:eastAsia="Aptos" w:cs="Aptos"/>
          <w:b w:val="1"/>
          <w:bCs w:val="1"/>
          <w:noProof w:val="0"/>
          <w:sz w:val="36"/>
          <w:szCs w:val="36"/>
          <w:lang w:val="en-GB"/>
        </w:rPr>
        <w:t>5. References (UWTSD Harvard Style)</w:t>
      </w:r>
    </w:p>
    <w:p w:rsidR="5CEEDB4D" w:rsidP="25DF64FF" w:rsidRDefault="5CEEDB4D" w14:paraId="2B6B9A6B" w14:textId="02D424CE">
      <w:pPr>
        <w:spacing w:before="240" w:beforeAutospacing="off" w:after="240" w:afterAutospacing="off"/>
      </w:pPr>
      <w:r w:rsidRPr="25DF64FF" w:rsidR="5CEEDB4D">
        <w:rPr>
          <w:rFonts w:ascii="Aptos" w:hAnsi="Aptos" w:eastAsia="Aptos" w:cs="Aptos"/>
          <w:noProof w:val="0"/>
          <w:sz w:val="24"/>
          <w:szCs w:val="24"/>
          <w:lang w:val="en-GB"/>
        </w:rPr>
        <w:t xml:space="preserve">Carstensen, L.L. (1998) ‘Taking time seriously: A theory of socioemotional selectivity’, </w:t>
      </w:r>
      <w:r w:rsidRPr="25DF64FF" w:rsidR="5CEEDB4D">
        <w:rPr>
          <w:rFonts w:ascii="Aptos" w:hAnsi="Aptos" w:eastAsia="Aptos" w:cs="Aptos"/>
          <w:i w:val="1"/>
          <w:iCs w:val="1"/>
          <w:noProof w:val="0"/>
          <w:sz w:val="24"/>
          <w:szCs w:val="24"/>
          <w:lang w:val="en-GB"/>
        </w:rPr>
        <w:t>American Psychologist</w:t>
      </w:r>
      <w:r w:rsidRPr="25DF64FF" w:rsidR="5CEEDB4D">
        <w:rPr>
          <w:rFonts w:ascii="Aptos" w:hAnsi="Aptos" w:eastAsia="Aptos" w:cs="Aptos"/>
          <w:noProof w:val="0"/>
          <w:sz w:val="24"/>
          <w:szCs w:val="24"/>
          <w:lang w:val="en-GB"/>
        </w:rPr>
        <w:t>, 53(2), pp. 165–181.</w:t>
      </w:r>
    </w:p>
    <w:p w:rsidR="5CEEDB4D" w:rsidP="25DF64FF" w:rsidRDefault="5CEEDB4D" w14:paraId="161BE50A" w14:textId="76F621E8">
      <w:pPr>
        <w:spacing w:before="240" w:beforeAutospacing="off" w:after="240" w:afterAutospacing="off"/>
      </w:pPr>
      <w:r w:rsidRPr="25DF64FF" w:rsidR="5CEEDB4D">
        <w:rPr>
          <w:rFonts w:ascii="Aptos" w:hAnsi="Aptos" w:eastAsia="Aptos" w:cs="Aptos"/>
          <w:noProof w:val="0"/>
          <w:sz w:val="24"/>
          <w:szCs w:val="24"/>
          <w:lang w:val="en-GB"/>
        </w:rPr>
        <w:t xml:space="preserve">Carstensen, L.L., Fung, H.H. and Charles, S.T. (2003) ‘Socioemotional selectivity theory and the regulation of emotion in the second half of life’, </w:t>
      </w:r>
      <w:r w:rsidRPr="25DF64FF" w:rsidR="5CEEDB4D">
        <w:rPr>
          <w:rFonts w:ascii="Aptos" w:hAnsi="Aptos" w:eastAsia="Aptos" w:cs="Aptos"/>
          <w:i w:val="1"/>
          <w:iCs w:val="1"/>
          <w:noProof w:val="0"/>
          <w:sz w:val="24"/>
          <w:szCs w:val="24"/>
          <w:lang w:val="en-GB"/>
        </w:rPr>
        <w:t>Motivation and Emotion</w:t>
      </w:r>
      <w:r w:rsidRPr="25DF64FF" w:rsidR="5CEEDB4D">
        <w:rPr>
          <w:rFonts w:ascii="Aptos" w:hAnsi="Aptos" w:eastAsia="Aptos" w:cs="Aptos"/>
          <w:noProof w:val="0"/>
          <w:sz w:val="24"/>
          <w:szCs w:val="24"/>
          <w:lang w:val="en-GB"/>
        </w:rPr>
        <w:t>, 27(2), pp. 103–123.</w:t>
      </w:r>
    </w:p>
    <w:p w:rsidR="5CEEDB4D" w:rsidP="25DF64FF" w:rsidRDefault="5CEEDB4D" w14:paraId="64912F6D" w14:textId="57DAE0E2">
      <w:pPr>
        <w:spacing w:before="240" w:beforeAutospacing="off" w:after="240" w:afterAutospacing="off"/>
        <w:rPr>
          <w:rFonts w:ascii="Aptos" w:hAnsi="Aptos" w:eastAsia="Aptos" w:cs="Aptos"/>
          <w:noProof w:val="0"/>
          <w:sz w:val="24"/>
          <w:szCs w:val="24"/>
          <w:lang w:val="en-GB"/>
        </w:rPr>
      </w:pPr>
      <w:bookmarkStart w:name="_Int_LIfuj8Fu" w:id="1712391270"/>
      <w:r w:rsidRPr="25DF64FF" w:rsidR="5CEEDB4D">
        <w:rPr>
          <w:rFonts w:ascii="Aptos" w:hAnsi="Aptos" w:eastAsia="Aptos" w:cs="Aptos"/>
          <w:noProof w:val="0"/>
          <w:sz w:val="24"/>
          <w:szCs w:val="24"/>
          <w:lang w:val="en-GB"/>
        </w:rPr>
        <w:t xml:space="preserve">Charles, S.T., Mather, M. and Carstensen, L.L. (2003) ‘Aging and emotional memory: The forgettable nature of negative images for older adults’, </w:t>
      </w:r>
      <w:r w:rsidRPr="25DF64FF" w:rsidR="5CEEDB4D">
        <w:rPr>
          <w:rFonts w:ascii="Aptos" w:hAnsi="Aptos" w:eastAsia="Aptos" w:cs="Aptos"/>
          <w:i w:val="1"/>
          <w:iCs w:val="1"/>
          <w:noProof w:val="0"/>
          <w:sz w:val="24"/>
          <w:szCs w:val="24"/>
          <w:lang w:val="en-GB"/>
        </w:rPr>
        <w:t>Journal of Experimental Psychology: General</w:t>
      </w:r>
      <w:r w:rsidRPr="25DF64FF" w:rsidR="5CEEDB4D">
        <w:rPr>
          <w:rFonts w:ascii="Aptos" w:hAnsi="Aptos" w:eastAsia="Aptos" w:cs="Aptos"/>
          <w:noProof w:val="0"/>
          <w:sz w:val="24"/>
          <w:szCs w:val="24"/>
          <w:lang w:val="en-GB"/>
        </w:rPr>
        <w:t>, 132(2), pp. 310–324.</w:t>
      </w:r>
      <w:bookmarkEnd w:id="1712391270"/>
    </w:p>
    <w:p w:rsidR="5CEEDB4D" w:rsidP="25DF64FF" w:rsidRDefault="5CEEDB4D" w14:paraId="1E3A4E52" w14:textId="207B2B3D">
      <w:pPr>
        <w:spacing w:before="240" w:beforeAutospacing="off" w:after="240" w:afterAutospacing="off"/>
      </w:pPr>
      <w:r w:rsidRPr="25DF64FF" w:rsidR="5CEEDB4D">
        <w:rPr>
          <w:rFonts w:ascii="Aptos" w:hAnsi="Aptos" w:eastAsia="Aptos" w:cs="Aptos"/>
          <w:noProof w:val="0"/>
          <w:sz w:val="24"/>
          <w:szCs w:val="24"/>
          <w:lang w:val="en-GB"/>
        </w:rPr>
        <w:t xml:space="preserve">Gillespie, C.W.I. and Louw, J. (2003) ‘Life satisfaction in old age and activity theory: Should the debate be re-opened?’, </w:t>
      </w:r>
      <w:r w:rsidRPr="25DF64FF" w:rsidR="5CEEDB4D">
        <w:rPr>
          <w:rFonts w:ascii="Aptos" w:hAnsi="Aptos" w:eastAsia="Aptos" w:cs="Aptos"/>
          <w:i w:val="1"/>
          <w:iCs w:val="1"/>
          <w:noProof w:val="0"/>
          <w:sz w:val="24"/>
          <w:szCs w:val="24"/>
          <w:lang w:val="en-GB"/>
        </w:rPr>
        <w:t>Southern African Journal of Gerontology</w:t>
      </w:r>
      <w:r w:rsidRPr="25DF64FF" w:rsidR="5CEEDB4D">
        <w:rPr>
          <w:rFonts w:ascii="Aptos" w:hAnsi="Aptos" w:eastAsia="Aptos" w:cs="Aptos"/>
          <w:noProof w:val="0"/>
          <w:sz w:val="24"/>
          <w:szCs w:val="24"/>
          <w:lang w:val="en-GB"/>
        </w:rPr>
        <w:t>, 12(1), pp. 1–6.</w:t>
      </w:r>
    </w:p>
    <w:p w:rsidR="5CEEDB4D" w:rsidP="25DF64FF" w:rsidRDefault="5CEEDB4D" w14:paraId="4B5A05C8" w14:textId="191AAF89">
      <w:pPr>
        <w:spacing w:before="240" w:beforeAutospacing="off" w:after="240" w:afterAutospacing="off"/>
      </w:pPr>
      <w:r w:rsidRPr="25DF64FF" w:rsidR="5CEEDB4D">
        <w:rPr>
          <w:rFonts w:ascii="Aptos" w:hAnsi="Aptos" w:eastAsia="Aptos" w:cs="Aptos"/>
          <w:noProof w:val="0"/>
          <w:sz w:val="24"/>
          <w:szCs w:val="24"/>
          <w:lang w:val="en-GB"/>
        </w:rPr>
        <w:t xml:space="preserve">Havighurst, R.J. and Albrecht, R. (1953) </w:t>
      </w:r>
      <w:r w:rsidRPr="25DF64FF" w:rsidR="5CEEDB4D">
        <w:rPr>
          <w:rFonts w:ascii="Aptos" w:hAnsi="Aptos" w:eastAsia="Aptos" w:cs="Aptos"/>
          <w:i w:val="1"/>
          <w:iCs w:val="1"/>
          <w:noProof w:val="0"/>
          <w:sz w:val="24"/>
          <w:szCs w:val="24"/>
          <w:lang w:val="en-GB"/>
        </w:rPr>
        <w:t>Older people</w:t>
      </w:r>
      <w:r w:rsidRPr="25DF64FF" w:rsidR="5CEEDB4D">
        <w:rPr>
          <w:rFonts w:ascii="Aptos" w:hAnsi="Aptos" w:eastAsia="Aptos" w:cs="Aptos"/>
          <w:noProof w:val="0"/>
          <w:sz w:val="24"/>
          <w:szCs w:val="24"/>
          <w:lang w:val="en-GB"/>
        </w:rPr>
        <w:t>. New York: Longmans, Green and Co.</w:t>
      </w:r>
    </w:p>
    <w:p w:rsidR="5CEEDB4D" w:rsidP="25DF64FF" w:rsidRDefault="5CEEDB4D" w14:paraId="1A01468B" w14:textId="34868B92">
      <w:pPr>
        <w:spacing w:before="240" w:beforeAutospacing="off" w:after="240" w:afterAutospacing="off"/>
      </w:pPr>
      <w:r w:rsidRPr="25DF64FF" w:rsidR="5CEEDB4D">
        <w:rPr>
          <w:rFonts w:ascii="Aptos" w:hAnsi="Aptos" w:eastAsia="Aptos" w:cs="Aptos"/>
          <w:noProof w:val="0"/>
          <w:sz w:val="24"/>
          <w:szCs w:val="24"/>
          <w:lang w:val="en-GB"/>
        </w:rPr>
        <w:t xml:space="preserve">Knoll, N. and Ziegelmann, J.P. (2015) ‘Health-behaviour change in older adults – bridging the gap between theories and practice’, </w:t>
      </w:r>
      <w:r w:rsidRPr="25DF64FF" w:rsidR="5CEEDB4D">
        <w:rPr>
          <w:rFonts w:ascii="Aptos" w:hAnsi="Aptos" w:eastAsia="Aptos" w:cs="Aptos"/>
          <w:i w:val="1"/>
          <w:iCs w:val="1"/>
          <w:noProof w:val="0"/>
          <w:sz w:val="24"/>
          <w:szCs w:val="24"/>
          <w:lang w:val="en-GB"/>
        </w:rPr>
        <w:t>Health Psychology Review</w:t>
      </w:r>
      <w:r w:rsidRPr="25DF64FF" w:rsidR="5CEEDB4D">
        <w:rPr>
          <w:rFonts w:ascii="Aptos" w:hAnsi="Aptos" w:eastAsia="Aptos" w:cs="Aptos"/>
          <w:noProof w:val="0"/>
          <w:sz w:val="24"/>
          <w:szCs w:val="24"/>
          <w:lang w:val="en-GB"/>
        </w:rPr>
        <w:t>, 9(2), pp. 150–165.</w:t>
      </w:r>
    </w:p>
    <w:p w:rsidR="5CEEDB4D" w:rsidP="25DF64FF" w:rsidRDefault="5CEEDB4D" w14:paraId="64A39D9E" w14:textId="127767B5">
      <w:pPr>
        <w:spacing w:before="240" w:beforeAutospacing="off" w:after="240" w:afterAutospacing="off"/>
      </w:pPr>
      <w:r w:rsidRPr="25DF64FF" w:rsidR="5CEEDB4D">
        <w:rPr>
          <w:rFonts w:ascii="Aptos" w:hAnsi="Aptos" w:eastAsia="Aptos" w:cs="Aptos"/>
          <w:noProof w:val="0"/>
          <w:sz w:val="24"/>
          <w:szCs w:val="24"/>
          <w:lang w:val="en-GB"/>
        </w:rPr>
        <w:t xml:space="preserve">Ziegelmann, J.P. and Knoll, N. (2015) ‘Future directions in the study of health behaviour among older adults’, </w:t>
      </w:r>
      <w:r w:rsidRPr="25DF64FF" w:rsidR="5CEEDB4D">
        <w:rPr>
          <w:rFonts w:ascii="Aptos" w:hAnsi="Aptos" w:eastAsia="Aptos" w:cs="Aptos"/>
          <w:i w:val="1"/>
          <w:iCs w:val="1"/>
          <w:noProof w:val="0"/>
          <w:sz w:val="24"/>
          <w:szCs w:val="24"/>
          <w:lang w:val="en-GB"/>
        </w:rPr>
        <w:t>Gerontology</w:t>
      </w:r>
      <w:r w:rsidRPr="25DF64FF" w:rsidR="5CEEDB4D">
        <w:rPr>
          <w:rFonts w:ascii="Aptos" w:hAnsi="Aptos" w:eastAsia="Aptos" w:cs="Aptos"/>
          <w:noProof w:val="0"/>
          <w:sz w:val="24"/>
          <w:szCs w:val="24"/>
          <w:lang w:val="en-GB"/>
        </w:rPr>
        <w:t>, 61(5), pp. 469–476.</w:t>
      </w:r>
    </w:p>
    <w:p w:rsidR="25DF64FF" w:rsidP="25DF64FF" w:rsidRDefault="25DF64FF" w14:paraId="67C8E65F" w14:textId="75FA437F">
      <w:pPr>
        <w:pStyle w:val="Normal"/>
        <w:rPr>
          <w:rFonts w:ascii="Aptos" w:hAnsi="Aptos" w:eastAsia="Aptos" w:cs="Aptos"/>
          <w:b w:val="1"/>
          <w:bCs w:val="1"/>
          <w:noProof w:val="0"/>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LIfuj8Fu" int2:invalidationBookmarkName="" int2:hashCode="z0ekIV5GmtwiWR" int2:id="fzaoBeyi">
      <int2:extLst>
        <oel:ext uri="426473B9-03D8-482F-96C9-C2C85392BACA">
          <int2:similarityCritique int2:version="1" int2:context="Charles, S.T., Mather, M. and Carstensen, L.L. (2003) ‘Aging and emotional memory: The forgettable nature of negative images for older adults’, Journal of Experimental Psychology: General, 132(2), pp. 310–324.">
            <int2:source int2:sourceType="Online" int2:sourceTitle="Charles, S.T., Mather, M. and Carstensen, L.L. (2003) Aging and ..." int2:sourceUrl="https://www.scirp.org/(S(czeh4tfqyw2orz553k1w0r45))/reference/referencespapers?referenceid=663506" int2:sourceSnippet="Charles, S.T., Mather, M. and Carstensen, L.L. (2003) Aging and emotional memory The forgettable nature of negative images for older adults. Journal of Experimental Psychology General, 132, 310-324. doi10.1037/0096-3445.132.2.310 - References - Scientific Research Publishing">
              <int2:suggestions int2:citationType="Inline">
                <int2:suggestion int2:citationStyle="Mla" int2:isIdentical="0">
                  <int2:citationText>(“Charles, S.T., Mather, M. and Carstensen, L.L. (2003) Aging and ...”)</int2:citationText>
                </int2:suggestion>
                <int2:suggestion int2:citationStyle="Apa" int2:isIdentical="0">
                  <int2:citationText>(“Charles, S.T., Mather, M. and Carstensen, L.L. (2003) Aging and ...”)</int2:citationText>
                </int2:suggestion>
                <int2:suggestion int2:citationStyle="Chicago" int2:isIdentical="0">
                  <int2:citationText>(“Charles, S.T., Mather, M. and Carstensen, L.L. (2003) Aging and ...”)</int2:citationText>
                </int2:suggestion>
              </int2:suggestions>
              <int2:suggestions int2:citationType="Full">
                <int2:suggestion int2:citationStyle="Mla" int2:isIdentical="0">
                  <int2:citationText>&lt;i&gt;Charles, S.T., Mather, M. and Carstensen, L.L. (2003) Aging and ...&lt;/i&gt;, https://www.scirp.org/(S(czeh4tfqyw2orz553k1w0r45))/reference/referencespapers?referenceid=663506.</int2:citationText>
                </int2:suggestion>
                <int2:suggestion int2:citationStyle="Apa" int2:isIdentical="0">
                  <int2:citationText>&lt;i&gt;Charles, S.T., Mather, M. and Carstensen, L.L. (2003) Aging and ...&lt;/i&gt;. (n.d.). Retrieved from https://www.scirp.org/(S(czeh4tfqyw2orz553k1w0r45))/reference/referencespapers?referenceid=663506</int2:citationText>
                </int2:suggestion>
                <int2:suggestion int2:citationStyle="Chicago" int2:isIdentical="0">
                  <int2:citationText>“Charles, S.T., Mather, M. and Carstensen, L.L. (2003) Aging and ...” n.d., https://www.scirp.org/(S(czeh4tfqyw2orz553k1w0r45))/reference/referencespapers?referenceid=663506.</int2:citationText>
                </int2:suggestion>
              </int2:suggestions>
            </int2:source>
          </int2:similarityCritique>
        </oel:ext>
      </int2:extLst>
    </int2:bookmark>
    <int2:bookmark int2:bookmarkName="_Int_5yIekCoL" int2:invalidationBookmarkName="" int2:hashCode="97jQQdX0o2yw9s" int2:id="Bq8KZzAm">
      <int2:extLst>
        <oel:ext uri="426473B9-03D8-482F-96C9-C2C85392BACA">
          <int2:similarityCritique int2:version="1" int2:context="Socioemotional Selectivity Theory (SST), developed by Laura L. Carstensen (1998), explains that as people age and perceive their remaining time as limited, their social and emotional goals shift.">
            <int2:source int2:sourceType="Online" int2:sourceTitle="Socioemotional Selectivity Theory in Social Psychology - iResearchNet" int2:sourceUrl="https://psychology.iresearchnet.com/social-psychology/social-psychology-theories/socioemotional-selectivity-theory/" int2:sourceSnippet="Socioemotional Selectivity Theory (SST), developed by Laura L. Carstensen in the 1990s, is a pivotal framework within social psychology theories that explains how individuals’ social and emotional priorities shift across the lifespan, influenced by their perception of time. SST posits that as people age and perceive time as limited, they prioritize emotionally meaningful goals, such as ...">
              <int2:suggestions int2:citationType="Inline">
                <int2:suggestion int2:citationStyle="Mla" int2:isIdentical="0">
                  <int2:citationText>(“Socioemotional Selectivity Theory in Social Psychology - iResearchNet”)</int2:citationText>
                </int2:suggestion>
                <int2:suggestion int2:citationStyle="Apa" int2:isIdentical="0">
                  <int2:citationText>(“Socioemotional Selectivity Theory in Social Psychology - iResearchNet”)</int2:citationText>
                </int2:suggestion>
                <int2:suggestion int2:citationStyle="Chicago" int2:isIdentical="0">
                  <int2:citationText>(“Socioemotional Selectivity Theory in Social Psychology - iResearchNet”)</int2:citationText>
                </int2:suggestion>
              </int2:suggestions>
              <int2:suggestions int2:citationType="Full">
                <int2:suggestion int2:citationStyle="Mla" int2:isIdentical="0">
                  <int2:citationText>&lt;i&gt;Socioemotional Selectivity Theory in Social Psychology - iResearchNet&lt;/i&gt;, https://psychology.iresearchnet.com/social-psychology/social-psychology-theories/socioemotional-selectivity-theory/.</int2:citationText>
                </int2:suggestion>
                <int2:suggestion int2:citationStyle="Apa" int2:isIdentical="0">
                  <int2:citationText>&lt;i&gt;Socioemotional Selectivity Theory in Social Psychology - iResearchNet&lt;/i&gt;. (n.d.). Retrieved from https://psychology.iresearchnet.com/social-psychology/social-psychology-theories/socioemotional-selectivity-theory/</int2:citationText>
                </int2:suggestion>
                <int2:suggestion int2:citationStyle="Chicago" int2:isIdentical="0">
                  <int2:citationText>“Socioemotional Selectivity Theory in Social Psychology - iResearchNet” n.d., https://psychology.iresearchnet.com/social-psychology/social-psychology-theories/socioemotional-selectivity-theory/.</int2:citationText>
                </int2:suggestion>
              </int2:suggestions>
            </int2:source>
          </int2:similarityCritique>
        </oel:ext>
      </int2:extLst>
    </int2:bookmark>
    <int2:entireDocument int2:id="b8INYdwG">
      <int2:extLst>
        <oel:ext uri="E302BA01-7950-474C-9AD3-286E660C40A8">
          <int2:similaritySummary int2:version="1" int2:runId="1762714702605" int2:tilesCheckedInThisRun="52" int2:totalNumOfTiles="52" int2:similarityAnnotationCount="2" int2:numWords="1021" int2:numFlaggedWords="5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2317F247 52777A6C-11E69C18 3595DFF5-3DC94CDA 6B835E3F-71E15AFB 2C527E15-70880F5A 6C9E245D-1F224AE4 251480C6-2ADEC38B 71E751A4-385708BA 1BC9B802-7CBD8EFF 114CD68F-73526E2E 231D83FA-38EB16D1 6679C604-253E7F2E 7A3342B0-3D8EE1CA 5148ADAC-73A0F3BB 3F46D870-565371F0 71E29B17-67E7E0AF 3CBFD970-1ACAD1DD 6EDEC8ED-38A84823 03233736-6AC37EAD 7E06C958-6C2AC051 445BE18B-70F37269 55BD187D-169659A8 0B6EF9C1-20596AD6 74DFDF44-6351A102 546E55B8-74B6406E 0E8200E2-40EEC48F 2D50037E-2659C53F 0B9D62A3-18E0F048 31A2207E-6AC5542A 35888917-45E0F70D 2FF10561-30540DFB 0D026451-5C1CB877 36371862-59419267 45DC3F28-1434583E 42D1BD5E-77E560C1 1E152D6E-6CF9C037 5EB13EEB-161A8890 11BE4D1E-7099932F 46251185-51134FC8 171D786C-79C1A005 78BB0A34-390964D9 1F6AF5A4-0CED9FB2 34953191-5FCF81FF 29A1E715-1515FE95 4E03A063-1A4EC11D 629B5053-5D24E8F7 09F718E0-6F4B19F9 6499CEB1-20FAB527 41FE01A2-2DB3839A 262410CF-6A0C1259 4720F390-2D4FD466 2660CC6C-376DE579 576F054A-3B401F31 2B6B9A6B-02D424CE 161BE50A-76F621E8 64912F6D-57DAE0E2 1E3A4E52-207B2B3D 4B5A05C8-191AAF89 1A01468B-34868B92 64A39D9E-127767B5 67C8E65F-75FA437F"/>
  </int2:onDemandWorkflows>
</int2:intelligence>
</file>

<file path=word/numbering.xml><?xml version="1.0" encoding="utf-8"?>
<w:numbering xmlns:w="http://schemas.openxmlformats.org/wordprocessingml/2006/main">
  <w:abstractNum xmlns:w="http://schemas.openxmlformats.org/wordprocessingml/2006/main" w:abstractNumId="6">
    <w:nsid w:val="3b711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0f0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4df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7f6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964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175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BAF559"/>
    <w:rsid w:val="11BAF559"/>
    <w:rsid w:val="18EB8216"/>
    <w:rsid w:val="19E35D75"/>
    <w:rsid w:val="220187A9"/>
    <w:rsid w:val="25DF64FF"/>
    <w:rsid w:val="2E403CBE"/>
    <w:rsid w:val="2E8E123C"/>
    <w:rsid w:val="3AA9AE07"/>
    <w:rsid w:val="3E3E7F9B"/>
    <w:rsid w:val="42656BDD"/>
    <w:rsid w:val="5B5CCC6F"/>
    <w:rsid w:val="5CEEDB4D"/>
    <w:rsid w:val="616BFB7A"/>
    <w:rsid w:val="70F89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972E5"/>
  <w15:chartTrackingRefBased/>
  <w15:docId w15:val="{D579171A-1CB2-493B-9F11-388C60BC7A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5DF64F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6aadb6f2857498f" /><Relationship Type="http://schemas.openxmlformats.org/officeDocument/2006/relationships/numbering" Target="/word/numbering.xml" Id="R16c211a0b15b48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Paulo Alexandre Bucur (2420352)</dc:creator>
  <keywords/>
  <dc:description/>
  <lastModifiedBy>Paulo Alexandre Bucur (2420352)</lastModifiedBy>
  <revision>2</revision>
  <dcterms:created xsi:type="dcterms:W3CDTF">2025-11-09T18:54:51.6128257Z</dcterms:created>
  <dcterms:modified xsi:type="dcterms:W3CDTF">2025-11-09T18:58:34.6077465Z</dcterms:modified>
</coreProperties>
</file>